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eastAsia" w:ascii="宋体" w:hAnsi="宋体" w:cs="宋体"/>
          <w:b/>
          <w:bCs/>
          <w:spacing w:val="26"/>
          <w:sz w:val="52"/>
          <w:szCs w:val="52"/>
        </w:rPr>
      </w:pPr>
      <w:r>
        <w:rPr>
          <w:rFonts w:hint="eastAsia" w:ascii="宋体" w:hAnsi="宋体" w:cs="宋体"/>
          <w:b/>
          <w:bCs/>
          <w:spacing w:val="26"/>
          <w:sz w:val="52"/>
          <w:szCs w:val="52"/>
        </w:rPr>
        <w:t>番禺区里仁洞村城市更新项目自编R9地块复建房建设设计施工总承包工程EPC项目</w:t>
      </w:r>
    </w:p>
    <w:p>
      <w:pPr>
        <w:spacing w:line="300" w:lineRule="auto"/>
        <w:jc w:val="center"/>
        <w:rPr>
          <w:rFonts w:hint="eastAsia" w:ascii="宋体" w:hAnsi="宋体"/>
          <w:b/>
          <w:bCs/>
          <w:spacing w:val="26"/>
          <w:sz w:val="84"/>
          <w:szCs w:val="84"/>
        </w:rPr>
      </w:pPr>
    </w:p>
    <w:p>
      <w:pPr>
        <w:spacing w:line="300" w:lineRule="auto"/>
        <w:jc w:val="center"/>
        <w:rPr>
          <w:rFonts w:hint="eastAsia" w:ascii="宋体" w:hAnsi="宋体"/>
          <w:b/>
          <w:bCs/>
          <w:spacing w:val="26"/>
          <w:sz w:val="84"/>
          <w:szCs w:val="84"/>
        </w:rPr>
      </w:pPr>
    </w:p>
    <w:p>
      <w:pPr>
        <w:spacing w:line="300" w:lineRule="auto"/>
        <w:jc w:val="center"/>
        <w:rPr>
          <w:rFonts w:hint="eastAsia" w:ascii="宋体" w:hAnsi="宋体"/>
          <w:b/>
          <w:bCs/>
          <w:spacing w:val="26"/>
          <w:sz w:val="84"/>
          <w:szCs w:val="84"/>
        </w:rPr>
      </w:pPr>
      <w:r>
        <w:rPr>
          <w:rFonts w:hint="eastAsia" w:ascii="宋体" w:hAnsi="宋体"/>
          <w:b/>
          <w:bCs/>
          <w:spacing w:val="26"/>
          <w:sz w:val="84"/>
          <w:szCs w:val="84"/>
        </w:rPr>
        <w:t>招标文件</w:t>
      </w:r>
    </w:p>
    <w:p>
      <w:pPr>
        <w:spacing w:line="360" w:lineRule="auto"/>
        <w:jc w:val="center"/>
        <w:rPr>
          <w:rFonts w:ascii="宋体" w:hAnsi="宋体"/>
        </w:rPr>
      </w:pPr>
    </w:p>
    <w:p>
      <w:pPr>
        <w:pStyle w:val="5"/>
      </w:pPr>
    </w:p>
    <w:p>
      <w:pPr>
        <w:spacing w:line="360" w:lineRule="auto"/>
        <w:rPr>
          <w:rFonts w:ascii="宋体" w:hAnsi="宋体"/>
        </w:rPr>
      </w:pPr>
    </w:p>
    <w:p>
      <w:pPr>
        <w:spacing w:line="360" w:lineRule="auto"/>
        <w:jc w:val="center"/>
        <w:rPr>
          <w:rFonts w:ascii="宋体" w:hAnsi="宋体"/>
        </w:rPr>
      </w:pPr>
    </w:p>
    <w:p>
      <w:pPr>
        <w:pStyle w:val="175"/>
      </w:pPr>
    </w:p>
    <w:p>
      <w:pPr>
        <w:pStyle w:val="175"/>
      </w:pPr>
    </w:p>
    <w:p>
      <w:pPr>
        <w:pStyle w:val="175"/>
      </w:pPr>
    </w:p>
    <w:p>
      <w:pPr>
        <w:pStyle w:val="175"/>
      </w:pPr>
    </w:p>
    <w:p>
      <w:pPr>
        <w:pStyle w:val="175"/>
      </w:pPr>
    </w:p>
    <w:p>
      <w:pPr>
        <w:pStyle w:val="175"/>
      </w:pPr>
    </w:p>
    <w:p>
      <w:pPr>
        <w:pStyle w:val="175"/>
      </w:pPr>
    </w:p>
    <w:p>
      <w:pPr>
        <w:pStyle w:val="175"/>
      </w:pPr>
    </w:p>
    <w:p>
      <w:pPr>
        <w:pStyle w:val="175"/>
      </w:pPr>
    </w:p>
    <w:p>
      <w:pPr>
        <w:pStyle w:val="175"/>
      </w:pPr>
    </w:p>
    <w:p>
      <w:pPr>
        <w:pStyle w:val="175"/>
        <w:rPr>
          <w:szCs w:val="22"/>
        </w:rPr>
      </w:pPr>
    </w:p>
    <w:p>
      <w:pPr>
        <w:spacing w:line="360" w:lineRule="auto"/>
        <w:ind w:firstLine="1664" w:firstLineChars="518"/>
        <w:rPr>
          <w:rFonts w:hint="eastAsia" w:ascii="宋体" w:hAnsi="宋体"/>
          <w:b/>
          <w:sz w:val="32"/>
          <w:szCs w:val="32"/>
        </w:rPr>
      </w:pPr>
      <w:r>
        <w:rPr>
          <w:rFonts w:hint="eastAsia" w:ascii="宋体" w:hAnsi="宋体"/>
          <w:b/>
          <w:sz w:val="32"/>
          <w:szCs w:val="32"/>
        </w:rPr>
        <w:t>招  标 单 位：</w:t>
      </w:r>
      <w:r>
        <w:rPr>
          <w:rFonts w:hint="eastAsia" w:ascii="宋体" w:hAnsi="宋体"/>
          <w:b/>
          <w:sz w:val="32"/>
          <w:szCs w:val="32"/>
          <w:u w:val="single"/>
        </w:rPr>
        <w:t>广州越冠房地产开发有限公司</w:t>
      </w:r>
    </w:p>
    <w:p>
      <w:pPr>
        <w:spacing w:line="360" w:lineRule="auto"/>
        <w:ind w:firstLine="1664" w:firstLineChars="518"/>
        <w:rPr>
          <w:rFonts w:hint="eastAsia" w:ascii="宋体" w:hAnsi="宋体"/>
          <w:b/>
          <w:sz w:val="32"/>
          <w:szCs w:val="32"/>
        </w:rPr>
      </w:pPr>
      <w:r>
        <w:rPr>
          <w:rFonts w:hint="eastAsia" w:ascii="宋体" w:hAnsi="宋体"/>
          <w:b/>
          <w:sz w:val="32"/>
          <w:szCs w:val="32"/>
        </w:rPr>
        <w:t>招标代理单位：</w:t>
      </w:r>
      <w:r>
        <w:rPr>
          <w:rFonts w:hint="eastAsia" w:ascii="宋体" w:hAnsi="宋体"/>
          <w:b/>
          <w:sz w:val="32"/>
          <w:szCs w:val="32"/>
          <w:u w:val="single"/>
        </w:rPr>
        <w:t>广东省国际工程咨询有限公司</w:t>
      </w:r>
    </w:p>
    <w:p>
      <w:pPr>
        <w:spacing w:line="360" w:lineRule="auto"/>
        <w:ind w:firstLine="1664" w:firstLineChars="518"/>
        <w:rPr>
          <w:rFonts w:hint="eastAsia" w:ascii="宋体" w:hAnsi="宋体" w:cs="宋体"/>
          <w:b/>
          <w:sz w:val="32"/>
          <w:szCs w:val="32"/>
          <w:u w:val="single"/>
        </w:rPr>
      </w:pPr>
      <w:r>
        <w:rPr>
          <w:rFonts w:hint="eastAsia" w:ascii="宋体" w:hAnsi="宋体"/>
          <w:b/>
          <w:sz w:val="32"/>
          <w:szCs w:val="32"/>
        </w:rPr>
        <w:t>日        期：</w:t>
      </w:r>
      <w:r>
        <w:rPr>
          <w:rFonts w:hint="eastAsia" w:ascii="宋体" w:hAnsi="宋体"/>
          <w:b/>
          <w:sz w:val="32"/>
          <w:szCs w:val="32"/>
          <w:u w:val="single"/>
        </w:rPr>
        <w:t>2025年11月</w:t>
      </w:r>
    </w:p>
    <w:p>
      <w:pPr>
        <w:pStyle w:val="37"/>
        <w:spacing w:line="360" w:lineRule="auto"/>
        <w:jc w:val="center"/>
        <w:outlineLvl w:val="0"/>
        <w:rPr>
          <w:rFonts w:hint="eastAsia" w:hAnsi="宋体" w:cs="宋体"/>
          <w:b/>
          <w:sz w:val="36"/>
          <w:szCs w:val="36"/>
          <w:u w:val="none"/>
        </w:rPr>
        <w:sectPr>
          <w:pgSz w:w="11906" w:h="16838"/>
          <w:pgMar w:top="1440" w:right="1206" w:bottom="1440" w:left="1240" w:header="851" w:footer="992" w:gutter="0"/>
          <w:cols w:space="720" w:num="1"/>
          <w:docGrid w:type="lines" w:linePitch="312" w:charSpace="0"/>
        </w:sectPr>
      </w:pPr>
    </w:p>
    <w:p>
      <w:pPr>
        <w:shd w:val="clear" w:color="auto" w:fill="FFFFFF"/>
        <w:jc w:val="center"/>
        <w:outlineLvl w:val="0"/>
        <w:rPr>
          <w:rFonts w:hint="eastAsia" w:ascii="宋体" w:hAnsi="宋体" w:cs="宋体"/>
          <w:b/>
          <w:sz w:val="44"/>
          <w:szCs w:val="44"/>
          <w:shd w:val="clear" w:color="FFFFFF" w:fill="D9D9D9"/>
        </w:rPr>
      </w:pPr>
      <w:bookmarkStart w:id="0" w:name="_Toc4616"/>
      <w:r>
        <w:rPr>
          <w:rFonts w:hint="eastAsia" w:ascii="宋体" w:hAnsi="宋体" w:cs="宋体"/>
          <w:b/>
          <w:sz w:val="44"/>
          <w:szCs w:val="44"/>
        </w:rPr>
        <w:t>目  录</w:t>
      </w:r>
      <w:bookmarkEnd w:id="0"/>
    </w:p>
    <w:p>
      <w:pPr>
        <w:pStyle w:val="31"/>
        <w:tabs>
          <w:tab w:val="right" w:leader="dot" w:pos="9025"/>
        </w:tabs>
        <w:spacing w:line="360" w:lineRule="auto"/>
        <w:rPr>
          <w:rFonts w:hint="eastAsia" w:ascii="宋体" w:hAnsi="宋体" w:cs="宋体"/>
          <w:sz w:val="28"/>
          <w:szCs w:val="28"/>
        </w:rPr>
      </w:pPr>
      <w:r>
        <w:rPr>
          <w:rFonts w:hint="eastAsia" w:ascii="宋体" w:hAnsi="宋体" w:cs="宋体"/>
          <w:b w:val="0"/>
          <w:bCs w:val="0"/>
          <w:caps w:val="0"/>
          <w:sz w:val="28"/>
          <w:szCs w:val="28"/>
          <w:shd w:val="clear" w:color="FFFFFF" w:fill="D9D9D9"/>
        </w:rPr>
        <w:fldChar w:fldCharType="begin"/>
      </w:r>
      <w:r>
        <w:rPr>
          <w:rFonts w:hint="eastAsia" w:ascii="宋体" w:hAnsi="宋体" w:cs="宋体"/>
          <w:b w:val="0"/>
          <w:bCs w:val="0"/>
          <w:caps w:val="0"/>
          <w:sz w:val="28"/>
          <w:szCs w:val="28"/>
          <w:shd w:val="clear" w:color="FFFFFF" w:fill="D9D9D9"/>
        </w:rPr>
        <w:instrText xml:space="preserve">TOC \o "1-3" \h \u </w:instrText>
      </w:r>
      <w:r>
        <w:rPr>
          <w:rFonts w:hint="eastAsia" w:ascii="宋体" w:hAnsi="宋体" w:cs="宋体"/>
          <w:b w:val="0"/>
          <w:bCs w:val="0"/>
          <w:caps w:val="0"/>
          <w:sz w:val="28"/>
          <w:szCs w:val="28"/>
          <w:shd w:val="clear" w:color="FFFFFF" w:fill="D9D9D9"/>
        </w:rPr>
        <w:fldChar w:fldCharType="separate"/>
      </w:r>
      <w:r>
        <w:fldChar w:fldCharType="begin"/>
      </w:r>
      <w:r>
        <w:instrText xml:space="preserve"> HYPERLINK \l "_Toc1198" </w:instrText>
      </w:r>
      <w:r>
        <w:fldChar w:fldCharType="separate"/>
      </w:r>
      <w:r>
        <w:rPr>
          <w:rFonts w:hint="eastAsia" w:ascii="宋体" w:hAnsi="宋体" w:cs="宋体"/>
          <w:sz w:val="28"/>
          <w:szCs w:val="28"/>
        </w:rPr>
        <w:t>第一章 投标人须知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_Toc1198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pPr>
        <w:pStyle w:val="31"/>
        <w:tabs>
          <w:tab w:val="right" w:leader="dot" w:pos="9025"/>
        </w:tabs>
        <w:spacing w:line="360" w:lineRule="auto"/>
        <w:rPr>
          <w:rFonts w:hint="eastAsia" w:ascii="宋体" w:hAnsi="宋体" w:cs="宋体"/>
          <w:sz w:val="28"/>
          <w:szCs w:val="28"/>
        </w:rPr>
      </w:pPr>
      <w:r>
        <w:fldChar w:fldCharType="begin"/>
      </w:r>
      <w:r>
        <w:instrText xml:space="preserve"> HYPERLINK \l "_Toc16297" </w:instrText>
      </w:r>
      <w:r>
        <w:fldChar w:fldCharType="separate"/>
      </w:r>
      <w:r>
        <w:rPr>
          <w:rFonts w:hint="eastAsia" w:ascii="宋体" w:hAnsi="宋体" w:cs="宋体"/>
          <w:sz w:val="28"/>
          <w:szCs w:val="28"/>
        </w:rPr>
        <w:t>第二章 评标办法（通过制评审法）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_Toc16297 \h </w:instrText>
      </w:r>
      <w:r>
        <w:rPr>
          <w:rFonts w:hint="eastAsia" w:ascii="宋体" w:hAnsi="宋体" w:cs="宋体"/>
          <w:sz w:val="28"/>
          <w:szCs w:val="28"/>
        </w:rPr>
        <w:fldChar w:fldCharType="separate"/>
      </w:r>
      <w:r>
        <w:rPr>
          <w:rFonts w:hint="eastAsia" w:ascii="宋体" w:hAnsi="宋体" w:cs="宋体"/>
          <w:sz w:val="28"/>
          <w:szCs w:val="28"/>
        </w:rPr>
        <w:t>33</w:t>
      </w:r>
      <w:r>
        <w:rPr>
          <w:rFonts w:hint="eastAsia" w:ascii="宋体" w:hAnsi="宋体" w:cs="宋体"/>
          <w:sz w:val="28"/>
          <w:szCs w:val="28"/>
        </w:rPr>
        <w:fldChar w:fldCharType="end"/>
      </w:r>
      <w:r>
        <w:rPr>
          <w:rFonts w:hint="eastAsia" w:ascii="宋体" w:hAnsi="宋体" w:cs="宋体"/>
          <w:sz w:val="28"/>
          <w:szCs w:val="28"/>
        </w:rPr>
        <w:fldChar w:fldCharType="end"/>
      </w:r>
    </w:p>
    <w:p>
      <w:pPr>
        <w:pStyle w:val="31"/>
        <w:tabs>
          <w:tab w:val="right" w:leader="dot" w:pos="9025"/>
        </w:tabs>
        <w:spacing w:line="360" w:lineRule="auto"/>
        <w:rPr>
          <w:rFonts w:hint="eastAsia" w:ascii="宋体" w:hAnsi="宋体" w:cs="宋体"/>
          <w:sz w:val="28"/>
          <w:szCs w:val="28"/>
        </w:rPr>
      </w:pPr>
      <w:r>
        <w:fldChar w:fldCharType="begin"/>
      </w:r>
      <w:r>
        <w:instrText xml:space="preserve"> HYPERLINK \l "_Toc20372" </w:instrText>
      </w:r>
      <w:r>
        <w:fldChar w:fldCharType="separate"/>
      </w:r>
      <w:r>
        <w:rPr>
          <w:rFonts w:hint="eastAsia" w:ascii="宋体" w:hAnsi="宋体" w:cs="宋体"/>
          <w:sz w:val="28"/>
          <w:szCs w:val="28"/>
        </w:rPr>
        <w:t>第三章 合同条款及格式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_Toc20372 \h </w:instrText>
      </w:r>
      <w:r>
        <w:rPr>
          <w:rFonts w:hint="eastAsia" w:ascii="宋体" w:hAnsi="宋体" w:cs="宋体"/>
          <w:sz w:val="28"/>
          <w:szCs w:val="28"/>
        </w:rPr>
        <w:fldChar w:fldCharType="separate"/>
      </w:r>
      <w:r>
        <w:rPr>
          <w:rFonts w:hint="eastAsia" w:ascii="宋体" w:hAnsi="宋体" w:cs="宋体"/>
          <w:sz w:val="28"/>
          <w:szCs w:val="28"/>
        </w:rPr>
        <w:t>50</w:t>
      </w:r>
      <w:r>
        <w:rPr>
          <w:rFonts w:hint="eastAsia" w:ascii="宋体" w:hAnsi="宋体" w:cs="宋体"/>
          <w:sz w:val="28"/>
          <w:szCs w:val="28"/>
        </w:rPr>
        <w:fldChar w:fldCharType="end"/>
      </w:r>
      <w:r>
        <w:rPr>
          <w:rFonts w:hint="eastAsia" w:ascii="宋体" w:hAnsi="宋体" w:cs="宋体"/>
          <w:sz w:val="28"/>
          <w:szCs w:val="28"/>
        </w:rPr>
        <w:fldChar w:fldCharType="end"/>
      </w:r>
    </w:p>
    <w:p>
      <w:pPr>
        <w:pStyle w:val="31"/>
        <w:tabs>
          <w:tab w:val="right" w:leader="dot" w:pos="9025"/>
        </w:tabs>
        <w:spacing w:line="360" w:lineRule="auto"/>
        <w:rPr>
          <w:rFonts w:hint="eastAsia" w:ascii="宋体" w:hAnsi="宋体" w:cs="宋体"/>
          <w:sz w:val="28"/>
          <w:szCs w:val="28"/>
        </w:rPr>
      </w:pPr>
      <w:r>
        <w:fldChar w:fldCharType="begin"/>
      </w:r>
      <w:r>
        <w:instrText xml:space="preserve"> HYPERLINK \l "_Toc8204" </w:instrText>
      </w:r>
      <w:r>
        <w:fldChar w:fldCharType="separate"/>
      </w:r>
      <w:r>
        <w:rPr>
          <w:rFonts w:hint="eastAsia" w:ascii="宋体" w:hAnsi="宋体" w:cs="宋体"/>
          <w:sz w:val="28"/>
          <w:szCs w:val="28"/>
        </w:rPr>
        <w:t>第四章 发包人要求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_Toc8204 \h </w:instrText>
      </w:r>
      <w:r>
        <w:rPr>
          <w:rFonts w:hint="eastAsia" w:ascii="宋体" w:hAnsi="宋体" w:cs="宋体"/>
          <w:sz w:val="28"/>
          <w:szCs w:val="28"/>
        </w:rPr>
        <w:fldChar w:fldCharType="separate"/>
      </w:r>
      <w:r>
        <w:rPr>
          <w:rFonts w:hint="eastAsia" w:ascii="宋体" w:hAnsi="宋体" w:cs="宋体"/>
          <w:sz w:val="28"/>
          <w:szCs w:val="28"/>
        </w:rPr>
        <w:t>51</w:t>
      </w:r>
      <w:r>
        <w:rPr>
          <w:rFonts w:hint="eastAsia" w:ascii="宋体" w:hAnsi="宋体" w:cs="宋体"/>
          <w:sz w:val="28"/>
          <w:szCs w:val="28"/>
        </w:rPr>
        <w:fldChar w:fldCharType="end"/>
      </w:r>
      <w:r>
        <w:rPr>
          <w:rFonts w:hint="eastAsia" w:ascii="宋体" w:hAnsi="宋体" w:cs="宋体"/>
          <w:sz w:val="28"/>
          <w:szCs w:val="28"/>
        </w:rPr>
        <w:fldChar w:fldCharType="end"/>
      </w:r>
    </w:p>
    <w:p>
      <w:pPr>
        <w:pStyle w:val="31"/>
        <w:tabs>
          <w:tab w:val="right" w:leader="dot" w:pos="9025"/>
        </w:tabs>
        <w:spacing w:line="360" w:lineRule="auto"/>
        <w:rPr>
          <w:rFonts w:hint="eastAsia" w:ascii="宋体" w:hAnsi="宋体" w:cs="宋体"/>
          <w:sz w:val="28"/>
          <w:szCs w:val="28"/>
        </w:rPr>
      </w:pPr>
      <w:r>
        <w:fldChar w:fldCharType="begin"/>
      </w:r>
      <w:r>
        <w:instrText xml:space="preserve"> HYPERLINK \l "_Toc3543" </w:instrText>
      </w:r>
      <w:r>
        <w:fldChar w:fldCharType="separate"/>
      </w:r>
      <w:r>
        <w:rPr>
          <w:rFonts w:hint="eastAsia" w:ascii="宋体" w:hAnsi="宋体" w:cs="宋体"/>
          <w:sz w:val="28"/>
          <w:szCs w:val="28"/>
        </w:rPr>
        <w:t>第五章 招标人提供的资料</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_Toc3543 \h </w:instrText>
      </w:r>
      <w:r>
        <w:rPr>
          <w:rFonts w:hint="eastAsia" w:ascii="宋体" w:hAnsi="宋体" w:cs="宋体"/>
          <w:sz w:val="28"/>
          <w:szCs w:val="28"/>
        </w:rPr>
        <w:fldChar w:fldCharType="separate"/>
      </w:r>
      <w:r>
        <w:rPr>
          <w:rFonts w:hint="eastAsia" w:ascii="宋体" w:hAnsi="宋体" w:cs="宋体"/>
          <w:sz w:val="28"/>
          <w:szCs w:val="28"/>
        </w:rPr>
        <w:t>52</w:t>
      </w:r>
      <w:r>
        <w:rPr>
          <w:rFonts w:hint="eastAsia" w:ascii="宋体" w:hAnsi="宋体" w:cs="宋体"/>
          <w:sz w:val="28"/>
          <w:szCs w:val="28"/>
        </w:rPr>
        <w:fldChar w:fldCharType="end"/>
      </w:r>
      <w:r>
        <w:rPr>
          <w:rFonts w:hint="eastAsia" w:ascii="宋体" w:hAnsi="宋体" w:cs="宋体"/>
          <w:sz w:val="28"/>
          <w:szCs w:val="28"/>
        </w:rPr>
        <w:fldChar w:fldCharType="end"/>
      </w:r>
    </w:p>
    <w:p>
      <w:pPr>
        <w:pStyle w:val="31"/>
        <w:tabs>
          <w:tab w:val="right" w:leader="dot" w:pos="9025"/>
        </w:tabs>
        <w:spacing w:line="360" w:lineRule="auto"/>
        <w:rPr>
          <w:rFonts w:hint="eastAsia" w:ascii="宋体" w:hAnsi="宋体" w:cs="宋体"/>
          <w:sz w:val="28"/>
          <w:szCs w:val="28"/>
        </w:rPr>
      </w:pPr>
      <w:r>
        <w:fldChar w:fldCharType="begin"/>
      </w:r>
      <w:r>
        <w:instrText xml:space="preserve"> HYPERLINK \l "_Toc4298" </w:instrText>
      </w:r>
      <w:r>
        <w:fldChar w:fldCharType="separate"/>
      </w:r>
      <w:r>
        <w:rPr>
          <w:rFonts w:hint="eastAsia" w:ascii="宋体" w:hAnsi="宋体" w:cs="宋体"/>
          <w:sz w:val="28"/>
          <w:szCs w:val="28"/>
        </w:rPr>
        <w:t>第六章 投标文件格式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_Toc4298 \h </w:instrText>
      </w:r>
      <w:r>
        <w:rPr>
          <w:rFonts w:hint="eastAsia" w:ascii="宋体" w:hAnsi="宋体" w:cs="宋体"/>
          <w:sz w:val="28"/>
          <w:szCs w:val="28"/>
        </w:rPr>
        <w:fldChar w:fldCharType="separate"/>
      </w:r>
      <w:r>
        <w:rPr>
          <w:rFonts w:hint="eastAsia" w:ascii="宋体" w:hAnsi="宋体" w:cs="宋体"/>
          <w:sz w:val="28"/>
          <w:szCs w:val="28"/>
        </w:rPr>
        <w:t>53</w:t>
      </w:r>
      <w:r>
        <w:rPr>
          <w:rFonts w:hint="eastAsia" w:ascii="宋体" w:hAnsi="宋体" w:cs="宋体"/>
          <w:sz w:val="28"/>
          <w:szCs w:val="28"/>
        </w:rPr>
        <w:fldChar w:fldCharType="end"/>
      </w:r>
      <w:r>
        <w:rPr>
          <w:rFonts w:hint="eastAsia" w:ascii="宋体" w:hAnsi="宋体" w:cs="宋体"/>
          <w:sz w:val="28"/>
          <w:szCs w:val="28"/>
        </w:rPr>
        <w:fldChar w:fldCharType="end"/>
      </w:r>
    </w:p>
    <w:p>
      <w:pPr>
        <w:shd w:val="clear" w:color="auto" w:fill="FFFFFF"/>
        <w:spacing w:line="360" w:lineRule="auto"/>
        <w:jc w:val="center"/>
        <w:rPr>
          <w:rFonts w:hint="eastAsia" w:ascii="宋体" w:hAnsi="宋体" w:cs="宋体"/>
          <w:szCs w:val="28"/>
          <w:shd w:val="clear" w:color="FFFFFF" w:fill="D9D9D9"/>
        </w:rPr>
      </w:pPr>
      <w:r>
        <w:rPr>
          <w:rFonts w:hint="eastAsia" w:ascii="宋体" w:hAnsi="宋体" w:cs="宋体"/>
          <w:sz w:val="28"/>
          <w:szCs w:val="28"/>
          <w:shd w:val="clear" w:color="FFFFFF" w:fill="D9D9D9"/>
        </w:rPr>
        <w:fldChar w:fldCharType="end"/>
      </w:r>
    </w:p>
    <w:p>
      <w:pPr>
        <w:shd w:val="clear" w:color="auto" w:fill="FFFFFF"/>
        <w:ind w:firstLine="420" w:firstLineChars="200"/>
        <w:jc w:val="center"/>
        <w:rPr>
          <w:rFonts w:hint="eastAsia" w:ascii="宋体" w:hAnsi="宋体" w:cs="宋体"/>
          <w:szCs w:val="28"/>
          <w:shd w:val="clear" w:color="FFFFFF" w:fill="D9D9D9"/>
        </w:rPr>
      </w:pPr>
    </w:p>
    <w:p>
      <w:pPr>
        <w:shd w:val="clear" w:color="auto" w:fill="FFFFFF"/>
        <w:ind w:firstLine="420" w:firstLineChars="200"/>
        <w:jc w:val="center"/>
        <w:rPr>
          <w:rFonts w:hint="eastAsia" w:ascii="宋体" w:hAnsi="宋体" w:cs="宋体"/>
          <w:szCs w:val="28"/>
          <w:shd w:val="clear" w:color="FFFFFF" w:fill="D9D9D9"/>
        </w:rPr>
      </w:pPr>
    </w:p>
    <w:p>
      <w:pPr>
        <w:shd w:val="clear" w:color="auto" w:fill="FFFFFF"/>
        <w:ind w:firstLine="420" w:firstLineChars="200"/>
        <w:jc w:val="center"/>
        <w:rPr>
          <w:rFonts w:hint="eastAsia" w:ascii="宋体" w:hAnsi="宋体" w:cs="宋体"/>
          <w:szCs w:val="28"/>
          <w:shd w:val="clear" w:color="FFFFFF" w:fill="D9D9D9"/>
        </w:rPr>
      </w:pPr>
    </w:p>
    <w:p>
      <w:pPr>
        <w:pStyle w:val="3"/>
        <w:jc w:val="center"/>
        <w:rPr>
          <w:rFonts w:hint="eastAsia" w:ascii="宋体" w:hAnsi="宋体" w:cs="宋体"/>
          <w:b w:val="0"/>
          <w:bCs w:val="0"/>
          <w:szCs w:val="28"/>
          <w:shd w:val="clear" w:color="FFFFFF" w:fill="D9D9D9"/>
        </w:rPr>
        <w:sectPr>
          <w:headerReference r:id="rId3" w:type="default"/>
          <w:footerReference r:id="rId4" w:type="default"/>
          <w:pgSz w:w="11905" w:h="16838"/>
          <w:pgMar w:top="1440" w:right="1440" w:bottom="1440" w:left="1440" w:header="850" w:footer="850" w:gutter="0"/>
          <w:pgNumType w:start="1"/>
          <w:cols w:space="720" w:num="1"/>
          <w:docGrid w:type="lines" w:linePitch="312" w:charSpace="0"/>
        </w:sectPr>
      </w:pPr>
      <w:bookmarkStart w:id="1" w:name="_Toc21337"/>
      <w:bookmarkStart w:id="2" w:name="_Toc1198"/>
      <w:bookmarkStart w:id="3" w:name="_Toc29410"/>
      <w:bookmarkStart w:id="4" w:name="_Toc8601"/>
      <w:bookmarkStart w:id="5" w:name="_Toc4910"/>
      <w:bookmarkStart w:id="6" w:name="_Toc25868"/>
      <w:bookmarkStart w:id="7" w:name="_Toc1080"/>
      <w:bookmarkStart w:id="8" w:name="_Toc485211037"/>
    </w:p>
    <w:p>
      <w:pPr>
        <w:pStyle w:val="3"/>
        <w:jc w:val="center"/>
        <w:rPr>
          <w:rFonts w:hint="eastAsia" w:ascii="宋体" w:hAnsi="宋体" w:cs="宋体"/>
          <w:b w:val="0"/>
          <w:bCs w:val="0"/>
        </w:rPr>
      </w:pPr>
      <w:r>
        <w:rPr>
          <w:rStyle w:val="54"/>
          <w:rFonts w:hint="eastAsia" w:ascii="宋体" w:hAnsi="宋体" w:cs="宋体"/>
          <w:b w:val="0"/>
          <w:bCs w:val="0"/>
          <w:sz w:val="28"/>
          <w:szCs w:val="28"/>
        </w:rPr>
        <w:t>第一章 投标人须知</w:t>
      </w:r>
      <w:bookmarkEnd w:id="1"/>
      <w:bookmarkEnd w:id="2"/>
      <w:bookmarkEnd w:id="3"/>
      <w:bookmarkEnd w:id="4"/>
      <w:bookmarkEnd w:id="5"/>
      <w:bookmarkEnd w:id="6"/>
      <w:bookmarkEnd w:id="7"/>
      <w:bookmarkEnd w:id="8"/>
    </w:p>
    <w:p>
      <w:pPr>
        <w:keepNext/>
        <w:keepLines/>
        <w:spacing w:before="200" w:after="200"/>
        <w:jc w:val="center"/>
        <w:outlineLvl w:val="0"/>
        <w:rPr>
          <w:rFonts w:hint="eastAsia" w:ascii="宋体" w:hAnsi="宋体" w:cs="宋体"/>
          <w:b/>
          <w:bCs/>
          <w:kern w:val="44"/>
          <w:sz w:val="28"/>
          <w:szCs w:val="28"/>
        </w:rPr>
      </w:pPr>
      <w:bookmarkStart w:id="9" w:name="_Toc16747"/>
      <w:bookmarkStart w:id="10" w:name="_Toc31358"/>
      <w:bookmarkStart w:id="11" w:name="_Toc14702"/>
      <w:r>
        <w:rPr>
          <w:rFonts w:hint="eastAsia" w:ascii="宋体" w:hAnsi="宋体" w:cs="宋体"/>
          <w:b/>
          <w:bCs/>
          <w:sz w:val="28"/>
          <w:szCs w:val="28"/>
        </w:rPr>
        <w:t>《投标人须知前附表》</w:t>
      </w:r>
      <w:bookmarkEnd w:id="9"/>
      <w:bookmarkEnd w:id="10"/>
      <w:bookmarkEnd w:id="11"/>
    </w:p>
    <w:tbl>
      <w:tblPr>
        <w:tblStyle w:val="42"/>
        <w:tblW w:w="0" w:type="auto"/>
        <w:tblInd w:w="0" w:type="dxa"/>
        <w:tblLayout w:type="fixed"/>
        <w:tblCellMar>
          <w:top w:w="0" w:type="dxa"/>
          <w:left w:w="108" w:type="dxa"/>
          <w:bottom w:w="0" w:type="dxa"/>
          <w:right w:w="108" w:type="dxa"/>
        </w:tblCellMar>
      </w:tblPr>
      <w:tblGrid>
        <w:gridCol w:w="882"/>
        <w:gridCol w:w="17"/>
        <w:gridCol w:w="2186"/>
        <w:gridCol w:w="6143"/>
      </w:tblGrid>
      <w:tr>
        <w:tblPrEx>
          <w:tblCellMar>
            <w:top w:w="0" w:type="dxa"/>
            <w:left w:w="108" w:type="dxa"/>
            <w:bottom w:w="0" w:type="dxa"/>
            <w:right w:w="108" w:type="dxa"/>
          </w:tblCellMar>
        </w:tblPrEx>
        <w:trPr>
          <w:trHeight w:val="620" w:hRule="atLeast"/>
          <w:tblHeader/>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b/>
                <w:szCs w:val="21"/>
              </w:rPr>
            </w:pPr>
            <w:r>
              <w:rPr>
                <w:rFonts w:hint="eastAsia" w:ascii="宋体" w:hAnsi="宋体" w:cs="宋体"/>
                <w:b/>
                <w:szCs w:val="21"/>
              </w:rPr>
              <w:t>条款号</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b/>
                <w:szCs w:val="21"/>
              </w:rPr>
            </w:pPr>
            <w:r>
              <w:rPr>
                <w:rFonts w:hint="eastAsia" w:ascii="宋体" w:hAnsi="宋体" w:cs="宋体"/>
                <w:b/>
                <w:szCs w:val="21"/>
              </w:rPr>
              <w:t>条  款  名  称</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b/>
                <w:szCs w:val="21"/>
              </w:rPr>
            </w:pPr>
            <w:r>
              <w:rPr>
                <w:rFonts w:hint="eastAsia" w:ascii="宋体" w:hAnsi="宋体" w:cs="宋体"/>
                <w:b/>
                <w:szCs w:val="21"/>
              </w:rPr>
              <w:t>编  列  内  容</w:t>
            </w:r>
          </w:p>
        </w:tc>
      </w:tr>
      <w:tr>
        <w:tblPrEx>
          <w:tblCellMar>
            <w:top w:w="0" w:type="dxa"/>
            <w:left w:w="108" w:type="dxa"/>
            <w:bottom w:w="0" w:type="dxa"/>
            <w:right w:w="108" w:type="dxa"/>
          </w:tblCellMar>
        </w:tblPrEx>
        <w:trPr>
          <w:trHeight w:val="1336"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1.1.</w:t>
            </w:r>
            <w:r>
              <w:rPr>
                <w:rFonts w:hint="default" w:ascii="宋体" w:hAnsi="宋体" w:cs="宋体"/>
                <w:szCs w:val="21"/>
                <w:lang w:val="en-US"/>
              </w:rPr>
              <w:t>2</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招标人</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招标人：</w:t>
            </w:r>
            <w:r>
              <w:rPr>
                <w:rFonts w:hint="eastAsia" w:ascii="宋体" w:hAnsi="宋体" w:cs="宋体"/>
                <w:szCs w:val="21"/>
                <w:u w:val="single"/>
              </w:rPr>
              <w:t>广州越冠房地产开发有限公司</w:t>
            </w:r>
          </w:p>
          <w:p>
            <w:pPr>
              <w:snapToGrid w:val="0"/>
              <w:rPr>
                <w:rFonts w:hint="eastAsia" w:ascii="宋体" w:hAnsi="宋体" w:cs="宋体"/>
                <w:szCs w:val="21"/>
              </w:rPr>
            </w:pPr>
            <w:r>
              <w:rPr>
                <w:rFonts w:hint="eastAsia" w:ascii="宋体" w:hAnsi="宋体" w:cs="宋体"/>
                <w:szCs w:val="21"/>
              </w:rPr>
              <w:t>联系人：</w:t>
            </w:r>
            <w:r>
              <w:rPr>
                <w:rFonts w:hint="eastAsia" w:ascii="宋体" w:hAnsi="宋体" w:cs="宋体"/>
                <w:szCs w:val="21"/>
                <w:u w:val="single"/>
              </w:rPr>
              <w:t>谢工</w:t>
            </w:r>
          </w:p>
          <w:p>
            <w:pPr>
              <w:snapToGrid w:val="0"/>
              <w:rPr>
                <w:rFonts w:hint="eastAsia" w:ascii="宋体" w:hAnsi="宋体" w:cs="宋体"/>
                <w:szCs w:val="21"/>
              </w:rPr>
            </w:pPr>
            <w:r>
              <w:rPr>
                <w:rFonts w:hint="eastAsia" w:ascii="宋体" w:hAnsi="宋体" w:cs="宋体"/>
                <w:szCs w:val="21"/>
              </w:rPr>
              <w:t>联系电话：</w:t>
            </w:r>
            <w:r>
              <w:rPr>
                <w:rFonts w:hint="eastAsia" w:ascii="宋体" w:hAnsi="宋体" w:cs="宋体"/>
                <w:szCs w:val="24"/>
                <w:u w:val="single"/>
              </w:rPr>
              <w:t>020-83629150</w:t>
            </w:r>
            <w:r>
              <w:rPr>
                <w:rFonts w:hint="eastAsia" w:ascii="宋体" w:hAnsi="宋体" w:cs="宋体"/>
                <w:szCs w:val="21"/>
              </w:rPr>
              <w:t xml:space="preserve"> </w:t>
            </w:r>
          </w:p>
          <w:p>
            <w:pPr>
              <w:snapToGrid w:val="0"/>
              <w:rPr>
                <w:rFonts w:hint="eastAsia" w:ascii="宋体" w:hAnsi="宋体" w:cs="宋体"/>
                <w:szCs w:val="21"/>
              </w:rPr>
            </w:pPr>
            <w:r>
              <w:rPr>
                <w:rFonts w:hint="eastAsia" w:ascii="宋体" w:hAnsi="宋体" w:cs="宋体"/>
                <w:szCs w:val="21"/>
                <w:lang w:val="zh-CN"/>
              </w:rPr>
              <w:t>联系地址：</w:t>
            </w:r>
            <w:r>
              <w:rPr>
                <w:rFonts w:hint="eastAsia" w:ascii="宋体" w:hAnsi="宋体" w:cs="宋体"/>
                <w:szCs w:val="24"/>
                <w:u w:val="single"/>
                <w:lang w:val="zh-CN"/>
              </w:rPr>
              <w:t>广州市番禺区南村镇里仁洞村里溪大道4号102房</w:t>
            </w:r>
          </w:p>
        </w:tc>
      </w:tr>
      <w:tr>
        <w:tblPrEx>
          <w:tblCellMar>
            <w:top w:w="0" w:type="dxa"/>
            <w:left w:w="108" w:type="dxa"/>
            <w:bottom w:w="0" w:type="dxa"/>
            <w:right w:w="108" w:type="dxa"/>
          </w:tblCellMar>
        </w:tblPrEx>
        <w:trPr>
          <w:trHeight w:val="1276"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1.1.3</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招标代理机构</w:t>
            </w:r>
          </w:p>
        </w:tc>
        <w:tc>
          <w:tcPr>
            <w:tcW w:w="614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u w:val="single"/>
              </w:rPr>
            </w:pPr>
            <w:r>
              <w:rPr>
                <w:rFonts w:hint="eastAsia" w:ascii="宋体" w:hAnsi="宋体" w:cs="宋体"/>
                <w:szCs w:val="21"/>
              </w:rPr>
              <w:t>招标代理机构：</w:t>
            </w:r>
            <w:r>
              <w:rPr>
                <w:rFonts w:hint="eastAsia" w:ascii="宋体" w:hAnsi="宋体" w:cs="宋体"/>
                <w:szCs w:val="21"/>
                <w:u w:val="single"/>
              </w:rPr>
              <w:t>广东省国际工程咨询有限公司</w:t>
            </w:r>
          </w:p>
          <w:p>
            <w:pPr>
              <w:rPr>
                <w:rFonts w:hint="eastAsia" w:ascii="宋体" w:hAnsi="宋体" w:cs="宋体"/>
                <w:szCs w:val="21"/>
                <w:u w:val="single"/>
                <w:lang w:val="zh-CN"/>
              </w:rPr>
            </w:pPr>
            <w:r>
              <w:rPr>
                <w:rFonts w:hint="eastAsia" w:ascii="宋体" w:hAnsi="宋体" w:cs="宋体"/>
                <w:szCs w:val="21"/>
              </w:rPr>
              <w:t>联系地址：</w:t>
            </w:r>
            <w:r>
              <w:rPr>
                <w:rFonts w:hint="eastAsia" w:ascii="宋体" w:hAnsi="宋体" w:cs="宋体"/>
                <w:szCs w:val="24"/>
                <w:u w:val="single"/>
              </w:rPr>
              <w:t>广州市越秀区环市中路金鹰大厦9楼</w:t>
            </w:r>
          </w:p>
          <w:p>
            <w:pPr>
              <w:rPr>
                <w:rFonts w:hint="eastAsia" w:ascii="宋体" w:hAnsi="宋体" w:cs="宋体"/>
                <w:szCs w:val="21"/>
                <w:u w:val="single"/>
                <w:lang w:val="zh-CN"/>
              </w:rPr>
            </w:pPr>
            <w:r>
              <w:rPr>
                <w:rFonts w:hint="eastAsia" w:ascii="宋体" w:hAnsi="宋体" w:cs="宋体"/>
                <w:szCs w:val="21"/>
              </w:rPr>
              <w:t>联 系 人：</w:t>
            </w:r>
            <w:r>
              <w:rPr>
                <w:rFonts w:hint="eastAsia" w:ascii="宋体" w:hAnsi="宋体" w:cs="宋体"/>
                <w:szCs w:val="24"/>
                <w:u w:val="single"/>
              </w:rPr>
              <w:t>巫奕健</w:t>
            </w:r>
          </w:p>
          <w:p>
            <w:pPr>
              <w:snapToGrid w:val="0"/>
              <w:rPr>
                <w:rFonts w:ascii="宋体" w:hAnsi="宋体" w:cs="宋体"/>
                <w:szCs w:val="21"/>
              </w:rPr>
            </w:pPr>
            <w:r>
              <w:rPr>
                <w:rFonts w:hint="eastAsia" w:ascii="宋体" w:hAnsi="宋体" w:cs="宋体"/>
                <w:szCs w:val="21"/>
              </w:rPr>
              <w:t>联系电话：</w:t>
            </w:r>
            <w:r>
              <w:rPr>
                <w:rFonts w:hint="eastAsia" w:ascii="宋体" w:hAnsi="宋体" w:cs="宋体"/>
                <w:szCs w:val="24"/>
                <w:u w:val="single"/>
              </w:rPr>
              <w:t>020-83541713</w:t>
            </w:r>
          </w:p>
        </w:tc>
      </w:tr>
      <w:tr>
        <w:tblPrEx>
          <w:tblCellMar>
            <w:top w:w="0" w:type="dxa"/>
            <w:left w:w="108" w:type="dxa"/>
            <w:bottom w:w="0" w:type="dxa"/>
            <w:right w:w="108" w:type="dxa"/>
          </w:tblCellMar>
        </w:tblPrEx>
        <w:trPr>
          <w:trHeight w:val="444"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szCs w:val="21"/>
                <w:lang w:eastAsia="zh-CN"/>
              </w:rPr>
            </w:pPr>
            <w:r>
              <w:rPr>
                <w:rFonts w:hint="eastAsia" w:ascii="宋体" w:hAnsi="宋体" w:cs="宋体"/>
                <w:szCs w:val="21"/>
              </w:rPr>
              <w:t>1.1.</w:t>
            </w:r>
            <w:r>
              <w:rPr>
                <w:rFonts w:hint="default" w:ascii="宋体" w:hAnsi="宋体" w:cs="宋体"/>
                <w:szCs w:val="21"/>
                <w:lang w:val="en-US"/>
              </w:rPr>
              <w:t>4</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项目名称</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番禺区里仁洞村城市更新项目自编R9地块复建房建设设计施工总承包工程EPC项目</w:t>
            </w:r>
          </w:p>
        </w:tc>
      </w:tr>
      <w:tr>
        <w:tblPrEx>
          <w:tblCellMar>
            <w:top w:w="0" w:type="dxa"/>
            <w:left w:w="108" w:type="dxa"/>
            <w:bottom w:w="0" w:type="dxa"/>
            <w:right w:w="108" w:type="dxa"/>
          </w:tblCellMar>
        </w:tblPrEx>
        <w:trPr>
          <w:trHeight w:val="454"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szCs w:val="21"/>
                <w:lang w:eastAsia="zh-CN"/>
              </w:rPr>
            </w:pPr>
            <w:r>
              <w:rPr>
                <w:rFonts w:hint="eastAsia" w:ascii="宋体" w:hAnsi="宋体" w:cs="宋体"/>
                <w:szCs w:val="21"/>
              </w:rPr>
              <w:t>1.1.</w:t>
            </w:r>
            <w:r>
              <w:rPr>
                <w:rFonts w:hint="default" w:ascii="宋体" w:hAnsi="宋体" w:cs="宋体"/>
                <w:szCs w:val="21"/>
                <w:lang w:val="en-US"/>
              </w:rPr>
              <w:t>5</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建设地点</w:t>
            </w:r>
          </w:p>
        </w:tc>
        <w:tc>
          <w:tcPr>
            <w:tcW w:w="614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u w:val="single"/>
              </w:rPr>
              <w:t>详见本项目招标公告。</w:t>
            </w:r>
          </w:p>
        </w:tc>
      </w:tr>
      <w:tr>
        <w:tblPrEx>
          <w:tblCellMar>
            <w:top w:w="0" w:type="dxa"/>
            <w:left w:w="108" w:type="dxa"/>
            <w:bottom w:w="0" w:type="dxa"/>
            <w:right w:w="108" w:type="dxa"/>
          </w:tblCellMar>
        </w:tblPrEx>
        <w:trPr>
          <w:trHeight w:val="454"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1.2.1</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资金来源及比例</w:t>
            </w:r>
          </w:p>
        </w:tc>
        <w:tc>
          <w:tcPr>
            <w:tcW w:w="614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u w:val="single"/>
              </w:rPr>
              <w:t>详见本项目招标公告。</w:t>
            </w:r>
          </w:p>
        </w:tc>
      </w:tr>
      <w:tr>
        <w:tblPrEx>
          <w:tblCellMar>
            <w:top w:w="0" w:type="dxa"/>
            <w:left w:w="108" w:type="dxa"/>
            <w:bottom w:w="0" w:type="dxa"/>
            <w:right w:w="108" w:type="dxa"/>
          </w:tblCellMar>
        </w:tblPrEx>
        <w:trPr>
          <w:trHeight w:val="454"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1.2.2</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资金落实情况</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u w:val="single"/>
              </w:rPr>
              <w:t>资金已经落实。</w:t>
            </w:r>
          </w:p>
        </w:tc>
      </w:tr>
      <w:tr>
        <w:tblPrEx>
          <w:tblCellMar>
            <w:top w:w="0" w:type="dxa"/>
            <w:left w:w="108" w:type="dxa"/>
            <w:bottom w:w="0" w:type="dxa"/>
            <w:right w:w="108" w:type="dxa"/>
          </w:tblCellMar>
        </w:tblPrEx>
        <w:trPr>
          <w:trHeight w:val="454"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1.3.1</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招标范围</w:t>
            </w:r>
          </w:p>
        </w:tc>
        <w:tc>
          <w:tcPr>
            <w:tcW w:w="61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cs="宋体"/>
                <w:szCs w:val="21"/>
                <w:u w:val="single"/>
              </w:rPr>
            </w:pPr>
            <w:r>
              <w:rPr>
                <w:rFonts w:hint="eastAsia" w:ascii="宋体" w:hAnsi="宋体" w:cs="宋体"/>
                <w:szCs w:val="21"/>
                <w:u w:val="single"/>
              </w:rPr>
              <w:t>详见招标公告。</w:t>
            </w:r>
          </w:p>
          <w:p>
            <w:pPr>
              <w:widowControl/>
              <w:adjustRightInd w:val="0"/>
              <w:snapToGrid w:val="0"/>
              <w:rPr>
                <w:rFonts w:hint="eastAsia" w:ascii="宋体" w:hAnsi="宋体" w:cs="宋体"/>
                <w:szCs w:val="21"/>
              </w:rPr>
            </w:pPr>
            <w:r>
              <w:rPr>
                <w:rFonts w:hint="eastAsia" w:ascii="宋体" w:hAnsi="宋体" w:cs="宋体"/>
                <w:szCs w:val="21"/>
              </w:rPr>
              <w:t>备注：招标人有权根据项目的实际情况增加和减少工作内容。</w:t>
            </w:r>
          </w:p>
        </w:tc>
      </w:tr>
      <w:tr>
        <w:tblPrEx>
          <w:tblCellMar>
            <w:top w:w="0" w:type="dxa"/>
            <w:left w:w="108" w:type="dxa"/>
            <w:bottom w:w="0" w:type="dxa"/>
            <w:right w:w="108" w:type="dxa"/>
          </w:tblCellMar>
        </w:tblPrEx>
        <w:trPr>
          <w:trHeight w:val="548"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1.3.2</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计划工期</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u w:val="single"/>
              </w:rPr>
              <w:t>详见本项目招标公告。</w:t>
            </w:r>
          </w:p>
        </w:tc>
      </w:tr>
      <w:tr>
        <w:tblPrEx>
          <w:tblCellMar>
            <w:top w:w="0" w:type="dxa"/>
            <w:left w:w="108" w:type="dxa"/>
            <w:bottom w:w="0" w:type="dxa"/>
            <w:right w:w="108" w:type="dxa"/>
          </w:tblCellMar>
        </w:tblPrEx>
        <w:trPr>
          <w:trHeight w:val="471"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1.3.3</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质量标准</w:t>
            </w:r>
          </w:p>
        </w:tc>
        <w:tc>
          <w:tcPr>
            <w:tcW w:w="6143" w:type="dxa"/>
            <w:tcBorders>
              <w:top w:val="single" w:color="auto" w:sz="4" w:space="0"/>
              <w:left w:val="single" w:color="auto" w:sz="4" w:space="0"/>
              <w:bottom w:val="single" w:color="auto" w:sz="4" w:space="0"/>
              <w:right w:val="single" w:color="auto" w:sz="4" w:space="0"/>
            </w:tcBorders>
            <w:vAlign w:val="center"/>
          </w:tcPr>
          <w:p>
            <w:pPr>
              <w:pStyle w:val="5"/>
              <w:spacing w:after="0"/>
              <w:rPr>
                <w:rFonts w:hint="eastAsia" w:ascii="宋体" w:hAnsi="宋体" w:cs="宋体"/>
                <w:szCs w:val="21"/>
              </w:rPr>
            </w:pPr>
            <w:r>
              <w:rPr>
                <w:rFonts w:hint="eastAsia" w:ascii="宋体" w:hAnsi="宋体" w:cs="宋体"/>
                <w:szCs w:val="21"/>
                <w:u w:val="single"/>
              </w:rPr>
              <w:t>设计质量标准：满足本工程设计任务书要求，符合国家、地方及行业现行标准、规范及规定的要求及深度，且满足业主发出的限额设计要求。</w:t>
            </w:r>
          </w:p>
          <w:p>
            <w:pPr>
              <w:pStyle w:val="5"/>
              <w:spacing w:after="0"/>
              <w:rPr>
                <w:rFonts w:hint="eastAsia" w:ascii="宋体" w:hAnsi="宋体" w:cs="宋体"/>
                <w:szCs w:val="21"/>
              </w:rPr>
            </w:pPr>
            <w:r>
              <w:rPr>
                <w:rFonts w:hint="eastAsia" w:ascii="宋体" w:hAnsi="宋体" w:cs="宋体"/>
                <w:szCs w:val="21"/>
              </w:rPr>
              <w:t>施工质量标准：在满足相关技术标准规定合格的基础上，经过对工程结构安全、使用功能、建筑节能、观感质量以及工程资料的综合评价，达到《建筑工程施工质量评价标准》（GBT 50375-2016）规定的优良标准。水、电、燃气、通信及其他专业工程等通过专业部门验收，达到正常使用为质量合格标准。（若有新规范标准按新的执行）。</w:t>
            </w:r>
          </w:p>
        </w:tc>
      </w:tr>
      <w:tr>
        <w:tblPrEx>
          <w:tblCellMar>
            <w:top w:w="0" w:type="dxa"/>
            <w:left w:w="108" w:type="dxa"/>
            <w:bottom w:w="0" w:type="dxa"/>
            <w:right w:w="108" w:type="dxa"/>
          </w:tblCellMar>
        </w:tblPrEx>
        <w:trPr>
          <w:trHeight w:val="652"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1.4.1</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投标人资质条件、能力和信誉</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u w:val="single"/>
              </w:rPr>
              <w:t>详见本项目招标公告投标人资格要求。</w:t>
            </w:r>
          </w:p>
        </w:tc>
      </w:tr>
      <w:tr>
        <w:tblPrEx>
          <w:tblCellMar>
            <w:top w:w="0" w:type="dxa"/>
            <w:left w:w="108" w:type="dxa"/>
            <w:bottom w:w="0" w:type="dxa"/>
            <w:right w:w="108" w:type="dxa"/>
          </w:tblCellMar>
        </w:tblPrEx>
        <w:trPr>
          <w:trHeight w:val="617"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1.4.2</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是否接受联合体投标</w:t>
            </w:r>
          </w:p>
        </w:tc>
        <w:tc>
          <w:tcPr>
            <w:tcW w:w="6143" w:type="dxa"/>
            <w:tcBorders>
              <w:top w:val="single" w:color="auto" w:sz="4" w:space="0"/>
              <w:left w:val="single" w:color="auto" w:sz="4" w:space="0"/>
              <w:bottom w:val="single" w:color="auto" w:sz="4" w:space="0"/>
              <w:right w:val="single" w:color="auto" w:sz="4" w:space="0"/>
            </w:tcBorders>
            <w:vAlign w:val="center"/>
          </w:tcPr>
          <w:p>
            <w:pPr>
              <w:topLinePunct/>
              <w:snapToGrid w:val="0"/>
              <w:rPr>
                <w:rFonts w:hint="eastAsia" w:ascii="宋体" w:hAnsi="宋体" w:cs="宋体"/>
                <w:szCs w:val="21"/>
              </w:rPr>
            </w:pPr>
            <w:r>
              <w:rPr>
                <w:rFonts w:hint="eastAsia" w:ascii="宋体" w:hAnsi="宋体" w:cs="宋体"/>
                <w:szCs w:val="21"/>
              </w:rPr>
              <w:t>□不接受</w:t>
            </w:r>
          </w:p>
          <w:p>
            <w:pPr>
              <w:snapToGrid w:val="0"/>
              <w:rPr>
                <w:rFonts w:hint="eastAsia" w:ascii="宋体" w:hAnsi="宋体" w:cs="宋体"/>
                <w:szCs w:val="21"/>
              </w:rPr>
            </w:pPr>
            <w:r>
              <w:rPr>
                <w:rFonts w:hint="eastAsia" w:ascii="宋体" w:hAnsi="宋体" w:cs="宋体"/>
                <w:szCs w:val="21"/>
              </w:rPr>
              <w:t>■接受，应满足下列要求：</w:t>
            </w:r>
            <w:r>
              <w:rPr>
                <w:rFonts w:hint="eastAsia" w:ascii="宋体" w:hAnsi="宋体" w:cs="宋体"/>
                <w:szCs w:val="21"/>
                <w:u w:val="single"/>
              </w:rPr>
              <w:t>详见本项目招标公告</w:t>
            </w:r>
          </w:p>
        </w:tc>
      </w:tr>
      <w:tr>
        <w:tblPrEx>
          <w:tblCellMar>
            <w:top w:w="0" w:type="dxa"/>
            <w:left w:w="108" w:type="dxa"/>
            <w:bottom w:w="0" w:type="dxa"/>
            <w:right w:w="108" w:type="dxa"/>
          </w:tblCellMar>
        </w:tblPrEx>
        <w:trPr>
          <w:trHeight w:val="716"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1.5</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费用承担和设计成果补偿</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■不补偿</w:t>
            </w:r>
          </w:p>
          <w:p>
            <w:pPr>
              <w:snapToGrid w:val="0"/>
              <w:rPr>
                <w:rFonts w:hint="eastAsia" w:ascii="宋体" w:hAnsi="宋体" w:cs="宋体"/>
                <w:szCs w:val="21"/>
                <w:u w:val="single"/>
              </w:rPr>
            </w:pPr>
            <w:r>
              <w:rPr>
                <w:rFonts w:hint="eastAsia" w:ascii="宋体" w:hAnsi="宋体" w:cs="宋体"/>
                <w:szCs w:val="21"/>
              </w:rPr>
              <w:t>□补偿，补偿标准：</w:t>
            </w:r>
          </w:p>
        </w:tc>
      </w:tr>
      <w:tr>
        <w:tblPrEx>
          <w:tblCellMar>
            <w:top w:w="0" w:type="dxa"/>
            <w:left w:w="108" w:type="dxa"/>
            <w:bottom w:w="0" w:type="dxa"/>
            <w:right w:w="108" w:type="dxa"/>
          </w:tblCellMar>
        </w:tblPrEx>
        <w:trPr>
          <w:trHeight w:val="815"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1.9.1</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踏勘</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u w:val="single"/>
              </w:rPr>
            </w:pPr>
            <w:r>
              <w:rPr>
                <w:rFonts w:hint="eastAsia" w:ascii="宋体" w:hAnsi="宋体" w:cs="宋体"/>
                <w:szCs w:val="21"/>
              </w:rPr>
              <w:t>■不组织：</w:t>
            </w:r>
            <w:r>
              <w:rPr>
                <w:rFonts w:hint="eastAsia" w:ascii="宋体" w:hAnsi="宋体" w:cs="宋体"/>
                <w:szCs w:val="21"/>
                <w:u w:val="single"/>
              </w:rPr>
              <w:t>自行踏勘。</w:t>
            </w:r>
            <w:r>
              <w:rPr>
                <w:rFonts w:hint="eastAsia" w:ascii="宋体" w:cs="宋体"/>
                <w:szCs w:val="21"/>
                <w:u w:val="single"/>
              </w:rPr>
              <w:t>考察期间所发生一切费用或意外由投标人自行负责。</w:t>
            </w:r>
          </w:p>
          <w:p>
            <w:pPr>
              <w:snapToGrid w:val="0"/>
              <w:rPr>
                <w:rFonts w:hint="eastAsia" w:ascii="宋体" w:hAnsi="宋体" w:cs="宋体"/>
                <w:szCs w:val="21"/>
              </w:rPr>
            </w:pPr>
            <w:r>
              <w:rPr>
                <w:rFonts w:hint="eastAsia" w:ascii="宋体" w:hAnsi="宋体" w:cs="宋体"/>
                <w:szCs w:val="21"/>
              </w:rPr>
              <w:t>□组织，踏勘时间：</w:t>
            </w:r>
          </w:p>
          <w:p>
            <w:pPr>
              <w:snapToGrid w:val="0"/>
              <w:ind w:firstLine="840" w:firstLineChars="400"/>
              <w:rPr>
                <w:rFonts w:hint="eastAsia" w:ascii="宋体" w:hAnsi="宋体" w:cs="宋体"/>
                <w:szCs w:val="21"/>
              </w:rPr>
            </w:pPr>
            <w:r>
              <w:rPr>
                <w:rFonts w:hint="eastAsia" w:ascii="宋体" w:hAnsi="宋体" w:cs="宋体"/>
                <w:szCs w:val="21"/>
              </w:rPr>
              <w:t>踏勘集中地点：</w:t>
            </w:r>
          </w:p>
        </w:tc>
      </w:tr>
      <w:tr>
        <w:tblPrEx>
          <w:tblCellMar>
            <w:top w:w="0" w:type="dxa"/>
            <w:left w:w="108" w:type="dxa"/>
            <w:bottom w:w="0" w:type="dxa"/>
            <w:right w:w="108" w:type="dxa"/>
          </w:tblCellMar>
        </w:tblPrEx>
        <w:trPr>
          <w:trHeight w:val="454"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1.10.1</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投标预备会</w:t>
            </w:r>
          </w:p>
        </w:tc>
        <w:tc>
          <w:tcPr>
            <w:tcW w:w="6143" w:type="dxa"/>
            <w:tcBorders>
              <w:top w:val="single" w:color="auto" w:sz="4" w:space="0"/>
              <w:left w:val="single" w:color="auto" w:sz="4" w:space="0"/>
              <w:bottom w:val="single" w:color="auto" w:sz="4" w:space="0"/>
              <w:right w:val="single" w:color="auto" w:sz="4" w:space="0"/>
            </w:tcBorders>
            <w:vAlign w:val="center"/>
          </w:tcPr>
          <w:p>
            <w:pPr>
              <w:topLinePunct/>
              <w:snapToGrid w:val="0"/>
              <w:rPr>
                <w:rFonts w:hint="eastAsia" w:ascii="宋体" w:hAnsi="宋体" w:cs="宋体"/>
                <w:szCs w:val="21"/>
              </w:rPr>
            </w:pPr>
            <w:r>
              <w:rPr>
                <w:rFonts w:hint="eastAsia" w:ascii="宋体" w:hAnsi="宋体" w:cs="宋体"/>
                <w:szCs w:val="21"/>
              </w:rPr>
              <w:t>■不召开</w:t>
            </w:r>
          </w:p>
          <w:p>
            <w:pPr>
              <w:snapToGrid w:val="0"/>
              <w:rPr>
                <w:rFonts w:hint="eastAsia" w:ascii="宋体" w:hAnsi="宋体" w:cs="宋体"/>
                <w:szCs w:val="21"/>
              </w:rPr>
            </w:pPr>
            <w:r>
              <w:rPr>
                <w:rFonts w:hint="eastAsia" w:ascii="宋体" w:hAnsi="宋体" w:cs="宋体"/>
                <w:szCs w:val="21"/>
              </w:rPr>
              <w:t>□召开，召开时间：</w:t>
            </w:r>
          </w:p>
          <w:p>
            <w:pPr>
              <w:snapToGrid w:val="0"/>
              <w:ind w:firstLine="840" w:firstLineChars="400"/>
              <w:rPr>
                <w:rFonts w:hint="eastAsia" w:ascii="宋体" w:hAnsi="宋体" w:cs="宋体"/>
                <w:szCs w:val="21"/>
              </w:rPr>
            </w:pPr>
            <w:r>
              <w:rPr>
                <w:rFonts w:hint="eastAsia" w:ascii="宋体" w:hAnsi="宋体" w:cs="宋体"/>
                <w:szCs w:val="21"/>
              </w:rPr>
              <w:t>召开地点：</w:t>
            </w:r>
          </w:p>
          <w:p>
            <w:pPr>
              <w:pStyle w:val="24"/>
              <w:rPr>
                <w:rFonts w:hint="eastAsia"/>
              </w:rPr>
            </w:pPr>
            <w:r>
              <w:rPr>
                <w:rFonts w:hint="eastAsia"/>
              </w:rPr>
              <w:t>■招标人接受网上提问并答疑。</w:t>
            </w:r>
          </w:p>
        </w:tc>
      </w:tr>
      <w:tr>
        <w:tblPrEx>
          <w:tblCellMar>
            <w:top w:w="0" w:type="dxa"/>
            <w:left w:w="108" w:type="dxa"/>
            <w:bottom w:w="0" w:type="dxa"/>
            <w:right w:w="108" w:type="dxa"/>
          </w:tblCellMar>
        </w:tblPrEx>
        <w:trPr>
          <w:trHeight w:val="717"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1.10.2</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投标人提出问题的截止时间</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w:t>
            </w:r>
          </w:p>
        </w:tc>
      </w:tr>
      <w:tr>
        <w:tblPrEx>
          <w:tblCellMar>
            <w:top w:w="0" w:type="dxa"/>
            <w:left w:w="108" w:type="dxa"/>
            <w:bottom w:w="0" w:type="dxa"/>
            <w:right w:w="108" w:type="dxa"/>
          </w:tblCellMar>
        </w:tblPrEx>
        <w:trPr>
          <w:trHeight w:val="454"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1.10.3</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招标人书面澄清的时间</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w:t>
            </w:r>
          </w:p>
        </w:tc>
      </w:tr>
      <w:tr>
        <w:tblPrEx>
          <w:tblCellMar>
            <w:top w:w="0" w:type="dxa"/>
            <w:left w:w="108" w:type="dxa"/>
            <w:bottom w:w="0" w:type="dxa"/>
            <w:right w:w="108" w:type="dxa"/>
          </w:tblCellMar>
        </w:tblPrEx>
        <w:trPr>
          <w:trHeight w:val="567"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1.11.1</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招标人规定由分包人承担的工作</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无。</w:t>
            </w:r>
          </w:p>
        </w:tc>
      </w:tr>
      <w:tr>
        <w:tblPrEx>
          <w:tblCellMar>
            <w:top w:w="0" w:type="dxa"/>
            <w:left w:w="108" w:type="dxa"/>
            <w:bottom w:w="0" w:type="dxa"/>
            <w:right w:w="108" w:type="dxa"/>
          </w:tblCellMar>
        </w:tblPrEx>
        <w:trPr>
          <w:trHeight w:val="1124"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1.11.2</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投标人拟分包的工作</w:t>
            </w:r>
          </w:p>
        </w:tc>
        <w:tc>
          <w:tcPr>
            <w:tcW w:w="6143" w:type="dxa"/>
            <w:tcBorders>
              <w:top w:val="single" w:color="auto" w:sz="4" w:space="0"/>
              <w:left w:val="single" w:color="auto" w:sz="4" w:space="0"/>
              <w:bottom w:val="single" w:color="auto" w:sz="4" w:space="0"/>
              <w:right w:val="single" w:color="auto" w:sz="4" w:space="0"/>
            </w:tcBorders>
            <w:vAlign w:val="center"/>
          </w:tcPr>
          <w:p>
            <w:pPr>
              <w:topLinePunct/>
              <w:snapToGrid w:val="0"/>
              <w:rPr>
                <w:rFonts w:hint="eastAsia" w:ascii="宋体" w:hAnsi="宋体" w:cs="宋体"/>
                <w:szCs w:val="21"/>
              </w:rPr>
            </w:pPr>
            <w:bookmarkStart w:id="12" w:name="OLE_LINK15"/>
            <w:r>
              <w:rPr>
                <w:rFonts w:hint="eastAsia" w:ascii="宋体" w:hAnsi="宋体" w:cs="宋体"/>
                <w:szCs w:val="21"/>
              </w:rPr>
              <w:t>□</w:t>
            </w:r>
            <w:bookmarkEnd w:id="12"/>
            <w:r>
              <w:rPr>
                <w:rFonts w:hint="eastAsia" w:ascii="宋体" w:hAnsi="宋体" w:cs="宋体"/>
                <w:szCs w:val="21"/>
              </w:rPr>
              <w:t>不允许</w:t>
            </w:r>
          </w:p>
          <w:p>
            <w:pPr>
              <w:snapToGrid w:val="0"/>
              <w:rPr>
                <w:rFonts w:hint="eastAsia" w:ascii="宋体" w:hAnsi="宋体" w:cs="宋体"/>
                <w:szCs w:val="21"/>
              </w:rPr>
            </w:pPr>
            <w:r>
              <w:rPr>
                <w:rFonts w:hint="eastAsia" w:ascii="宋体" w:hAnsi="宋体" w:cs="宋体"/>
                <w:szCs w:val="21"/>
              </w:rPr>
              <w:t>■允许，</w:t>
            </w:r>
            <w:r>
              <w:rPr>
                <w:rFonts w:hint="eastAsia" w:ascii="宋体" w:hAnsi="宋体" w:cs="宋体"/>
                <w:szCs w:val="21"/>
                <w:u w:val="single"/>
              </w:rPr>
              <w:t>对于非主体、非关键性工程，承包人不具备相应资质的，需经发包人审核批准后分包给具有相应资质和能力的专业单位实施。</w:t>
            </w:r>
          </w:p>
        </w:tc>
      </w:tr>
      <w:tr>
        <w:tblPrEx>
          <w:tblCellMar>
            <w:top w:w="0" w:type="dxa"/>
            <w:left w:w="108" w:type="dxa"/>
            <w:bottom w:w="0" w:type="dxa"/>
            <w:right w:w="108" w:type="dxa"/>
          </w:tblCellMar>
        </w:tblPrEx>
        <w:trPr>
          <w:trHeight w:val="665"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1.12</w:t>
            </w:r>
          </w:p>
        </w:tc>
        <w:tc>
          <w:tcPr>
            <w:tcW w:w="2186" w:type="dxa"/>
            <w:tcBorders>
              <w:top w:val="single" w:color="auto" w:sz="4" w:space="0"/>
              <w:left w:val="single" w:color="auto" w:sz="4" w:space="0"/>
              <w:bottom w:val="single" w:color="auto" w:sz="4" w:space="0"/>
              <w:right w:val="single" w:color="auto" w:sz="4" w:space="0"/>
            </w:tcBorders>
            <w:vAlign w:val="center"/>
          </w:tcPr>
          <w:p>
            <w:pPr>
              <w:topLinePunct/>
              <w:snapToGrid w:val="0"/>
              <w:jc w:val="center"/>
              <w:rPr>
                <w:rFonts w:hint="eastAsia" w:ascii="宋体" w:hAnsi="宋体" w:cs="宋体"/>
                <w:szCs w:val="21"/>
              </w:rPr>
            </w:pPr>
            <w:r>
              <w:rPr>
                <w:rFonts w:hint="eastAsia" w:ascii="宋体" w:hAnsi="宋体" w:cs="宋体"/>
                <w:szCs w:val="21"/>
              </w:rPr>
              <w:t>偏离</w:t>
            </w:r>
          </w:p>
        </w:tc>
        <w:tc>
          <w:tcPr>
            <w:tcW w:w="6143" w:type="dxa"/>
            <w:tcBorders>
              <w:top w:val="single" w:color="auto" w:sz="4" w:space="0"/>
              <w:left w:val="single" w:color="auto" w:sz="4" w:space="0"/>
              <w:bottom w:val="single" w:color="auto" w:sz="4" w:space="0"/>
              <w:right w:val="single" w:color="auto" w:sz="4" w:space="0"/>
            </w:tcBorders>
            <w:vAlign w:val="center"/>
          </w:tcPr>
          <w:p>
            <w:pPr>
              <w:topLinePunct/>
              <w:snapToGrid w:val="0"/>
              <w:rPr>
                <w:rFonts w:hint="eastAsia" w:ascii="宋体" w:hAnsi="宋体" w:cs="宋体"/>
                <w:szCs w:val="21"/>
              </w:rPr>
            </w:pPr>
            <w:r>
              <w:rPr>
                <w:rFonts w:hint="eastAsia" w:ascii="宋体" w:hAnsi="宋体" w:cs="宋体"/>
                <w:szCs w:val="21"/>
              </w:rPr>
              <w:t>■不允许</w:t>
            </w:r>
          </w:p>
          <w:p>
            <w:pPr>
              <w:topLinePunct/>
              <w:snapToGrid w:val="0"/>
              <w:rPr>
                <w:rFonts w:hint="eastAsia" w:ascii="宋体" w:hAnsi="宋体" w:cs="宋体"/>
                <w:szCs w:val="21"/>
              </w:rPr>
            </w:pPr>
            <w:r>
              <w:rPr>
                <w:rFonts w:hint="eastAsia" w:ascii="宋体" w:hAnsi="宋体" w:cs="宋体"/>
                <w:szCs w:val="21"/>
              </w:rPr>
              <w:t>□允许，允许偏离的内容、偏离范围和幅度：</w:t>
            </w:r>
            <w:r>
              <w:rPr>
                <w:rFonts w:hint="eastAsia" w:ascii="宋体" w:hAnsi="宋体" w:cs="宋体"/>
                <w:szCs w:val="21"/>
                <w:u w:val="single"/>
              </w:rPr>
              <w:t xml:space="preserve">  /  。</w:t>
            </w:r>
          </w:p>
        </w:tc>
      </w:tr>
      <w:tr>
        <w:tblPrEx>
          <w:tblCellMar>
            <w:top w:w="0" w:type="dxa"/>
            <w:left w:w="108" w:type="dxa"/>
            <w:bottom w:w="0" w:type="dxa"/>
            <w:right w:w="108" w:type="dxa"/>
          </w:tblCellMar>
        </w:tblPrEx>
        <w:trPr>
          <w:trHeight w:val="454"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2.1</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构成招标文件的其他资料</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补充公告、答疑纪要、澄清文件等（如有）</w:t>
            </w:r>
          </w:p>
        </w:tc>
      </w:tr>
      <w:tr>
        <w:tblPrEx>
          <w:tblCellMar>
            <w:top w:w="0" w:type="dxa"/>
            <w:left w:w="108" w:type="dxa"/>
            <w:bottom w:w="0" w:type="dxa"/>
            <w:right w:w="108" w:type="dxa"/>
          </w:tblCellMar>
        </w:tblPrEx>
        <w:trPr>
          <w:trHeight w:val="567"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2.2.1</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投标人要求澄清招标文件的截止时间</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u w:val="single"/>
              </w:rPr>
            </w:pPr>
            <w:r>
              <w:rPr>
                <w:rFonts w:hint="eastAsia" w:ascii="宋体" w:hAnsi="宋体" w:cs="宋体"/>
                <w:szCs w:val="21"/>
                <w:u w:val="single"/>
              </w:rPr>
              <w:t>时间：在提交投标文件截止时间18天前提出。</w:t>
            </w:r>
          </w:p>
          <w:p>
            <w:pPr>
              <w:snapToGrid w:val="0"/>
              <w:rPr>
                <w:rFonts w:hint="eastAsia" w:ascii="宋体" w:hAnsi="宋体" w:cs="宋体"/>
                <w:szCs w:val="21"/>
              </w:rPr>
            </w:pPr>
            <w:r>
              <w:rPr>
                <w:rFonts w:hint="eastAsia" w:ascii="宋体" w:hAnsi="宋体" w:cs="宋体"/>
                <w:szCs w:val="21"/>
                <w:u w:val="single"/>
              </w:rPr>
              <w:t>形式：投标人的疑问通过广州交易集团有限公司（广州公共资源交易中心）数字交易平台提交。按照广州交易集团有限公司（广州公共资源交易中心）数字交易平台关于全流程电子化项目的相关指南进行操作，详见：《建设工程全流程电子化项目操作指南（适用于投标人）》。提问一律不得署名。</w:t>
            </w:r>
          </w:p>
        </w:tc>
      </w:tr>
      <w:tr>
        <w:tblPrEx>
          <w:tblCellMar>
            <w:top w:w="0" w:type="dxa"/>
            <w:left w:w="108" w:type="dxa"/>
            <w:bottom w:w="0" w:type="dxa"/>
            <w:right w:w="108" w:type="dxa"/>
          </w:tblCellMar>
        </w:tblPrEx>
        <w:trPr>
          <w:trHeight w:val="567"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2.2.2</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投标截止时间</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u w:val="single"/>
              </w:rPr>
            </w:pPr>
            <w:r>
              <w:rPr>
                <w:rFonts w:hint="eastAsia" w:ascii="宋体" w:hAnsi="宋体" w:cs="宋体"/>
                <w:szCs w:val="21"/>
                <w:u w:val="single"/>
              </w:rPr>
              <w:t>详见本项目招标公告</w:t>
            </w:r>
          </w:p>
        </w:tc>
      </w:tr>
      <w:tr>
        <w:tblPrEx>
          <w:tblCellMar>
            <w:top w:w="0" w:type="dxa"/>
            <w:left w:w="108" w:type="dxa"/>
            <w:bottom w:w="0" w:type="dxa"/>
            <w:right w:w="108" w:type="dxa"/>
          </w:tblCellMar>
        </w:tblPrEx>
        <w:trPr>
          <w:trHeight w:val="567"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2.2.3</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投标人确认收到招标文件澄清的时间</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招标文件的澄清或修改在广州交易集团有限公司（广州公共资源交易中心）网站答疑专区网上公开发布，发出即视作收到，以广州交易集团有限公司（广州公共资源交易中心）数字交易平台网站发布时间作为送达时间。无需投标人确认。投标人应自行关注，招标人不再一一通知。招标文件的修改内容作为招标文件的组成部分，具有约束作用。</w:t>
            </w:r>
          </w:p>
        </w:tc>
      </w:tr>
      <w:tr>
        <w:tblPrEx>
          <w:tblCellMar>
            <w:top w:w="0" w:type="dxa"/>
            <w:left w:w="108" w:type="dxa"/>
            <w:bottom w:w="0" w:type="dxa"/>
            <w:right w:w="108" w:type="dxa"/>
          </w:tblCellMar>
        </w:tblPrEx>
        <w:trPr>
          <w:trHeight w:val="567"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2.3.2</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投标人确认收到招标文件修改的时间</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招标文件的澄清或修改或补充公告一经在广州交易集团有限公司（广州公共资源交易中心）交易平台网站发布，视作已发放给所有投标人，以广州交易集团有限公司（广州公共资源交易中心）交易平台网站发布时间作为送达时间。无需投标人确认。投标人应自行关注，招标人不再一一通知。招标文件的修改内容作为招标文件的组成部分，具有约束作用。</w:t>
            </w:r>
          </w:p>
        </w:tc>
      </w:tr>
      <w:tr>
        <w:tblPrEx>
          <w:tblCellMar>
            <w:top w:w="0" w:type="dxa"/>
            <w:left w:w="108" w:type="dxa"/>
            <w:bottom w:w="0" w:type="dxa"/>
            <w:right w:w="108" w:type="dxa"/>
          </w:tblCellMar>
        </w:tblPrEx>
        <w:trPr>
          <w:trHeight w:val="459"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3.1.1</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构成投标文件的其他资料</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投标文件、定标文件的组成详见“3.1投标文件及定标文件的组成”</w:t>
            </w:r>
          </w:p>
        </w:tc>
      </w:tr>
      <w:tr>
        <w:tblPrEx>
          <w:tblCellMar>
            <w:top w:w="0" w:type="dxa"/>
            <w:left w:w="108" w:type="dxa"/>
            <w:bottom w:w="0" w:type="dxa"/>
            <w:right w:w="108" w:type="dxa"/>
          </w:tblCellMar>
        </w:tblPrEx>
        <w:trPr>
          <w:trHeight w:val="373"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3.2.4</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最高投标限价或其计算方法</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见招标公告。</w:t>
            </w:r>
          </w:p>
          <w:p>
            <w:pPr>
              <w:snapToGrid w:val="0"/>
              <w:rPr>
                <w:rFonts w:hint="eastAsia" w:ascii="宋体" w:hAnsi="宋体" w:cs="宋体"/>
                <w:szCs w:val="21"/>
                <w:u w:val="single"/>
              </w:rPr>
            </w:pPr>
            <w:r>
              <w:rPr>
                <w:rFonts w:hint="eastAsia" w:ascii="宋体" w:hAnsi="宋体" w:cs="宋体"/>
                <w:szCs w:val="21"/>
              </w:rPr>
              <w:t>投标人的投标总报价不得超过最高投标限价，各子项的投标报价均不得超过各子项相应的最高投标限价，各地块的投标报价均不得超过各地块相应的最高投标限价，否则为无效标。</w:t>
            </w:r>
          </w:p>
        </w:tc>
      </w:tr>
      <w:tr>
        <w:tblPrEx>
          <w:tblCellMar>
            <w:top w:w="0" w:type="dxa"/>
            <w:left w:w="108" w:type="dxa"/>
            <w:bottom w:w="0" w:type="dxa"/>
            <w:right w:w="108" w:type="dxa"/>
          </w:tblCellMar>
        </w:tblPrEx>
        <w:trPr>
          <w:trHeight w:val="648"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3.2.5</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投标报价的其他要求</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（1）设计费</w:t>
            </w:r>
          </w:p>
          <w:p>
            <w:pPr>
              <w:snapToGrid w:val="0"/>
              <w:rPr>
                <w:rFonts w:hint="eastAsia" w:ascii="宋体" w:hAnsi="宋体" w:cs="宋体"/>
                <w:szCs w:val="21"/>
              </w:rPr>
            </w:pPr>
            <w:r>
              <w:rPr>
                <w:rFonts w:hint="eastAsia" w:ascii="宋体" w:hAnsi="宋体" w:cs="宋体"/>
                <w:szCs w:val="21"/>
              </w:rPr>
              <w:t>按招标文件给定的设计费报价表进行报价，具体详见设计费报价表。</w:t>
            </w:r>
          </w:p>
          <w:p>
            <w:pPr>
              <w:snapToGrid w:val="0"/>
              <w:rPr>
                <w:rFonts w:hint="eastAsia" w:ascii="宋体" w:hAnsi="宋体" w:cs="宋体"/>
                <w:szCs w:val="21"/>
              </w:rPr>
            </w:pPr>
            <w:r>
              <w:rPr>
                <w:rFonts w:hint="eastAsia" w:ascii="宋体" w:hAnsi="宋体" w:cs="宋体"/>
                <w:szCs w:val="21"/>
              </w:rPr>
              <w:t>（2）建安工程费</w:t>
            </w:r>
          </w:p>
          <w:p>
            <w:pPr>
              <w:snapToGrid w:val="0"/>
              <w:rPr>
                <w:rFonts w:hint="eastAsia" w:ascii="宋体" w:hAnsi="宋体" w:cs="宋体"/>
                <w:szCs w:val="21"/>
              </w:rPr>
            </w:pPr>
            <w:r>
              <w:rPr>
                <w:rFonts w:hint="eastAsia" w:ascii="宋体" w:hAnsi="宋体" w:cs="宋体"/>
                <w:szCs w:val="21"/>
              </w:rPr>
              <w:t>本招标项目建安工程费采用“模拟清单报价”+“下浮率报价”相结合的投标报价方式：</w:t>
            </w:r>
          </w:p>
          <w:p>
            <w:pPr>
              <w:snapToGrid w:val="0"/>
              <w:ind w:left="31" w:hanging="31"/>
              <w:rPr>
                <w:rFonts w:hint="eastAsia" w:ascii="宋体" w:hAnsi="宋体" w:cs="宋体"/>
                <w:szCs w:val="21"/>
              </w:rPr>
            </w:pPr>
            <w:r>
              <w:rPr>
                <w:rFonts w:hint="eastAsia" w:ascii="宋体" w:hAnsi="宋体" w:cs="宋体"/>
                <w:szCs w:val="21"/>
              </w:rPr>
              <w:t>①采用模拟清单报价：</w:t>
            </w:r>
            <w:r>
              <w:rPr>
                <w:rFonts w:hint="eastAsia" w:ascii="宋体" w:hAnsi="宋体" w:cs="宋体"/>
                <w:kern w:val="0"/>
                <w:szCs w:val="21"/>
                <w:u w:val="single"/>
              </w:rPr>
              <w:t>包括土建工程</w:t>
            </w:r>
            <w:r>
              <w:rPr>
                <w:rFonts w:hint="eastAsia" w:ascii="宋体" w:hAnsi="宋体" w:cs="宋体"/>
                <w:kern w:val="0"/>
                <w:szCs w:val="21"/>
                <w:u w:val="single"/>
                <w:lang w:eastAsia="zh-CN"/>
              </w:rPr>
              <w:t>（</w:t>
            </w:r>
            <w:r>
              <w:rPr>
                <w:rFonts w:hint="eastAsia" w:ascii="宋体" w:hAnsi="宋体" w:cs="宋体"/>
                <w:kern w:val="0"/>
                <w:szCs w:val="21"/>
                <w:u w:val="single"/>
              </w:rPr>
              <w:t>地下室工程</w:t>
            </w:r>
            <w:r>
              <w:rPr>
                <w:rFonts w:hint="eastAsia" w:ascii="宋体" w:hAnsi="宋体" w:cs="宋体"/>
                <w:kern w:val="0"/>
                <w:szCs w:val="21"/>
                <w:u w:val="single"/>
                <w:lang w:eastAsia="zh-CN"/>
              </w:rPr>
              <w:t>、地上部分）、机电工程、措施项目清单合计（单价措施项目、总价措施项目）、其他项目清单合价（总承包管理配合服务费、甲询材料、设备管理配合费、专业分包及甲询材料工程管理费、其他）</w:t>
            </w:r>
            <w:r>
              <w:rPr>
                <w:rFonts w:hint="eastAsia" w:ascii="宋体" w:hAnsi="宋体" w:cs="宋体"/>
                <w:kern w:val="0"/>
                <w:szCs w:val="21"/>
                <w:u w:val="single"/>
              </w:rPr>
              <w:t>，具体详见工程量清单报价表</w:t>
            </w:r>
            <w:r>
              <w:rPr>
                <w:rFonts w:hint="eastAsia" w:ascii="宋体" w:hAnsi="宋体" w:cs="宋体"/>
                <w:szCs w:val="21"/>
                <w:u w:val="single"/>
              </w:rPr>
              <w:t>。</w:t>
            </w:r>
          </w:p>
          <w:p>
            <w:pPr>
              <w:snapToGrid w:val="0"/>
              <w:ind w:left="31" w:hanging="31"/>
              <w:rPr>
                <w:rFonts w:hint="eastAsia" w:ascii="宋体" w:hAnsi="宋体" w:cs="宋体"/>
                <w:szCs w:val="21"/>
              </w:rPr>
            </w:pPr>
            <w:r>
              <w:rPr>
                <w:rFonts w:hint="eastAsia" w:hAnsi="宋体" w:cs="宋体"/>
                <w:szCs w:val="21"/>
              </w:rPr>
              <w:t>②采用下浮率报价：</w:t>
            </w:r>
            <w:r>
              <w:rPr>
                <w:rFonts w:hint="eastAsia" w:ascii="宋体" w:hAnsi="宋体" w:cs="宋体"/>
                <w:kern w:val="0"/>
                <w:szCs w:val="21"/>
                <w:u w:val="single"/>
              </w:rPr>
              <w:t>除采用模拟清单报价的工程外，采用下浮率报价包括专业分包工程暂估价及甲询材料费用</w:t>
            </w:r>
            <w:r>
              <w:rPr>
                <w:rFonts w:hint="eastAsia" w:ascii="宋体" w:hAnsi="宋体" w:cs="宋体"/>
                <w:kern w:val="0"/>
                <w:szCs w:val="21"/>
                <w:u w:val="single"/>
                <w:lang w:val="en-US" w:eastAsia="zh-CN"/>
              </w:rPr>
              <w:t>等，</w:t>
            </w:r>
            <w:r>
              <w:rPr>
                <w:rFonts w:hint="eastAsia" w:ascii="宋体" w:hAnsi="宋体" w:cs="宋体"/>
                <w:kern w:val="0"/>
                <w:szCs w:val="21"/>
                <w:u w:val="single"/>
              </w:rPr>
              <w:t>具体详见工程量清单报价表</w:t>
            </w:r>
            <w:r>
              <w:rPr>
                <w:rFonts w:hint="eastAsia" w:ascii="宋体" w:hAnsi="宋体" w:cs="宋体"/>
                <w:szCs w:val="21"/>
                <w:u w:val="single"/>
              </w:rPr>
              <w:t>。</w:t>
            </w:r>
            <w:r>
              <w:rPr>
                <w:rFonts w:hint="eastAsia" w:ascii="宋体" w:hAnsi="宋体" w:cs="宋体"/>
                <w:szCs w:val="21"/>
              </w:rPr>
              <w:t>在最高投标限价范围内，投标人自行报价。</w:t>
            </w:r>
          </w:p>
          <w:p>
            <w:pPr>
              <w:snapToGrid w:val="0"/>
              <w:rPr>
                <w:rFonts w:hint="eastAsia" w:hAnsi="宋体" w:cs="宋体"/>
                <w:szCs w:val="21"/>
              </w:rPr>
            </w:pPr>
            <w:r>
              <w:rPr>
                <w:rFonts w:hint="eastAsia" w:ascii="宋体" w:hAnsi="宋体" w:cs="宋体"/>
                <w:szCs w:val="21"/>
              </w:rPr>
              <w:t>注：</w:t>
            </w:r>
            <w:r>
              <w:rPr>
                <w:rFonts w:hint="eastAsia" w:ascii="宋体" w:hAnsi="宋体" w:cs="宋体"/>
                <w:b/>
                <w:bCs/>
                <w:szCs w:val="21"/>
              </w:rPr>
              <w:t>下浮率=（最高限价-投标报价）/最高限价*100%</w:t>
            </w:r>
            <w:r>
              <w:rPr>
                <w:rFonts w:hint="eastAsia" w:ascii="宋体" w:hAnsi="宋体" w:cs="宋体"/>
                <w:szCs w:val="21"/>
              </w:rPr>
              <w:t>；中标后，承包人按合同约定编制施工图预算，并按合同约定计价。具体详见合同约定。</w:t>
            </w:r>
          </w:p>
        </w:tc>
      </w:tr>
      <w:tr>
        <w:tblPrEx>
          <w:tblCellMar>
            <w:top w:w="0" w:type="dxa"/>
            <w:left w:w="108" w:type="dxa"/>
            <w:bottom w:w="0" w:type="dxa"/>
            <w:right w:w="108" w:type="dxa"/>
          </w:tblCellMar>
        </w:tblPrEx>
        <w:trPr>
          <w:trHeight w:val="454"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3.3.1</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投标有效期</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u w:val="single"/>
              </w:rPr>
              <w:t>120日历天。</w:t>
            </w:r>
          </w:p>
        </w:tc>
      </w:tr>
      <w:tr>
        <w:tblPrEx>
          <w:tblCellMar>
            <w:top w:w="0" w:type="dxa"/>
            <w:left w:w="108" w:type="dxa"/>
            <w:bottom w:w="0" w:type="dxa"/>
            <w:right w:w="108" w:type="dxa"/>
          </w:tblCellMar>
        </w:tblPrEx>
        <w:trPr>
          <w:trHeight w:val="725"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3.4.1</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投标保证金</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Cs w:val="21"/>
              </w:rPr>
            </w:pPr>
            <w:r>
              <w:rPr>
                <w:rFonts w:hint="eastAsia" w:ascii="宋体" w:hAnsi="宋体" w:cs="宋体"/>
                <w:szCs w:val="21"/>
              </w:rPr>
              <w:t>1、投标保证金的金额：不需要缴纳保证金。</w:t>
            </w:r>
          </w:p>
          <w:p>
            <w:pPr>
              <w:snapToGrid w:val="0"/>
              <w:rPr>
                <w:rFonts w:hint="eastAsia" w:ascii="宋体" w:hAnsi="宋体" w:cs="宋体"/>
                <w:strike/>
                <w:szCs w:val="21"/>
              </w:rPr>
            </w:pPr>
            <w:r>
              <w:rPr>
                <w:rFonts w:hint="eastAsia" w:ascii="宋体" w:hAnsi="宋体" w:cs="宋体"/>
                <w:strike/>
                <w:szCs w:val="21"/>
              </w:rPr>
              <w:t>2、缴纳时间：递交投标文件截止时间前。</w:t>
            </w:r>
          </w:p>
          <w:p>
            <w:pPr>
              <w:snapToGrid w:val="0"/>
              <w:rPr>
                <w:rFonts w:hint="eastAsia" w:ascii="宋体" w:hAnsi="宋体" w:cs="宋体"/>
                <w:strike/>
                <w:szCs w:val="21"/>
              </w:rPr>
            </w:pPr>
            <w:r>
              <w:rPr>
                <w:rFonts w:hint="eastAsia" w:ascii="宋体" w:hAnsi="宋体" w:cs="宋体"/>
                <w:strike/>
                <w:szCs w:val="21"/>
              </w:rPr>
              <w:t>3、投标保证金的形式：投标保证金可采用现金、银行汇票、银行本票、银行电汇、支票（现金支票、转账支票）、银行保函、保证保险、专业担保公司担保等形式。</w:t>
            </w:r>
          </w:p>
          <w:p>
            <w:pPr>
              <w:snapToGrid w:val="0"/>
              <w:rPr>
                <w:rFonts w:hint="eastAsia" w:ascii="宋体" w:hAnsi="宋体" w:cs="宋体"/>
                <w:strike/>
                <w:szCs w:val="21"/>
              </w:rPr>
            </w:pPr>
            <w:r>
              <w:rPr>
                <w:rFonts w:hint="eastAsia" w:ascii="宋体" w:hAnsi="宋体" w:cs="宋体"/>
                <w:strike/>
                <w:szCs w:val="21"/>
              </w:rPr>
              <w:t>4、递交方式：</w:t>
            </w:r>
          </w:p>
          <w:p>
            <w:pPr>
              <w:snapToGrid w:val="0"/>
              <w:rPr>
                <w:rFonts w:hint="eastAsia" w:ascii="宋体" w:hAnsi="宋体" w:cs="宋体"/>
                <w:strike/>
                <w:szCs w:val="21"/>
              </w:rPr>
            </w:pPr>
            <w:r>
              <w:rPr>
                <w:rFonts w:hint="eastAsia" w:ascii="宋体" w:hAnsi="宋体" w:cs="宋体"/>
                <w:strike/>
                <w:szCs w:val="21"/>
              </w:rPr>
              <w:t>（1）如采用现金或者转账或者支票形式提交的，投标保证金从投标人基本账户递交，由广州交易集团有限公司代收。请各投标人在投标文件递交截止时间前按上述金额递交至广州交易集团有限公司，缴纳情况以开标时广州交易集团有限公司网站查询为准。具体操作流程详见广州交易集团有限公司最新的投标保证金缴纳操作指引或自行咨询交易中心(咨询电话：020-28866000)。</w:t>
            </w:r>
          </w:p>
          <w:p>
            <w:pPr>
              <w:snapToGrid w:val="0"/>
              <w:rPr>
                <w:rFonts w:hint="eastAsia" w:ascii="宋体" w:hAnsi="宋体" w:cs="宋体"/>
                <w:strike/>
                <w:szCs w:val="21"/>
              </w:rPr>
            </w:pPr>
            <w:r>
              <w:rPr>
                <w:rFonts w:hint="eastAsia" w:ascii="宋体" w:hAnsi="宋体" w:cs="宋体"/>
                <w:strike/>
                <w:szCs w:val="21"/>
              </w:rPr>
              <w:t>（2）采用银行保函（或保证保险、或专业担保公司担保）提交投标保证金的，在开标前不强制要求投标人提交纸质原件，由中标候选人在中标候选人公示前提交并在网上公示，投标人应在投标文件中提交投标保函或投标保证保险或专业担保公司担保扫描件并加盖投标人公章。银行保函（或保证保险、或专业担保公司担保）有效期应长于或等于投标有效期，若投标有效期延长的，银行保函（或保证保险、或专业担保公司担保）有效期应相应延长，且延长后的有效期应满足前述要求。投标人提供的银行投标保函应为银行出具的无条件、见索即付、不可撤销的保函。</w:t>
            </w:r>
          </w:p>
          <w:p>
            <w:pPr>
              <w:pStyle w:val="31"/>
              <w:spacing w:before="0" w:after="0"/>
              <w:rPr>
                <w:rFonts w:hint="eastAsia" w:ascii="宋体" w:hAnsi="宋体" w:cs="宋体"/>
                <w:b w:val="0"/>
                <w:strike/>
                <w:sz w:val="21"/>
                <w:szCs w:val="21"/>
              </w:rPr>
            </w:pPr>
            <w:r>
              <w:rPr>
                <w:rFonts w:hint="eastAsia" w:ascii="宋体" w:hAnsi="宋体" w:cs="宋体"/>
                <w:b w:val="0"/>
                <w:strike/>
                <w:sz w:val="21"/>
                <w:szCs w:val="21"/>
              </w:rPr>
              <w:t>（3）如采用电子保函形式递交投标保证金，按广州交易集团有限公司（广州公共资源交易中心）发布的《广州公共资源交易中心关于开通电子保函服务功能的通知》操作。详见：http://www.gzggzy.cn/zxgg/822128.jhtml。到账情况以开标时广州交易集团有限公司（广州公共资源交易中心）数据库查询信息为准。</w:t>
            </w:r>
          </w:p>
          <w:p>
            <w:pPr>
              <w:pStyle w:val="31"/>
              <w:spacing w:before="0" w:after="0"/>
              <w:rPr>
                <w:rFonts w:hint="eastAsia" w:ascii="宋体" w:hAnsi="宋体" w:cs="宋体"/>
                <w:b w:val="0"/>
                <w:strike/>
                <w:sz w:val="21"/>
                <w:szCs w:val="21"/>
              </w:rPr>
            </w:pPr>
            <w:r>
              <w:rPr>
                <w:rFonts w:hint="eastAsia" w:ascii="宋体" w:hAnsi="宋体" w:cs="宋体"/>
                <w:b w:val="0"/>
                <w:strike/>
                <w:sz w:val="21"/>
                <w:szCs w:val="21"/>
              </w:rPr>
              <w:t>（4）对于联合体投标人，投标保证金可由联合体主办方缴纳。</w:t>
            </w:r>
          </w:p>
          <w:p>
            <w:pPr>
              <w:pStyle w:val="31"/>
              <w:spacing w:before="0" w:after="0"/>
              <w:rPr>
                <w:rFonts w:hint="eastAsia" w:ascii="宋体" w:hAnsi="宋体" w:cs="宋体"/>
                <w:b w:val="0"/>
                <w:strike/>
                <w:sz w:val="21"/>
                <w:szCs w:val="21"/>
              </w:rPr>
            </w:pPr>
            <w:r>
              <w:rPr>
                <w:rFonts w:hint="eastAsia" w:ascii="宋体" w:hAnsi="宋体" w:cs="宋体"/>
                <w:b w:val="0"/>
                <w:strike/>
                <w:sz w:val="21"/>
                <w:szCs w:val="21"/>
              </w:rPr>
              <w:t>5、开标时投标人没有按要求提供投标保证金的，其投标文件将被否决。</w:t>
            </w:r>
          </w:p>
          <w:p>
            <w:pPr>
              <w:pStyle w:val="31"/>
              <w:spacing w:before="0" w:after="0"/>
              <w:rPr>
                <w:rFonts w:hint="eastAsia" w:ascii="宋体" w:hAnsi="宋体" w:cs="宋体"/>
                <w:szCs w:val="21"/>
              </w:rPr>
            </w:pPr>
            <w:r>
              <w:rPr>
                <w:rFonts w:hint="eastAsia" w:ascii="宋体" w:hAnsi="宋体" w:cs="宋体"/>
                <w:b w:val="0"/>
                <w:strike/>
                <w:sz w:val="21"/>
                <w:szCs w:val="21"/>
              </w:rPr>
              <w:t>6、投标保证金依据法律法规的相关规定退还。</w:t>
            </w:r>
          </w:p>
        </w:tc>
      </w:tr>
      <w:tr>
        <w:tblPrEx>
          <w:tblCellMar>
            <w:top w:w="0" w:type="dxa"/>
            <w:left w:w="108" w:type="dxa"/>
            <w:bottom w:w="0" w:type="dxa"/>
            <w:right w:w="108" w:type="dxa"/>
          </w:tblCellMar>
        </w:tblPrEx>
        <w:trPr>
          <w:trHeight w:val="454"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3.5.2</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近年财务状况</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cs="宋体"/>
                <w:szCs w:val="21"/>
              </w:rPr>
            </w:pPr>
            <w:r>
              <w:rPr>
                <w:rFonts w:hint="eastAsia" w:ascii="宋体" w:hAnsi="宋体" w:cs="宋体"/>
                <w:szCs w:val="21"/>
              </w:rPr>
              <w:t>/</w:t>
            </w:r>
          </w:p>
        </w:tc>
      </w:tr>
      <w:tr>
        <w:tblPrEx>
          <w:tblCellMar>
            <w:top w:w="0" w:type="dxa"/>
            <w:left w:w="108" w:type="dxa"/>
            <w:bottom w:w="0" w:type="dxa"/>
            <w:right w:w="108" w:type="dxa"/>
          </w:tblCellMar>
        </w:tblPrEx>
        <w:trPr>
          <w:trHeight w:val="454"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3.5.3</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近年完成的类似项目</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cs="宋体"/>
                <w:szCs w:val="21"/>
              </w:rPr>
            </w:pPr>
            <w:r>
              <w:rPr>
                <w:rFonts w:hint="eastAsia" w:ascii="宋体" w:hAnsi="宋体" w:cs="宋体"/>
                <w:szCs w:val="21"/>
              </w:rPr>
              <w:t>/</w:t>
            </w:r>
          </w:p>
        </w:tc>
      </w:tr>
      <w:tr>
        <w:tblPrEx>
          <w:tblCellMar>
            <w:top w:w="0" w:type="dxa"/>
            <w:left w:w="108" w:type="dxa"/>
            <w:bottom w:w="0" w:type="dxa"/>
            <w:right w:w="108" w:type="dxa"/>
          </w:tblCellMar>
        </w:tblPrEx>
        <w:trPr>
          <w:trHeight w:val="567"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3.5.5</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近年发生的重大诉讼及仲裁情况</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cs="宋体"/>
                <w:szCs w:val="21"/>
              </w:rPr>
            </w:pPr>
            <w:r>
              <w:rPr>
                <w:rFonts w:hint="eastAsia" w:ascii="宋体" w:hAnsi="宋体" w:cs="宋体"/>
                <w:szCs w:val="21"/>
              </w:rPr>
              <w:t>/</w:t>
            </w:r>
          </w:p>
        </w:tc>
      </w:tr>
      <w:tr>
        <w:tblPrEx>
          <w:tblCellMar>
            <w:top w:w="0" w:type="dxa"/>
            <w:left w:w="108" w:type="dxa"/>
            <w:bottom w:w="0" w:type="dxa"/>
            <w:right w:w="108" w:type="dxa"/>
          </w:tblCellMar>
        </w:tblPrEx>
        <w:trPr>
          <w:trHeight w:val="567"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3.6</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是否允许递交备选投标方案</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cs="宋体"/>
                <w:szCs w:val="21"/>
              </w:rPr>
            </w:pPr>
            <w:r>
              <w:rPr>
                <w:rFonts w:hint="eastAsia" w:ascii="宋体" w:hAnsi="宋体" w:cs="宋体"/>
                <w:szCs w:val="21"/>
              </w:rPr>
              <w:t>■不允许</w:t>
            </w:r>
          </w:p>
          <w:p>
            <w:pPr>
              <w:snapToGrid w:val="0"/>
              <w:spacing w:line="360" w:lineRule="auto"/>
              <w:rPr>
                <w:rFonts w:hint="eastAsia" w:ascii="宋体" w:hAnsi="宋体" w:cs="宋体"/>
                <w:szCs w:val="21"/>
              </w:rPr>
            </w:pPr>
            <w:r>
              <w:rPr>
                <w:rFonts w:hint="eastAsia" w:ascii="宋体" w:hAnsi="宋体" w:cs="宋体"/>
                <w:szCs w:val="21"/>
              </w:rPr>
              <w:t>□允许</w:t>
            </w:r>
          </w:p>
        </w:tc>
      </w:tr>
      <w:tr>
        <w:tblPrEx>
          <w:tblCellMar>
            <w:top w:w="0" w:type="dxa"/>
            <w:left w:w="108" w:type="dxa"/>
            <w:bottom w:w="0" w:type="dxa"/>
            <w:right w:w="108" w:type="dxa"/>
          </w:tblCellMar>
        </w:tblPrEx>
        <w:trPr>
          <w:trHeight w:val="921"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3.7.3（1）</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签字或盖章要求</w:t>
            </w:r>
          </w:p>
        </w:tc>
        <w:tc>
          <w:tcPr>
            <w:tcW w:w="61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r>
              <w:rPr>
                <w:rFonts w:hint="eastAsia" w:ascii="宋体" w:hAnsi="宋体" w:cs="宋体"/>
                <w:szCs w:val="21"/>
              </w:rPr>
              <w:t>①投标文件全部采用电子文档，投标文件所附证书证件需为原件清晰扫描件，并采用单位数字证书，按照招标文件要求在相应位置加盖电子印章。具体操作详见《建设工程全流程电子化项目操作指南（适用于投标人）》。</w:t>
            </w:r>
          </w:p>
          <w:p>
            <w:pPr>
              <w:snapToGrid w:val="0"/>
              <w:spacing w:line="360" w:lineRule="auto"/>
              <w:rPr>
                <w:rFonts w:hint="eastAsia" w:ascii="宋体" w:hAnsi="宋体" w:cs="宋体"/>
                <w:szCs w:val="21"/>
              </w:rPr>
            </w:pPr>
            <w:r>
              <w:rPr>
                <w:rFonts w:hint="eastAsia" w:ascii="宋体" w:hAnsi="宋体" w:cs="宋体"/>
                <w:szCs w:val="21"/>
              </w:rPr>
              <w:t>②投标文件中需个人签字或盖章的，应加盖个人电子印章或在线下完成后扫描上传，投标文件按招标文件要求加盖单位电子印章。具体操作详见《建设工程全流程电子化项目操作指南（适用于投标人）》。</w:t>
            </w:r>
          </w:p>
          <w:p>
            <w:pPr>
              <w:snapToGrid w:val="0"/>
              <w:spacing w:line="360" w:lineRule="auto"/>
              <w:rPr>
                <w:rFonts w:hint="eastAsia" w:ascii="宋体" w:hAnsi="宋体" w:cs="宋体"/>
                <w:b/>
                <w:szCs w:val="21"/>
              </w:rPr>
            </w:pPr>
            <w:r>
              <w:rPr>
                <w:rFonts w:hint="eastAsia" w:ascii="宋体" w:hAnsi="宋体" w:cs="宋体"/>
                <w:b/>
                <w:szCs w:val="21"/>
              </w:rPr>
              <w:t>③联合体投标时，除联合体共同投标协议必须由联合体各方分别按要求同时签字、盖章外，投标文件其他内容及落款中的“投标人或投标单位”需出现各成员单位名称及盖章的，应填写联合体各方的单位全称[格式为：（主）XXXX公司（成）XXXX公司（成）XXXX公司……]，由联合体主办方按格式规定签字、盖章即可。法定代表人证明书及授权委托证明书可由联合体主办方出具，其中“单位”一栏可只填写联合体主办方名称，并由联合体主办方签字、盖章。</w:t>
            </w:r>
          </w:p>
        </w:tc>
      </w:tr>
      <w:tr>
        <w:tblPrEx>
          <w:tblCellMar>
            <w:top w:w="0" w:type="dxa"/>
            <w:left w:w="108" w:type="dxa"/>
            <w:bottom w:w="0" w:type="dxa"/>
            <w:right w:w="108" w:type="dxa"/>
          </w:tblCellMar>
        </w:tblPrEx>
        <w:trPr>
          <w:trHeight w:val="533"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3.7.4</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投标文件</w:t>
            </w:r>
            <w:r>
              <w:rPr>
                <w:rFonts w:hint="eastAsia" w:ascii="宋体" w:hAnsi="宋体" w:cs="宋体"/>
                <w:szCs w:val="21"/>
                <w:u w:val="single"/>
              </w:rPr>
              <w:t>及定标文件</w:t>
            </w:r>
            <w:r>
              <w:rPr>
                <w:rFonts w:hint="eastAsia" w:ascii="宋体" w:hAnsi="宋体" w:cs="宋体"/>
                <w:szCs w:val="21"/>
              </w:rPr>
              <w:t>份数</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u w:val="single"/>
              </w:rPr>
            </w:pPr>
            <w:r>
              <w:rPr>
                <w:rFonts w:hint="eastAsia" w:ascii="宋体" w:hAnsi="宋体" w:cs="宋体"/>
                <w:szCs w:val="21"/>
                <w:u w:val="single"/>
              </w:rPr>
              <w:t>/</w:t>
            </w:r>
          </w:p>
        </w:tc>
      </w:tr>
      <w:tr>
        <w:tblPrEx>
          <w:tblCellMar>
            <w:top w:w="0" w:type="dxa"/>
            <w:left w:w="108" w:type="dxa"/>
            <w:bottom w:w="0" w:type="dxa"/>
            <w:right w:w="108" w:type="dxa"/>
          </w:tblCellMar>
        </w:tblPrEx>
        <w:trPr>
          <w:trHeight w:val="524"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3.7.5</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装订要求</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w:t>
            </w:r>
          </w:p>
        </w:tc>
      </w:tr>
      <w:tr>
        <w:tblPrEx>
          <w:tblCellMar>
            <w:top w:w="0" w:type="dxa"/>
            <w:left w:w="108" w:type="dxa"/>
            <w:bottom w:w="0" w:type="dxa"/>
            <w:right w:w="108" w:type="dxa"/>
          </w:tblCellMar>
        </w:tblPrEx>
        <w:trPr>
          <w:trHeight w:val="704"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4.1.2</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封套上应载明的信息</w:t>
            </w:r>
          </w:p>
          <w:p>
            <w:pPr>
              <w:rPr>
                <w:rFonts w:hint="eastAsia" w:ascii="宋体" w:hAnsi="宋体" w:cs="宋体"/>
                <w:szCs w:val="21"/>
              </w:rPr>
            </w:pPr>
            <w:r>
              <w:rPr>
                <w:rFonts w:hint="eastAsia" w:ascii="宋体" w:hAnsi="宋体" w:cs="宋体"/>
                <w:szCs w:val="21"/>
                <w:u w:val="single"/>
              </w:rPr>
              <w:t>（适用于提交备用光盘或U盘的情况）</w:t>
            </w:r>
          </w:p>
        </w:tc>
        <w:tc>
          <w:tcPr>
            <w:tcW w:w="6143" w:type="dxa"/>
            <w:tcBorders>
              <w:top w:val="single" w:color="auto" w:sz="4" w:space="0"/>
              <w:left w:val="single" w:color="auto" w:sz="4" w:space="0"/>
              <w:bottom w:val="single" w:color="auto" w:sz="4" w:space="0"/>
              <w:right w:val="single" w:color="auto" w:sz="4" w:space="0"/>
            </w:tcBorders>
            <w:vAlign w:val="center"/>
          </w:tcPr>
          <w:p>
            <w:pPr>
              <w:pStyle w:val="20"/>
              <w:topLinePunct/>
              <w:snapToGrid w:val="0"/>
              <w:spacing w:line="360" w:lineRule="auto"/>
              <w:rPr>
                <w:rFonts w:hint="eastAsia" w:hAnsi="宋体" w:cs="宋体"/>
                <w:sz w:val="21"/>
                <w:szCs w:val="21"/>
                <w:u w:val="single"/>
              </w:rPr>
            </w:pPr>
            <w:r>
              <w:rPr>
                <w:rFonts w:hint="eastAsia" w:hAnsi="宋体" w:cs="宋体"/>
                <w:sz w:val="21"/>
                <w:szCs w:val="21"/>
                <w:u w:val="single"/>
              </w:rPr>
              <w:t>如有提交投标文件及定标文件光盘或U盘备用，将投标文件及定标文件光盘或U盘（各1份）分别密封在不透明的密封袋，封套上应注明如下信息：</w:t>
            </w:r>
          </w:p>
          <w:p>
            <w:pPr>
              <w:pStyle w:val="20"/>
              <w:topLinePunct/>
              <w:snapToGrid w:val="0"/>
              <w:spacing w:line="360" w:lineRule="auto"/>
              <w:rPr>
                <w:rFonts w:hint="eastAsia" w:hAnsi="宋体" w:cs="宋体"/>
                <w:sz w:val="21"/>
                <w:szCs w:val="21"/>
                <w:u w:val="single"/>
              </w:rPr>
            </w:pPr>
            <w:r>
              <w:rPr>
                <w:rFonts w:hint="eastAsia" w:hAnsi="宋体" w:cs="宋体"/>
                <w:sz w:val="21"/>
                <w:szCs w:val="21"/>
                <w:u w:val="single"/>
              </w:rPr>
              <w:t>1.“工程总承包实施方案（含资格审查文件）投标文件光盘或U盘”应分别在密封袋上写明（1）招标人名称；（2）“[工程名称]工程总承包实施方案（含资格审查文件）投标文件光盘或U盘”字样；（3）投标人名称；并在封口处加盖投标人单位公章；</w:t>
            </w:r>
          </w:p>
          <w:p>
            <w:pPr>
              <w:pStyle w:val="20"/>
              <w:topLinePunct/>
              <w:snapToGrid w:val="0"/>
              <w:spacing w:line="360" w:lineRule="auto"/>
              <w:rPr>
                <w:rFonts w:hint="eastAsia" w:hAnsi="宋体" w:cs="宋体"/>
                <w:sz w:val="21"/>
                <w:szCs w:val="21"/>
                <w:u w:val="single"/>
              </w:rPr>
            </w:pPr>
            <w:r>
              <w:rPr>
                <w:rFonts w:hint="eastAsia" w:hAnsi="宋体" w:cs="宋体"/>
                <w:sz w:val="21"/>
                <w:szCs w:val="21"/>
                <w:u w:val="single"/>
              </w:rPr>
              <w:t>2.“设计投标文件光盘或U盘”应仅在密封袋上写明“[工程名称][设计投标文件光盘或U盘]”字样，并不得盖章或加具其它可以识别投标人身份的标记。</w:t>
            </w:r>
          </w:p>
        </w:tc>
      </w:tr>
      <w:tr>
        <w:tblPrEx>
          <w:tblCellMar>
            <w:top w:w="0" w:type="dxa"/>
            <w:left w:w="108" w:type="dxa"/>
            <w:bottom w:w="0" w:type="dxa"/>
            <w:right w:w="108" w:type="dxa"/>
          </w:tblCellMar>
        </w:tblPrEx>
        <w:trPr>
          <w:trHeight w:val="474"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4.2.2</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递交投标文件</w:t>
            </w:r>
            <w:r>
              <w:rPr>
                <w:rFonts w:hint="eastAsia" w:ascii="宋体" w:hAnsi="宋体" w:cs="宋体"/>
                <w:szCs w:val="21"/>
                <w:u w:val="single"/>
              </w:rPr>
              <w:t>及定标文件</w:t>
            </w:r>
            <w:r>
              <w:rPr>
                <w:rFonts w:hint="eastAsia" w:ascii="宋体" w:hAnsi="宋体" w:cs="宋体"/>
                <w:szCs w:val="21"/>
              </w:rPr>
              <w:t>地点</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cs="宋体"/>
                <w:szCs w:val="21"/>
                <w:u w:val="single"/>
              </w:rPr>
            </w:pPr>
            <w:r>
              <w:rPr>
                <w:rFonts w:hint="eastAsia" w:ascii="宋体" w:hAnsi="宋体" w:cs="宋体"/>
                <w:szCs w:val="21"/>
                <w:u w:val="single"/>
              </w:rPr>
              <w:t>递交投标文件及定标文件开始时间：   年  月  日  时  分；</w:t>
            </w:r>
          </w:p>
          <w:p>
            <w:pPr>
              <w:snapToGrid w:val="0"/>
              <w:spacing w:line="360" w:lineRule="auto"/>
              <w:rPr>
                <w:rFonts w:hint="eastAsia" w:ascii="宋体" w:hAnsi="宋体" w:cs="宋体"/>
                <w:szCs w:val="21"/>
                <w:u w:val="single"/>
              </w:rPr>
            </w:pPr>
            <w:r>
              <w:rPr>
                <w:rFonts w:hint="eastAsia" w:ascii="宋体" w:hAnsi="宋体" w:cs="宋体"/>
                <w:szCs w:val="21"/>
                <w:u w:val="single"/>
              </w:rPr>
              <w:t>递交投标文件及定标文件截止时间：   年  月  日  时  分；</w:t>
            </w:r>
          </w:p>
          <w:p>
            <w:pPr>
              <w:snapToGrid w:val="0"/>
              <w:spacing w:line="360" w:lineRule="auto"/>
              <w:rPr>
                <w:rFonts w:hint="eastAsia" w:ascii="宋体" w:hAnsi="宋体" w:cs="宋体"/>
                <w:b/>
                <w:szCs w:val="21"/>
                <w:u w:val="single"/>
              </w:rPr>
            </w:pPr>
            <w:r>
              <w:rPr>
                <w:rFonts w:hint="eastAsia" w:ascii="宋体" w:hAnsi="宋体" w:cs="宋体"/>
                <w:b/>
                <w:szCs w:val="21"/>
                <w:u w:val="single"/>
              </w:rPr>
              <w:t>投标人应在投标文件及定标文件递交截止时间前通过广州交易集团有限公司（广州公共资源交易中心）电子招标投标交易平台递交电子投标文件、电子定标文件。</w:t>
            </w:r>
          </w:p>
          <w:p>
            <w:pPr>
              <w:snapToGrid w:val="0"/>
              <w:spacing w:line="360" w:lineRule="auto"/>
              <w:rPr>
                <w:rFonts w:hint="eastAsia" w:ascii="宋体" w:hAnsi="宋体" w:cs="宋体"/>
                <w:szCs w:val="21"/>
              </w:rPr>
            </w:pPr>
            <w:r>
              <w:rPr>
                <w:rFonts w:hint="eastAsia" w:ascii="宋体" w:hAnsi="宋体" w:cs="宋体"/>
                <w:szCs w:val="21"/>
                <w:u w:val="single"/>
              </w:rPr>
              <w:t>本项目日程安排及地点信息可在广州交易集团有限公司（广州公共资源交易中心）网站进行查询。</w:t>
            </w:r>
          </w:p>
        </w:tc>
      </w:tr>
      <w:tr>
        <w:tblPrEx>
          <w:tblCellMar>
            <w:top w:w="0" w:type="dxa"/>
            <w:left w:w="108" w:type="dxa"/>
            <w:bottom w:w="0" w:type="dxa"/>
            <w:right w:w="108" w:type="dxa"/>
          </w:tblCellMar>
        </w:tblPrEx>
        <w:trPr>
          <w:trHeight w:val="587"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4.2.3</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是否退还投标及定标文件</w:t>
            </w:r>
          </w:p>
        </w:tc>
        <w:tc>
          <w:tcPr>
            <w:tcW w:w="6143" w:type="dxa"/>
            <w:tcBorders>
              <w:top w:val="single" w:color="auto" w:sz="4" w:space="0"/>
              <w:left w:val="single" w:color="auto" w:sz="4" w:space="0"/>
              <w:bottom w:val="single" w:color="auto" w:sz="4" w:space="0"/>
              <w:right w:val="single" w:color="auto" w:sz="4" w:space="0"/>
            </w:tcBorders>
            <w:vAlign w:val="center"/>
          </w:tcPr>
          <w:p>
            <w:pPr>
              <w:topLinePunct/>
              <w:snapToGrid w:val="0"/>
              <w:rPr>
                <w:rFonts w:hint="eastAsia" w:ascii="宋体" w:hAnsi="宋体" w:cs="宋体"/>
                <w:szCs w:val="21"/>
              </w:rPr>
            </w:pPr>
            <w:r>
              <w:rPr>
                <w:rFonts w:hint="eastAsia" w:ascii="宋体" w:hAnsi="宋体" w:cs="宋体"/>
                <w:szCs w:val="21"/>
              </w:rPr>
              <w:t>■否</w:t>
            </w:r>
          </w:p>
          <w:p>
            <w:pPr>
              <w:snapToGrid w:val="0"/>
              <w:rPr>
                <w:rFonts w:hint="eastAsia" w:ascii="宋体" w:hAnsi="宋体" w:cs="宋体"/>
                <w:szCs w:val="21"/>
                <w:u w:val="single"/>
              </w:rPr>
            </w:pPr>
            <w:r>
              <w:rPr>
                <w:rFonts w:hint="eastAsia" w:ascii="宋体" w:hAnsi="宋体" w:cs="宋体"/>
                <w:szCs w:val="21"/>
              </w:rPr>
              <w:t>□是</w:t>
            </w:r>
          </w:p>
        </w:tc>
      </w:tr>
      <w:tr>
        <w:tblPrEx>
          <w:tblCellMar>
            <w:top w:w="0" w:type="dxa"/>
            <w:left w:w="108" w:type="dxa"/>
            <w:bottom w:w="0" w:type="dxa"/>
            <w:right w:w="108" w:type="dxa"/>
          </w:tblCellMar>
        </w:tblPrEx>
        <w:trPr>
          <w:trHeight w:val="843"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5.1</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开标开始时间和地点</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开标时间：同投标截止时间。</w:t>
            </w:r>
          </w:p>
          <w:p>
            <w:pPr>
              <w:snapToGrid w:val="0"/>
              <w:rPr>
                <w:rFonts w:hint="eastAsia" w:ascii="宋体" w:hAnsi="宋体" w:cs="宋体"/>
                <w:szCs w:val="21"/>
              </w:rPr>
            </w:pPr>
            <w:r>
              <w:rPr>
                <w:rFonts w:hint="eastAsia" w:ascii="宋体" w:hAnsi="宋体" w:cs="宋体"/>
                <w:szCs w:val="21"/>
              </w:rPr>
              <w:t>开标地点：广州交易集团有限公司（广州公共资源交易中心）指定开标室。</w:t>
            </w:r>
          </w:p>
          <w:p>
            <w:pPr>
              <w:snapToGrid w:val="0"/>
              <w:rPr>
                <w:rFonts w:hint="eastAsia" w:ascii="宋体" w:hAnsi="宋体" w:cs="宋体"/>
                <w:szCs w:val="21"/>
                <w:u w:val="single"/>
              </w:rPr>
            </w:pPr>
            <w:r>
              <w:rPr>
                <w:rFonts w:hint="eastAsia" w:ascii="宋体" w:hAnsi="宋体" w:cs="宋体"/>
                <w:szCs w:val="21"/>
                <w:u w:val="single"/>
              </w:rPr>
              <w:t>登录广州交易集团有限公司（广州公共资源交易中心）网站首页查询，点击“建设工程”-项目查询（日程安排、答疑纪要），输入项目编号或项目名称查询最新信息。</w:t>
            </w:r>
          </w:p>
        </w:tc>
      </w:tr>
      <w:tr>
        <w:tblPrEx>
          <w:tblCellMar>
            <w:top w:w="0" w:type="dxa"/>
            <w:left w:w="108" w:type="dxa"/>
            <w:bottom w:w="0" w:type="dxa"/>
            <w:right w:w="108" w:type="dxa"/>
          </w:tblCellMar>
        </w:tblPrEx>
        <w:trPr>
          <w:trHeight w:val="843"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5.2</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开标程序</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按下列程序进行开标：</w:t>
            </w:r>
          </w:p>
          <w:p>
            <w:pPr>
              <w:snapToGrid w:val="0"/>
              <w:spacing w:line="360" w:lineRule="auto"/>
              <w:rPr>
                <w:rFonts w:hint="eastAsia" w:ascii="宋体" w:hAnsi="宋体" w:cs="宋体"/>
                <w:szCs w:val="21"/>
              </w:rPr>
            </w:pPr>
            <w:r>
              <w:rPr>
                <w:rFonts w:hint="eastAsia" w:ascii="宋体" w:hAnsi="宋体" w:cs="宋体"/>
                <w:szCs w:val="21"/>
              </w:rPr>
              <w:t>1.按下列程序进行开标：</w:t>
            </w:r>
          </w:p>
          <w:p>
            <w:pPr>
              <w:snapToGrid w:val="0"/>
              <w:spacing w:line="360" w:lineRule="auto"/>
              <w:rPr>
                <w:rFonts w:hint="eastAsia" w:ascii="宋体" w:hAnsi="宋体" w:cs="宋体"/>
                <w:szCs w:val="21"/>
              </w:rPr>
            </w:pPr>
            <w:r>
              <w:rPr>
                <w:rFonts w:hint="eastAsia" w:ascii="宋体" w:hAnsi="宋体" w:cs="宋体"/>
                <w:szCs w:val="21"/>
              </w:rPr>
              <w:t>（1）宣布开标纪律；</w:t>
            </w:r>
          </w:p>
          <w:p>
            <w:pPr>
              <w:snapToGrid w:val="0"/>
              <w:spacing w:line="360" w:lineRule="auto"/>
              <w:rPr>
                <w:rFonts w:hint="eastAsia" w:ascii="宋体" w:hAnsi="宋体" w:cs="宋体"/>
                <w:szCs w:val="21"/>
              </w:rPr>
            </w:pPr>
            <w:r>
              <w:rPr>
                <w:rFonts w:hint="eastAsia" w:ascii="宋体" w:hAnsi="宋体" w:cs="宋体"/>
                <w:szCs w:val="21"/>
              </w:rPr>
              <w:t>（2）公布在投标截止时间前递交投标文件的投标人名称；</w:t>
            </w:r>
          </w:p>
          <w:p>
            <w:pPr>
              <w:snapToGrid w:val="0"/>
              <w:spacing w:line="360" w:lineRule="auto"/>
              <w:rPr>
                <w:rFonts w:hint="eastAsia" w:ascii="宋体" w:hAnsi="宋体" w:cs="宋体"/>
                <w:szCs w:val="21"/>
                <w:u w:val="single"/>
              </w:rPr>
            </w:pPr>
            <w:r>
              <w:rPr>
                <w:rFonts w:hint="eastAsia" w:ascii="宋体" w:hAnsi="宋体" w:cs="宋体"/>
                <w:szCs w:val="21"/>
              </w:rPr>
              <w:t>（3）在投标截止时间后</w:t>
            </w:r>
            <w:r>
              <w:rPr>
                <w:rFonts w:hint="eastAsia" w:ascii="宋体" w:hAnsi="宋体" w:cs="宋体"/>
                <w:b/>
                <w:bCs/>
                <w:szCs w:val="21"/>
              </w:rPr>
              <w:t>1小时内</w:t>
            </w:r>
            <w:r>
              <w:rPr>
                <w:rFonts w:hint="eastAsia" w:ascii="宋体" w:hAnsi="宋体" w:cs="宋体"/>
                <w:szCs w:val="21"/>
              </w:rPr>
              <w:t>，投标人通过递交投标文件的交易平台对已递交的电子投标文件进行解密。投标人完成解密后，再由招标人进行解密（投标人只用执行一次解密，招标人执行解密次数根据招标文件开标次数确定）。</w:t>
            </w:r>
          </w:p>
          <w:p>
            <w:pPr>
              <w:snapToGrid w:val="0"/>
              <w:spacing w:line="360" w:lineRule="auto"/>
              <w:rPr>
                <w:rFonts w:hint="eastAsia" w:ascii="宋体" w:hAnsi="宋体" w:cs="宋体"/>
                <w:szCs w:val="21"/>
              </w:rPr>
            </w:pPr>
            <w:r>
              <w:rPr>
                <w:rFonts w:hint="eastAsia" w:ascii="宋体" w:hAnsi="宋体" w:cs="宋体"/>
                <w:szCs w:val="21"/>
              </w:rPr>
              <w:t>（4）解密完成后，公布：a投标人名称；b投标文件递交情况；c投标文件解密情况；d投标保证金递交情况；e项目负责人、施工负责人、施工技术负责人、设计负责人、专职安全员；f投标总报价（含勘察报价、设计报价和建安工程费报价）；g工期；h投标人的加密打包投标文件电脑机器特征码等主要内容，并记录在案。未在规定时间内解密的投标文件不参与开标、评标。</w:t>
            </w:r>
          </w:p>
          <w:p>
            <w:pPr>
              <w:snapToGrid w:val="0"/>
              <w:spacing w:line="360" w:lineRule="auto"/>
              <w:rPr>
                <w:rFonts w:hint="eastAsia" w:ascii="宋体" w:hAnsi="宋体" w:cs="宋体"/>
                <w:szCs w:val="21"/>
              </w:rPr>
            </w:pPr>
            <w:r>
              <w:rPr>
                <w:rFonts w:hint="eastAsia" w:ascii="宋体" w:hAnsi="宋体" w:cs="宋体"/>
                <w:szCs w:val="21"/>
              </w:rPr>
              <w:t>（5）截标后，开标开始时间因故推迟的，相关评标信息仍以原定的开标开始时间的信息为准。</w:t>
            </w:r>
          </w:p>
          <w:p>
            <w:pPr>
              <w:snapToGrid w:val="0"/>
              <w:spacing w:line="360" w:lineRule="auto"/>
              <w:rPr>
                <w:rFonts w:hint="eastAsia" w:ascii="宋体" w:hAnsi="宋体" w:cs="宋体"/>
                <w:szCs w:val="21"/>
              </w:rPr>
            </w:pPr>
            <w:r>
              <w:rPr>
                <w:rFonts w:hint="eastAsia" w:ascii="宋体" w:hAnsi="宋体" w:cs="宋体"/>
                <w:szCs w:val="21"/>
              </w:rPr>
              <w:t>（6）备用光盘的读取按“10 电子招标投标”第6点的规定执行。</w:t>
            </w:r>
          </w:p>
          <w:p>
            <w:pPr>
              <w:snapToGrid w:val="0"/>
              <w:spacing w:line="360" w:lineRule="auto"/>
              <w:rPr>
                <w:rFonts w:hint="eastAsia" w:ascii="宋体" w:hAnsi="宋体" w:cs="宋体"/>
                <w:szCs w:val="21"/>
              </w:rPr>
            </w:pPr>
            <w:r>
              <w:rPr>
                <w:rFonts w:hint="eastAsia" w:ascii="宋体" w:hAnsi="宋体" w:cs="宋体"/>
                <w:szCs w:val="21"/>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napToGrid w:val="0"/>
              <w:spacing w:line="360" w:lineRule="auto"/>
              <w:rPr>
                <w:rFonts w:hint="eastAsia" w:ascii="宋体" w:hAnsi="宋体" w:cs="宋体"/>
                <w:szCs w:val="21"/>
              </w:rPr>
            </w:pPr>
            <w:r>
              <w:rPr>
                <w:rFonts w:hint="eastAsia" w:ascii="宋体" w:hAnsi="宋体" w:cs="宋体"/>
                <w:szCs w:val="21"/>
              </w:rPr>
              <w:t>（8）开标时，投标人代表有权参加现场开标或在线开标，也可以自主决定不参加开标，若投标人代表对开标过程有异议的，参加现场开标的投标人对开标结果有异议的，应当在开标现场提出并同时出示本人身份证，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napToGrid w:val="0"/>
              <w:spacing w:line="360" w:lineRule="auto"/>
              <w:rPr>
                <w:rFonts w:hint="eastAsia" w:ascii="宋体" w:hAnsi="宋体" w:cs="宋体"/>
                <w:szCs w:val="21"/>
              </w:rPr>
            </w:pPr>
            <w:r>
              <w:rPr>
                <w:rFonts w:hint="eastAsia" w:ascii="宋体" w:hAnsi="宋体" w:cs="宋体"/>
                <w:szCs w:val="21"/>
              </w:rPr>
              <w:t>（9）投标人未参加开标或在规定的时间内未提出异议的，视为对开标无异议。</w:t>
            </w:r>
          </w:p>
          <w:p>
            <w:pPr>
              <w:snapToGrid w:val="0"/>
              <w:spacing w:line="360" w:lineRule="auto"/>
              <w:rPr>
                <w:rFonts w:hint="eastAsia" w:ascii="宋体" w:hAnsi="宋体" w:cs="宋体"/>
                <w:szCs w:val="21"/>
              </w:rPr>
            </w:pPr>
            <w:r>
              <w:rPr>
                <w:rFonts w:hint="eastAsia" w:ascii="宋体" w:hAnsi="宋体" w:cs="宋体"/>
                <w:szCs w:val="21"/>
              </w:rPr>
              <w:t>（10）开标时，两个（含两个）以上的投标人加密打包投标文件电脑机器特征码一致的，不参与下一程序，并由评标委员会否决其投标。</w:t>
            </w:r>
          </w:p>
          <w:p>
            <w:pPr>
              <w:snapToGrid w:val="0"/>
              <w:spacing w:line="360" w:lineRule="auto"/>
              <w:rPr>
                <w:rFonts w:hint="eastAsia" w:ascii="宋体" w:hAnsi="宋体" w:cs="宋体"/>
                <w:szCs w:val="21"/>
              </w:rPr>
            </w:pPr>
            <w:r>
              <w:rPr>
                <w:rFonts w:hint="eastAsia" w:ascii="宋体" w:hAnsi="宋体" w:cs="宋体"/>
                <w:szCs w:val="21"/>
              </w:rPr>
              <w:t>（11）投标人未参加开标或在规定的时间内未提出异议的，视为对开标无异议。</w:t>
            </w:r>
          </w:p>
          <w:p>
            <w:pPr>
              <w:snapToGrid w:val="0"/>
              <w:spacing w:line="360" w:lineRule="auto"/>
              <w:rPr>
                <w:rFonts w:hint="eastAsia" w:ascii="宋体" w:hAnsi="宋体" w:cs="宋体"/>
                <w:szCs w:val="21"/>
              </w:rPr>
            </w:pPr>
            <w:r>
              <w:rPr>
                <w:rFonts w:hint="eastAsia" w:ascii="宋体" w:hAnsi="宋体" w:cs="宋体"/>
                <w:szCs w:val="21"/>
              </w:rPr>
              <w:t>（12）投标人代表、招标人代表、监标人、记录人等有关人员在开标记录上签字确认；若有关人员不签字的，不影响开标程序；</w:t>
            </w:r>
          </w:p>
          <w:p>
            <w:pPr>
              <w:snapToGrid w:val="0"/>
              <w:spacing w:line="360" w:lineRule="auto"/>
              <w:rPr>
                <w:rFonts w:hint="eastAsia" w:ascii="宋体" w:hAnsi="宋体" w:cs="宋体"/>
                <w:szCs w:val="21"/>
              </w:rPr>
            </w:pPr>
            <w:r>
              <w:rPr>
                <w:rFonts w:hint="eastAsia" w:ascii="宋体" w:hAnsi="宋体" w:cs="宋体"/>
                <w:szCs w:val="21"/>
              </w:rPr>
              <w:t>（13）开标结束。</w:t>
            </w:r>
          </w:p>
        </w:tc>
      </w:tr>
      <w:tr>
        <w:tblPrEx>
          <w:tblCellMar>
            <w:top w:w="0" w:type="dxa"/>
            <w:left w:w="108" w:type="dxa"/>
            <w:bottom w:w="0" w:type="dxa"/>
            <w:right w:w="108" w:type="dxa"/>
          </w:tblCellMar>
        </w:tblPrEx>
        <w:trPr>
          <w:trHeight w:val="1635" w:hRule="atLeast"/>
        </w:trPr>
        <w:tc>
          <w:tcPr>
            <w:tcW w:w="899" w:type="dxa"/>
            <w:gridSpan w:val="2"/>
            <w:vMerge w:val="restart"/>
            <w:tcBorders>
              <w:top w:val="single" w:color="auto" w:sz="4" w:space="0"/>
              <w:left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5.3</w:t>
            </w:r>
          </w:p>
        </w:tc>
        <w:tc>
          <w:tcPr>
            <w:tcW w:w="2186" w:type="dxa"/>
            <w:vMerge w:val="restart"/>
            <w:tcBorders>
              <w:top w:val="single" w:color="auto" w:sz="4" w:space="0"/>
              <w:left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u w:val="single"/>
              </w:rPr>
              <w:t>采用评定分离定标办法</w:t>
            </w:r>
          </w:p>
        </w:tc>
        <w:tc>
          <w:tcPr>
            <w:tcW w:w="6143" w:type="dxa"/>
            <w:tcBorders>
              <w:top w:val="single" w:color="auto" w:sz="4" w:space="0"/>
              <w:left w:val="single" w:color="auto" w:sz="4" w:space="0"/>
              <w:right w:val="single" w:color="auto" w:sz="4" w:space="0"/>
            </w:tcBorders>
            <w:vAlign w:val="center"/>
          </w:tcPr>
          <w:p>
            <w:pPr>
              <w:rPr>
                <w:rFonts w:hint="eastAsia" w:ascii="宋体" w:hAnsi="宋体" w:cs="宋体"/>
                <w:szCs w:val="21"/>
                <w:u w:val="single"/>
              </w:rPr>
            </w:pPr>
            <w:r>
              <w:rPr>
                <w:rFonts w:hint="eastAsia" w:ascii="宋体" w:hAnsi="宋体" w:cs="宋体"/>
                <w:szCs w:val="21"/>
                <w:u w:val="single"/>
              </w:rPr>
              <w:t>评标办法：通过制评审法</w:t>
            </w:r>
          </w:p>
          <w:p>
            <w:pPr>
              <w:rPr>
                <w:rFonts w:hint="eastAsia" w:ascii="宋体" w:hAnsi="宋体" w:cs="宋体"/>
                <w:szCs w:val="21"/>
                <w:u w:val="single"/>
              </w:rPr>
            </w:pPr>
            <w:r>
              <w:rPr>
                <w:rFonts w:hint="eastAsia" w:ascii="宋体" w:hAnsi="宋体" w:cs="宋体"/>
                <w:szCs w:val="21"/>
                <w:u w:val="single"/>
              </w:rPr>
              <w:t>评标委员会对投标文件进行资格审查，再对通过资格审查的工程总承包实施方案（含资格审查文件）投标文件、设计投标文件进行有效性审查，评出合格的投标人。若通过有效性审查的合格投标人大于等于3家的，则全部通过有效性审查的合格投标人进入定标阶段；</w:t>
            </w:r>
          </w:p>
        </w:tc>
      </w:tr>
      <w:tr>
        <w:tblPrEx>
          <w:tblCellMar>
            <w:top w:w="0" w:type="dxa"/>
            <w:left w:w="108" w:type="dxa"/>
            <w:bottom w:w="0" w:type="dxa"/>
            <w:right w:w="108" w:type="dxa"/>
          </w:tblCellMar>
        </w:tblPrEx>
        <w:trPr>
          <w:trHeight w:val="505" w:hRule="atLeast"/>
        </w:trPr>
        <w:tc>
          <w:tcPr>
            <w:tcW w:w="899" w:type="dxa"/>
            <w:gridSpan w:val="2"/>
            <w:vMerge w:val="continue"/>
            <w:tcBorders>
              <w:left w:val="single" w:color="auto" w:sz="4" w:space="0"/>
              <w:right w:val="single" w:color="auto" w:sz="4" w:space="0"/>
            </w:tcBorders>
            <w:vAlign w:val="center"/>
          </w:tcPr>
          <w:p>
            <w:pPr>
              <w:pStyle w:val="4"/>
              <w:spacing w:after="0"/>
              <w:ind w:firstLine="0" w:firstLineChars="0"/>
              <w:rPr>
                <w:rFonts w:hint="eastAsia" w:ascii="宋体" w:hAnsi="宋体" w:cs="宋体"/>
                <w:szCs w:val="21"/>
              </w:rPr>
            </w:pPr>
          </w:p>
        </w:tc>
        <w:tc>
          <w:tcPr>
            <w:tcW w:w="2186" w:type="dxa"/>
            <w:vMerge w:val="continue"/>
            <w:tcBorders>
              <w:left w:val="single" w:color="auto" w:sz="4" w:space="0"/>
              <w:right w:val="single" w:color="auto" w:sz="4" w:space="0"/>
            </w:tcBorders>
            <w:vAlign w:val="center"/>
          </w:tcPr>
          <w:p>
            <w:pPr>
              <w:pStyle w:val="4"/>
              <w:spacing w:after="0"/>
              <w:ind w:firstLine="0" w:firstLineChars="0"/>
              <w:rPr>
                <w:rFonts w:hint="eastAsia" w:ascii="宋体" w:hAnsi="宋体" w:cs="宋体"/>
                <w:szCs w:val="21"/>
              </w:rPr>
            </w:pPr>
          </w:p>
        </w:tc>
        <w:tc>
          <w:tcPr>
            <w:tcW w:w="6143" w:type="dxa"/>
            <w:tcBorders>
              <w:top w:val="single" w:color="auto" w:sz="4" w:space="0"/>
              <w:left w:val="single" w:color="auto" w:sz="4" w:space="0"/>
              <w:right w:val="single" w:color="auto" w:sz="4" w:space="0"/>
            </w:tcBorders>
            <w:vAlign w:val="center"/>
          </w:tcPr>
          <w:p>
            <w:pPr>
              <w:rPr>
                <w:rFonts w:hint="eastAsia" w:ascii="宋体" w:hAnsi="宋体" w:cs="宋体"/>
                <w:szCs w:val="21"/>
                <w:u w:val="single"/>
              </w:rPr>
            </w:pPr>
            <w:r>
              <w:rPr>
                <w:rFonts w:hint="eastAsia" w:ascii="宋体" w:hAnsi="宋体" w:cs="宋体"/>
                <w:szCs w:val="21"/>
                <w:u w:val="single"/>
              </w:rPr>
              <w:t>定标办法：采用“记名投票+撰写评语”定标法。</w:t>
            </w:r>
          </w:p>
        </w:tc>
      </w:tr>
      <w:tr>
        <w:tblPrEx>
          <w:tblCellMar>
            <w:top w:w="0" w:type="dxa"/>
            <w:left w:w="108" w:type="dxa"/>
            <w:bottom w:w="0" w:type="dxa"/>
            <w:right w:w="108" w:type="dxa"/>
          </w:tblCellMar>
        </w:tblPrEx>
        <w:trPr>
          <w:trHeight w:val="931"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5.4</w:t>
            </w:r>
          </w:p>
        </w:tc>
        <w:tc>
          <w:tcPr>
            <w:tcW w:w="21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进入</w:t>
            </w:r>
            <w:r>
              <w:rPr>
                <w:rFonts w:hint="eastAsia" w:ascii="宋体" w:hAnsi="宋体" w:cs="宋体"/>
                <w:szCs w:val="21"/>
                <w:u w:val="single"/>
              </w:rPr>
              <w:t>定标阶段合格候选人</w:t>
            </w:r>
          </w:p>
        </w:tc>
        <w:tc>
          <w:tcPr>
            <w:tcW w:w="614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u w:val="single"/>
              </w:rPr>
              <w:t>除投标文件出现无效投标情形外，所有投标人均推荐为定标阶段合格候选人。</w:t>
            </w:r>
          </w:p>
        </w:tc>
      </w:tr>
      <w:tr>
        <w:tblPrEx>
          <w:tblCellMar>
            <w:top w:w="0" w:type="dxa"/>
            <w:left w:w="108" w:type="dxa"/>
            <w:bottom w:w="0" w:type="dxa"/>
            <w:right w:w="108" w:type="dxa"/>
          </w:tblCellMar>
        </w:tblPrEx>
        <w:trPr>
          <w:trHeight w:val="465"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6.1.1</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评标委员会的组建</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b/>
                <w:szCs w:val="21"/>
                <w:u w:val="single"/>
              </w:rPr>
            </w:pPr>
            <w:r>
              <w:rPr>
                <w:rFonts w:hint="eastAsia" w:ascii="宋体" w:hAnsi="宋体" w:cs="宋体"/>
                <w:bCs/>
                <w:kern w:val="0"/>
                <w:szCs w:val="21"/>
                <w:u w:val="single"/>
              </w:rPr>
              <w:t>评标委员会由招标人依法组建。</w:t>
            </w:r>
          </w:p>
        </w:tc>
      </w:tr>
      <w:tr>
        <w:tblPrEx>
          <w:tblCellMar>
            <w:top w:w="0" w:type="dxa"/>
            <w:left w:w="108" w:type="dxa"/>
            <w:bottom w:w="0" w:type="dxa"/>
            <w:right w:w="108" w:type="dxa"/>
          </w:tblCellMar>
        </w:tblPrEx>
        <w:trPr>
          <w:trHeight w:val="488"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6.1.2</w:t>
            </w:r>
          </w:p>
        </w:tc>
        <w:tc>
          <w:tcPr>
            <w:tcW w:w="21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u w:val="single"/>
              </w:rPr>
              <w:t>定标委员会的组建</w:t>
            </w:r>
          </w:p>
        </w:tc>
        <w:tc>
          <w:tcPr>
            <w:tcW w:w="6143" w:type="dxa"/>
            <w:tcBorders>
              <w:top w:val="single" w:color="auto" w:sz="4" w:space="0"/>
              <w:left w:val="single" w:color="auto" w:sz="4" w:space="0"/>
              <w:bottom w:val="single" w:color="auto" w:sz="4" w:space="0"/>
              <w:right w:val="single" w:color="auto" w:sz="4" w:space="0"/>
            </w:tcBorders>
            <w:vAlign w:val="center"/>
          </w:tcPr>
          <w:p>
            <w:pPr>
              <w:pStyle w:val="4"/>
              <w:spacing w:after="0"/>
              <w:ind w:firstLine="0" w:firstLineChars="0"/>
              <w:rPr>
                <w:rFonts w:hint="eastAsia" w:ascii="宋体" w:hAnsi="宋体" w:cs="宋体"/>
                <w:szCs w:val="21"/>
              </w:rPr>
            </w:pPr>
            <w:r>
              <w:rPr>
                <w:rFonts w:hint="eastAsia" w:ascii="宋体" w:hAnsi="宋体" w:cs="宋体"/>
                <w:szCs w:val="21"/>
                <w:u w:val="single"/>
              </w:rPr>
              <w:t>定标委员会由招标人依法组建。</w:t>
            </w:r>
          </w:p>
        </w:tc>
      </w:tr>
      <w:tr>
        <w:tblPrEx>
          <w:tblCellMar>
            <w:top w:w="0" w:type="dxa"/>
            <w:left w:w="108" w:type="dxa"/>
            <w:bottom w:w="0" w:type="dxa"/>
            <w:right w:w="108" w:type="dxa"/>
          </w:tblCellMar>
        </w:tblPrEx>
        <w:trPr>
          <w:trHeight w:val="890"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7.1</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是否授权评标委员会确定中标人</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□是</w:t>
            </w:r>
          </w:p>
          <w:p>
            <w:pPr>
              <w:snapToGrid w:val="0"/>
              <w:rPr>
                <w:rFonts w:hint="eastAsia" w:ascii="宋体" w:hAnsi="宋体" w:cs="宋体"/>
                <w:szCs w:val="21"/>
              </w:rPr>
            </w:pPr>
            <w:r>
              <w:rPr>
                <w:rFonts w:hint="eastAsia" w:ascii="宋体" w:hAnsi="宋体" w:cs="宋体"/>
                <w:szCs w:val="21"/>
              </w:rPr>
              <w:t>■否，推荐的中标候选人数：</w:t>
            </w:r>
            <w:r>
              <w:rPr>
                <w:rFonts w:hint="eastAsia" w:ascii="宋体" w:hAnsi="宋体" w:cs="宋体"/>
                <w:szCs w:val="21"/>
                <w:u w:val="single"/>
              </w:rPr>
              <w:t>通过资格审查及有效性审查的投标人均进入定标阶段。</w:t>
            </w:r>
          </w:p>
        </w:tc>
      </w:tr>
      <w:tr>
        <w:tblPrEx>
          <w:tblCellMar>
            <w:top w:w="0" w:type="dxa"/>
            <w:left w:w="108" w:type="dxa"/>
            <w:bottom w:w="0" w:type="dxa"/>
            <w:right w:w="108" w:type="dxa"/>
          </w:tblCellMar>
        </w:tblPrEx>
        <w:trPr>
          <w:trHeight w:val="664" w:hRule="atLeast"/>
        </w:trPr>
        <w:tc>
          <w:tcPr>
            <w:tcW w:w="899" w:type="dxa"/>
            <w:gridSpan w:val="2"/>
            <w:tcBorders>
              <w:top w:val="single" w:color="auto" w:sz="4" w:space="0"/>
              <w:left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7.2</w:t>
            </w:r>
          </w:p>
        </w:tc>
        <w:tc>
          <w:tcPr>
            <w:tcW w:w="2186" w:type="dxa"/>
            <w:tcBorders>
              <w:top w:val="single" w:color="auto" w:sz="4" w:space="0"/>
              <w:left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合格中标候选人公示媒介</w:t>
            </w:r>
          </w:p>
        </w:tc>
        <w:tc>
          <w:tcPr>
            <w:tcW w:w="6143" w:type="dxa"/>
            <w:tcBorders>
              <w:top w:val="single" w:color="auto" w:sz="4" w:space="0"/>
              <w:left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kern w:val="0"/>
                <w:szCs w:val="21"/>
                <w:u w:val="single"/>
              </w:rPr>
              <w:t>广州交易集团有限公司（广州公共资源交易中心）网站、中国招标投标公共服务平台和广东省招标投标监管网。</w:t>
            </w:r>
          </w:p>
        </w:tc>
      </w:tr>
      <w:tr>
        <w:tblPrEx>
          <w:tblCellMar>
            <w:top w:w="0" w:type="dxa"/>
            <w:left w:w="108" w:type="dxa"/>
            <w:bottom w:w="0" w:type="dxa"/>
            <w:right w:w="108" w:type="dxa"/>
          </w:tblCellMar>
        </w:tblPrEx>
        <w:trPr>
          <w:trHeight w:val="986"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7.4.1</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履约担保</w:t>
            </w:r>
          </w:p>
        </w:tc>
        <w:tc>
          <w:tcPr>
            <w:tcW w:w="614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ascii="宋体" w:hAnsi="宋体"/>
                <w:szCs w:val="21"/>
              </w:rPr>
              <w:t>履约担保的形式：</w:t>
            </w:r>
            <w:r>
              <w:rPr>
                <w:rFonts w:hint="eastAsia" w:ascii="宋体" w:hAnsi="宋体"/>
                <w:szCs w:val="21"/>
              </w:rPr>
              <w:t>以合同约定为准。</w:t>
            </w:r>
          </w:p>
          <w:p>
            <w:pPr>
              <w:rPr>
                <w:rFonts w:hint="eastAsia" w:ascii="宋体" w:hAnsi="宋体" w:cs="宋体"/>
                <w:szCs w:val="21"/>
              </w:rPr>
            </w:pPr>
            <w:r>
              <w:rPr>
                <w:rFonts w:ascii="宋体" w:hAnsi="宋体"/>
                <w:szCs w:val="21"/>
              </w:rPr>
              <w:t>履约担保的金额：</w:t>
            </w:r>
            <w:r>
              <w:rPr>
                <w:rFonts w:hint="eastAsia" w:ascii="宋体" w:hAnsi="宋体"/>
                <w:szCs w:val="21"/>
              </w:rPr>
              <w:t>中标人提供的履约担保为本项目总中标金额的3%</w:t>
            </w:r>
            <w:r>
              <w:rPr>
                <w:rFonts w:hint="eastAsia" w:ascii="宋体" w:hAnsi="宋体"/>
                <w:kern w:val="0"/>
                <w:szCs w:val="21"/>
                <w:u w:val="none"/>
              </w:rPr>
              <w:t>。</w:t>
            </w:r>
          </w:p>
        </w:tc>
      </w:tr>
      <w:tr>
        <w:tblPrEx>
          <w:tblCellMar>
            <w:top w:w="0" w:type="dxa"/>
            <w:left w:w="108" w:type="dxa"/>
            <w:bottom w:w="0" w:type="dxa"/>
            <w:right w:w="108" w:type="dxa"/>
          </w:tblCellMar>
        </w:tblPrEx>
        <w:trPr>
          <w:trHeight w:val="410" w:hRule="atLeast"/>
        </w:trPr>
        <w:tc>
          <w:tcPr>
            <w:tcW w:w="882"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rFonts w:hint="eastAsia" w:ascii="宋体" w:hAnsi="宋体" w:cs="宋体"/>
                <w:szCs w:val="21"/>
              </w:rPr>
            </w:pPr>
            <w:r>
              <w:rPr>
                <w:rFonts w:hint="eastAsia" w:ascii="宋体" w:hAnsi="宋体" w:cs="宋体"/>
                <w:szCs w:val="21"/>
              </w:rPr>
              <w:t>/</w:t>
            </w:r>
          </w:p>
        </w:tc>
        <w:tc>
          <w:tcPr>
            <w:tcW w:w="220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rFonts w:hint="eastAsia" w:ascii="宋体" w:hAnsi="宋体" w:cs="宋体"/>
                <w:szCs w:val="21"/>
              </w:rPr>
            </w:pPr>
            <w:r>
              <w:rPr>
                <w:rFonts w:hint="eastAsia" w:ascii="宋体" w:hAnsi="宋体" w:cs="宋体"/>
                <w:szCs w:val="21"/>
              </w:rPr>
              <w:t>工程成本警戒价</w:t>
            </w:r>
          </w:p>
        </w:tc>
        <w:tc>
          <w:tcPr>
            <w:tcW w:w="6143" w:type="dxa"/>
            <w:tcBorders>
              <w:top w:val="single" w:color="auto" w:sz="4" w:space="0"/>
              <w:left w:val="single" w:color="auto" w:sz="4" w:space="0"/>
              <w:bottom w:val="single" w:color="auto" w:sz="4" w:space="0"/>
              <w:right w:val="single" w:color="auto" w:sz="4" w:space="0"/>
            </w:tcBorders>
            <w:vAlign w:val="center"/>
          </w:tcPr>
          <w:p>
            <w:pPr>
              <w:spacing w:line="288" w:lineRule="auto"/>
              <w:rPr>
                <w:rFonts w:hint="eastAsia" w:ascii="宋体" w:hAnsi="宋体" w:cs="宋体"/>
                <w:szCs w:val="21"/>
              </w:rPr>
            </w:pPr>
            <w:r>
              <w:rPr>
                <w:rFonts w:hint="eastAsia" w:ascii="宋体" w:hAnsi="宋体" w:cs="宋体"/>
                <w:szCs w:val="21"/>
              </w:rPr>
              <w:t xml:space="preserve">建安工程费成本警戒价按建安工程费最高投标限价的 </w:t>
            </w:r>
            <w:r>
              <w:rPr>
                <w:rFonts w:hint="eastAsia" w:ascii="宋体" w:hAnsi="宋体" w:cs="宋体"/>
                <w:szCs w:val="21"/>
                <w:u w:val="single"/>
              </w:rPr>
              <w:t xml:space="preserve">90% </w:t>
            </w:r>
            <w:r>
              <w:rPr>
                <w:rFonts w:hint="eastAsia" w:ascii="宋体" w:hAnsi="宋体" w:cs="宋体"/>
                <w:szCs w:val="21"/>
              </w:rPr>
              <w:t>设置，为</w:t>
            </w:r>
            <w:r>
              <w:rPr>
                <w:rFonts w:hint="eastAsia" w:ascii="宋体" w:hAnsi="宋体" w:cs="宋体"/>
                <w:szCs w:val="21"/>
                <w:u w:val="single"/>
              </w:rPr>
              <w:t>42951.60万元。</w:t>
            </w:r>
            <w:r>
              <w:rPr>
                <w:rFonts w:hint="eastAsia" w:ascii="宋体" w:hAnsi="宋体" w:cs="宋体"/>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CellMar>
            <w:top w:w="0" w:type="dxa"/>
            <w:left w:w="108" w:type="dxa"/>
            <w:bottom w:w="0" w:type="dxa"/>
            <w:right w:w="108" w:type="dxa"/>
          </w:tblCellMar>
        </w:tblPrEx>
        <w:trPr>
          <w:trHeight w:val="410" w:hRule="atLeast"/>
        </w:trPr>
        <w:tc>
          <w:tcPr>
            <w:tcW w:w="8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w:t>
            </w:r>
          </w:p>
        </w:tc>
        <w:tc>
          <w:tcPr>
            <w:tcW w:w="220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lang w:bidi="ar"/>
              </w:rPr>
              <w:t>招标人对中标人参与“百千万工程”的具体要求</w:t>
            </w:r>
          </w:p>
        </w:tc>
        <w:tc>
          <w:tcPr>
            <w:tcW w:w="614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lang w:bidi="ar"/>
              </w:rPr>
            </w:pPr>
            <w:r>
              <w:rPr>
                <w:rFonts w:hint="eastAsia" w:ascii="宋体" w:hAnsi="宋体" w:cs="宋体"/>
                <w:szCs w:val="21"/>
              </w:rPr>
              <w:t>■</w:t>
            </w:r>
            <w:r>
              <w:rPr>
                <w:rFonts w:hint="eastAsia" w:ascii="宋体" w:hAnsi="宋体" w:cs="宋体"/>
                <w:szCs w:val="21"/>
                <w:lang w:bidi="ar"/>
              </w:rPr>
              <w:t>具体要求在中标后按照投标承诺和招标人的要求执行。</w:t>
            </w:r>
          </w:p>
          <w:p>
            <w:pPr>
              <w:rPr>
                <w:rFonts w:hint="eastAsia" w:ascii="宋体" w:hAnsi="宋体" w:cs="宋体"/>
                <w:szCs w:val="21"/>
              </w:rPr>
            </w:pPr>
            <w:r>
              <w:rPr>
                <w:rFonts w:hint="eastAsia" w:ascii="宋体" w:hAnsi="宋体" w:cs="宋体"/>
                <w:szCs w:val="21"/>
                <w:lang w:bidi="ar"/>
              </w:rPr>
              <w:t>□具体要求：（由招标人填写）</w:t>
            </w:r>
          </w:p>
        </w:tc>
      </w:tr>
      <w:tr>
        <w:tblPrEx>
          <w:tblCellMar>
            <w:top w:w="0" w:type="dxa"/>
            <w:left w:w="108" w:type="dxa"/>
            <w:bottom w:w="0" w:type="dxa"/>
            <w:right w:w="108" w:type="dxa"/>
          </w:tblCellMar>
        </w:tblPrEx>
        <w:trPr>
          <w:trHeight w:val="454"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b/>
                <w:szCs w:val="21"/>
              </w:rPr>
            </w:pPr>
            <w:r>
              <w:rPr>
                <w:rFonts w:hint="eastAsia" w:ascii="宋体" w:hAnsi="宋体" w:cs="宋体"/>
                <w:b/>
                <w:szCs w:val="21"/>
              </w:rPr>
              <w:t>9</w:t>
            </w:r>
          </w:p>
        </w:tc>
        <w:tc>
          <w:tcPr>
            <w:tcW w:w="832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b/>
                <w:szCs w:val="21"/>
              </w:rPr>
            </w:pPr>
            <w:r>
              <w:rPr>
                <w:rFonts w:hint="eastAsia" w:ascii="宋体" w:hAnsi="宋体" w:cs="宋体"/>
                <w:b/>
                <w:szCs w:val="21"/>
              </w:rPr>
              <w:t>需要补充的其他内容</w:t>
            </w:r>
          </w:p>
        </w:tc>
      </w:tr>
      <w:tr>
        <w:tblPrEx>
          <w:tblCellMar>
            <w:top w:w="0" w:type="dxa"/>
            <w:left w:w="108" w:type="dxa"/>
            <w:bottom w:w="0" w:type="dxa"/>
            <w:right w:w="108" w:type="dxa"/>
          </w:tblCellMar>
        </w:tblPrEx>
        <w:trPr>
          <w:trHeight w:val="1310"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b/>
                <w:szCs w:val="21"/>
              </w:rPr>
            </w:pPr>
            <w:r>
              <w:rPr>
                <w:rFonts w:hint="eastAsia" w:ascii="宋体" w:hAnsi="宋体" w:cs="宋体"/>
                <w:bCs/>
                <w:szCs w:val="21"/>
              </w:rPr>
              <w:t>9.1</w:t>
            </w:r>
          </w:p>
        </w:tc>
        <w:tc>
          <w:tcPr>
            <w:tcW w:w="8329"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kern w:val="0"/>
                <w:szCs w:val="21"/>
              </w:rPr>
            </w:pPr>
            <w:r>
              <w:rPr>
                <w:rFonts w:hint="eastAsia" w:ascii="宋体" w:hAnsi="宋体" w:cs="宋体"/>
                <w:kern w:val="0"/>
                <w:szCs w:val="21"/>
              </w:rPr>
              <w:t>建设工程质量检测单位：</w:t>
            </w:r>
          </w:p>
          <w:p>
            <w:pPr>
              <w:snapToGrid w:val="0"/>
              <w:jc w:val="left"/>
              <w:rPr>
                <w:rFonts w:hint="eastAsia" w:ascii="宋体" w:hAnsi="宋体" w:cs="宋体"/>
                <w:b/>
                <w:szCs w:val="21"/>
              </w:rPr>
            </w:pPr>
            <w:r>
              <w:rPr>
                <w:rFonts w:hint="eastAsia" w:ascii="宋体" w:hAnsi="宋体" w:cs="宋体"/>
                <w:kern w:val="0"/>
                <w:szCs w:val="21"/>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CellMar>
            <w:top w:w="0" w:type="dxa"/>
            <w:left w:w="108" w:type="dxa"/>
            <w:bottom w:w="0" w:type="dxa"/>
            <w:right w:w="108" w:type="dxa"/>
          </w:tblCellMar>
        </w:tblPrEx>
        <w:trPr>
          <w:trHeight w:val="454"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9.2</w:t>
            </w:r>
          </w:p>
        </w:tc>
        <w:tc>
          <w:tcPr>
            <w:tcW w:w="832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施工保修期限：按照《建设工程质量管理条例》规定。</w:t>
            </w:r>
          </w:p>
        </w:tc>
      </w:tr>
      <w:tr>
        <w:tblPrEx>
          <w:tblCellMar>
            <w:top w:w="0" w:type="dxa"/>
            <w:left w:w="108" w:type="dxa"/>
            <w:bottom w:w="0" w:type="dxa"/>
            <w:right w:w="108" w:type="dxa"/>
          </w:tblCellMar>
        </w:tblPrEx>
        <w:trPr>
          <w:trHeight w:val="454"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Cs w:val="21"/>
              </w:rPr>
            </w:pPr>
            <w:r>
              <w:rPr>
                <w:rFonts w:hint="eastAsia" w:ascii="宋体" w:hAnsi="宋体" w:cs="宋体"/>
                <w:kern w:val="0"/>
                <w:szCs w:val="21"/>
              </w:rPr>
              <w:t>9.3</w:t>
            </w:r>
          </w:p>
        </w:tc>
        <w:tc>
          <w:tcPr>
            <w:tcW w:w="8329"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kern w:val="1"/>
                <w:szCs w:val="21"/>
              </w:rPr>
            </w:pPr>
            <w:r>
              <w:rPr>
                <w:rFonts w:hint="eastAsia" w:ascii="宋体" w:hAnsi="宋体" w:cs="宋体"/>
                <w:kern w:val="1"/>
                <w:szCs w:val="21"/>
              </w:rPr>
              <w:t>承包方式：包勘察、包设计、包工、包料、包设备、包工期、包质量、包造价控制、包安全、包文明施工、包项目协调管理、包验收移交、包竣工资料收集整理、包保修。</w:t>
            </w:r>
          </w:p>
          <w:p>
            <w:pPr>
              <w:rPr>
                <w:rFonts w:hint="eastAsia" w:ascii="宋体" w:hAnsi="宋体" w:cs="宋体"/>
                <w:szCs w:val="21"/>
              </w:rPr>
            </w:pPr>
            <w:r>
              <w:rPr>
                <w:rFonts w:hint="eastAsia" w:ascii="宋体" w:hAnsi="宋体" w:cs="宋体"/>
                <w:szCs w:val="21"/>
              </w:rPr>
              <w:t>本工程实行全过程限额设计施工，限额投资。工程变更需经过建设单位审定后方可实施。</w:t>
            </w:r>
          </w:p>
        </w:tc>
      </w:tr>
      <w:tr>
        <w:tblPrEx>
          <w:tblCellMar>
            <w:top w:w="0" w:type="dxa"/>
            <w:left w:w="108" w:type="dxa"/>
            <w:bottom w:w="0" w:type="dxa"/>
            <w:right w:w="108" w:type="dxa"/>
          </w:tblCellMar>
        </w:tblPrEx>
        <w:trPr>
          <w:trHeight w:val="454"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Cs w:val="21"/>
              </w:rPr>
            </w:pPr>
            <w:r>
              <w:rPr>
                <w:rFonts w:hint="eastAsia" w:ascii="宋体" w:hAnsi="宋体" w:cs="宋体"/>
                <w:kern w:val="0"/>
                <w:szCs w:val="21"/>
              </w:rPr>
              <w:t>9.4</w:t>
            </w:r>
          </w:p>
        </w:tc>
        <w:tc>
          <w:tcPr>
            <w:tcW w:w="8329" w:type="dxa"/>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szCs w:val="21"/>
              </w:rPr>
            </w:pPr>
            <w:r>
              <w:rPr>
                <w:rFonts w:hint="eastAsia" w:ascii="宋体" w:hAnsi="宋体" w:cs="宋体"/>
                <w:szCs w:val="21"/>
              </w:rPr>
              <w:t>项目的监理、施工图审查、第三方检测工作、造价咨询工作不列入本次招标范围。</w:t>
            </w:r>
          </w:p>
        </w:tc>
      </w:tr>
      <w:tr>
        <w:tblPrEx>
          <w:tblCellMar>
            <w:top w:w="0" w:type="dxa"/>
            <w:left w:w="108" w:type="dxa"/>
            <w:bottom w:w="0" w:type="dxa"/>
            <w:right w:w="108" w:type="dxa"/>
          </w:tblCellMar>
        </w:tblPrEx>
        <w:trPr>
          <w:trHeight w:val="454"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9.5</w:t>
            </w:r>
          </w:p>
        </w:tc>
        <w:tc>
          <w:tcPr>
            <w:tcW w:w="8329" w:type="dxa"/>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szCs w:val="21"/>
              </w:rPr>
            </w:pPr>
            <w:r>
              <w:rPr>
                <w:rFonts w:hint="eastAsia" w:ascii="宋体" w:hAnsi="宋体" w:cs="宋体"/>
                <w:szCs w:val="21"/>
              </w:rPr>
              <w:t>招标人向投标人提供的有关现场的数据和资料，是招标人现有的能被投标人利用的资料，一切以投标人实际踏勘现场情况为准，招标人对投标人做出的任何推论、理解和结论均不负责任。</w:t>
            </w:r>
          </w:p>
        </w:tc>
      </w:tr>
      <w:tr>
        <w:tblPrEx>
          <w:tblCellMar>
            <w:top w:w="0" w:type="dxa"/>
            <w:left w:w="108" w:type="dxa"/>
            <w:bottom w:w="0" w:type="dxa"/>
            <w:right w:w="108" w:type="dxa"/>
          </w:tblCellMar>
        </w:tblPrEx>
        <w:trPr>
          <w:trHeight w:val="454"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9.6</w:t>
            </w:r>
          </w:p>
        </w:tc>
        <w:tc>
          <w:tcPr>
            <w:tcW w:w="8329" w:type="dxa"/>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szCs w:val="21"/>
              </w:rPr>
            </w:pPr>
            <w:r>
              <w:rPr>
                <w:rFonts w:hint="eastAsia" w:ascii="宋体" w:hAnsi="宋体" w:cs="宋体"/>
                <w:szCs w:val="21"/>
              </w:rPr>
              <w:t>1、中标人按招标人通知规定的日期及《广州市发展改革委转发省发展改革委关于规范公共资源交易服务收费及有关问题的通知》（穗发改〔2017〕811号）文件的规定，向广州交易集团有限公司（广州公共资源交易中心）代缴交易服务费，其费用包含在中标人投标报价中，招标人不另行支付。</w:t>
            </w:r>
          </w:p>
          <w:p>
            <w:pPr>
              <w:widowControl/>
              <w:rPr>
                <w:rFonts w:hint="eastAsia"/>
              </w:rPr>
            </w:pPr>
            <w:r>
              <w:rPr>
                <w:rFonts w:hint="eastAsia" w:ascii="宋体" w:hAnsi="宋体" w:cs="宋体"/>
                <w:szCs w:val="21"/>
              </w:rPr>
              <w:t>2、项目中标后，中标单位必须提供与电子投标文件一致的纸质投标文件2套，并加盖公章。</w:t>
            </w:r>
          </w:p>
        </w:tc>
      </w:tr>
      <w:tr>
        <w:tblPrEx>
          <w:tblCellMar>
            <w:top w:w="0" w:type="dxa"/>
            <w:left w:w="108" w:type="dxa"/>
            <w:bottom w:w="0" w:type="dxa"/>
            <w:right w:w="108" w:type="dxa"/>
          </w:tblCellMar>
        </w:tblPrEx>
        <w:trPr>
          <w:trHeight w:val="567"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10</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电子招标投标</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□否</w:t>
            </w:r>
          </w:p>
          <w:p>
            <w:pPr>
              <w:snapToGrid w:val="0"/>
              <w:rPr>
                <w:rFonts w:hint="eastAsia" w:ascii="宋体" w:hAnsi="宋体" w:cs="宋体"/>
                <w:szCs w:val="21"/>
              </w:rPr>
            </w:pPr>
            <w:r>
              <w:rPr>
                <w:rFonts w:hint="eastAsia" w:ascii="宋体" w:hAnsi="宋体" w:cs="宋体"/>
                <w:szCs w:val="21"/>
              </w:rPr>
              <w:t>■是，具体要求：</w:t>
            </w:r>
          </w:p>
          <w:p>
            <w:pPr>
              <w:pStyle w:val="31"/>
              <w:spacing w:before="0" w:after="0"/>
              <w:rPr>
                <w:rFonts w:hint="eastAsia" w:ascii="宋体" w:hAnsi="宋体" w:cs="宋体"/>
                <w:b w:val="0"/>
                <w:sz w:val="21"/>
                <w:szCs w:val="21"/>
              </w:rPr>
            </w:pPr>
            <w:r>
              <w:rPr>
                <w:rFonts w:hint="eastAsia" w:ascii="宋体" w:hAnsi="宋体" w:cs="宋体"/>
                <w:b w:val="0"/>
                <w:sz w:val="21"/>
                <w:szCs w:val="21"/>
              </w:rPr>
              <w:t>1、投标文件形式：投标文件全部采用电子文档，投标文件应按广州交易集团有限公司（广州公共资源交易中心）数字交易平台相关操作指南编制。如不按上述要求编制引起系统无法检索、读取相关信息的，其后果由投标人承担。投标文件所附证书证件均为清晰扫描件，并采用单位数字证书，按招标文件要求在相应位置加盖电子印章（设计方案投标文件除外）。投标文件中需个人签字或盖章的，应加盖个人电子印章或在线下完成后扫描上传（设计方案投标文件除外）。具体操作详见广州交易集团有限公司（广州公共资源交易中心）数字交易平台相关操作指南。</w:t>
            </w:r>
          </w:p>
          <w:p>
            <w:pPr>
              <w:pStyle w:val="31"/>
              <w:spacing w:before="0" w:after="0"/>
              <w:rPr>
                <w:rFonts w:hint="eastAsia" w:ascii="宋体" w:hAnsi="宋体" w:cs="宋体"/>
                <w:b w:val="0"/>
                <w:sz w:val="21"/>
                <w:szCs w:val="21"/>
              </w:rPr>
            </w:pPr>
            <w:r>
              <w:rPr>
                <w:rFonts w:hint="eastAsia" w:ascii="宋体" w:hAnsi="宋体" w:cs="宋体"/>
                <w:b w:val="0"/>
                <w:sz w:val="21"/>
                <w:szCs w:val="21"/>
              </w:rPr>
              <w:t>2、投标文件的修改与撤回：投标人修改或撤回已递交的投标文件，需在广州交易集团有限公司（广州公共资源交易中心）数字交易平台发出撤回通知，并按要求加盖电子印章。电子招标投标数字交易平台收到通知后，即时向投标人发出确认回执通知。</w:t>
            </w:r>
          </w:p>
          <w:p>
            <w:pPr>
              <w:pStyle w:val="31"/>
              <w:spacing w:before="0" w:after="0"/>
              <w:rPr>
                <w:rFonts w:hint="eastAsia" w:ascii="宋体" w:hAnsi="宋体" w:cs="宋体"/>
                <w:b w:val="0"/>
                <w:sz w:val="21"/>
                <w:szCs w:val="21"/>
              </w:rPr>
            </w:pPr>
            <w:r>
              <w:rPr>
                <w:rFonts w:hint="eastAsia" w:ascii="宋体" w:hAnsi="宋体" w:cs="宋体"/>
                <w:b w:val="0"/>
                <w:sz w:val="21"/>
                <w:szCs w:val="21"/>
              </w:rPr>
              <w:t>3、（重要风险提示）备用光盘或u盘。投标人可使用投标文件制作工具生成非加密的电子投标文件载入光盘或u盘（载体形式由投标人自选），在规定的时间、地点提交备用。递交的投标文件光盘或u盘（备用）不得加密。光盘或u盘（备用投标文件）无法读取或导入的，则视为未提交投标文件光盘或u盘（备用）。如果投标人没有按规定通过广州交易集团有限公司（广州公共资源交易中心）数字交易平台网上递交电子投标文件的，不再读取提交的光盘或u盘。投标人也可不提交投标文件光盘或u盘（备用）。</w:t>
            </w:r>
          </w:p>
          <w:p>
            <w:pPr>
              <w:pStyle w:val="31"/>
              <w:spacing w:before="0" w:after="0"/>
              <w:rPr>
                <w:rFonts w:hint="eastAsia" w:ascii="宋体" w:hAnsi="宋体" w:cs="宋体"/>
                <w:b w:val="0"/>
                <w:sz w:val="21"/>
                <w:szCs w:val="21"/>
              </w:rPr>
            </w:pPr>
            <w:r>
              <w:rPr>
                <w:rFonts w:hint="eastAsia" w:ascii="宋体" w:hAnsi="宋体" w:cs="宋体"/>
                <w:b w:val="0"/>
                <w:sz w:val="21"/>
                <w:szCs w:val="21"/>
              </w:rPr>
              <w:t>4、投标文件及定标文件的递交：</w:t>
            </w:r>
          </w:p>
          <w:p>
            <w:pPr>
              <w:pStyle w:val="31"/>
              <w:spacing w:before="0" w:after="0"/>
              <w:rPr>
                <w:rFonts w:hint="eastAsia" w:ascii="宋体" w:hAnsi="宋体" w:cs="宋体"/>
                <w:b w:val="0"/>
                <w:sz w:val="21"/>
                <w:szCs w:val="21"/>
              </w:rPr>
            </w:pPr>
            <w:r>
              <w:rPr>
                <w:rFonts w:hint="eastAsia" w:ascii="宋体" w:hAnsi="宋体" w:cs="宋体"/>
                <w:b w:val="0"/>
                <w:sz w:val="21"/>
                <w:szCs w:val="21"/>
              </w:rPr>
              <w:t>①投标文件及定标文件递交的截止时间（投标截止时间，下同）为</w:t>
            </w:r>
            <w:r>
              <w:rPr>
                <w:rFonts w:hint="eastAsia" w:ascii="宋体" w:hAnsi="宋体" w:cs="宋体"/>
                <w:b w:val="0"/>
                <w:sz w:val="21"/>
                <w:szCs w:val="21"/>
                <w:u w:val="single"/>
              </w:rPr>
              <w:t xml:space="preserve">     年  月  日  时  分</w:t>
            </w:r>
            <w:r>
              <w:rPr>
                <w:rFonts w:hint="eastAsia" w:ascii="宋体" w:hAnsi="宋体" w:cs="宋体"/>
                <w:b w:val="0"/>
                <w:sz w:val="21"/>
                <w:szCs w:val="21"/>
              </w:rPr>
              <w:t>，投标人应在截止时间前通过电子招标投标交易平台递交电子投标文件。</w:t>
            </w:r>
          </w:p>
          <w:p>
            <w:pPr>
              <w:pStyle w:val="31"/>
              <w:spacing w:before="0" w:after="0"/>
              <w:rPr>
                <w:rFonts w:hint="eastAsia" w:ascii="宋体" w:hAnsi="宋体" w:cs="宋体"/>
                <w:sz w:val="21"/>
                <w:szCs w:val="21"/>
              </w:rPr>
            </w:pPr>
            <w:r>
              <w:rPr>
                <w:rFonts w:hint="eastAsia" w:ascii="宋体" w:hAnsi="宋体" w:cs="宋体"/>
                <w:sz w:val="21"/>
                <w:szCs w:val="21"/>
              </w:rPr>
              <w:t>②提交投标文件及定标文件备用光盘或u盘。</w:t>
            </w:r>
          </w:p>
          <w:p>
            <w:pPr>
              <w:pStyle w:val="31"/>
              <w:spacing w:before="0" w:after="0"/>
              <w:rPr>
                <w:rFonts w:hint="eastAsia" w:ascii="宋体" w:hAnsi="宋体" w:cs="宋体"/>
                <w:sz w:val="21"/>
                <w:szCs w:val="21"/>
              </w:rPr>
            </w:pPr>
            <w:r>
              <w:rPr>
                <w:rFonts w:hint="eastAsia" w:ascii="宋体" w:hAnsi="宋体" w:cs="宋体"/>
                <w:sz w:val="21"/>
                <w:szCs w:val="21"/>
              </w:rPr>
              <w:t>投标文件及定标文件光盘或u盘(备用)递交时间：</w:t>
            </w:r>
            <w:r>
              <w:rPr>
                <w:rFonts w:hint="eastAsia" w:ascii="宋体" w:hAnsi="宋体" w:cs="宋体"/>
                <w:sz w:val="21"/>
                <w:szCs w:val="21"/>
                <w:u w:val="single"/>
              </w:rPr>
              <w:t xml:space="preserve">    年  月  日  时  分至    年  月  日  时  分</w:t>
            </w:r>
            <w:r>
              <w:rPr>
                <w:rFonts w:hint="eastAsia" w:ascii="宋体" w:hAnsi="宋体" w:cs="宋体"/>
                <w:sz w:val="21"/>
                <w:szCs w:val="21"/>
              </w:rPr>
              <w:t>，地点：</w:t>
            </w:r>
            <w:r>
              <w:rPr>
                <w:rFonts w:hint="eastAsia" w:ascii="宋体" w:hAnsi="宋体" w:cs="宋体"/>
                <w:sz w:val="21"/>
                <w:szCs w:val="21"/>
                <w:u w:val="single"/>
              </w:rPr>
              <w:t>广州交易集团有限公司（广州公共资源交易中心）指定开标室</w:t>
            </w:r>
            <w:r>
              <w:rPr>
                <w:rFonts w:hint="eastAsia" w:ascii="宋体" w:hAnsi="宋体" w:cs="宋体"/>
                <w:sz w:val="21"/>
                <w:szCs w:val="21"/>
              </w:rPr>
              <w:t>。</w:t>
            </w:r>
          </w:p>
          <w:p>
            <w:pPr>
              <w:pStyle w:val="31"/>
              <w:spacing w:before="0" w:after="0"/>
              <w:rPr>
                <w:rFonts w:hint="eastAsia" w:ascii="宋体" w:hAnsi="宋体" w:cs="宋体"/>
                <w:b w:val="0"/>
                <w:sz w:val="21"/>
                <w:szCs w:val="21"/>
              </w:rPr>
            </w:pPr>
            <w:r>
              <w:rPr>
                <w:rFonts w:hint="eastAsia" w:ascii="宋体" w:hAnsi="宋体" w:cs="宋体"/>
                <w:b w:val="0"/>
                <w:sz w:val="21"/>
                <w:szCs w:val="21"/>
              </w:rPr>
              <w:t>③投标人完成电子投标上传后，电子招标投标交易平台即时向投标人发出递交回执通知。递交时间以递交回执通知载明的传输时间为准。</w:t>
            </w:r>
          </w:p>
          <w:p>
            <w:pPr>
              <w:pStyle w:val="31"/>
              <w:spacing w:before="0" w:after="0"/>
              <w:rPr>
                <w:rFonts w:hint="eastAsia" w:ascii="宋体" w:hAnsi="宋体" w:cs="宋体"/>
                <w:b w:val="0"/>
                <w:sz w:val="21"/>
                <w:szCs w:val="21"/>
              </w:rPr>
            </w:pPr>
            <w:r>
              <w:rPr>
                <w:rFonts w:hint="eastAsia" w:ascii="宋体" w:hAnsi="宋体" w:cs="宋体"/>
                <w:b w:val="0"/>
                <w:sz w:val="21"/>
                <w:szCs w:val="21"/>
              </w:rPr>
              <w:t>④逾期送达的投标文件，电子招标投标交易平台将予以拒收。</w:t>
            </w:r>
          </w:p>
          <w:p>
            <w:pPr>
              <w:pStyle w:val="31"/>
              <w:spacing w:before="0" w:after="0"/>
              <w:rPr>
                <w:rFonts w:hint="eastAsia" w:ascii="宋体" w:hAnsi="宋体" w:cs="宋体"/>
                <w:b w:val="0"/>
                <w:sz w:val="21"/>
                <w:szCs w:val="21"/>
              </w:rPr>
            </w:pPr>
            <w:r>
              <w:rPr>
                <w:rFonts w:hint="eastAsia" w:ascii="宋体" w:hAnsi="宋体" w:cs="宋体"/>
                <w:b w:val="0"/>
                <w:sz w:val="21"/>
                <w:szCs w:val="21"/>
              </w:rPr>
              <w:t>5、投标文件加密要求：</w:t>
            </w:r>
          </w:p>
          <w:p>
            <w:pPr>
              <w:pStyle w:val="31"/>
              <w:spacing w:before="0" w:after="0"/>
              <w:rPr>
                <w:rFonts w:hint="eastAsia" w:ascii="宋体" w:hAnsi="宋体" w:cs="宋体"/>
                <w:b w:val="0"/>
                <w:sz w:val="21"/>
                <w:szCs w:val="21"/>
              </w:rPr>
            </w:pPr>
            <w:r>
              <w:rPr>
                <w:rFonts w:hint="eastAsia" w:ascii="宋体" w:hAnsi="宋体" w:cs="宋体"/>
                <w:b w:val="0"/>
                <w:sz w:val="21"/>
                <w:szCs w:val="21"/>
              </w:rPr>
              <w:t>①网上递交的电子投标文件须进行加密。具体操作详见广州交易集团有限公司（广州公共资源交易中心）数字交易平台相关操作指南。</w:t>
            </w:r>
          </w:p>
          <w:p>
            <w:pPr>
              <w:pStyle w:val="31"/>
              <w:spacing w:before="0" w:after="0"/>
              <w:rPr>
                <w:rFonts w:hint="eastAsia" w:ascii="宋体" w:hAnsi="宋体" w:cs="宋体"/>
                <w:b w:val="0"/>
                <w:sz w:val="21"/>
                <w:szCs w:val="21"/>
              </w:rPr>
            </w:pPr>
            <w:r>
              <w:rPr>
                <w:rFonts w:hint="eastAsia" w:ascii="宋体" w:hAnsi="宋体" w:cs="宋体"/>
                <w:b w:val="0"/>
                <w:sz w:val="21"/>
                <w:szCs w:val="21"/>
              </w:rPr>
              <w:t>②未按要求加密的投标文件，招标人将予以拒收。</w:t>
            </w:r>
          </w:p>
          <w:p>
            <w:pPr>
              <w:pStyle w:val="31"/>
              <w:spacing w:before="0" w:after="0"/>
              <w:rPr>
                <w:rFonts w:hint="eastAsia" w:ascii="宋体" w:hAnsi="宋体" w:cs="宋体"/>
                <w:b w:val="0"/>
                <w:sz w:val="21"/>
                <w:szCs w:val="21"/>
              </w:rPr>
            </w:pPr>
            <w:r>
              <w:rPr>
                <w:rFonts w:hint="eastAsia" w:ascii="宋体" w:hAnsi="宋体" w:cs="宋体"/>
                <w:b w:val="0"/>
                <w:sz w:val="21"/>
                <w:szCs w:val="21"/>
              </w:rPr>
              <w:t>6、补救方案</w:t>
            </w:r>
          </w:p>
          <w:p>
            <w:pPr>
              <w:pStyle w:val="31"/>
              <w:spacing w:before="0" w:after="0"/>
              <w:rPr>
                <w:rFonts w:hint="eastAsia" w:ascii="宋体" w:hAnsi="宋体" w:cs="宋体"/>
                <w:b w:val="0"/>
                <w:sz w:val="21"/>
                <w:szCs w:val="21"/>
              </w:rPr>
            </w:pPr>
            <w:r>
              <w:rPr>
                <w:rFonts w:hint="eastAsia" w:ascii="宋体" w:hAnsi="宋体" w:cs="宋体"/>
                <w:b w:val="0"/>
                <w:sz w:val="21"/>
                <w:szCs w:val="21"/>
              </w:rPr>
              <w:t>（1）投标文件解密失败的补救方案：</w:t>
            </w:r>
          </w:p>
          <w:p>
            <w:pPr>
              <w:pStyle w:val="31"/>
              <w:spacing w:before="0" w:after="0"/>
              <w:rPr>
                <w:rFonts w:hint="eastAsia" w:ascii="宋体" w:hAnsi="宋体" w:cs="宋体"/>
                <w:b w:val="0"/>
                <w:sz w:val="21"/>
                <w:szCs w:val="21"/>
              </w:rPr>
            </w:pPr>
            <w:r>
              <w:rPr>
                <w:rFonts w:hint="eastAsia" w:ascii="宋体" w:hAnsi="宋体" w:cs="宋体"/>
                <w:b w:val="0"/>
                <w:sz w:val="21"/>
                <w:szCs w:val="21"/>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原因解密失败且未递交电子光盘或递交的电子光盘不能读取的，视为撤回投标文件。</w:t>
            </w:r>
          </w:p>
          <w:p>
            <w:pPr>
              <w:pStyle w:val="31"/>
              <w:spacing w:before="0" w:after="0"/>
              <w:rPr>
                <w:rFonts w:hint="eastAsia" w:ascii="宋体" w:hAnsi="宋体" w:cs="宋体"/>
                <w:b w:val="0"/>
                <w:sz w:val="21"/>
                <w:szCs w:val="21"/>
              </w:rPr>
            </w:pPr>
            <w:r>
              <w:rPr>
                <w:rFonts w:hint="eastAsia" w:ascii="宋体" w:hAnsi="宋体" w:cs="宋体"/>
                <w:b w:val="0"/>
                <w:sz w:val="21"/>
                <w:szCs w:val="21"/>
              </w:rPr>
              <w:t>（2）评标时突发情况的补救方案</w:t>
            </w:r>
          </w:p>
          <w:p>
            <w:pPr>
              <w:pStyle w:val="31"/>
              <w:spacing w:before="0" w:after="0"/>
              <w:rPr>
                <w:rFonts w:hint="eastAsia" w:ascii="宋体" w:hAnsi="宋体" w:cs="宋体"/>
                <w:b w:val="0"/>
                <w:sz w:val="21"/>
                <w:szCs w:val="21"/>
              </w:rPr>
            </w:pPr>
            <w:r>
              <w:rPr>
                <w:rFonts w:hint="eastAsia" w:ascii="宋体" w:hAnsi="宋体" w:cs="宋体"/>
                <w:b w:val="0"/>
                <w:sz w:val="21"/>
                <w:szCs w:val="21"/>
              </w:rPr>
              <w:t>若遇不可抗力发生（如：网络瘫痪、服务器损坏、交易系统故障短期无法恢复等因素），由评标委员会开启递交的投标文件光盘，并按光盘内容进行评审。</w:t>
            </w:r>
          </w:p>
          <w:p>
            <w:pPr>
              <w:pStyle w:val="31"/>
              <w:spacing w:before="0" w:after="0"/>
              <w:rPr>
                <w:rFonts w:hint="eastAsia" w:ascii="宋体" w:hAnsi="宋体" w:cs="宋体"/>
                <w:b w:val="0"/>
                <w:sz w:val="21"/>
                <w:szCs w:val="21"/>
              </w:rPr>
            </w:pPr>
            <w:r>
              <w:rPr>
                <w:rFonts w:hint="eastAsia" w:ascii="宋体" w:hAnsi="宋体" w:cs="宋体"/>
                <w:b w:val="0"/>
                <w:sz w:val="21"/>
                <w:szCs w:val="21"/>
              </w:rPr>
              <w:t>（3）除发生上述情况外，开标评标均以投标人通过交易平台网上递交的电子投标文件为准。</w:t>
            </w:r>
          </w:p>
        </w:tc>
      </w:tr>
      <w:tr>
        <w:tblPrEx>
          <w:tblCellMar>
            <w:top w:w="0" w:type="dxa"/>
            <w:left w:w="108" w:type="dxa"/>
            <w:bottom w:w="0" w:type="dxa"/>
            <w:right w:w="108" w:type="dxa"/>
          </w:tblCellMar>
        </w:tblPrEx>
        <w:trPr>
          <w:trHeight w:val="567"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10.1</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投标人不得存在的情形</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投标人不得存在的情形以《投标人声明》第三点的规定为准。</w:t>
            </w:r>
          </w:p>
        </w:tc>
      </w:tr>
      <w:tr>
        <w:tblPrEx>
          <w:tblCellMar>
            <w:top w:w="0" w:type="dxa"/>
            <w:left w:w="108" w:type="dxa"/>
            <w:bottom w:w="0" w:type="dxa"/>
            <w:right w:w="108" w:type="dxa"/>
          </w:tblCellMar>
        </w:tblPrEx>
        <w:trPr>
          <w:trHeight w:val="354"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10.2</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特别提示</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投标人在本项目招标人的工程项目中存在下列行为的，将被拒绝12个月内参与招标人后续工程投标（注：拒绝投标时限自招标人发出处罚通知之日起计）：</w:t>
            </w:r>
          </w:p>
          <w:p>
            <w:pPr>
              <w:snapToGrid w:val="0"/>
              <w:rPr>
                <w:rFonts w:hint="eastAsia" w:ascii="宋体" w:hAnsi="宋体" w:cs="宋体"/>
                <w:szCs w:val="21"/>
              </w:rPr>
            </w:pPr>
            <w:r>
              <w:rPr>
                <w:rFonts w:hint="eastAsia" w:ascii="宋体" w:hAnsi="宋体" w:cs="宋体"/>
                <w:szCs w:val="21"/>
              </w:rPr>
              <w:t>（1）将中标工程转包或者违法分包的;</w:t>
            </w:r>
          </w:p>
          <w:p>
            <w:pPr>
              <w:snapToGrid w:val="0"/>
              <w:rPr>
                <w:rFonts w:hint="eastAsia" w:ascii="宋体" w:hAnsi="宋体" w:cs="宋体"/>
                <w:szCs w:val="21"/>
              </w:rPr>
            </w:pPr>
            <w:r>
              <w:rPr>
                <w:rFonts w:hint="eastAsia" w:ascii="宋体" w:hAnsi="宋体" w:cs="宋体"/>
                <w:szCs w:val="21"/>
              </w:rPr>
              <w:t>（2）在中标工程中不执行质量、安全生产相关规定的，造成质量或安全事故的；</w:t>
            </w:r>
          </w:p>
          <w:p>
            <w:pPr>
              <w:snapToGrid w:val="0"/>
              <w:rPr>
                <w:rFonts w:hint="eastAsia" w:ascii="宋体" w:hAnsi="宋体" w:cs="宋体"/>
                <w:szCs w:val="21"/>
              </w:rPr>
            </w:pPr>
            <w:r>
              <w:rPr>
                <w:rFonts w:hint="eastAsia" w:ascii="宋体" w:hAnsi="宋体" w:cs="宋体"/>
                <w:szCs w:val="21"/>
              </w:rPr>
              <w:t>（3）出让投标资格的；</w:t>
            </w:r>
          </w:p>
          <w:p>
            <w:pPr>
              <w:snapToGrid w:val="0"/>
              <w:rPr>
                <w:rFonts w:hint="eastAsia" w:ascii="宋体" w:hAnsi="宋体" w:cs="宋体"/>
                <w:szCs w:val="21"/>
              </w:rPr>
            </w:pPr>
            <w:r>
              <w:rPr>
                <w:rFonts w:hint="eastAsia" w:ascii="宋体" w:hAnsi="宋体" w:cs="宋体"/>
                <w:szCs w:val="21"/>
              </w:rPr>
              <w:t>（4）存在围标或串标情形的;</w:t>
            </w:r>
          </w:p>
          <w:p>
            <w:pPr>
              <w:snapToGrid w:val="0"/>
              <w:rPr>
                <w:rFonts w:hint="eastAsia" w:ascii="宋体" w:hAnsi="宋体" w:cs="宋体"/>
                <w:szCs w:val="21"/>
              </w:rPr>
            </w:pPr>
            <w:r>
              <w:rPr>
                <w:rFonts w:hint="eastAsia" w:ascii="宋体" w:hAnsi="宋体" w:cs="宋体"/>
                <w:szCs w:val="21"/>
              </w:rPr>
              <w:t>（5）在投标文件中提供虚假材料的；</w:t>
            </w:r>
          </w:p>
          <w:p>
            <w:pPr>
              <w:snapToGrid w:val="0"/>
              <w:rPr>
                <w:rFonts w:hint="eastAsia" w:ascii="宋体" w:hAnsi="宋体" w:cs="宋体"/>
                <w:szCs w:val="21"/>
              </w:rPr>
            </w:pPr>
            <w:r>
              <w:rPr>
                <w:rFonts w:hint="eastAsia" w:ascii="宋体" w:hAnsi="宋体" w:cs="宋体"/>
                <w:szCs w:val="21"/>
              </w:rPr>
              <w:t>（6）存在少放、不放业绩、奖项等客观评审资料，减少自身竞争力情形的；</w:t>
            </w:r>
          </w:p>
          <w:p>
            <w:pPr>
              <w:snapToGrid w:val="0"/>
              <w:rPr>
                <w:rFonts w:hint="eastAsia" w:ascii="宋体" w:hAnsi="宋体" w:cs="宋体"/>
                <w:szCs w:val="21"/>
              </w:rPr>
            </w:pPr>
            <w:r>
              <w:rPr>
                <w:rFonts w:hint="eastAsia" w:ascii="宋体" w:hAnsi="宋体" w:cs="宋体"/>
                <w:szCs w:val="21"/>
              </w:rPr>
              <w:t>（7）存在行贿情形的;</w:t>
            </w:r>
          </w:p>
          <w:p>
            <w:pPr>
              <w:snapToGrid w:val="0"/>
              <w:rPr>
                <w:rFonts w:hint="eastAsia" w:ascii="宋体" w:hAnsi="宋体" w:cs="宋体"/>
                <w:szCs w:val="21"/>
              </w:rPr>
            </w:pPr>
            <w:r>
              <w:rPr>
                <w:rFonts w:hint="eastAsia" w:ascii="宋体" w:hAnsi="宋体" w:cs="宋体"/>
                <w:szCs w:val="21"/>
              </w:rPr>
              <w:t>（8）拖欠农民工工资的；</w:t>
            </w:r>
          </w:p>
          <w:p>
            <w:pPr>
              <w:snapToGrid w:val="0"/>
              <w:rPr>
                <w:rFonts w:hint="eastAsia" w:ascii="宋体" w:hAnsi="宋体" w:cs="宋体"/>
                <w:szCs w:val="21"/>
              </w:rPr>
            </w:pPr>
            <w:r>
              <w:rPr>
                <w:rFonts w:hint="eastAsia" w:ascii="宋体" w:hAnsi="宋体" w:cs="宋体"/>
                <w:szCs w:val="21"/>
              </w:rPr>
              <w:t>（9）未按照国家、省、市有关建筑施工实名制管理和工人工资支付分账管理的规定执行，被行政监管部门处罚的；</w:t>
            </w:r>
          </w:p>
          <w:p>
            <w:pPr>
              <w:snapToGrid w:val="0"/>
              <w:rPr>
                <w:rFonts w:hint="eastAsia" w:ascii="宋体" w:hAnsi="宋体" w:cs="宋体"/>
                <w:szCs w:val="21"/>
              </w:rPr>
            </w:pPr>
            <w:r>
              <w:rPr>
                <w:rFonts w:hint="eastAsia" w:ascii="宋体" w:hAnsi="宋体" w:cs="宋体"/>
                <w:szCs w:val="21"/>
              </w:rPr>
              <w:t>（10）中标人在项目实施过程中选取的专业分包单位或劳务企业或劳务班组长与投标时不一致的（如有）。</w:t>
            </w:r>
          </w:p>
        </w:tc>
      </w:tr>
      <w:tr>
        <w:tblPrEx>
          <w:tblCellMar>
            <w:top w:w="0" w:type="dxa"/>
            <w:left w:w="108" w:type="dxa"/>
            <w:bottom w:w="0" w:type="dxa"/>
            <w:right w:w="108" w:type="dxa"/>
          </w:tblCellMar>
        </w:tblPrEx>
        <w:trPr>
          <w:trHeight w:val="567"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10.3</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招标失败的情形</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本项目满足资格审查、工程总承包实施方案（含资格审查文件）投标文件有效性审查、设计投标文件有效性审查的投标人不足3名时为招标失败。招标人分析招标失败原因，修正招标方案，报有关管理部门核准后，重新组织招标。</w:t>
            </w:r>
          </w:p>
        </w:tc>
      </w:tr>
      <w:tr>
        <w:tblPrEx>
          <w:tblCellMar>
            <w:top w:w="0" w:type="dxa"/>
            <w:left w:w="108" w:type="dxa"/>
            <w:bottom w:w="0" w:type="dxa"/>
            <w:right w:w="108" w:type="dxa"/>
          </w:tblCellMar>
        </w:tblPrEx>
        <w:trPr>
          <w:trHeight w:val="640"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11</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施工负责人和安全员注意事项</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u w:val="single"/>
              </w:rPr>
            </w:pPr>
            <w:r>
              <w:rPr>
                <w:rFonts w:hint="eastAsia" w:ascii="宋体" w:hAnsi="宋体" w:cs="宋体"/>
                <w:szCs w:val="21"/>
              </w:rPr>
              <w:t>本工程施工负责人与专职安全员不得为同一人。</w:t>
            </w:r>
          </w:p>
        </w:tc>
      </w:tr>
      <w:tr>
        <w:tblPrEx>
          <w:tblCellMar>
            <w:top w:w="0" w:type="dxa"/>
            <w:left w:w="108" w:type="dxa"/>
            <w:bottom w:w="0" w:type="dxa"/>
            <w:right w:w="108" w:type="dxa"/>
          </w:tblCellMar>
        </w:tblPrEx>
        <w:trPr>
          <w:trHeight w:val="608"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12</w:t>
            </w:r>
          </w:p>
        </w:tc>
        <w:tc>
          <w:tcPr>
            <w:tcW w:w="21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施工实名制</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按相关部门最新文件执行</w:t>
            </w:r>
          </w:p>
        </w:tc>
      </w:tr>
      <w:tr>
        <w:tblPrEx>
          <w:tblCellMar>
            <w:top w:w="0" w:type="dxa"/>
            <w:left w:w="108" w:type="dxa"/>
            <w:bottom w:w="0" w:type="dxa"/>
            <w:right w:w="108" w:type="dxa"/>
          </w:tblCellMar>
        </w:tblPrEx>
        <w:trPr>
          <w:trHeight w:val="700"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13</w:t>
            </w:r>
          </w:p>
        </w:tc>
        <w:tc>
          <w:tcPr>
            <w:tcW w:w="21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工人工资分账管理</w:t>
            </w:r>
          </w:p>
        </w:tc>
        <w:tc>
          <w:tcPr>
            <w:tcW w:w="614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按相关部门最新文件执行</w:t>
            </w:r>
          </w:p>
        </w:tc>
      </w:tr>
      <w:tr>
        <w:tblPrEx>
          <w:tblCellMar>
            <w:top w:w="0" w:type="dxa"/>
            <w:left w:w="108" w:type="dxa"/>
            <w:bottom w:w="0" w:type="dxa"/>
            <w:right w:w="108" w:type="dxa"/>
          </w:tblCellMar>
        </w:tblPrEx>
        <w:trPr>
          <w:trHeight w:val="700"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hint="eastAsia" w:ascii="宋体" w:hAnsi="宋体" w:cs="宋体"/>
                <w:szCs w:val="21"/>
              </w:rPr>
            </w:pPr>
            <w:bookmarkStart w:id="13" w:name="_Toc14359"/>
            <w:bookmarkStart w:id="14" w:name="_Toc8989"/>
            <w:bookmarkStart w:id="15" w:name="_Toc17566"/>
            <w:bookmarkStart w:id="16" w:name="_Toc247527553"/>
            <w:bookmarkStart w:id="17" w:name="_Toc1831"/>
            <w:bookmarkStart w:id="18" w:name="_Toc2958"/>
            <w:bookmarkStart w:id="19" w:name="_Toc152045529"/>
            <w:bookmarkStart w:id="20" w:name="_Toc247513952"/>
            <w:bookmarkStart w:id="21" w:name="_Toc1156"/>
            <w:bookmarkStart w:id="22" w:name="_Toc144974497"/>
            <w:bookmarkStart w:id="23" w:name="_Toc485211038"/>
            <w:bookmarkStart w:id="24" w:name="_Toc16820"/>
            <w:bookmarkStart w:id="25" w:name="_Toc152042305"/>
            <w:r>
              <w:rPr>
                <w:rFonts w:hint="eastAsia" w:ascii="宋体" w:hAnsi="宋体" w:cs="宋体"/>
                <w:szCs w:val="21"/>
              </w:rPr>
              <w:t>14</w:t>
            </w:r>
          </w:p>
        </w:tc>
        <w:tc>
          <w:tcPr>
            <w:tcW w:w="218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szCs w:val="21"/>
              </w:rPr>
            </w:pPr>
            <w:r>
              <w:rPr>
                <w:rFonts w:hint="eastAsia"/>
                <w:kern w:val="0"/>
                <w:szCs w:val="21"/>
                <w:lang w:val="zh-CN"/>
              </w:rPr>
              <w:t>绿色建筑与建筑节能目标</w:t>
            </w:r>
          </w:p>
        </w:tc>
        <w:tc>
          <w:tcPr>
            <w:tcW w:w="614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绿色建筑与建筑节能目标：二星。</w:t>
            </w:r>
          </w:p>
        </w:tc>
      </w:tr>
      <w:tr>
        <w:tblPrEx>
          <w:tblCellMar>
            <w:top w:w="0" w:type="dxa"/>
            <w:left w:w="108" w:type="dxa"/>
            <w:bottom w:w="0" w:type="dxa"/>
            <w:right w:w="108" w:type="dxa"/>
          </w:tblCellMar>
        </w:tblPrEx>
        <w:trPr>
          <w:trHeight w:val="700"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hint="eastAsia" w:ascii="宋体" w:hAnsi="宋体" w:cs="宋体"/>
                <w:szCs w:val="21"/>
              </w:rPr>
            </w:pPr>
            <w:r>
              <w:rPr>
                <w:rFonts w:hint="eastAsia" w:ascii="宋体" w:hAnsi="宋体" w:cs="宋体"/>
                <w:szCs w:val="21"/>
              </w:rPr>
              <w:t>15</w:t>
            </w:r>
          </w:p>
        </w:tc>
        <w:tc>
          <w:tcPr>
            <w:tcW w:w="21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cs="宋体"/>
                <w:szCs w:val="21"/>
              </w:rPr>
              <w:t>危险性较大的分部分项工程清单及超过一定规模的危险性较大的分部分项清单</w:t>
            </w:r>
          </w:p>
        </w:tc>
        <w:tc>
          <w:tcPr>
            <w:tcW w:w="614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cs="宋体"/>
                <w:szCs w:val="21"/>
              </w:rPr>
              <w:t>本项目目前处于设计施工总承包招标阶段，现阶段仅提供格式五危险性较大的分部分项工程清单及超过一定规模的危险性较大的分部分项清单供参考，投标单位中标后，在施工图设计批复后，须根据项目实际情况，对危险性较大的分部分项工程清单及超过一定规模的危险性较大的分部分项清单部分工程内容明确相应的安全管理措施，并根据招标人提供的危险性较大的分部分项工程清单及超过一定规模的危险性较大的分部分项清单，在施工组织中编制专项施工方案。投标人应充分考虑该部分工作内容及相关措施费。</w:t>
            </w:r>
          </w:p>
        </w:tc>
      </w:tr>
      <w:tr>
        <w:tblPrEx>
          <w:tblCellMar>
            <w:top w:w="0" w:type="dxa"/>
            <w:left w:w="108" w:type="dxa"/>
            <w:bottom w:w="0" w:type="dxa"/>
            <w:right w:w="108" w:type="dxa"/>
          </w:tblCellMar>
        </w:tblPrEx>
        <w:trPr>
          <w:trHeight w:val="700" w:hRule="atLeast"/>
        </w:trPr>
        <w:tc>
          <w:tcPr>
            <w:tcW w:w="89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55" w:leftChars="-26" w:right="-59" w:rightChars="-28"/>
              <w:jc w:val="center"/>
              <w:rPr>
                <w:rFonts w:hint="eastAsia" w:ascii="宋体" w:hAnsi="宋体" w:cs="宋体"/>
                <w:szCs w:val="21"/>
              </w:rPr>
            </w:pPr>
            <w:r>
              <w:rPr>
                <w:rFonts w:hint="eastAsia" w:ascii="宋体" w:hAnsi="宋体" w:cs="宋体"/>
                <w:szCs w:val="21"/>
              </w:rPr>
              <w:t>16</w:t>
            </w:r>
          </w:p>
        </w:tc>
        <w:tc>
          <w:tcPr>
            <w:tcW w:w="218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szCs w:val="21"/>
              </w:rPr>
            </w:pPr>
            <w:r>
              <w:rPr>
                <w:rFonts w:hint="eastAsia"/>
              </w:rPr>
              <w:t>其他</w:t>
            </w:r>
          </w:p>
        </w:tc>
        <w:tc>
          <w:tcPr>
            <w:tcW w:w="6143" w:type="dxa"/>
            <w:tcBorders>
              <w:top w:val="single" w:color="auto" w:sz="4" w:space="0"/>
              <w:left w:val="single" w:color="auto" w:sz="4" w:space="0"/>
              <w:bottom w:val="single" w:color="auto" w:sz="4" w:space="0"/>
              <w:right w:val="single" w:color="auto" w:sz="4" w:space="0"/>
            </w:tcBorders>
            <w:vAlign w:val="center"/>
          </w:tcPr>
          <w:p>
            <w:pPr>
              <w:rPr>
                <w:rFonts w:ascii="宋体" w:cs="宋体"/>
                <w:szCs w:val="21"/>
              </w:rPr>
            </w:pPr>
            <w:r>
              <w:rPr>
                <w:rFonts w:hint="eastAsia" w:ascii="宋体" w:cs="宋体"/>
                <w:szCs w:val="21"/>
              </w:rPr>
              <w:t>1、中标人如被核实存在招标公告附件一《投标人声明》第十一、第十二条的任一情况，招标人有权取消中标人的中标资格。</w:t>
            </w:r>
          </w:p>
          <w:p>
            <w:pPr>
              <w:rPr>
                <w:rFonts w:hint="eastAsia" w:ascii="宋体" w:hAnsi="宋体" w:cs="宋体"/>
                <w:szCs w:val="21"/>
              </w:rPr>
            </w:pPr>
            <w:r>
              <w:rPr>
                <w:rFonts w:hint="eastAsia" w:ascii="宋体" w:cs="宋体"/>
                <w:szCs w:val="21"/>
              </w:rPr>
              <w:t>2、在工程开工前，中标人应当投保安全生产责任保险，且该保险保障场所应包含中标项目。投标人的投标报价视为包含该项费用。中标人未按规定购买安全生产责任保险,招标人可视严重程度拒绝该单位一定时期内参与后续工程投标。</w:t>
            </w:r>
          </w:p>
        </w:tc>
      </w:tr>
    </w:tbl>
    <w:p>
      <w:pPr>
        <w:keepNext/>
        <w:keepLines/>
        <w:spacing w:before="260" w:after="260" w:line="360" w:lineRule="auto"/>
        <w:outlineLvl w:val="1"/>
        <w:rPr>
          <w:rFonts w:hint="eastAsia" w:ascii="宋体" w:hAnsi="宋体" w:cs="宋体"/>
          <w:b/>
          <w:bCs/>
          <w:sz w:val="32"/>
          <w:szCs w:val="32"/>
        </w:rPr>
      </w:pPr>
      <w:r>
        <w:rPr>
          <w:rFonts w:hint="eastAsia" w:ascii="宋体" w:hAnsi="宋体" w:cs="宋体"/>
          <w:b/>
          <w:bCs/>
          <w:sz w:val="32"/>
          <w:szCs w:val="32"/>
        </w:rPr>
        <w:br w:type="page"/>
      </w:r>
      <w:bookmarkStart w:id="26" w:name="_Toc3625"/>
      <w:bookmarkStart w:id="27" w:name="_Toc25841"/>
      <w:bookmarkStart w:id="28" w:name="_Toc13397"/>
      <w:r>
        <w:rPr>
          <w:rFonts w:hint="eastAsia" w:ascii="宋体" w:hAnsi="宋体" w:cs="宋体"/>
          <w:b/>
          <w:bCs/>
          <w:sz w:val="28"/>
          <w:szCs w:val="28"/>
        </w:rPr>
        <w:t>1. 总则</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pPr>
        <w:keepNext/>
        <w:keepLines/>
        <w:spacing w:before="260" w:after="260" w:line="360" w:lineRule="auto"/>
        <w:outlineLvl w:val="2"/>
        <w:rPr>
          <w:rFonts w:hint="eastAsia" w:ascii="宋体" w:hAnsi="宋体" w:cs="宋体"/>
          <w:bCs/>
          <w:sz w:val="28"/>
          <w:szCs w:val="28"/>
        </w:rPr>
      </w:pPr>
      <w:bookmarkStart w:id="29" w:name="_Toc152042306"/>
      <w:bookmarkStart w:id="30" w:name="_Toc30357"/>
      <w:bookmarkStart w:id="31" w:name="_Toc17811"/>
      <w:bookmarkStart w:id="32" w:name="_Toc27304"/>
      <w:bookmarkStart w:id="33" w:name="_Toc1934"/>
      <w:bookmarkStart w:id="34" w:name="_Toc590"/>
      <w:bookmarkStart w:id="35" w:name="_Toc144974498"/>
      <w:bookmarkStart w:id="36" w:name="_Toc152045530"/>
      <w:bookmarkStart w:id="37" w:name="_Toc1880"/>
      <w:bookmarkStart w:id="38" w:name="_Toc247527554"/>
      <w:bookmarkStart w:id="39" w:name="_Toc7922"/>
      <w:bookmarkStart w:id="40" w:name="_Toc8691"/>
      <w:bookmarkStart w:id="41" w:name="_Toc247513953"/>
      <w:bookmarkStart w:id="42" w:name="_Toc9922"/>
      <w:bookmarkStart w:id="43" w:name="_Toc485211039"/>
      <w:bookmarkStart w:id="44" w:name="_Toc16373"/>
      <w:r>
        <w:rPr>
          <w:rFonts w:hint="eastAsia" w:ascii="宋体" w:hAnsi="宋体" w:cs="宋体"/>
          <w:bCs/>
          <w:sz w:val="28"/>
          <w:szCs w:val="28"/>
        </w:rPr>
        <w:t>1.1 项目概况</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spacing w:line="360" w:lineRule="auto"/>
        <w:ind w:firstLine="480" w:firstLineChars="200"/>
        <w:rPr>
          <w:rFonts w:hint="eastAsia" w:ascii="宋体" w:hAnsi="宋体" w:cs="宋体"/>
          <w:sz w:val="24"/>
          <w:szCs w:val="24"/>
        </w:rPr>
      </w:pPr>
      <w:r>
        <w:rPr>
          <w:rFonts w:hint="eastAsia" w:ascii="宋体" w:hAnsi="宋体" w:cs="宋体"/>
          <w:sz w:val="24"/>
          <w:szCs w:val="24"/>
        </w:rPr>
        <w:t>1.1.1根据《中华人民共和国招标投标法》等有关法律、法规和规章的规定，本招标项目已具备招标条件，现对该项目设计施工总承包进行招标。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1.1.2 招标人：见《投标人须知前附表》。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1.1.3 招标代理机构：见《投标人须知前附表》。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1.1.4 招标项目名称：见《投标人须知前附表》。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1.1.5 项目建设地点：见《投标人须知前附表》。</w:t>
      </w:r>
    </w:p>
    <w:p>
      <w:pPr>
        <w:keepNext/>
        <w:keepLines/>
        <w:spacing w:before="260" w:after="260" w:line="360" w:lineRule="auto"/>
        <w:outlineLvl w:val="2"/>
        <w:rPr>
          <w:rFonts w:hint="eastAsia" w:ascii="宋体" w:hAnsi="宋体" w:cs="宋体"/>
          <w:bCs/>
          <w:sz w:val="28"/>
          <w:szCs w:val="28"/>
        </w:rPr>
      </w:pPr>
      <w:bookmarkStart w:id="45" w:name="_Toc15709"/>
      <w:bookmarkStart w:id="46" w:name="_Toc152042307"/>
      <w:bookmarkStart w:id="47" w:name="_Toc10532"/>
      <w:bookmarkStart w:id="48" w:name="_Toc2254"/>
      <w:bookmarkStart w:id="49" w:name="_Toc485211040"/>
      <w:bookmarkStart w:id="50" w:name="_Toc15282"/>
      <w:bookmarkStart w:id="51" w:name="_Toc6642"/>
      <w:bookmarkStart w:id="52" w:name="_Toc18211"/>
      <w:bookmarkStart w:id="53" w:name="_Toc152045531"/>
      <w:bookmarkStart w:id="54" w:name="_Toc11827"/>
      <w:bookmarkStart w:id="55" w:name="_Toc144974499"/>
      <w:bookmarkStart w:id="56" w:name="_Toc30105"/>
      <w:bookmarkStart w:id="57" w:name="_Toc8082"/>
      <w:bookmarkStart w:id="58" w:name="_Toc247527555"/>
      <w:bookmarkStart w:id="59" w:name="_Toc247513954"/>
      <w:bookmarkStart w:id="60" w:name="_Toc15150"/>
      <w:r>
        <w:rPr>
          <w:rFonts w:hint="eastAsia" w:ascii="宋体" w:hAnsi="宋体" w:cs="宋体"/>
          <w:bCs/>
          <w:sz w:val="28"/>
          <w:szCs w:val="28"/>
        </w:rPr>
        <w:t>1.2 项目的资金来源和落实情况</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pPr>
        <w:spacing w:line="360" w:lineRule="auto"/>
        <w:ind w:firstLine="480" w:firstLineChars="200"/>
        <w:rPr>
          <w:rFonts w:hint="eastAsia" w:ascii="宋体" w:hAnsi="宋体" w:cs="宋体"/>
          <w:sz w:val="24"/>
          <w:szCs w:val="24"/>
        </w:rPr>
      </w:pPr>
      <w:r>
        <w:rPr>
          <w:rFonts w:hint="eastAsia" w:ascii="宋体" w:hAnsi="宋体" w:cs="宋体"/>
          <w:sz w:val="24"/>
          <w:szCs w:val="24"/>
        </w:rPr>
        <w:t>1.2.1 资金来源及比例：见《投标人须知前附表》。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1.2.2 资金落实情况：见《投标人须知前附表》。</w:t>
      </w:r>
    </w:p>
    <w:p>
      <w:pPr>
        <w:keepNext/>
        <w:keepLines/>
        <w:spacing w:before="260" w:after="260" w:line="360" w:lineRule="auto"/>
        <w:outlineLvl w:val="2"/>
        <w:rPr>
          <w:rFonts w:hint="eastAsia" w:ascii="宋体" w:hAnsi="宋体" w:cs="宋体"/>
          <w:bCs/>
          <w:sz w:val="28"/>
          <w:szCs w:val="28"/>
        </w:rPr>
      </w:pPr>
      <w:bookmarkStart w:id="61" w:name="_Toc247513955"/>
      <w:bookmarkStart w:id="62" w:name="_Toc247527556"/>
      <w:bookmarkStart w:id="63" w:name="_Toc144974500"/>
      <w:bookmarkStart w:id="64" w:name="_Toc152042308"/>
      <w:bookmarkStart w:id="65" w:name="_Toc152045532"/>
      <w:bookmarkStart w:id="66" w:name="_Toc485211041"/>
      <w:bookmarkStart w:id="67" w:name="_Toc19728"/>
      <w:bookmarkStart w:id="68" w:name="_Toc2671"/>
      <w:bookmarkStart w:id="69" w:name="_Toc32288"/>
      <w:bookmarkStart w:id="70" w:name="_Toc6068"/>
      <w:bookmarkStart w:id="71" w:name="_Toc248"/>
      <w:bookmarkStart w:id="72" w:name="_Toc60"/>
      <w:bookmarkStart w:id="73" w:name="_Toc7244"/>
      <w:bookmarkStart w:id="74" w:name="_Toc15932"/>
      <w:bookmarkStart w:id="75" w:name="_Toc18073"/>
      <w:bookmarkStart w:id="76" w:name="_Toc21761"/>
      <w:r>
        <w:rPr>
          <w:rFonts w:hint="eastAsia" w:ascii="宋体" w:hAnsi="宋体" w:cs="宋体"/>
          <w:bCs/>
          <w:sz w:val="28"/>
          <w:szCs w:val="28"/>
        </w:rPr>
        <w:t>1.3 招标范围、计划工期和</w:t>
      </w:r>
      <w:bookmarkEnd w:id="61"/>
      <w:bookmarkEnd w:id="62"/>
      <w:bookmarkEnd w:id="63"/>
      <w:bookmarkEnd w:id="64"/>
      <w:bookmarkEnd w:id="65"/>
      <w:r>
        <w:rPr>
          <w:rFonts w:hint="eastAsia" w:ascii="宋体" w:hAnsi="宋体" w:cs="宋体"/>
          <w:bCs/>
          <w:sz w:val="28"/>
          <w:szCs w:val="28"/>
        </w:rPr>
        <w:t>质量标准</w:t>
      </w:r>
      <w:bookmarkEnd w:id="66"/>
      <w:bookmarkEnd w:id="67"/>
      <w:bookmarkEnd w:id="68"/>
      <w:bookmarkEnd w:id="69"/>
      <w:bookmarkEnd w:id="70"/>
      <w:bookmarkEnd w:id="71"/>
      <w:bookmarkEnd w:id="72"/>
      <w:bookmarkEnd w:id="73"/>
      <w:bookmarkEnd w:id="74"/>
      <w:bookmarkEnd w:id="75"/>
      <w:bookmarkEnd w:id="76"/>
    </w:p>
    <w:p>
      <w:pPr>
        <w:spacing w:line="360" w:lineRule="auto"/>
        <w:ind w:firstLine="480" w:firstLineChars="200"/>
        <w:rPr>
          <w:rFonts w:hint="eastAsia" w:ascii="宋体" w:hAnsi="宋体" w:cs="宋体"/>
          <w:sz w:val="24"/>
          <w:szCs w:val="24"/>
        </w:rPr>
      </w:pPr>
      <w:r>
        <w:rPr>
          <w:rFonts w:hint="eastAsia" w:ascii="宋体" w:hAnsi="宋体" w:cs="宋体"/>
          <w:sz w:val="24"/>
          <w:szCs w:val="24"/>
        </w:rPr>
        <w:t>1.3.1 招标范围：见《投标人须知前附表》。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1.3.2 计划工期：见《投标人须知前附表》。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1.3.3 质量标准：见《投标人须知前附表》。</w:t>
      </w:r>
    </w:p>
    <w:p>
      <w:pPr>
        <w:keepNext/>
        <w:keepLines/>
        <w:spacing w:before="260" w:after="260" w:line="360" w:lineRule="auto"/>
        <w:outlineLvl w:val="2"/>
        <w:rPr>
          <w:rFonts w:hint="eastAsia" w:ascii="宋体" w:hAnsi="宋体" w:cs="宋体"/>
          <w:bCs/>
          <w:sz w:val="28"/>
          <w:szCs w:val="28"/>
        </w:rPr>
      </w:pPr>
      <w:bookmarkStart w:id="77" w:name="_Toc247527557"/>
      <w:bookmarkStart w:id="78" w:name="_Toc485211042"/>
      <w:bookmarkStart w:id="79" w:name="_Toc247513956"/>
      <w:bookmarkStart w:id="80" w:name="_Toc144974501"/>
      <w:bookmarkStart w:id="81" w:name="_Toc152045533"/>
      <w:bookmarkStart w:id="82" w:name="_Toc4031"/>
      <w:bookmarkStart w:id="83" w:name="_Toc7576"/>
      <w:bookmarkStart w:id="84" w:name="_Toc152042309"/>
      <w:bookmarkStart w:id="85" w:name="_Toc26295"/>
      <w:bookmarkStart w:id="86" w:name="_Toc26989"/>
      <w:bookmarkStart w:id="87" w:name="_Toc10229"/>
      <w:bookmarkStart w:id="88" w:name="_Toc13118"/>
      <w:bookmarkStart w:id="89" w:name="_Toc32210"/>
      <w:bookmarkStart w:id="90" w:name="_Toc9204"/>
      <w:bookmarkStart w:id="91" w:name="_Toc12328"/>
      <w:bookmarkStart w:id="92" w:name="_Toc14801"/>
      <w:r>
        <w:rPr>
          <w:rFonts w:hint="eastAsia" w:ascii="宋体" w:hAnsi="宋体" w:cs="宋体"/>
          <w:bCs/>
          <w:sz w:val="28"/>
          <w:szCs w:val="28"/>
        </w:rPr>
        <w:t>1.4 投标人资格要求</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pPr>
        <w:spacing w:line="360" w:lineRule="auto"/>
        <w:ind w:firstLine="480" w:firstLineChars="200"/>
        <w:rPr>
          <w:rFonts w:hint="eastAsia" w:ascii="宋体" w:hAnsi="宋体" w:cs="宋体"/>
          <w:sz w:val="24"/>
          <w:szCs w:val="24"/>
        </w:rPr>
      </w:pPr>
      <w:r>
        <w:rPr>
          <w:rFonts w:hint="eastAsia" w:ascii="宋体" w:hAnsi="宋体" w:cs="宋体"/>
          <w:sz w:val="24"/>
          <w:szCs w:val="24"/>
        </w:rPr>
        <w:t>详见招标公告。</w:t>
      </w:r>
    </w:p>
    <w:p>
      <w:pPr>
        <w:keepNext/>
        <w:keepLines/>
        <w:spacing w:before="260" w:after="260" w:line="360" w:lineRule="auto"/>
        <w:outlineLvl w:val="2"/>
        <w:rPr>
          <w:rFonts w:hint="eastAsia" w:ascii="宋体" w:hAnsi="宋体" w:cs="宋体"/>
          <w:bCs/>
          <w:sz w:val="28"/>
          <w:szCs w:val="28"/>
        </w:rPr>
      </w:pPr>
      <w:bookmarkStart w:id="93" w:name="_Toc247513958"/>
      <w:bookmarkStart w:id="94" w:name="_Toc152045535"/>
      <w:bookmarkStart w:id="95" w:name="_Toc144974503"/>
      <w:bookmarkStart w:id="96" w:name="_Toc152042311"/>
      <w:bookmarkStart w:id="97" w:name="_Toc247527559"/>
      <w:bookmarkStart w:id="98" w:name="_Toc29899"/>
      <w:bookmarkStart w:id="99" w:name="_Toc8400"/>
      <w:bookmarkStart w:id="100" w:name="_Toc2101"/>
      <w:bookmarkStart w:id="101" w:name="_Toc29601"/>
      <w:bookmarkStart w:id="102" w:name="_Toc23867"/>
      <w:bookmarkStart w:id="103" w:name="_Toc31399"/>
      <w:bookmarkStart w:id="104" w:name="_Toc27154"/>
      <w:bookmarkStart w:id="105" w:name="_Toc485211043"/>
      <w:bookmarkStart w:id="106" w:name="_Toc22812"/>
      <w:bookmarkStart w:id="107" w:name="_Toc11929"/>
      <w:bookmarkStart w:id="108" w:name="_Toc9057"/>
      <w:r>
        <w:rPr>
          <w:rFonts w:hint="eastAsia" w:ascii="宋体" w:hAnsi="宋体" w:cs="宋体"/>
          <w:bCs/>
          <w:sz w:val="28"/>
          <w:szCs w:val="28"/>
        </w:rPr>
        <w:t>1.5 费用承担</w:t>
      </w:r>
      <w:bookmarkEnd w:id="93"/>
      <w:bookmarkEnd w:id="94"/>
      <w:bookmarkEnd w:id="95"/>
      <w:bookmarkEnd w:id="96"/>
      <w:bookmarkEnd w:id="97"/>
      <w:r>
        <w:rPr>
          <w:rFonts w:hint="eastAsia" w:ascii="宋体" w:hAnsi="宋体" w:cs="宋体"/>
          <w:bCs/>
          <w:sz w:val="28"/>
          <w:szCs w:val="28"/>
        </w:rPr>
        <w:t>和设计成果补偿</w:t>
      </w:r>
      <w:bookmarkEnd w:id="98"/>
      <w:bookmarkEnd w:id="99"/>
      <w:bookmarkEnd w:id="100"/>
      <w:bookmarkEnd w:id="101"/>
      <w:bookmarkEnd w:id="102"/>
      <w:bookmarkEnd w:id="103"/>
      <w:bookmarkEnd w:id="104"/>
      <w:bookmarkEnd w:id="105"/>
      <w:bookmarkEnd w:id="106"/>
      <w:bookmarkEnd w:id="107"/>
      <w:bookmarkEnd w:id="108"/>
    </w:p>
    <w:p>
      <w:pPr>
        <w:spacing w:line="360" w:lineRule="auto"/>
        <w:ind w:firstLine="480" w:firstLineChars="200"/>
        <w:rPr>
          <w:rFonts w:hint="eastAsia" w:ascii="宋体" w:hAnsi="宋体" w:cs="宋体"/>
          <w:sz w:val="24"/>
          <w:szCs w:val="24"/>
        </w:rPr>
      </w:pPr>
      <w:r>
        <w:rPr>
          <w:rFonts w:hint="eastAsia" w:ascii="宋体" w:hAnsi="宋体" w:cs="宋体"/>
          <w:sz w:val="24"/>
          <w:szCs w:val="24"/>
        </w:rPr>
        <w:t>1.5.1 投标人准备和参加投标活动发生的费用自理。</w:t>
      </w:r>
    </w:p>
    <w:p>
      <w:pPr>
        <w:spacing w:line="360" w:lineRule="auto"/>
        <w:ind w:firstLine="480" w:firstLineChars="200"/>
        <w:rPr>
          <w:rFonts w:ascii="宋体" w:hAnsi="宋体"/>
          <w:sz w:val="24"/>
          <w:szCs w:val="24"/>
        </w:rPr>
      </w:pPr>
      <w:r>
        <w:rPr>
          <w:rFonts w:hint="eastAsia" w:ascii="宋体" w:hAnsi="宋体"/>
          <w:sz w:val="24"/>
          <w:szCs w:val="24"/>
        </w:rPr>
        <w:t xml:space="preserve">1.5.2 </w:t>
      </w:r>
      <w:r>
        <w:rPr>
          <w:rFonts w:hint="eastAsia" w:ascii="宋体" w:hAnsi="宋体"/>
          <w:sz w:val="24"/>
          <w:szCs w:val="24"/>
          <w:u w:val="single"/>
        </w:rPr>
        <w:t>本项目不设设计投标文件成果补偿。</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1.5.3中标人应根据政府有关规定，向广州交易集团有限公司（广州公共资源交易中心）交纳交易服务费。</w:t>
      </w:r>
    </w:p>
    <w:p>
      <w:pPr>
        <w:spacing w:line="360" w:lineRule="auto"/>
        <w:ind w:firstLine="420" w:firstLineChars="200"/>
        <w:rPr>
          <w:rFonts w:hint="eastAsia" w:ascii="宋体" w:hAnsi="宋体" w:cs="宋体"/>
          <w:szCs w:val="24"/>
        </w:rPr>
      </w:pPr>
    </w:p>
    <w:p>
      <w:pPr>
        <w:keepNext/>
        <w:keepLines/>
        <w:spacing w:before="260" w:after="260" w:line="360" w:lineRule="auto"/>
        <w:outlineLvl w:val="2"/>
        <w:rPr>
          <w:rFonts w:hint="eastAsia" w:ascii="宋体" w:hAnsi="宋体" w:cs="宋体"/>
          <w:bCs/>
          <w:sz w:val="28"/>
          <w:szCs w:val="28"/>
        </w:rPr>
      </w:pPr>
      <w:bookmarkStart w:id="109" w:name="_Toc11167"/>
      <w:bookmarkStart w:id="110" w:name="_Toc152045536"/>
      <w:bookmarkStart w:id="111" w:name="_Toc23498"/>
      <w:bookmarkStart w:id="112" w:name="_Toc247513959"/>
      <w:bookmarkStart w:id="113" w:name="_Toc247527560"/>
      <w:bookmarkStart w:id="114" w:name="_Toc32691"/>
      <w:bookmarkStart w:id="115" w:name="_Toc9296"/>
      <w:bookmarkStart w:id="116" w:name="_Toc7692"/>
      <w:bookmarkStart w:id="117" w:name="_Toc144974504"/>
      <w:bookmarkStart w:id="118" w:name="_Toc485211044"/>
      <w:bookmarkStart w:id="119" w:name="_Toc14164"/>
      <w:bookmarkStart w:id="120" w:name="_Toc152042312"/>
      <w:bookmarkStart w:id="121" w:name="_Toc3652"/>
      <w:bookmarkStart w:id="122" w:name="_Toc29613"/>
      <w:bookmarkStart w:id="123" w:name="_Toc17963"/>
      <w:bookmarkStart w:id="124" w:name="_Toc10056"/>
      <w:r>
        <w:rPr>
          <w:rFonts w:hint="eastAsia" w:ascii="宋体" w:hAnsi="宋体" w:cs="宋体"/>
          <w:bCs/>
          <w:sz w:val="28"/>
          <w:szCs w:val="28"/>
        </w:rPr>
        <w:t>1.6 保密</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pPr>
        <w:spacing w:line="360" w:lineRule="auto"/>
        <w:ind w:firstLine="480" w:firstLineChars="200"/>
        <w:rPr>
          <w:rFonts w:hint="eastAsia" w:ascii="宋体" w:hAnsi="宋体" w:cs="宋体"/>
          <w:sz w:val="24"/>
          <w:szCs w:val="24"/>
        </w:rPr>
      </w:pPr>
      <w:r>
        <w:rPr>
          <w:rFonts w:hint="eastAsia" w:ascii="宋体" w:hAnsi="宋体" w:cs="宋体"/>
          <w:sz w:val="24"/>
          <w:szCs w:val="24"/>
        </w:rPr>
        <w:t>参与招标投标活动的各方应对招标文件和投标文件中的商业和技术等秘密保密，否则应承担相应的法律责任。</w:t>
      </w:r>
    </w:p>
    <w:p>
      <w:pPr>
        <w:keepNext/>
        <w:keepLines/>
        <w:spacing w:before="260" w:after="260" w:line="360" w:lineRule="auto"/>
        <w:outlineLvl w:val="2"/>
        <w:rPr>
          <w:rFonts w:hint="eastAsia" w:ascii="宋体" w:hAnsi="宋体" w:cs="宋体"/>
          <w:bCs/>
          <w:sz w:val="28"/>
          <w:szCs w:val="28"/>
        </w:rPr>
      </w:pPr>
      <w:bookmarkStart w:id="125" w:name="_Toc144974505"/>
      <w:bookmarkStart w:id="126" w:name="_Toc20175"/>
      <w:bookmarkStart w:id="127" w:name="_Toc30812"/>
      <w:bookmarkStart w:id="128" w:name="_Toc23891"/>
      <w:bookmarkStart w:id="129" w:name="_Toc15287"/>
      <w:bookmarkStart w:id="130" w:name="_Toc152042313"/>
      <w:bookmarkStart w:id="131" w:name="_Toc32400"/>
      <w:bookmarkStart w:id="132" w:name="_Toc6741"/>
      <w:bookmarkStart w:id="133" w:name="_Toc485211045"/>
      <w:bookmarkStart w:id="134" w:name="_Toc10329"/>
      <w:bookmarkStart w:id="135" w:name="_Toc134"/>
      <w:bookmarkStart w:id="136" w:name="_Toc3909"/>
      <w:bookmarkStart w:id="137" w:name="_Toc247527561"/>
      <w:bookmarkStart w:id="138" w:name="_Toc152045537"/>
      <w:bookmarkStart w:id="139" w:name="_Toc28067"/>
      <w:bookmarkStart w:id="140" w:name="_Toc247513960"/>
      <w:r>
        <w:rPr>
          <w:rFonts w:hint="eastAsia" w:ascii="宋体" w:hAnsi="宋体" w:cs="宋体"/>
          <w:bCs/>
          <w:sz w:val="28"/>
          <w:szCs w:val="28"/>
        </w:rPr>
        <w:t>1.7 语言</w:t>
      </w:r>
      <w:bookmarkEnd w:id="125"/>
      <w:r>
        <w:rPr>
          <w:rFonts w:hint="eastAsia" w:ascii="宋体" w:hAnsi="宋体" w:cs="宋体"/>
          <w:bCs/>
          <w:sz w:val="28"/>
          <w:szCs w:val="28"/>
        </w:rPr>
        <w:t>文字</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spacing w:line="360" w:lineRule="auto"/>
        <w:ind w:firstLine="480" w:firstLineChars="200"/>
        <w:rPr>
          <w:rFonts w:hint="eastAsia" w:ascii="宋体" w:hAnsi="宋体" w:cs="宋体"/>
          <w:sz w:val="24"/>
          <w:szCs w:val="24"/>
        </w:rPr>
      </w:pPr>
      <w:r>
        <w:rPr>
          <w:rFonts w:hint="eastAsia" w:ascii="宋体" w:hAnsi="宋体" w:cs="宋体"/>
          <w:sz w:val="24"/>
          <w:szCs w:val="24"/>
        </w:rPr>
        <w:t>招标投标文件使用的语言文字为中文。专用术语使用外文的，应附有中文注释。</w:t>
      </w:r>
    </w:p>
    <w:p>
      <w:pPr>
        <w:keepNext/>
        <w:keepLines/>
        <w:spacing w:before="260" w:after="260" w:line="360" w:lineRule="auto"/>
        <w:outlineLvl w:val="2"/>
        <w:rPr>
          <w:rFonts w:hint="eastAsia" w:ascii="宋体" w:hAnsi="宋体" w:cs="宋体"/>
          <w:bCs/>
          <w:sz w:val="28"/>
          <w:szCs w:val="28"/>
        </w:rPr>
      </w:pPr>
      <w:bookmarkStart w:id="141" w:name="_Toc485211046"/>
      <w:bookmarkStart w:id="142" w:name="_Toc247527562"/>
      <w:bookmarkStart w:id="143" w:name="_Toc3359"/>
      <w:bookmarkStart w:id="144" w:name="_Toc13564"/>
      <w:bookmarkStart w:id="145" w:name="_Toc19816"/>
      <w:bookmarkStart w:id="146" w:name="_Toc247513961"/>
      <w:bookmarkStart w:id="147" w:name="_Toc6180"/>
      <w:bookmarkStart w:id="148" w:name="_Toc152045538"/>
      <w:bookmarkStart w:id="149" w:name="_Toc18319"/>
      <w:bookmarkStart w:id="150" w:name="_Toc12340"/>
      <w:bookmarkStart w:id="151" w:name="_Toc144974506"/>
      <w:bookmarkStart w:id="152" w:name="_Toc152042314"/>
      <w:bookmarkStart w:id="153" w:name="_Toc7341"/>
      <w:bookmarkStart w:id="154" w:name="_Toc4572"/>
      <w:bookmarkStart w:id="155" w:name="_Toc26081"/>
      <w:bookmarkStart w:id="156" w:name="_Toc2398"/>
      <w:r>
        <w:rPr>
          <w:rFonts w:hint="eastAsia" w:ascii="宋体" w:hAnsi="宋体" w:cs="宋体"/>
          <w:bCs/>
          <w:sz w:val="28"/>
          <w:szCs w:val="28"/>
        </w:rPr>
        <w:t>1.8 计量单位</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ind w:firstLine="480" w:firstLineChars="200"/>
        <w:rPr>
          <w:rFonts w:hint="eastAsia" w:ascii="宋体" w:hAnsi="宋体" w:cs="宋体"/>
          <w:sz w:val="24"/>
          <w:szCs w:val="24"/>
        </w:rPr>
      </w:pPr>
      <w:r>
        <w:rPr>
          <w:rFonts w:hint="eastAsia" w:ascii="宋体" w:hAnsi="宋体" w:cs="宋体"/>
          <w:sz w:val="24"/>
          <w:szCs w:val="24"/>
        </w:rPr>
        <w:t>所有计量均采用中华人民共和国法定计量单位。</w:t>
      </w:r>
    </w:p>
    <w:p>
      <w:pPr>
        <w:keepNext/>
        <w:keepLines/>
        <w:spacing w:before="260" w:after="260" w:line="360" w:lineRule="auto"/>
        <w:outlineLvl w:val="2"/>
        <w:rPr>
          <w:rFonts w:hint="eastAsia" w:ascii="宋体" w:hAnsi="宋体" w:cs="宋体"/>
          <w:bCs/>
          <w:sz w:val="28"/>
          <w:szCs w:val="28"/>
        </w:rPr>
      </w:pPr>
      <w:bookmarkStart w:id="157" w:name="_Toc9062"/>
      <w:bookmarkStart w:id="158" w:name="_Toc247513962"/>
      <w:bookmarkStart w:id="159" w:name="_Toc8310"/>
      <w:bookmarkStart w:id="160" w:name="_Toc23228"/>
      <w:bookmarkStart w:id="161" w:name="_Toc485211047"/>
      <w:bookmarkStart w:id="162" w:name="_Toc152045539"/>
      <w:bookmarkStart w:id="163" w:name="_Toc152042315"/>
      <w:bookmarkStart w:id="164" w:name="_Toc144974507"/>
      <w:bookmarkStart w:id="165" w:name="_Toc247527563"/>
      <w:bookmarkStart w:id="166" w:name="_Toc29796"/>
      <w:bookmarkStart w:id="167" w:name="_Toc28179"/>
      <w:bookmarkStart w:id="168" w:name="_Toc9990"/>
      <w:bookmarkStart w:id="169" w:name="_Toc8361"/>
      <w:bookmarkStart w:id="170" w:name="_Toc30094"/>
      <w:bookmarkStart w:id="171" w:name="_Toc9837"/>
      <w:bookmarkStart w:id="172" w:name="_Toc23741"/>
      <w:r>
        <w:rPr>
          <w:rFonts w:hint="eastAsia" w:ascii="宋体" w:hAnsi="宋体" w:cs="宋体"/>
          <w:bCs/>
          <w:sz w:val="28"/>
          <w:szCs w:val="28"/>
        </w:rPr>
        <w:t>1.9 踏勘现场</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pPr>
        <w:spacing w:line="360" w:lineRule="auto"/>
        <w:ind w:firstLine="480" w:firstLineChars="200"/>
        <w:rPr>
          <w:rFonts w:hint="eastAsia" w:ascii="宋体" w:hAnsi="宋体"/>
          <w:sz w:val="24"/>
          <w:szCs w:val="24"/>
        </w:rPr>
      </w:pPr>
      <w:r>
        <w:rPr>
          <w:rFonts w:hint="eastAsia" w:ascii="宋体" w:hAnsi="宋体"/>
          <w:sz w:val="24"/>
          <w:szCs w:val="24"/>
        </w:rPr>
        <w:t xml:space="preserve">1.9.1 投标人须知前附表规定组织踏勘现场的，招标人按投标人须知前附表规定的时间、地点组织投标人踏勘项目现场。 </w:t>
      </w:r>
    </w:p>
    <w:p>
      <w:pPr>
        <w:spacing w:line="360" w:lineRule="auto"/>
        <w:ind w:firstLine="480" w:firstLineChars="200"/>
        <w:rPr>
          <w:rFonts w:hint="eastAsia" w:ascii="宋体" w:hAnsi="宋体"/>
          <w:sz w:val="24"/>
          <w:szCs w:val="24"/>
        </w:rPr>
      </w:pPr>
      <w:r>
        <w:rPr>
          <w:rFonts w:hint="eastAsia" w:ascii="宋体" w:hAnsi="宋体"/>
          <w:sz w:val="24"/>
          <w:szCs w:val="24"/>
        </w:rPr>
        <w:t>1.9.2 投标人踏勘现场发生的费用自理。</w:t>
      </w:r>
    </w:p>
    <w:p>
      <w:pPr>
        <w:spacing w:line="360" w:lineRule="auto"/>
        <w:ind w:firstLine="480" w:firstLineChars="200"/>
        <w:rPr>
          <w:rFonts w:hint="eastAsia" w:ascii="宋体" w:hAnsi="宋体"/>
          <w:sz w:val="24"/>
          <w:szCs w:val="24"/>
        </w:rPr>
      </w:pPr>
      <w:r>
        <w:rPr>
          <w:rFonts w:hint="eastAsia" w:ascii="宋体" w:hAnsi="宋体"/>
          <w:sz w:val="24"/>
          <w:szCs w:val="24"/>
        </w:rPr>
        <w:t>1.9.3 除招标人的原因外，投标人自行负责在踏勘现场中所发生的人员伤亡和财产损失。</w:t>
      </w:r>
    </w:p>
    <w:p>
      <w:pPr>
        <w:spacing w:line="360" w:lineRule="auto"/>
        <w:ind w:firstLine="480" w:firstLineChars="200"/>
        <w:rPr>
          <w:rFonts w:ascii="宋体" w:hAnsi="宋体"/>
          <w:sz w:val="24"/>
          <w:szCs w:val="24"/>
        </w:rPr>
      </w:pPr>
      <w:r>
        <w:rPr>
          <w:rFonts w:hint="eastAsia" w:ascii="宋体" w:hAnsi="宋体"/>
          <w:sz w:val="24"/>
          <w:szCs w:val="24"/>
        </w:rPr>
        <w:t xml:space="preserve">1.9.4 </w:t>
      </w:r>
      <w:r>
        <w:rPr>
          <w:rFonts w:hint="eastAsia" w:ascii="宋体" w:hAnsi="宋体"/>
          <w:sz w:val="24"/>
          <w:szCs w:val="24"/>
          <w:u w:val="single"/>
        </w:rPr>
        <w:t>现场条件以现状为准，现场由投标人自行踏勘，投标人不进行踏勘的，视为已熟知现场条件，投标文件将视为投标人熟知现场条件后编订，自行承担相关风险。投标人认为不满足施工条件的，费用在报价中综合考虑，中标后不因此增加任何费用，亦不因此延长工期。招标人不对投标人自行踏勘现场作出的判断和决策负责。</w:t>
      </w:r>
    </w:p>
    <w:p>
      <w:pPr>
        <w:keepNext/>
        <w:keepLines/>
        <w:spacing w:before="260" w:after="260" w:line="360" w:lineRule="auto"/>
        <w:outlineLvl w:val="2"/>
        <w:rPr>
          <w:rFonts w:hint="eastAsia" w:ascii="宋体" w:hAnsi="宋体" w:cs="宋体"/>
          <w:bCs/>
          <w:sz w:val="28"/>
          <w:szCs w:val="28"/>
        </w:rPr>
      </w:pPr>
      <w:bookmarkStart w:id="173" w:name="_Toc5838"/>
      <w:bookmarkStart w:id="174" w:name="_Toc247527564"/>
      <w:bookmarkStart w:id="175" w:name="_Toc11403"/>
      <w:bookmarkStart w:id="176" w:name="_Toc247513963"/>
      <w:bookmarkStart w:id="177" w:name="_Toc27158"/>
      <w:bookmarkStart w:id="178" w:name="_Toc485211048"/>
      <w:bookmarkStart w:id="179" w:name="_Toc11636"/>
      <w:bookmarkStart w:id="180" w:name="_Toc152045540"/>
      <w:bookmarkStart w:id="181" w:name="_Toc152042316"/>
      <w:bookmarkStart w:id="182" w:name="_Toc9067"/>
      <w:bookmarkStart w:id="183" w:name="_Toc11545"/>
      <w:bookmarkStart w:id="184" w:name="_Toc11038"/>
      <w:bookmarkStart w:id="185" w:name="_Toc3400"/>
      <w:bookmarkStart w:id="186" w:name="_Toc21953"/>
      <w:bookmarkStart w:id="187" w:name="_Toc16992"/>
      <w:bookmarkStart w:id="188" w:name="_Toc144974508"/>
      <w:r>
        <w:rPr>
          <w:rFonts w:hint="eastAsia" w:ascii="宋体" w:hAnsi="宋体" w:cs="宋体"/>
          <w:bCs/>
          <w:sz w:val="28"/>
          <w:szCs w:val="28"/>
        </w:rPr>
        <w:t>1.10投标预备会</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本招标项目不召开投标预备会。</w:t>
      </w:r>
    </w:p>
    <w:p>
      <w:pPr>
        <w:spacing w:line="360" w:lineRule="auto"/>
        <w:ind w:firstLine="480" w:firstLineChars="200"/>
        <w:rPr>
          <w:rFonts w:hint="eastAsia" w:ascii="宋体" w:hAnsi="宋体" w:cs="宋体"/>
          <w:strike/>
          <w:sz w:val="24"/>
          <w:szCs w:val="24"/>
          <w:u w:val="single"/>
        </w:rPr>
      </w:pPr>
      <w:r>
        <w:rPr>
          <w:rFonts w:hint="eastAsia" w:ascii="宋体" w:hAnsi="宋体" w:cs="宋体"/>
          <w:strike/>
          <w:sz w:val="24"/>
          <w:szCs w:val="24"/>
          <w:u w:val="single"/>
        </w:rPr>
        <w:t>1.10.1《投标人须知前附表》规定召开投标预备会的，招标人按《投标人须知前附表》规定的时间和地点召开投标预备会，澄清投标人提出的问题。</w:t>
      </w:r>
    </w:p>
    <w:p>
      <w:pPr>
        <w:spacing w:line="360" w:lineRule="auto"/>
        <w:ind w:firstLine="480" w:firstLineChars="200"/>
        <w:rPr>
          <w:rFonts w:hint="eastAsia" w:ascii="宋体" w:hAnsi="宋体" w:cs="宋体"/>
          <w:strike/>
          <w:sz w:val="24"/>
          <w:szCs w:val="24"/>
          <w:u w:val="single"/>
        </w:rPr>
      </w:pPr>
      <w:r>
        <w:rPr>
          <w:rFonts w:hint="eastAsia" w:ascii="宋体" w:hAnsi="宋体" w:cs="宋体"/>
          <w:strike/>
          <w:sz w:val="24"/>
          <w:szCs w:val="24"/>
          <w:u w:val="single"/>
        </w:rPr>
        <w:t>1.10.2 投标人应在《投标人须知前附表》规定的时间前，以书面形式将提出的问题送达招标人，以便招标人在会议期间澄清。</w:t>
      </w:r>
    </w:p>
    <w:p>
      <w:pPr>
        <w:spacing w:line="360" w:lineRule="auto"/>
        <w:ind w:firstLine="480" w:firstLineChars="200"/>
        <w:rPr>
          <w:rFonts w:hint="eastAsia" w:ascii="宋体" w:hAnsi="宋体" w:cs="宋体"/>
          <w:strike/>
          <w:sz w:val="24"/>
          <w:szCs w:val="24"/>
          <w:u w:val="single"/>
        </w:rPr>
      </w:pPr>
      <w:r>
        <w:rPr>
          <w:rFonts w:hint="eastAsia" w:ascii="宋体" w:hAnsi="宋体" w:cs="宋体"/>
          <w:strike/>
          <w:sz w:val="24"/>
          <w:szCs w:val="24"/>
          <w:u w:val="single"/>
        </w:rPr>
        <w:t>1.10.3 投标预备会后，招标人在《投标人须知前附表》规定的时间内，将对投标人所提问题的澄清，以书面形式通知所有购买招标文件的投标人。该澄清内容为招标文件的组成部分。</w:t>
      </w:r>
    </w:p>
    <w:p>
      <w:pPr>
        <w:keepNext/>
        <w:keepLines/>
        <w:spacing w:before="260" w:after="260" w:line="360" w:lineRule="auto"/>
        <w:outlineLvl w:val="2"/>
        <w:rPr>
          <w:rFonts w:hint="eastAsia" w:ascii="宋体" w:hAnsi="宋体" w:cs="宋体"/>
          <w:bCs/>
          <w:sz w:val="28"/>
          <w:szCs w:val="28"/>
        </w:rPr>
      </w:pPr>
      <w:bookmarkStart w:id="189" w:name="_Toc32689"/>
      <w:bookmarkStart w:id="190" w:name="_Toc25557"/>
      <w:bookmarkStart w:id="191" w:name="_Toc31934"/>
      <w:bookmarkStart w:id="192" w:name="_Toc30953"/>
      <w:bookmarkStart w:id="193" w:name="_Toc16758"/>
      <w:bookmarkStart w:id="194" w:name="_Toc247527565"/>
      <w:bookmarkStart w:id="195" w:name="_Toc14099"/>
      <w:bookmarkStart w:id="196" w:name="_Toc144974509"/>
      <w:bookmarkStart w:id="197" w:name="_Toc152045541"/>
      <w:bookmarkStart w:id="198" w:name="_Toc14541"/>
      <w:bookmarkStart w:id="199" w:name="_Toc485211049"/>
      <w:bookmarkStart w:id="200" w:name="_Toc4698"/>
      <w:bookmarkStart w:id="201" w:name="_Toc6742"/>
      <w:bookmarkStart w:id="202" w:name="_Toc4319"/>
      <w:bookmarkStart w:id="203" w:name="_Toc152042317"/>
      <w:bookmarkStart w:id="204" w:name="_Toc247513964"/>
      <w:r>
        <w:rPr>
          <w:rFonts w:hint="eastAsia" w:ascii="宋体" w:hAnsi="宋体" w:cs="宋体"/>
          <w:bCs/>
          <w:sz w:val="28"/>
          <w:szCs w:val="28"/>
        </w:rPr>
        <w:t>1.11 分包</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pPr>
        <w:spacing w:line="360" w:lineRule="auto"/>
        <w:ind w:firstLine="480" w:firstLineChars="200"/>
        <w:rPr>
          <w:rFonts w:hint="eastAsia" w:ascii="宋体" w:hAnsi="宋体" w:cs="宋体"/>
          <w:sz w:val="24"/>
          <w:szCs w:val="24"/>
        </w:rPr>
      </w:pPr>
      <w:r>
        <w:rPr>
          <w:rFonts w:hint="eastAsia" w:ascii="宋体" w:hAnsi="宋体" w:cs="宋体"/>
          <w:sz w:val="24"/>
          <w:szCs w:val="24"/>
        </w:rPr>
        <w:t>1.11.1 《投标人须知前附表》规定应当由分包人实施的非主体、非关键性工作，投标人应当按照第四章“发包人要求”的规定提供分包人侯选名单及其相应资料。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1.11.2 投标人拟在中标后将中标项目的部分非主体、非关键性工作进行分包的，应符合《投标人须知前附表》规定的分包内容、分包金额和资质要求等限制性条件。</w:t>
      </w:r>
    </w:p>
    <w:p>
      <w:pPr>
        <w:keepNext/>
        <w:keepLines/>
        <w:spacing w:before="260" w:after="260" w:line="360" w:lineRule="auto"/>
        <w:outlineLvl w:val="2"/>
        <w:rPr>
          <w:rFonts w:hint="eastAsia" w:ascii="宋体" w:hAnsi="宋体" w:cs="宋体"/>
          <w:bCs/>
          <w:sz w:val="28"/>
          <w:szCs w:val="28"/>
        </w:rPr>
      </w:pPr>
      <w:bookmarkStart w:id="205" w:name="_Toc11568"/>
      <w:bookmarkStart w:id="206" w:name="_Toc27670"/>
      <w:bookmarkStart w:id="207" w:name="_Toc6602"/>
      <w:bookmarkStart w:id="208" w:name="_Toc32073"/>
      <w:bookmarkStart w:id="209" w:name="_Toc13266"/>
      <w:bookmarkStart w:id="210" w:name="_Toc22035"/>
      <w:bookmarkStart w:id="211" w:name="_Toc485211050"/>
      <w:bookmarkStart w:id="212" w:name="_Toc13443"/>
      <w:bookmarkStart w:id="213" w:name="_Toc29868"/>
      <w:bookmarkStart w:id="214" w:name="_Toc18430"/>
      <w:bookmarkStart w:id="215" w:name="_Toc247513965"/>
      <w:bookmarkStart w:id="216" w:name="_Toc247527566"/>
      <w:bookmarkStart w:id="217" w:name="_Toc20842"/>
      <w:r>
        <w:rPr>
          <w:rFonts w:hint="eastAsia" w:ascii="宋体" w:hAnsi="宋体" w:cs="宋体"/>
          <w:bCs/>
          <w:sz w:val="28"/>
          <w:szCs w:val="28"/>
        </w:rPr>
        <w:t>1.12 偏离</w:t>
      </w:r>
      <w:bookmarkEnd w:id="205"/>
      <w:bookmarkEnd w:id="206"/>
      <w:bookmarkEnd w:id="207"/>
      <w:bookmarkEnd w:id="208"/>
      <w:bookmarkEnd w:id="209"/>
      <w:bookmarkEnd w:id="210"/>
      <w:bookmarkEnd w:id="211"/>
      <w:bookmarkEnd w:id="212"/>
      <w:bookmarkEnd w:id="213"/>
      <w:bookmarkEnd w:id="214"/>
      <w:bookmarkEnd w:id="215"/>
      <w:bookmarkEnd w:id="216"/>
      <w:bookmarkEnd w:id="217"/>
    </w:p>
    <w:p>
      <w:pPr>
        <w:spacing w:line="360" w:lineRule="auto"/>
        <w:ind w:firstLine="410" w:firstLineChars="171"/>
        <w:rPr>
          <w:rFonts w:hint="eastAsia" w:ascii="宋体" w:hAnsi="宋体" w:cs="宋体"/>
          <w:sz w:val="24"/>
          <w:szCs w:val="24"/>
        </w:rPr>
      </w:pPr>
      <w:r>
        <w:rPr>
          <w:rFonts w:hint="eastAsia" w:ascii="宋体" w:hAnsi="宋体" w:cs="宋体"/>
          <w:sz w:val="24"/>
          <w:szCs w:val="24"/>
        </w:rPr>
        <w:t>《投标人须知前附表》允许投标文件偏离招标文件某些要求的，偏离应当符合招标文件规定的偏离范围和幅度。</w:t>
      </w:r>
    </w:p>
    <w:p>
      <w:pPr>
        <w:keepNext/>
        <w:keepLines/>
        <w:spacing w:before="260" w:after="260" w:line="360" w:lineRule="auto"/>
        <w:outlineLvl w:val="1"/>
        <w:rPr>
          <w:rFonts w:hint="eastAsia" w:ascii="宋体" w:hAnsi="宋体" w:cs="宋体"/>
          <w:b/>
          <w:bCs/>
          <w:sz w:val="28"/>
          <w:szCs w:val="28"/>
        </w:rPr>
      </w:pPr>
      <w:bookmarkStart w:id="218" w:name="_Toc152042318"/>
      <w:bookmarkStart w:id="219" w:name="_Toc29050"/>
      <w:bookmarkStart w:id="220" w:name="_Toc144974510"/>
      <w:bookmarkStart w:id="221" w:name="_Toc3403"/>
      <w:bookmarkStart w:id="222" w:name="_Toc485211051"/>
      <w:bookmarkStart w:id="223" w:name="_Toc3075"/>
      <w:bookmarkStart w:id="224" w:name="_Toc29206"/>
      <w:bookmarkStart w:id="225" w:name="_Toc29934"/>
      <w:bookmarkStart w:id="226" w:name="_Toc6093"/>
      <w:bookmarkStart w:id="227" w:name="_Toc247513966"/>
      <w:bookmarkStart w:id="228" w:name="_Toc18141"/>
      <w:bookmarkStart w:id="229" w:name="_Toc12882"/>
      <w:bookmarkStart w:id="230" w:name="_Toc152045542"/>
      <w:bookmarkStart w:id="231" w:name="_Toc247527567"/>
      <w:bookmarkStart w:id="232" w:name="_Toc2209"/>
      <w:bookmarkStart w:id="233" w:name="_Toc25604"/>
      <w:r>
        <w:rPr>
          <w:rFonts w:hint="eastAsia" w:ascii="宋体" w:hAnsi="宋体" w:cs="宋体"/>
          <w:b/>
          <w:bCs/>
          <w:sz w:val="28"/>
          <w:szCs w:val="28"/>
        </w:rPr>
        <w:t>2. 招标文件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keepNext/>
        <w:keepLines/>
        <w:spacing w:before="260" w:after="260" w:line="360" w:lineRule="auto"/>
        <w:outlineLvl w:val="2"/>
        <w:rPr>
          <w:rFonts w:hint="eastAsia" w:ascii="宋体" w:hAnsi="宋体" w:cs="宋体"/>
          <w:bCs/>
          <w:sz w:val="28"/>
          <w:szCs w:val="28"/>
        </w:rPr>
      </w:pPr>
      <w:bookmarkStart w:id="234" w:name="_Toc4736"/>
      <w:bookmarkStart w:id="235" w:name="_Toc23492"/>
      <w:bookmarkStart w:id="236" w:name="_Toc144974511"/>
      <w:bookmarkStart w:id="237" w:name="_Toc152042319"/>
      <w:bookmarkStart w:id="238" w:name="_Toc152045543"/>
      <w:bookmarkStart w:id="239" w:name="_Toc11748"/>
      <w:bookmarkStart w:id="240" w:name="_Toc23401"/>
      <w:bookmarkStart w:id="241" w:name="_Toc21592"/>
      <w:bookmarkStart w:id="242" w:name="_Toc21925"/>
      <w:bookmarkStart w:id="243" w:name="_Toc12359"/>
      <w:bookmarkStart w:id="244" w:name="_Toc13776"/>
      <w:bookmarkStart w:id="245" w:name="_Toc3440"/>
      <w:bookmarkStart w:id="246" w:name="_Toc247513967"/>
      <w:bookmarkStart w:id="247" w:name="_Toc247527568"/>
      <w:bookmarkStart w:id="248" w:name="_Toc15061"/>
      <w:bookmarkStart w:id="249" w:name="_Toc485211052"/>
      <w:r>
        <w:rPr>
          <w:rFonts w:hint="eastAsia" w:ascii="宋体" w:hAnsi="宋体" w:cs="宋体"/>
          <w:bCs/>
          <w:sz w:val="28"/>
          <w:szCs w:val="28"/>
        </w:rPr>
        <w:t>2.1 招标文件的组成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spacing w:line="360" w:lineRule="auto"/>
        <w:ind w:firstLine="480" w:firstLineChars="200"/>
        <w:rPr>
          <w:rFonts w:hint="eastAsia" w:ascii="宋体" w:hAnsi="宋体" w:cs="宋体"/>
          <w:sz w:val="24"/>
          <w:szCs w:val="24"/>
        </w:rPr>
      </w:pPr>
      <w:r>
        <w:rPr>
          <w:rFonts w:hint="eastAsia" w:ascii="宋体" w:hAnsi="宋体" w:cs="宋体"/>
          <w:sz w:val="24"/>
          <w:szCs w:val="24"/>
        </w:rPr>
        <w:t>2.1.1本招标文件包括：</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（1）投标人须知；</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（2）评标办法；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（3）合同条款及格式(另册)；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（4）发包人要求；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（5）发包人提供的资料 (另册)；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（6）投标文件格式；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（7）《投标人须知前附表》规定的其他资料。</w:t>
      </w:r>
    </w:p>
    <w:p>
      <w:pPr>
        <w:spacing w:line="360" w:lineRule="auto"/>
        <w:ind w:firstLine="482" w:firstLineChars="200"/>
        <w:rPr>
          <w:rFonts w:hint="eastAsia" w:ascii="宋体" w:hAnsi="宋体" w:cs="宋体"/>
          <w:b/>
          <w:bCs/>
          <w:sz w:val="24"/>
          <w:szCs w:val="24"/>
          <w:u w:val="single"/>
        </w:rPr>
      </w:pPr>
      <w:r>
        <w:rPr>
          <w:rFonts w:hint="eastAsia" w:ascii="宋体" w:hAnsi="宋体" w:cs="宋体"/>
          <w:b/>
          <w:bCs/>
          <w:sz w:val="24"/>
          <w:szCs w:val="24"/>
          <w:u w:val="single"/>
        </w:rPr>
        <w:t>注：招标人应在发包人要求（工程建设标准）中明确施工现场建筑垃圾源头减量的具体要求和建筑垃圾综合利用产品的使用要求。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2.1.2根据本章第2.2款和第2.3款对招标文件所作的澄清、修改，构成招标文件的组成部分。</w:t>
      </w:r>
      <w:r>
        <w:rPr>
          <w:rFonts w:hint="eastAsia" w:ascii="宋体" w:hAnsi="宋体" w:cs="宋体"/>
          <w:sz w:val="24"/>
          <w:szCs w:val="24"/>
          <w:u w:val="single"/>
        </w:rPr>
        <w:t>当招标文件的澄清、修改等在同一内容的表述不一致时，以最后发出的书面文件为准</w:t>
      </w:r>
      <w:r>
        <w:rPr>
          <w:rFonts w:hint="eastAsia" w:ascii="宋体" w:hAnsi="宋体" w:cs="宋体"/>
          <w:sz w:val="24"/>
          <w:szCs w:val="24"/>
        </w:rPr>
        <w:t>。</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2.1.3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消其不符合要求的差异或保留使之成为具有响应性的投标文件。</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2.1.4投标人一旦中标，招标文件的内容对招标人和中标人双方均有约束力。</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2.1.5发布招标公告的同时，通过广州交易集团有限公司（广州公共资源交易中心）网站发布招标文件。</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2.1.6招标文件一经在广州交易集团有限公司（广州公共资源交易中心）网站发布，视作已发放给所有投标人。</w:t>
      </w:r>
    </w:p>
    <w:p>
      <w:pPr>
        <w:keepNext/>
        <w:keepLines/>
        <w:spacing w:before="260" w:after="260" w:line="360" w:lineRule="auto"/>
        <w:outlineLvl w:val="2"/>
        <w:rPr>
          <w:rFonts w:hint="eastAsia" w:ascii="宋体" w:hAnsi="宋体" w:cs="宋体"/>
          <w:bCs/>
          <w:sz w:val="28"/>
          <w:szCs w:val="28"/>
        </w:rPr>
      </w:pPr>
      <w:bookmarkStart w:id="250" w:name="_Toc152042320"/>
      <w:bookmarkStart w:id="251" w:name="_Toc247513968"/>
      <w:bookmarkStart w:id="252" w:name="_Toc13002"/>
      <w:bookmarkStart w:id="253" w:name="_Toc30001"/>
      <w:bookmarkStart w:id="254" w:name="_Toc18331"/>
      <w:bookmarkStart w:id="255" w:name="_Toc21381"/>
      <w:bookmarkStart w:id="256" w:name="_Toc485211053"/>
      <w:bookmarkStart w:id="257" w:name="_Toc25303"/>
      <w:bookmarkStart w:id="258" w:name="_Toc152045544"/>
      <w:bookmarkStart w:id="259" w:name="_Toc26751"/>
      <w:bookmarkStart w:id="260" w:name="_Toc8575"/>
      <w:bookmarkStart w:id="261" w:name="_Toc23964"/>
      <w:bookmarkStart w:id="262" w:name="_Toc247527569"/>
      <w:bookmarkStart w:id="263" w:name="_Toc144974512"/>
      <w:bookmarkStart w:id="264" w:name="_Toc22464"/>
      <w:bookmarkStart w:id="265" w:name="_Toc24492"/>
      <w:r>
        <w:rPr>
          <w:rFonts w:hint="eastAsia" w:ascii="宋体" w:hAnsi="宋体" w:cs="宋体"/>
          <w:bCs/>
          <w:sz w:val="28"/>
          <w:szCs w:val="28"/>
        </w:rPr>
        <w:t>2.2 招标文件的澄清</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rPr>
        <w:t>2.2.1 投标人应仔细阅读和检查招标文件的全部内容。如发现缺页或附件不全，应及时向招标人提出，以便补齐。如有疑问，</w:t>
      </w:r>
      <w:r>
        <w:rPr>
          <w:rFonts w:hint="eastAsia" w:ascii="宋体" w:hAnsi="宋体" w:cs="宋体"/>
          <w:sz w:val="24"/>
          <w:szCs w:val="24"/>
          <w:u w:val="single"/>
        </w:rPr>
        <w:t>可在规定的时间内通过广州交易集团有限公司（广州公共资源交易中心）网站进入提问区域将问题提交给招标人或招标代理人，提交问题时一律不得署名。</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招标答疑采用网上答疑方式进行。投标人若对招标文件（包括招标图纸、清单、最高投标限价、合同等）有疑问的，可在规定的时间内通过广州交易集团有限公司（广州公共资源交易中心）网站进入提问区域将问题提交给招标人或招标代理人，提交问题时一律不得署名。</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2.2.2投标人应在投标人须知前附表规定的时间前，按前附表载明的方式提出问题。招标人应在投标截止时间15日前解答投标人对招标文件提出的疑问，形成答疑纪要，方可在交易中心网站“项目答疑纪要”专区发布。</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2.2.3招标答疑纪要一经在广州交易集团有限公司（广州公共资源交易中心）网站发布，视作已发放给所有投标人。</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2.2.4招标答疑纪要为招标文件的一部分。投标人可在广州交易集团有限公司（广州公共资源交易中心）网站浏览、下载招标答疑纪要。</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2.2.5若招标答疑纪要与招标文件有矛盾时，以广州交易集团有限公司（广州公共资源交易中心）网站最后发布的答疑纪要为准。</w:t>
      </w:r>
    </w:p>
    <w:p>
      <w:pPr>
        <w:keepNext/>
        <w:keepLines/>
        <w:spacing w:before="260" w:after="260" w:line="360" w:lineRule="auto"/>
        <w:outlineLvl w:val="2"/>
        <w:rPr>
          <w:rFonts w:hint="eastAsia" w:ascii="宋体" w:hAnsi="宋体" w:cs="宋体"/>
          <w:bCs/>
          <w:sz w:val="28"/>
          <w:szCs w:val="28"/>
        </w:rPr>
      </w:pPr>
      <w:bookmarkStart w:id="266" w:name="_Toc20966"/>
      <w:bookmarkStart w:id="267" w:name="_Toc152042321"/>
      <w:bookmarkStart w:id="268" w:name="_Toc22980"/>
      <w:bookmarkStart w:id="269" w:name="_Toc144974513"/>
      <w:bookmarkStart w:id="270" w:name="_Toc247513969"/>
      <w:bookmarkStart w:id="271" w:name="_Toc20025"/>
      <w:bookmarkStart w:id="272" w:name="_Toc9598"/>
      <w:bookmarkStart w:id="273" w:name="_Toc15828"/>
      <w:bookmarkStart w:id="274" w:name="_Toc247527570"/>
      <w:bookmarkStart w:id="275" w:name="_Toc485211054"/>
      <w:bookmarkStart w:id="276" w:name="_Toc30706"/>
      <w:bookmarkStart w:id="277" w:name="_Toc152045545"/>
      <w:bookmarkStart w:id="278" w:name="_Toc22060"/>
      <w:bookmarkStart w:id="279" w:name="_Toc27838"/>
      <w:bookmarkStart w:id="280" w:name="_Toc6379"/>
      <w:bookmarkStart w:id="281" w:name="_Toc13082"/>
      <w:r>
        <w:rPr>
          <w:rFonts w:hint="eastAsia" w:ascii="宋体" w:hAnsi="宋体" w:cs="宋体"/>
          <w:bCs/>
          <w:sz w:val="28"/>
          <w:szCs w:val="28"/>
        </w:rPr>
        <w:t>2.3 招标文件的修改</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2.3.1招标文件发出后,在提交投标文件截止时间15日前，招标人可对招标文件进行必要的澄清或修改。</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2.3.2招标文件的澄清或修改在广州交易集团有限公司（广州公共资源交易中心）网站发布。招标文件的澄清或修改一经在广州交易集团有限公司（广州公共资源交易中心）网站发布，视作已发放给所有投标人，招标文件的修改内容作为招标文件的组成部分，具有约束作用。</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pPr>
        <w:spacing w:line="360" w:lineRule="auto"/>
        <w:ind w:firstLine="480" w:firstLineChars="200"/>
        <w:rPr>
          <w:rFonts w:hint="eastAsia" w:ascii="宋体" w:hAnsi="宋体" w:cs="宋体"/>
          <w:sz w:val="24"/>
          <w:szCs w:val="24"/>
        </w:rPr>
      </w:pPr>
      <w:r>
        <w:rPr>
          <w:rFonts w:hint="eastAsia" w:ascii="宋体" w:hAnsi="宋体" w:cs="宋体"/>
          <w:sz w:val="24"/>
          <w:szCs w:val="24"/>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pPr>
        <w:keepNext/>
        <w:keepLines/>
        <w:spacing w:before="260" w:after="260" w:line="360" w:lineRule="auto"/>
        <w:outlineLvl w:val="1"/>
        <w:rPr>
          <w:rFonts w:hint="eastAsia" w:ascii="宋体" w:hAnsi="宋体" w:cs="宋体"/>
          <w:b/>
          <w:bCs/>
          <w:sz w:val="28"/>
          <w:szCs w:val="28"/>
        </w:rPr>
      </w:pPr>
      <w:bookmarkStart w:id="282" w:name="_Toc13105"/>
      <w:bookmarkStart w:id="283" w:name="_Toc485211055"/>
      <w:bookmarkStart w:id="284" w:name="_Toc2293"/>
      <w:bookmarkStart w:id="285" w:name="_Toc144974514"/>
      <w:bookmarkStart w:id="286" w:name="_Toc152045546"/>
      <w:bookmarkStart w:id="287" w:name="_Toc30688"/>
      <w:bookmarkStart w:id="288" w:name="_Toc247527571"/>
      <w:bookmarkStart w:id="289" w:name="_Toc247513970"/>
      <w:bookmarkStart w:id="290" w:name="_Toc20660"/>
      <w:bookmarkStart w:id="291" w:name="_Toc11146"/>
      <w:bookmarkStart w:id="292" w:name="_Toc152042322"/>
      <w:bookmarkStart w:id="293" w:name="_Toc27747"/>
      <w:bookmarkStart w:id="294" w:name="_Toc22993"/>
      <w:bookmarkStart w:id="295" w:name="_Toc18287"/>
      <w:bookmarkStart w:id="296" w:name="_Toc11716"/>
      <w:bookmarkStart w:id="297" w:name="_Toc23184"/>
      <w:r>
        <w:rPr>
          <w:rFonts w:hint="eastAsia" w:ascii="宋体" w:hAnsi="宋体" w:cs="宋体"/>
          <w:b/>
          <w:bCs/>
          <w:sz w:val="28"/>
          <w:szCs w:val="28"/>
        </w:rPr>
        <w:t>3. 投标文件</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Pr>
          <w:rFonts w:hint="eastAsia" w:ascii="宋体" w:hAnsi="宋体" w:cs="宋体"/>
          <w:b/>
          <w:bCs/>
          <w:sz w:val="28"/>
          <w:szCs w:val="28"/>
        </w:rPr>
        <w:t>及定标文件</w:t>
      </w:r>
      <w:bookmarkEnd w:id="297"/>
    </w:p>
    <w:p>
      <w:pPr>
        <w:keepNext/>
        <w:keepLines/>
        <w:spacing w:before="260" w:after="260" w:line="360" w:lineRule="auto"/>
        <w:outlineLvl w:val="2"/>
        <w:rPr>
          <w:rFonts w:hint="eastAsia" w:ascii="宋体" w:hAnsi="宋体" w:cs="宋体"/>
          <w:bCs/>
          <w:sz w:val="28"/>
          <w:szCs w:val="28"/>
        </w:rPr>
      </w:pPr>
      <w:bookmarkStart w:id="298" w:name="_Toc3746"/>
      <w:bookmarkStart w:id="299" w:name="_Toc247513971"/>
      <w:bookmarkStart w:id="300" w:name="_Toc152045547"/>
      <w:bookmarkStart w:id="301" w:name="_Toc485211056"/>
      <w:bookmarkStart w:id="302" w:name="_Toc13959"/>
      <w:bookmarkStart w:id="303" w:name="_Toc18769"/>
      <w:bookmarkStart w:id="304" w:name="_Toc384759593"/>
      <w:bookmarkStart w:id="305" w:name="_Toc19073"/>
      <w:bookmarkStart w:id="306" w:name="_Toc10975"/>
      <w:bookmarkStart w:id="307" w:name="_Toc18043"/>
      <w:bookmarkStart w:id="308" w:name="_Toc436834742"/>
      <w:bookmarkStart w:id="309" w:name="_Toc247527572"/>
      <w:bookmarkStart w:id="310" w:name="_Toc31828"/>
      <w:bookmarkStart w:id="311" w:name="_Toc144974515"/>
      <w:bookmarkStart w:id="312" w:name="_Toc678"/>
      <w:bookmarkStart w:id="313" w:name="_Toc10609"/>
      <w:bookmarkStart w:id="314" w:name="_Toc436834149"/>
      <w:bookmarkStart w:id="315" w:name="_Toc16238"/>
      <w:bookmarkStart w:id="316" w:name="_Toc152042323"/>
      <w:r>
        <w:rPr>
          <w:rFonts w:hint="eastAsia" w:ascii="宋体" w:hAnsi="宋体" w:cs="宋体"/>
          <w:bCs/>
          <w:sz w:val="28"/>
          <w:szCs w:val="28"/>
        </w:rPr>
        <w:t>3.1 投标文件及定标文件的组成</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pPr>
        <w:spacing w:line="360" w:lineRule="auto"/>
        <w:ind w:firstLine="480" w:firstLineChars="200"/>
        <w:rPr>
          <w:rFonts w:hint="eastAsia" w:ascii="宋体" w:hAnsi="宋体" w:cs="宋体"/>
          <w:b/>
          <w:sz w:val="24"/>
          <w:szCs w:val="24"/>
        </w:rPr>
      </w:pPr>
      <w:r>
        <w:rPr>
          <w:rFonts w:hint="eastAsia" w:ascii="宋体" w:hAnsi="宋体" w:cs="宋体"/>
          <w:sz w:val="24"/>
          <w:szCs w:val="24"/>
        </w:rPr>
        <w:t>3.1.1 投标文件由</w:t>
      </w:r>
      <w:r>
        <w:rPr>
          <w:rFonts w:hint="eastAsia" w:ascii="宋体" w:hAnsi="宋体" w:cs="宋体"/>
          <w:sz w:val="24"/>
          <w:szCs w:val="24"/>
          <w:u w:val="single"/>
        </w:rPr>
        <w:t>设计投标文件、工程总承包实施方案（含资格审查文件）投标文件</w:t>
      </w:r>
      <w:r>
        <w:rPr>
          <w:rFonts w:hint="eastAsia" w:ascii="宋体" w:hAnsi="宋体" w:cs="宋体"/>
          <w:sz w:val="24"/>
          <w:szCs w:val="24"/>
        </w:rPr>
        <w:t>组成</w:t>
      </w:r>
      <w:r>
        <w:rPr>
          <w:rFonts w:hint="eastAsia" w:ascii="宋体" w:hAnsi="宋体" w:cs="宋体"/>
          <w:b/>
          <w:sz w:val="24"/>
          <w:szCs w:val="24"/>
        </w:rPr>
        <w:t>，主要包括下列内容：</w:t>
      </w:r>
    </w:p>
    <w:p>
      <w:pPr>
        <w:spacing w:line="360" w:lineRule="auto"/>
        <w:ind w:firstLine="480" w:firstLineChars="200"/>
        <w:rPr>
          <w:rFonts w:hint="eastAsia" w:ascii="宋体" w:hAnsi="宋体" w:cs="宋体"/>
          <w:sz w:val="24"/>
          <w:szCs w:val="24"/>
        </w:rPr>
      </w:pPr>
      <w:r>
        <w:rPr>
          <w:rFonts w:hint="eastAsia" w:ascii="宋体" w:hAnsi="宋体"/>
          <w:sz w:val="24"/>
          <w:szCs w:val="24"/>
          <w:u w:val="single"/>
        </w:rPr>
        <w:t>3.1.1.1</w:t>
      </w:r>
      <w:r>
        <w:rPr>
          <w:rFonts w:hint="eastAsia" w:ascii="宋体" w:hAnsi="宋体" w:cs="宋体"/>
          <w:sz w:val="24"/>
          <w:szCs w:val="24"/>
          <w:u w:val="single"/>
        </w:rPr>
        <w:t>设计投标文件：</w:t>
      </w:r>
    </w:p>
    <w:p>
      <w:pPr>
        <w:spacing w:line="360" w:lineRule="auto"/>
        <w:ind w:firstLine="480" w:firstLineChars="200"/>
        <w:rPr>
          <w:rFonts w:hint="eastAsia" w:ascii="宋体" w:hAnsi="宋体"/>
          <w:sz w:val="24"/>
          <w:szCs w:val="24"/>
          <w:u w:val="single"/>
        </w:rPr>
      </w:pPr>
      <w:r>
        <w:rPr>
          <w:rFonts w:hint="eastAsia" w:ascii="宋体" w:hAnsi="宋体"/>
          <w:sz w:val="24"/>
          <w:szCs w:val="24"/>
          <w:u w:val="single"/>
        </w:rPr>
        <w:t>（1）首页：写明项目名称、设计概况、编制年月；</w:t>
      </w:r>
    </w:p>
    <w:p>
      <w:pPr>
        <w:spacing w:line="360" w:lineRule="auto"/>
        <w:ind w:firstLine="480" w:firstLineChars="200"/>
        <w:rPr>
          <w:rFonts w:hint="eastAsia" w:ascii="宋体" w:hAnsi="宋体"/>
          <w:sz w:val="24"/>
          <w:szCs w:val="24"/>
          <w:u w:val="single"/>
        </w:rPr>
      </w:pPr>
      <w:r>
        <w:rPr>
          <w:rFonts w:hint="eastAsia" w:ascii="宋体" w:hAnsi="宋体"/>
          <w:sz w:val="24"/>
          <w:szCs w:val="24"/>
          <w:u w:val="single"/>
        </w:rPr>
        <w:t>（2）目录；</w:t>
      </w:r>
    </w:p>
    <w:p>
      <w:pPr>
        <w:spacing w:line="360" w:lineRule="auto"/>
        <w:ind w:firstLine="480" w:firstLineChars="200"/>
        <w:rPr>
          <w:rFonts w:hint="eastAsia" w:ascii="宋体" w:hAnsi="宋体"/>
          <w:sz w:val="24"/>
          <w:szCs w:val="24"/>
          <w:u w:val="single"/>
        </w:rPr>
      </w:pPr>
      <w:r>
        <w:rPr>
          <w:rFonts w:hint="eastAsia" w:ascii="宋体" w:hAnsi="宋体"/>
          <w:sz w:val="24"/>
          <w:szCs w:val="24"/>
          <w:u w:val="single"/>
        </w:rPr>
        <w:t>（3）设计服务方案；</w:t>
      </w:r>
    </w:p>
    <w:p>
      <w:pPr>
        <w:spacing w:line="360" w:lineRule="auto"/>
        <w:ind w:firstLine="480" w:firstLineChars="200"/>
        <w:rPr>
          <w:rFonts w:hint="eastAsia" w:ascii="宋体" w:hAnsi="宋体"/>
          <w:sz w:val="24"/>
          <w:szCs w:val="24"/>
          <w:u w:val="single"/>
        </w:rPr>
      </w:pPr>
      <w:r>
        <w:rPr>
          <w:rFonts w:hint="eastAsia" w:ascii="宋体" w:hAnsi="宋体"/>
          <w:sz w:val="24"/>
          <w:szCs w:val="24"/>
          <w:u w:val="single"/>
        </w:rPr>
        <w:t>（4）设计图纸（需包括但不限于效果图、总平面图等）；</w:t>
      </w:r>
    </w:p>
    <w:p>
      <w:pPr>
        <w:spacing w:line="360" w:lineRule="auto"/>
        <w:ind w:firstLine="480" w:firstLineChars="200"/>
        <w:rPr>
          <w:rFonts w:hint="eastAsia" w:ascii="宋体" w:hAnsi="宋体"/>
          <w:sz w:val="24"/>
          <w:szCs w:val="24"/>
          <w:u w:val="single"/>
        </w:rPr>
      </w:pPr>
      <w:r>
        <w:rPr>
          <w:rFonts w:hint="eastAsia" w:ascii="宋体" w:hAnsi="宋体"/>
          <w:sz w:val="24"/>
          <w:szCs w:val="24"/>
          <w:u w:val="single"/>
        </w:rPr>
        <w:t>（5）《工期计划表》（方案设计、初步设计、施工图设计的总工时和工期）；</w:t>
      </w:r>
    </w:p>
    <w:p>
      <w:pPr>
        <w:spacing w:line="360" w:lineRule="auto"/>
        <w:ind w:firstLine="480" w:firstLineChars="200"/>
        <w:rPr>
          <w:rFonts w:hint="eastAsia" w:ascii="宋体" w:hAnsi="宋体"/>
          <w:sz w:val="24"/>
          <w:szCs w:val="24"/>
          <w:u w:val="single"/>
        </w:rPr>
      </w:pPr>
      <w:r>
        <w:rPr>
          <w:rFonts w:hint="eastAsia" w:ascii="宋体" w:hAnsi="宋体"/>
          <w:sz w:val="24"/>
          <w:szCs w:val="24"/>
          <w:u w:val="single"/>
        </w:rPr>
        <w:t>（6）完成本项目的难点，保障工期、质量的主要措施；</w:t>
      </w:r>
    </w:p>
    <w:p>
      <w:pPr>
        <w:spacing w:line="360" w:lineRule="auto"/>
        <w:ind w:firstLine="480" w:firstLineChars="200"/>
        <w:rPr>
          <w:rFonts w:hint="eastAsia" w:ascii="宋体" w:hAnsi="宋体"/>
          <w:sz w:val="24"/>
          <w:szCs w:val="24"/>
          <w:u w:val="single"/>
        </w:rPr>
      </w:pPr>
      <w:r>
        <w:rPr>
          <w:rFonts w:hint="eastAsia" w:ascii="宋体" w:hAnsi="宋体"/>
          <w:sz w:val="24"/>
          <w:szCs w:val="24"/>
          <w:u w:val="single"/>
        </w:rPr>
        <w:t>（7）投标人认为有必要提供的其他资料。</w:t>
      </w:r>
    </w:p>
    <w:p>
      <w:pPr>
        <w:spacing w:line="360" w:lineRule="auto"/>
        <w:ind w:firstLine="480" w:firstLineChars="200"/>
        <w:rPr>
          <w:rFonts w:hint="eastAsia" w:ascii="宋体" w:hAnsi="宋体" w:cs="宋体"/>
          <w:sz w:val="24"/>
          <w:szCs w:val="24"/>
          <w:u w:val="single"/>
        </w:rPr>
      </w:pPr>
      <w:r>
        <w:rPr>
          <w:rFonts w:hint="eastAsia" w:ascii="宋体" w:hAnsi="宋体" w:cs="宋体"/>
          <w:kern w:val="0"/>
          <w:sz w:val="24"/>
          <w:szCs w:val="24"/>
          <w:u w:val="single"/>
        </w:rPr>
        <w:t>3.1.1.2工程总承包实施方案</w:t>
      </w:r>
      <w:r>
        <w:rPr>
          <w:rFonts w:hint="eastAsia" w:ascii="宋体" w:hAnsi="宋体" w:cs="宋体"/>
          <w:sz w:val="24"/>
          <w:szCs w:val="24"/>
          <w:u w:val="single"/>
        </w:rPr>
        <w:t>（含资格审查文件）投标文件：</w:t>
      </w:r>
    </w:p>
    <w:p>
      <w:pPr>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u w:val="single"/>
        </w:rPr>
        <w:t>（1）投标承诺书（格式见后格式二）；</w:t>
      </w:r>
    </w:p>
    <w:p>
      <w:pPr>
        <w:pStyle w:val="2"/>
        <w:spacing w:line="360" w:lineRule="auto"/>
        <w:ind w:firstLine="480" w:firstLineChars="200"/>
        <w:rPr>
          <w:rFonts w:hint="eastAsia" w:ascii="宋体" w:hAnsi="宋体"/>
          <w:sz w:val="24"/>
          <w:szCs w:val="24"/>
        </w:rPr>
      </w:pPr>
      <w:r>
        <w:rPr>
          <w:rFonts w:hint="eastAsia" w:ascii="宋体" w:hAnsi="宋体" w:cs="宋体"/>
          <w:sz w:val="24"/>
          <w:szCs w:val="24"/>
          <w:u w:val="single"/>
        </w:rPr>
        <w:t>（2）投标书及报价清单</w:t>
      </w:r>
      <w:r>
        <w:rPr>
          <w:rFonts w:hint="eastAsia" w:ascii="宋体" w:hAnsi="宋体" w:cs="宋体"/>
          <w:kern w:val="0"/>
          <w:sz w:val="24"/>
          <w:szCs w:val="24"/>
          <w:u w:val="single"/>
        </w:rPr>
        <w:t>（格式见后格式三）；</w:t>
      </w:r>
    </w:p>
    <w:p>
      <w:pPr>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u w:val="single"/>
        </w:rPr>
        <w:t>（3）资格审查文件：</w:t>
      </w:r>
    </w:p>
    <w:p>
      <w:pPr>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u w:val="single"/>
        </w:rPr>
        <w:t>1）法定代表人证明书，如投标文件为委托代理人签署应同时附上法定代表人证明书和法定代表人授权委托书。（联合体投标的，由联合体主办方出具即可）；</w:t>
      </w:r>
    </w:p>
    <w:p>
      <w:pPr>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u w:val="single"/>
        </w:rPr>
        <w:t>2）企业营业执照扫描件或电子证照（联合体投标的，联合体所有成员均出具）；</w:t>
      </w:r>
    </w:p>
    <w:p>
      <w:pPr>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u w:val="single"/>
        </w:rPr>
        <w:t>3）企业资质证书扫描件或电子证照（联合体投标的，联合体所有成员均出具）；</w:t>
      </w:r>
    </w:p>
    <w:p>
      <w:pPr>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u w:val="single"/>
        </w:rPr>
        <w:t>4）建筑施工企业安全生产许可证扫描件或电子证照（联合体投标的，由联合体承担施工任务方出具）；</w:t>
      </w:r>
    </w:p>
    <w:p>
      <w:pPr>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u w:val="single"/>
        </w:rPr>
        <w:t>5）项目负责人资格满足招标公告的要求；（联合体投标的，由联合体主办方出具）；</w:t>
      </w:r>
    </w:p>
    <w:p>
      <w:pPr>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u w:val="single"/>
        </w:rPr>
        <w:t>6）施工负责人的建造师电子证书扫描件或电子证书；持有在有效期内的安全生产考核合格证书（B类）或建筑施工企业项目负责人安全生产考核合格证书扫描件或电子证书（联合体投标的，由联合体承担施工任务方出具）；</w:t>
      </w:r>
    </w:p>
    <w:p>
      <w:pPr>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u w:val="single"/>
        </w:rPr>
        <w:t>7）设计负责人的注册建筑师证书扫描件或电子证书（若为联合体投标，由联合体主办方出具）；</w:t>
      </w:r>
    </w:p>
    <w:p>
      <w:pPr>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u w:val="single"/>
        </w:rPr>
        <w:t>8）施工技术负责人的职称证书扫描件，</w:t>
      </w:r>
      <w:r>
        <w:rPr>
          <w:rFonts w:hint="eastAsia" w:ascii="宋体" w:hAnsi="宋体" w:cs="宋体"/>
          <w:sz w:val="24"/>
          <w:szCs w:val="24"/>
          <w:u w:val="single"/>
        </w:rPr>
        <w:t>且施工技术负责人和项目负责人、施工负责人、设计负责人、专职安全员不为同一人</w:t>
      </w:r>
      <w:r>
        <w:rPr>
          <w:rFonts w:hint="eastAsia" w:ascii="宋体" w:hAnsi="宋体" w:cs="宋体"/>
          <w:kern w:val="0"/>
          <w:sz w:val="24"/>
          <w:szCs w:val="24"/>
          <w:u w:val="single"/>
        </w:rPr>
        <w:t>（联合体投标的，由联合体承担施工任务方出具）；</w:t>
      </w:r>
    </w:p>
    <w:p>
      <w:pPr>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u w:val="single"/>
        </w:rPr>
        <w:t>9）专职安全员须具有</w:t>
      </w:r>
      <w:r>
        <w:rPr>
          <w:rFonts w:hint="eastAsia" w:ascii="宋体" w:hAnsi="宋体" w:cs="宋体"/>
          <w:sz w:val="24"/>
          <w:u w:val="single"/>
        </w:rPr>
        <w:t>在有效期内的</w:t>
      </w:r>
      <w:r>
        <w:rPr>
          <w:rFonts w:hint="eastAsia" w:ascii="宋体" w:hAnsi="宋体" w:cs="宋体"/>
          <w:kern w:val="0"/>
          <w:sz w:val="24"/>
          <w:szCs w:val="24"/>
          <w:u w:val="single"/>
        </w:rPr>
        <w:t>安全生产考核合格证（C类）或建筑施工企业专职安全生产管理人员安全生产考核合格证书（C3）扫描件或电子证书（按投标登记时选择拟派专职安全员）。专职安全员和项目负责人、施工负责人、设计负责人、施工技术负责人不为同一人；（联合体投标的，由联合体承担施工任务方出具）；</w:t>
      </w:r>
    </w:p>
    <w:p>
      <w:pPr>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u w:val="single"/>
        </w:rPr>
        <w:t>10）投标人按照规定的格式及内容要求签署的《投标人声明》（格式见招标公告附件一）；（联合体投标的，由联合体主办方出具）；</w:t>
      </w:r>
    </w:p>
    <w:p>
      <w:pPr>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u w:val="single"/>
        </w:rPr>
        <w:t>11）列明主办单位的联合体共同投标协议（采用联合体投标时需递交，格式按招标公告附件二。联合体共同投标协议应明确约定各方拟承担的工作和责任）；</w:t>
      </w:r>
    </w:p>
    <w:p>
      <w:pPr>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u w:val="single"/>
        </w:rPr>
        <w:t>12）投标人（含联合体各方）未出现以下情形：与其它投标人的单位负责人为同一人或者存在控股、管理关系的（按投标人提供的《投标人声明》第八条内容进行评审）。如不同投标申请人出现单位负责人为同一人或者存在控股、管理关系的情形，则不得参加同一标段投标或者未划分标段的同一招标项目投标，否则均视其不符合投标人合格条件予以处理。（联合体内各成员之间不受本条限制）</w:t>
      </w:r>
    </w:p>
    <w:p>
      <w:pPr>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u w:val="single"/>
        </w:rPr>
        <w:t>13）投标人（联合体投标的，联合体所有成员均出具）未被列入拖欠农民工工资失信联合惩戒对象名单。（按投标截止时间交易系统比对的结果进行评审）</w:t>
      </w:r>
    </w:p>
    <w:p>
      <w:pPr>
        <w:spacing w:line="360" w:lineRule="auto"/>
        <w:ind w:firstLine="480" w:firstLineChars="200"/>
        <w:rPr>
          <w:rFonts w:hint="eastAsia" w:ascii="宋体" w:hAnsi="宋体" w:cs="宋体"/>
          <w:sz w:val="24"/>
          <w:szCs w:val="24"/>
          <w:u w:val="single"/>
        </w:rPr>
      </w:pPr>
      <w:r>
        <w:rPr>
          <w:rFonts w:hint="eastAsia" w:ascii="宋体" w:hAnsi="宋体" w:cs="宋体"/>
          <w:kern w:val="0"/>
          <w:sz w:val="24"/>
          <w:szCs w:val="24"/>
          <w:u w:val="single"/>
        </w:rPr>
        <w:t>14）资格审查前，投标人（联合体投标的，联合体所有成员均出具）在广州市住建行业信用管理平台建立企业信用档案，且拟担任本项目的项目负责人、施工负责人、专职安全员、设计负责人是本企业信用档案中的在册人员（联合体投标的，信用档案信息和人员在册情况为联合体协议分工对应企业库内信息）</w:t>
      </w:r>
      <w:r>
        <w:rPr>
          <w:rFonts w:hint="eastAsia" w:ascii="宋体" w:hAnsi="宋体" w:cs="宋体"/>
          <w:sz w:val="24"/>
          <w:szCs w:val="24"/>
          <w:u w:val="single"/>
        </w:rPr>
        <w:t>；</w:t>
      </w:r>
    </w:p>
    <w:p>
      <w:pPr>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u w:val="single"/>
        </w:rPr>
        <w:t>15）定标因素企业资信部分资料；</w:t>
      </w:r>
    </w:p>
    <w:p>
      <w:pPr>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u w:val="single"/>
        </w:rPr>
        <w:t>16）投标人认为提交的其他资料；</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（1）危险性较大的分部分项工程清单及超过一定规模的危险性较大的分部分项工程清单</w:t>
      </w:r>
      <w:r>
        <w:rPr>
          <w:rFonts w:hint="eastAsia" w:ascii="宋体" w:hAnsi="宋体" w:cs="宋体"/>
          <w:kern w:val="0"/>
          <w:sz w:val="24"/>
          <w:szCs w:val="24"/>
          <w:u w:val="single"/>
        </w:rPr>
        <w:t>（格式见后格式五）；</w:t>
      </w:r>
    </w:p>
    <w:p>
      <w:pPr>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u w:val="single"/>
        </w:rPr>
        <w:t>（</w:t>
      </w:r>
      <w:r>
        <w:rPr>
          <w:rFonts w:ascii="宋体" w:hAnsi="宋体" w:cs="宋体"/>
          <w:kern w:val="0"/>
          <w:sz w:val="24"/>
          <w:szCs w:val="24"/>
          <w:u w:val="single"/>
        </w:rPr>
        <w:t>2</w:t>
      </w:r>
      <w:r>
        <w:rPr>
          <w:rFonts w:hint="eastAsia" w:ascii="宋体" w:hAnsi="宋体" w:cs="宋体"/>
          <w:kern w:val="0"/>
          <w:sz w:val="24"/>
          <w:szCs w:val="24"/>
          <w:u w:val="single"/>
        </w:rPr>
        <w:t>）工程总承包项目管理团队人员信息表（含施工管理团队、勘察团队、设计团队）（格式见后格式</w:t>
      </w:r>
      <w:r>
        <w:rPr>
          <w:rFonts w:ascii="宋体" w:hAnsi="宋体" w:cs="宋体"/>
          <w:kern w:val="0"/>
          <w:sz w:val="24"/>
          <w:szCs w:val="24"/>
          <w:u w:val="single"/>
        </w:rPr>
        <w:t>六</w:t>
      </w:r>
      <w:r>
        <w:rPr>
          <w:rFonts w:hint="eastAsia" w:ascii="宋体" w:hAnsi="宋体" w:cs="宋体"/>
          <w:kern w:val="0"/>
          <w:sz w:val="24"/>
          <w:szCs w:val="24"/>
          <w:u w:val="single"/>
        </w:rPr>
        <w:t>）；</w:t>
      </w:r>
    </w:p>
    <w:p>
      <w:pPr>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u w:val="single"/>
        </w:rPr>
        <w:t>（</w:t>
      </w:r>
      <w:r>
        <w:rPr>
          <w:rFonts w:ascii="宋体" w:hAnsi="宋体" w:cs="宋体"/>
          <w:kern w:val="0"/>
          <w:sz w:val="24"/>
          <w:szCs w:val="24"/>
          <w:u w:val="single"/>
        </w:rPr>
        <w:t>3</w:t>
      </w:r>
      <w:r>
        <w:rPr>
          <w:rFonts w:hint="eastAsia" w:ascii="宋体" w:hAnsi="宋体" w:cs="宋体"/>
          <w:kern w:val="0"/>
          <w:sz w:val="24"/>
          <w:szCs w:val="24"/>
          <w:u w:val="single"/>
        </w:rPr>
        <w:t>）施工方案；</w:t>
      </w:r>
    </w:p>
    <w:p>
      <w:pPr>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u w:val="single"/>
        </w:rPr>
        <w:t>（</w:t>
      </w:r>
      <w:r>
        <w:rPr>
          <w:rFonts w:ascii="宋体" w:hAnsi="宋体" w:cs="宋体"/>
          <w:kern w:val="0"/>
          <w:sz w:val="24"/>
          <w:szCs w:val="24"/>
          <w:u w:val="single"/>
        </w:rPr>
        <w:t>4</w:t>
      </w:r>
      <w:r>
        <w:rPr>
          <w:rFonts w:hint="eastAsia" w:ascii="宋体" w:hAnsi="宋体" w:cs="宋体"/>
          <w:kern w:val="0"/>
          <w:sz w:val="24"/>
          <w:szCs w:val="24"/>
          <w:u w:val="single"/>
        </w:rPr>
        <w:t>）投标人实施本项目的资源优势；</w:t>
      </w:r>
    </w:p>
    <w:p>
      <w:pPr>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u w:val="single"/>
        </w:rPr>
        <w:t>（</w:t>
      </w:r>
      <w:r>
        <w:rPr>
          <w:rFonts w:ascii="宋体" w:hAnsi="宋体" w:cs="宋体"/>
          <w:kern w:val="0"/>
          <w:sz w:val="24"/>
          <w:szCs w:val="24"/>
          <w:u w:val="single"/>
        </w:rPr>
        <w:t>5</w:t>
      </w:r>
      <w:r>
        <w:rPr>
          <w:rFonts w:hint="eastAsia" w:ascii="宋体" w:hAnsi="宋体" w:cs="宋体"/>
          <w:kern w:val="0"/>
          <w:sz w:val="24"/>
          <w:szCs w:val="24"/>
          <w:u w:val="single"/>
        </w:rPr>
        <w:t xml:space="preserve">）参与编制工程总承包实施方案投标文件人员名单（格式见后格式四）； </w:t>
      </w:r>
    </w:p>
    <w:p>
      <w:pPr>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u w:val="single"/>
        </w:rPr>
        <w:t>（</w:t>
      </w:r>
      <w:r>
        <w:rPr>
          <w:rFonts w:ascii="宋体" w:hAnsi="宋体" w:cs="宋体"/>
          <w:kern w:val="0"/>
          <w:sz w:val="24"/>
          <w:szCs w:val="24"/>
          <w:u w:val="single"/>
        </w:rPr>
        <w:t>6</w:t>
      </w:r>
      <w:r>
        <w:rPr>
          <w:rFonts w:hint="eastAsia" w:ascii="宋体" w:hAnsi="宋体" w:cs="宋体"/>
          <w:kern w:val="0"/>
          <w:sz w:val="24"/>
          <w:szCs w:val="24"/>
          <w:u w:val="single"/>
        </w:rPr>
        <w:t>）投标人认为需要提交的其它文件。</w:t>
      </w:r>
    </w:p>
    <w:p>
      <w:pPr>
        <w:spacing w:line="360" w:lineRule="auto"/>
        <w:ind w:firstLine="482" w:firstLineChars="200"/>
        <w:rPr>
          <w:rFonts w:ascii="宋体" w:hAnsi="宋体" w:cs="宋体"/>
          <w:b/>
          <w:sz w:val="24"/>
          <w:szCs w:val="24"/>
          <w:u w:val="single"/>
        </w:rPr>
      </w:pPr>
      <w:r>
        <w:rPr>
          <w:rFonts w:hint="eastAsia" w:ascii="宋体" w:hAnsi="宋体" w:cs="宋体"/>
          <w:b/>
          <w:sz w:val="24"/>
          <w:szCs w:val="24"/>
          <w:u w:val="single"/>
        </w:rPr>
        <w:t>3.1.2定标文件：</w:t>
      </w:r>
    </w:p>
    <w:p>
      <w:pPr>
        <w:spacing w:line="360" w:lineRule="auto"/>
        <w:ind w:firstLine="482" w:firstLineChars="200"/>
        <w:rPr>
          <w:rFonts w:hint="eastAsia" w:ascii="宋体" w:hAnsi="宋体" w:cs="宋体"/>
          <w:b/>
          <w:kern w:val="0"/>
          <w:sz w:val="24"/>
          <w:szCs w:val="24"/>
          <w:u w:val="single"/>
        </w:rPr>
      </w:pPr>
      <w:r>
        <w:rPr>
          <w:rFonts w:hint="eastAsia" w:ascii="宋体" w:hAnsi="宋体" w:cs="宋体"/>
          <w:b/>
          <w:sz w:val="24"/>
          <w:szCs w:val="24"/>
          <w:u w:val="single"/>
        </w:rPr>
        <w:t>定标文件以投标文件的设计投标文件及工程总承包实施方案（含资格审查文件）投标文件为准，投标人无须重复提供。</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3.1.3投标文件应做到清晰、完整，文本、图纸规格应当尽量统一。除非另有规定，否则投标文件的计量单位宜采用国际标准计量单位，尺寸齐全、准确，所有文字说明和文字标注以中文为准，报价均为人民币，时间均为北京时间。每个投标人报送一个投标方案，投标文件应达到招标文件规定的深度，满足评审需要。不响应招标文件要求的投标文件可能被拒绝，责任由投标人自负。</w:t>
      </w:r>
    </w:p>
    <w:p>
      <w:pPr>
        <w:keepNext/>
        <w:keepLines/>
        <w:spacing w:before="260" w:after="260" w:line="360" w:lineRule="auto"/>
        <w:outlineLvl w:val="2"/>
        <w:rPr>
          <w:rFonts w:hint="eastAsia" w:ascii="宋体" w:hAnsi="宋体" w:cs="宋体"/>
          <w:bCs/>
          <w:sz w:val="28"/>
          <w:szCs w:val="28"/>
        </w:rPr>
      </w:pPr>
      <w:bookmarkStart w:id="317" w:name="_Toc436834743"/>
      <w:bookmarkStart w:id="318" w:name="_Toc152042324"/>
      <w:bookmarkStart w:id="319" w:name="_Toc3423"/>
      <w:bookmarkStart w:id="320" w:name="_Toc29223"/>
      <w:bookmarkStart w:id="321" w:name="_Toc399165392"/>
      <w:bookmarkStart w:id="322" w:name="_Toc8042"/>
      <w:bookmarkStart w:id="323" w:name="_Toc144974516"/>
      <w:bookmarkStart w:id="324" w:name="_Toc247527573"/>
      <w:bookmarkStart w:id="325" w:name="_Toc92"/>
      <w:bookmarkStart w:id="326" w:name="_Toc32164"/>
      <w:bookmarkStart w:id="327" w:name="_Toc152045548"/>
      <w:bookmarkStart w:id="328" w:name="_Toc436834150"/>
      <w:bookmarkStart w:id="329" w:name="_Toc485211057"/>
      <w:bookmarkStart w:id="330" w:name="_Toc24837"/>
      <w:bookmarkStart w:id="331" w:name="_Toc12966"/>
      <w:bookmarkStart w:id="332" w:name="_Toc19364"/>
      <w:bookmarkStart w:id="333" w:name="_Toc247513972"/>
      <w:bookmarkStart w:id="334" w:name="_Toc300834969"/>
      <w:bookmarkStart w:id="335" w:name="_Toc6661"/>
      <w:bookmarkStart w:id="336" w:name="_Toc8600"/>
      <w:r>
        <w:rPr>
          <w:rFonts w:hint="eastAsia" w:ascii="宋体" w:hAnsi="宋体" w:cs="宋体"/>
          <w:bCs/>
          <w:sz w:val="28"/>
          <w:szCs w:val="28"/>
        </w:rPr>
        <w:t>3.2 投标报价</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Pr>
          <w:rFonts w:hint="eastAsia" w:ascii="宋体" w:hAnsi="宋体" w:cs="宋体"/>
          <w:bCs/>
          <w:sz w:val="28"/>
          <w:szCs w:val="28"/>
        </w:rPr>
        <w:t xml:space="preserve">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3.2.1投标人应充分了解施工场地的位置、周边环境、道路、装卸、保管、安装限制以及影响投标报价的其他要素。投标人根据投标设计，结合市场情况进行投标报价。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3.2.2招标人设有投标最高限价的，投标人的投标报价不得超过投标最高限价，投标最高限价或其计算方法在《投标人须知前附表》中载明。</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3.2.3 投标报价的其他要求见《投标人须知前附表》。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3.2.4 本工程的投标报价采用投标须知前附表第3.3.3条所规定的方式。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3.2.5投标人的投标报价，应是按照投标须知前附表第1.3.2条的工期要求，在投标须知前附表第1.1.5条的建设地点，完成投标须知前附表第1.3.1条的招标范围内列明工作的全部费用，包括但不限于完成工作的成本、利润、税金、技术措施费、大型机械进出场费、风险费以及政策性文件规定费用等，不得以任何理由予以重复计算。</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3.2.6造价承包和变更结算方式详见合同条款。</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3.2.7投标人可先到工地踏勘以充分了解工地位置、情况、道路、储存空间、装卸限制及任何其他足以影响承包价的情况，任何因忽视或误解工地情况而导致的索赔或工期延长申请将不被批准。</w:t>
      </w:r>
    </w:p>
    <w:p>
      <w:pPr>
        <w:keepNext/>
        <w:keepLines/>
        <w:spacing w:before="260" w:after="260" w:line="360" w:lineRule="auto"/>
        <w:outlineLvl w:val="2"/>
        <w:rPr>
          <w:rFonts w:hint="eastAsia" w:ascii="宋体" w:hAnsi="宋体" w:cs="宋体"/>
          <w:bCs/>
          <w:sz w:val="28"/>
          <w:szCs w:val="28"/>
        </w:rPr>
      </w:pPr>
      <w:bookmarkStart w:id="337" w:name="_Toc247527574"/>
      <w:bookmarkStart w:id="338" w:name="_Toc152042325"/>
      <w:bookmarkStart w:id="339" w:name="_Toc13869"/>
      <w:bookmarkStart w:id="340" w:name="_Toc300834970"/>
      <w:bookmarkStart w:id="341" w:name="_Toc247513973"/>
      <w:bookmarkStart w:id="342" w:name="_Toc31054"/>
      <w:bookmarkStart w:id="343" w:name="_Toc19098"/>
      <w:bookmarkStart w:id="344" w:name="_Toc436834744"/>
      <w:bookmarkStart w:id="345" w:name="_Toc485211058"/>
      <w:bookmarkStart w:id="346" w:name="_Toc9785"/>
      <w:bookmarkStart w:id="347" w:name="_Toc4826"/>
      <w:bookmarkStart w:id="348" w:name="_Toc13045"/>
      <w:bookmarkStart w:id="349" w:name="_Toc10475"/>
      <w:bookmarkStart w:id="350" w:name="_Toc22871"/>
      <w:bookmarkStart w:id="351" w:name="_Toc152045549"/>
      <w:bookmarkStart w:id="352" w:name="_Toc399165393"/>
      <w:bookmarkStart w:id="353" w:name="_Toc436834151"/>
      <w:bookmarkStart w:id="354" w:name="_Toc30468"/>
      <w:bookmarkStart w:id="355" w:name="_Toc9600"/>
      <w:bookmarkStart w:id="356" w:name="_Toc144974517"/>
      <w:r>
        <w:rPr>
          <w:rFonts w:hint="eastAsia" w:ascii="宋体" w:hAnsi="宋体" w:cs="宋体"/>
          <w:bCs/>
          <w:sz w:val="28"/>
          <w:szCs w:val="28"/>
        </w:rPr>
        <w:t>3.3 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pPr>
        <w:spacing w:line="360" w:lineRule="auto"/>
        <w:ind w:firstLine="480" w:firstLineChars="200"/>
        <w:rPr>
          <w:rFonts w:hint="eastAsia" w:ascii="宋体" w:hAnsi="宋体" w:cs="宋体"/>
          <w:sz w:val="24"/>
          <w:szCs w:val="24"/>
        </w:rPr>
      </w:pPr>
      <w:r>
        <w:rPr>
          <w:rFonts w:hint="eastAsia" w:ascii="宋体" w:hAnsi="宋体" w:cs="宋体"/>
          <w:sz w:val="24"/>
          <w:szCs w:val="24"/>
        </w:rPr>
        <w:t>3.3.1投标有效期按须知前附表的规定。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3.3.2 在投标有效期内，投标人撤销或修改其投标文件的，应承担招标文件和法律规定的责任。</w:t>
      </w:r>
    </w:p>
    <w:p>
      <w:pPr>
        <w:spacing w:line="360" w:lineRule="auto"/>
        <w:ind w:firstLine="480" w:firstLineChars="200"/>
        <w:rPr>
          <w:rFonts w:hint="eastAsia" w:ascii="宋体" w:hAnsi="宋体" w:cs="宋体"/>
          <w:strike/>
          <w:sz w:val="24"/>
          <w:szCs w:val="24"/>
        </w:rPr>
      </w:pPr>
      <w:r>
        <w:rPr>
          <w:rFonts w:hint="eastAsia" w:ascii="宋体" w:hAnsi="宋体" w:cs="宋体"/>
          <w:sz w:val="24"/>
          <w:szCs w:val="24"/>
        </w:rPr>
        <w:t>3.3.3 出现特殊情况需要延长投标有效期的，招标人以书面形式通知所有投标人延长投标有效期。</w:t>
      </w:r>
      <w:r>
        <w:rPr>
          <w:rFonts w:hint="eastAsia" w:ascii="宋体" w:hAnsi="宋体" w:cs="宋体"/>
          <w:strike/>
          <w:sz w:val="24"/>
          <w:szCs w:val="24"/>
        </w:rPr>
        <w:t>投标人同意延长的，应相应延长其投标保证金的有效期，但不得要求或被允许修改或撤销其投标文件；投标人拒绝延长的，其投标失效，但投标人有权收回其投标保证金。</w:t>
      </w:r>
    </w:p>
    <w:p>
      <w:pPr>
        <w:keepNext/>
        <w:keepLines/>
        <w:spacing w:before="260" w:after="260" w:line="360" w:lineRule="auto"/>
        <w:outlineLvl w:val="2"/>
        <w:rPr>
          <w:rFonts w:hint="eastAsia" w:ascii="宋体" w:hAnsi="宋体" w:cs="宋体"/>
          <w:bCs/>
          <w:strike/>
          <w:sz w:val="28"/>
          <w:szCs w:val="28"/>
        </w:rPr>
      </w:pPr>
      <w:bookmarkStart w:id="357" w:name="_Toc29105"/>
      <w:bookmarkStart w:id="358" w:name="_Toc399165394"/>
      <w:bookmarkStart w:id="359" w:name="_Toc26267"/>
      <w:bookmarkStart w:id="360" w:name="_Toc485211059"/>
      <w:bookmarkStart w:id="361" w:name="_Toc247527575"/>
      <w:bookmarkStart w:id="362" w:name="_Toc436834152"/>
      <w:bookmarkStart w:id="363" w:name="_Toc21972"/>
      <w:bookmarkStart w:id="364" w:name="_Toc436834745"/>
      <w:bookmarkStart w:id="365" w:name="_Toc300834971"/>
      <w:bookmarkStart w:id="366" w:name="_Toc144974518"/>
      <w:bookmarkStart w:id="367" w:name="_Toc13638"/>
      <w:bookmarkStart w:id="368" w:name="_Toc31634"/>
      <w:bookmarkStart w:id="369" w:name="_Toc6160"/>
      <w:bookmarkStart w:id="370" w:name="_Toc152045550"/>
      <w:bookmarkStart w:id="371" w:name="_Toc26430"/>
      <w:bookmarkStart w:id="372" w:name="_Toc13048"/>
      <w:bookmarkStart w:id="373" w:name="_Toc680"/>
      <w:bookmarkStart w:id="374" w:name="_Toc247513974"/>
      <w:bookmarkStart w:id="375" w:name="_Toc11120"/>
      <w:bookmarkStart w:id="376" w:name="_Toc152042326"/>
      <w:r>
        <w:rPr>
          <w:rFonts w:hint="eastAsia" w:ascii="宋体" w:hAnsi="宋体" w:cs="宋体"/>
          <w:bCs/>
          <w:strike/>
          <w:sz w:val="28"/>
          <w:szCs w:val="28"/>
        </w:rPr>
        <w:t>3.4 投标</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hint="eastAsia" w:ascii="宋体" w:hAnsi="宋体" w:cs="宋体"/>
          <w:bCs/>
          <w:strike/>
          <w:sz w:val="28"/>
          <w:szCs w:val="28"/>
        </w:rPr>
        <w:t>保证金</w:t>
      </w:r>
    </w:p>
    <w:p>
      <w:pPr>
        <w:spacing w:line="360" w:lineRule="auto"/>
        <w:ind w:firstLine="480" w:firstLineChars="200"/>
        <w:rPr>
          <w:rFonts w:hint="eastAsia" w:ascii="宋体" w:hAnsi="宋体" w:cs="宋体"/>
          <w:b/>
          <w:bCs/>
          <w:strike/>
          <w:sz w:val="24"/>
          <w:szCs w:val="24"/>
          <w:u w:val="single"/>
        </w:rPr>
      </w:pPr>
      <w:r>
        <w:rPr>
          <w:rFonts w:hint="eastAsia" w:ascii="宋体" w:hAnsi="宋体" w:cs="宋体"/>
          <w:strike/>
          <w:sz w:val="24"/>
          <w:szCs w:val="24"/>
        </w:rPr>
        <w:t>3.4.1 投标人在递交投标文件的同时，应按《投标人须知前附表》规定的金额和时间递交投标保证金，并作为其投标文件的组成部分。联合体投标的，其投标保证金由主办方递交，并应符合《投标人须知前附表》的规定。</w:t>
      </w:r>
      <w:r>
        <w:rPr>
          <w:rFonts w:hint="eastAsia" w:ascii="宋体" w:hAnsi="宋体" w:cs="宋体"/>
          <w:b/>
          <w:bCs/>
          <w:strike/>
          <w:sz w:val="24"/>
          <w:szCs w:val="24"/>
          <w:u w:val="single"/>
        </w:rPr>
        <w:t>招标人应当允许投标人自主选择现金、银行保函、保证保险、专业工程担保公司担保等方式缴纳投标保证金。</w:t>
      </w:r>
    </w:p>
    <w:p>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3.4.1.1采用现金或者支票形式提交的，投标保证金须从投标人的银行基本账户转出。</w:t>
      </w:r>
    </w:p>
    <w:p>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3.4.1.2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3.4.4条款所列情形的，应将纸质原件提交给招标人。</w:t>
      </w:r>
    </w:p>
    <w:p>
      <w:pPr>
        <w:spacing w:line="360" w:lineRule="auto"/>
        <w:ind w:firstLine="480" w:firstLineChars="200"/>
        <w:rPr>
          <w:rFonts w:ascii="宋体" w:hAnsi="宋体" w:cs="宋体"/>
          <w:strike/>
          <w:sz w:val="24"/>
          <w:szCs w:val="24"/>
        </w:rPr>
      </w:pPr>
      <w:r>
        <w:rPr>
          <w:rFonts w:hint="eastAsia" w:ascii="宋体" w:hAnsi="宋体" w:cs="宋体"/>
          <w:strike/>
          <w:sz w:val="24"/>
          <w:szCs w:val="24"/>
        </w:rPr>
        <w:t>3.4.1.3采用电子形式的保函、担保或保证保险提交投标保证金的，应在招标文件中明确电子递交途径。</w:t>
      </w:r>
    </w:p>
    <w:p>
      <w:pPr>
        <w:spacing w:line="360" w:lineRule="auto"/>
        <w:ind w:firstLine="480" w:firstLineChars="200"/>
        <w:rPr>
          <w:rFonts w:hint="eastAsia" w:ascii="宋体" w:hAnsi="宋体" w:cs="宋体"/>
          <w:strike/>
          <w:sz w:val="24"/>
          <w:szCs w:val="24"/>
          <w:u w:val="single"/>
        </w:rPr>
      </w:pPr>
      <w:r>
        <w:rPr>
          <w:rFonts w:hint="eastAsia" w:ascii="宋体" w:hAnsi="宋体" w:cs="宋体"/>
          <w:strike/>
          <w:sz w:val="24"/>
          <w:szCs w:val="24"/>
        </w:rPr>
        <w:t>3.4.2 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2" w:firstLineChars="200"/>
        <w:rPr>
          <w:rFonts w:hint="eastAsia" w:ascii="宋体" w:hAnsi="宋体" w:cs="宋体"/>
          <w:b/>
          <w:strike/>
          <w:sz w:val="24"/>
          <w:szCs w:val="24"/>
          <w:u w:val="single"/>
        </w:rPr>
      </w:pPr>
      <w:r>
        <w:rPr>
          <w:rFonts w:hint="eastAsia" w:ascii="宋体" w:hAnsi="宋体" w:cs="宋体"/>
          <w:b/>
          <w:strike/>
          <w:sz w:val="24"/>
          <w:szCs w:val="24"/>
        </w:rPr>
        <w:t xml:space="preserve">3.4.3 </w:t>
      </w:r>
      <w:r>
        <w:rPr>
          <w:rFonts w:hint="eastAsia" w:ascii="宋体" w:hAnsi="宋体" w:cs="宋体"/>
          <w:b/>
          <w:strike/>
          <w:sz w:val="24"/>
          <w:szCs w:val="24"/>
          <w:u w:val="single"/>
        </w:rPr>
        <w:t>投标保证金应依据法律法规的相关规定退还。</w:t>
      </w:r>
    </w:p>
    <w:p>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3.4.4 如有下列情况之一的，招标人不予退还投标保证金：</w:t>
      </w:r>
    </w:p>
    <w:p>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（1）因投标人原因造成投标文件未解密的；</w:t>
      </w:r>
    </w:p>
    <w:p>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（2）投标人在投标有效期内撤销投标文件；</w:t>
      </w:r>
    </w:p>
    <w:p>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（3）中标人未能在规定期限内按要求提交履约担保；</w:t>
      </w:r>
    </w:p>
    <w:p>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（4）中标人未能在规定期限内签署合同协议。</w:t>
      </w:r>
    </w:p>
    <w:p>
      <w:pPr>
        <w:spacing w:line="360" w:lineRule="auto"/>
        <w:ind w:firstLine="480" w:firstLineChars="200"/>
        <w:rPr>
          <w:rFonts w:hint="eastAsia" w:ascii="宋体" w:hAnsi="宋体" w:cs="宋体"/>
          <w:bCs/>
          <w:strike/>
          <w:sz w:val="24"/>
          <w:szCs w:val="24"/>
        </w:rPr>
      </w:pPr>
      <w:r>
        <w:rPr>
          <w:rFonts w:hint="eastAsia" w:ascii="宋体" w:hAnsi="宋体" w:cs="宋体"/>
          <w:bCs/>
          <w:strike/>
          <w:sz w:val="24"/>
          <w:szCs w:val="24"/>
        </w:rPr>
        <w:t>3.4.5 投标人如存在下列情况之一的，将被拒绝在一年内参与招标人后续工程投标（注：拒绝投标时限自招标人发出通知之日起计）：</w:t>
      </w:r>
    </w:p>
    <w:p>
      <w:pPr>
        <w:spacing w:line="360" w:lineRule="auto"/>
        <w:ind w:firstLine="480" w:firstLineChars="200"/>
        <w:rPr>
          <w:rFonts w:hint="eastAsia" w:ascii="宋体" w:hAnsi="宋体" w:cs="宋体"/>
          <w:bCs/>
          <w:strike/>
          <w:sz w:val="24"/>
          <w:szCs w:val="24"/>
        </w:rPr>
      </w:pPr>
      <w:r>
        <w:rPr>
          <w:rFonts w:hint="eastAsia" w:ascii="宋体" w:hAnsi="宋体" w:cs="宋体"/>
          <w:bCs/>
          <w:strike/>
          <w:sz w:val="24"/>
          <w:szCs w:val="24"/>
        </w:rPr>
        <w:t>3.4.5.1投标人存在3.4.4条款所列情形且投标人提交的保函、担保或保证保险无法兑付的；</w:t>
      </w:r>
    </w:p>
    <w:p>
      <w:pPr>
        <w:spacing w:line="360" w:lineRule="auto"/>
        <w:ind w:firstLine="480" w:firstLineChars="200"/>
        <w:rPr>
          <w:rFonts w:hint="eastAsia" w:ascii="宋体" w:hAnsi="宋体" w:cs="宋体"/>
          <w:bCs/>
          <w:strike/>
          <w:sz w:val="24"/>
          <w:szCs w:val="24"/>
        </w:rPr>
      </w:pPr>
      <w:r>
        <w:rPr>
          <w:rFonts w:hint="eastAsia" w:ascii="宋体" w:hAnsi="宋体" w:cs="宋体"/>
          <w:bCs/>
          <w:strike/>
          <w:sz w:val="24"/>
          <w:szCs w:val="24"/>
        </w:rPr>
        <w:t>3.4.5.2采用非电子形式提交投标保证金的投标人存在3.4.4条款所列情形，且未按招标人要求补交银行保函、专业工程担保公司担保或保证保险原件的；</w:t>
      </w:r>
    </w:p>
    <w:p>
      <w:pPr>
        <w:spacing w:line="360" w:lineRule="auto"/>
        <w:ind w:firstLine="480" w:firstLineChars="200"/>
        <w:rPr>
          <w:rFonts w:hint="eastAsia" w:ascii="宋体" w:hAnsi="宋体" w:cs="宋体"/>
          <w:bCs/>
          <w:strike/>
          <w:sz w:val="24"/>
          <w:szCs w:val="24"/>
        </w:rPr>
      </w:pPr>
      <w:r>
        <w:rPr>
          <w:rFonts w:hint="eastAsia" w:ascii="宋体" w:hAnsi="宋体" w:cs="宋体"/>
          <w:bCs/>
          <w:strike/>
          <w:sz w:val="24"/>
          <w:szCs w:val="24"/>
        </w:rPr>
        <w:t>3.4.5.3按招标文件要求免于提供投标保证金的投标人存在3.4.4条款所列情形，且未按招标人要求补交投标保证金的；</w:t>
      </w:r>
    </w:p>
    <w:p>
      <w:pPr>
        <w:keepNext/>
        <w:keepLines/>
        <w:spacing w:before="260" w:after="260" w:line="360" w:lineRule="auto"/>
        <w:outlineLvl w:val="2"/>
        <w:rPr>
          <w:rFonts w:hint="eastAsia" w:ascii="宋体" w:hAnsi="宋体" w:cs="宋体"/>
          <w:bCs/>
          <w:sz w:val="28"/>
          <w:szCs w:val="28"/>
        </w:rPr>
      </w:pPr>
      <w:bookmarkStart w:id="377" w:name="_Toc436834153"/>
      <w:bookmarkStart w:id="378" w:name="_Toc300834972"/>
      <w:bookmarkStart w:id="379" w:name="_Toc247527576"/>
      <w:bookmarkStart w:id="380" w:name="_Toc432"/>
      <w:bookmarkStart w:id="381" w:name="_Toc152042327"/>
      <w:bookmarkStart w:id="382" w:name="_Toc29352"/>
      <w:bookmarkStart w:id="383" w:name="_Toc3053"/>
      <w:bookmarkStart w:id="384" w:name="_Toc144974519"/>
      <w:bookmarkStart w:id="385" w:name="_Toc16018"/>
      <w:bookmarkStart w:id="386" w:name="_Toc26980"/>
      <w:bookmarkStart w:id="387" w:name="_Toc152045551"/>
      <w:bookmarkStart w:id="388" w:name="_Toc22700"/>
      <w:bookmarkStart w:id="389" w:name="_Toc5399"/>
      <w:bookmarkStart w:id="390" w:name="_Toc10212"/>
      <w:bookmarkStart w:id="391" w:name="_Toc436834746"/>
      <w:bookmarkStart w:id="392" w:name="_Toc485211060"/>
      <w:bookmarkStart w:id="393" w:name="_Toc399165395"/>
      <w:bookmarkStart w:id="394" w:name="_Toc247513975"/>
      <w:bookmarkStart w:id="395" w:name="_Toc32455"/>
      <w:bookmarkStart w:id="396" w:name="_Toc24641"/>
      <w:r>
        <w:rPr>
          <w:rFonts w:hint="eastAsia" w:ascii="宋体" w:hAnsi="宋体" w:cs="宋体"/>
          <w:bCs/>
          <w:sz w:val="28"/>
          <w:szCs w:val="28"/>
        </w:rPr>
        <w:t>3.5 资格审查资料</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pPr>
        <w:spacing w:line="360" w:lineRule="auto"/>
        <w:ind w:firstLine="480" w:firstLineChars="200"/>
        <w:rPr>
          <w:rFonts w:hint="eastAsia" w:ascii="宋体" w:hAnsi="宋体" w:cs="新宋体"/>
          <w:sz w:val="24"/>
          <w:szCs w:val="24"/>
          <w:u w:val="single"/>
        </w:rPr>
      </w:pPr>
      <w:r>
        <w:rPr>
          <w:rFonts w:hint="eastAsia" w:ascii="宋体" w:hAnsi="宋体" w:cs="新宋体"/>
          <w:sz w:val="24"/>
          <w:szCs w:val="24"/>
          <w:u w:val="single"/>
        </w:rPr>
        <w:t>资格审查资料要求详见本章3.1.1资格审查文件组成。</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采用电子化资格后审</w:t>
      </w:r>
      <w:bookmarkStart w:id="397" w:name="_Toc439246018"/>
      <w:bookmarkStart w:id="398" w:name="_Toc356469198"/>
      <w:bookmarkStart w:id="399" w:name="_Toc357089532"/>
      <w:bookmarkStart w:id="400" w:name="_Toc439240619"/>
      <w:r>
        <w:rPr>
          <w:rFonts w:hint="eastAsia" w:ascii="宋体" w:hAnsi="宋体" w:cs="宋体"/>
          <w:sz w:val="24"/>
          <w:szCs w:val="24"/>
          <w:u w:val="single"/>
        </w:rPr>
        <w:t>，由综合评标委员会负</w:t>
      </w:r>
      <w:bookmarkEnd w:id="397"/>
      <w:bookmarkEnd w:id="398"/>
      <w:bookmarkEnd w:id="399"/>
      <w:bookmarkEnd w:id="400"/>
      <w:r>
        <w:rPr>
          <w:rFonts w:hint="eastAsia" w:ascii="宋体" w:hAnsi="宋体" w:cs="宋体"/>
          <w:sz w:val="24"/>
          <w:szCs w:val="24"/>
          <w:u w:val="single"/>
        </w:rPr>
        <w:t>责对投标人的资格进行审查，评标时只对通过资格审查的投标人进行下一阶段的评审。</w:t>
      </w:r>
    </w:p>
    <w:p>
      <w:pPr>
        <w:keepNext/>
        <w:keepLines/>
        <w:spacing w:before="260" w:after="260" w:line="360" w:lineRule="auto"/>
        <w:outlineLvl w:val="2"/>
        <w:rPr>
          <w:rFonts w:hint="eastAsia" w:ascii="宋体" w:hAnsi="宋体" w:cs="宋体"/>
          <w:bCs/>
          <w:sz w:val="28"/>
          <w:szCs w:val="28"/>
        </w:rPr>
      </w:pPr>
      <w:bookmarkStart w:id="401" w:name="_Toc152042329"/>
      <w:bookmarkStart w:id="402" w:name="_Toc247527578"/>
      <w:bookmarkStart w:id="403" w:name="_Toc21267"/>
      <w:bookmarkStart w:id="404" w:name="_Toc20485"/>
      <w:bookmarkStart w:id="405" w:name="_Toc485211061"/>
      <w:bookmarkStart w:id="406" w:name="_Toc19123"/>
      <w:bookmarkStart w:id="407" w:name="_Toc399165396"/>
      <w:bookmarkStart w:id="408" w:name="_Toc247513977"/>
      <w:bookmarkStart w:id="409" w:name="_Toc30313"/>
      <w:bookmarkStart w:id="410" w:name="_Toc21856"/>
      <w:bookmarkStart w:id="411" w:name="_Toc14964"/>
      <w:bookmarkStart w:id="412" w:name="_Toc16473"/>
      <w:bookmarkStart w:id="413" w:name="_Toc27106"/>
      <w:bookmarkStart w:id="414" w:name="_Toc152045553"/>
      <w:bookmarkStart w:id="415" w:name="_Toc144974521"/>
      <w:bookmarkStart w:id="416" w:name="_Toc436834154"/>
      <w:bookmarkStart w:id="417" w:name="_Toc436834747"/>
      <w:bookmarkStart w:id="418" w:name="_Toc19287"/>
      <w:bookmarkStart w:id="419" w:name="_Toc7912"/>
      <w:bookmarkStart w:id="420" w:name="_Toc300834974"/>
      <w:r>
        <w:rPr>
          <w:rFonts w:hint="eastAsia" w:ascii="宋体" w:hAnsi="宋体" w:cs="宋体"/>
          <w:bCs/>
          <w:sz w:val="28"/>
          <w:szCs w:val="28"/>
        </w:rPr>
        <w:t>3.6 备选投标方案</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spacing w:line="360" w:lineRule="auto"/>
        <w:ind w:firstLine="480" w:firstLineChars="200"/>
        <w:rPr>
          <w:rFonts w:hint="eastAsia" w:ascii="宋体" w:hAnsi="宋体" w:cs="宋体"/>
          <w:sz w:val="24"/>
          <w:szCs w:val="24"/>
        </w:rPr>
      </w:pPr>
      <w:r>
        <w:rPr>
          <w:rFonts w:hint="eastAsia" w:ascii="宋体" w:hAnsi="宋体" w:cs="宋体"/>
          <w:sz w:val="24"/>
          <w:szCs w:val="24"/>
        </w:rPr>
        <w:t>除《投标人须知前附表》另有规定外，投标人不得递交备选投标方案。</w:t>
      </w:r>
    </w:p>
    <w:p>
      <w:pPr>
        <w:keepNext/>
        <w:keepLines/>
        <w:spacing w:before="260" w:after="260" w:line="360" w:lineRule="auto"/>
        <w:outlineLvl w:val="2"/>
        <w:rPr>
          <w:rFonts w:hint="eastAsia" w:ascii="宋体" w:hAnsi="宋体" w:cs="宋体"/>
          <w:bCs/>
          <w:sz w:val="28"/>
          <w:szCs w:val="28"/>
        </w:rPr>
      </w:pPr>
      <w:bookmarkStart w:id="421" w:name="_Toc10840"/>
      <w:bookmarkStart w:id="422" w:name="_Toc2357"/>
      <w:bookmarkStart w:id="423" w:name="_Toc891"/>
      <w:bookmarkStart w:id="424" w:name="_Toc485211062"/>
      <w:bookmarkStart w:id="425" w:name="_Toc28735"/>
      <w:bookmarkStart w:id="426" w:name="_Toc18853"/>
      <w:bookmarkStart w:id="427" w:name="_Toc399165397"/>
      <w:bookmarkStart w:id="428" w:name="_Toc12905"/>
      <w:bookmarkStart w:id="429" w:name="_Toc9691"/>
      <w:bookmarkStart w:id="430" w:name="_Toc436834748"/>
      <w:bookmarkStart w:id="431" w:name="_Toc21558"/>
      <w:bookmarkStart w:id="432" w:name="_Toc152045554"/>
      <w:bookmarkStart w:id="433" w:name="_Toc300834975"/>
      <w:bookmarkStart w:id="434" w:name="_Toc247527579"/>
      <w:bookmarkStart w:id="435" w:name="_Toc19858"/>
      <w:bookmarkStart w:id="436" w:name="_Toc144974522"/>
      <w:bookmarkStart w:id="437" w:name="_Toc436834155"/>
      <w:bookmarkStart w:id="438" w:name="_Toc247513978"/>
      <w:bookmarkStart w:id="439" w:name="_Toc152042330"/>
      <w:bookmarkStart w:id="440" w:name="_Toc19573"/>
      <w:r>
        <w:rPr>
          <w:rFonts w:hint="eastAsia" w:ascii="宋体" w:hAnsi="宋体" w:cs="宋体"/>
          <w:bCs/>
          <w:sz w:val="28"/>
          <w:szCs w:val="28"/>
        </w:rPr>
        <w:t>3.7 投标文件</w:t>
      </w:r>
      <w:r>
        <w:rPr>
          <w:rFonts w:hint="eastAsia" w:ascii="宋体" w:hAnsi="宋体" w:cs="宋体"/>
          <w:bCs/>
          <w:sz w:val="28"/>
          <w:szCs w:val="28"/>
          <w:u w:val="single"/>
        </w:rPr>
        <w:t>及定标文件</w:t>
      </w:r>
      <w:r>
        <w:rPr>
          <w:rFonts w:hint="eastAsia" w:ascii="宋体" w:hAnsi="宋体" w:cs="宋体"/>
          <w:bCs/>
          <w:sz w:val="28"/>
          <w:szCs w:val="28"/>
        </w:rPr>
        <w:t>的编制</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3.7.1 </w:t>
      </w:r>
      <w:r>
        <w:rPr>
          <w:rFonts w:hint="eastAsia" w:ascii="宋体" w:hAnsi="宋体" w:cs="宋体"/>
          <w:sz w:val="24"/>
          <w:szCs w:val="24"/>
          <w:u w:val="single"/>
        </w:rPr>
        <w:t>招标文件第六章“投标文件格式”有提供格式要求的投标文件应其按进行编写盖章</w:t>
      </w:r>
      <w:r>
        <w:rPr>
          <w:rFonts w:hint="eastAsia" w:ascii="宋体" w:hAnsi="宋体" w:cs="宋体"/>
          <w:sz w:val="24"/>
          <w:szCs w:val="24"/>
        </w:rPr>
        <w:t>，如有必要，可以增加附页，作为投标文件的组成部分。其中，投标书在满足招标文件实质性要求的基础上，可以提出比招标文件要求更有利于招标人的承诺。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3.7.2 投标文件应当对招标文件有关招标范围、投标有效期、工期、质量标准、发包人要求等实质性内容作出响应。</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3.7.3投标文件全部采用电子文档，投标文件所附证书证件需为原件清晰扫描件，并采用单位数字证书，按照招标文件要求在相应位置加盖电子印章。具体操作详见《建设工程全流程电子化项目操作指南（适用于投标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投标文件中需个人签字或盖章的，应加盖个人电子印章或在线下完成后扫描上传，投标文件按招标文件要求加盖单位电子印章。具体操作详见《建设工程全流程电子化项目操作指南（适用于投标人）》。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联合体投标时，除联合体共同投标协议必须由联合体各方分别按要求同时签字、盖章外，投标文件其他内容及落款中的“投标人或投标单位”需出现各成员单位名称及盖章的，应填写联合体各方的单位全称[格式为：（主）XXXX公司（成）XXXX公司（成）XXXX公司……]，由联合体主办方按格式规定签字、盖章即可。法定代表人证明书及授权委托证明书可由联合体主办方出具，其中“单位”一栏可只填写联合体主办方名称，并由联合体主办方签字、盖章。</w:t>
      </w:r>
    </w:p>
    <w:p>
      <w:pPr>
        <w:spacing w:line="360" w:lineRule="auto"/>
        <w:ind w:firstLine="480" w:firstLineChars="200"/>
        <w:rPr>
          <w:rFonts w:hint="eastAsia" w:ascii="宋体" w:hAnsi="宋体" w:cs="宋体"/>
          <w:sz w:val="24"/>
          <w:szCs w:val="24"/>
        </w:rPr>
      </w:pPr>
      <w:bookmarkStart w:id="441" w:name="_Toc5356"/>
      <w:bookmarkStart w:id="442" w:name="_Toc22778"/>
      <w:bookmarkStart w:id="443" w:name="_Toc8135"/>
      <w:bookmarkStart w:id="444" w:name="_Toc384759600"/>
      <w:bookmarkStart w:id="445" w:name="_Toc18477"/>
      <w:bookmarkStart w:id="446" w:name="_Toc247527580"/>
      <w:bookmarkStart w:id="447" w:name="_Toc247513979"/>
      <w:bookmarkStart w:id="448" w:name="_Toc8014"/>
      <w:bookmarkStart w:id="449" w:name="_Toc144974523"/>
      <w:bookmarkStart w:id="450" w:name="_Toc152042331"/>
      <w:bookmarkStart w:id="451" w:name="_Toc18915"/>
      <w:bookmarkStart w:id="452" w:name="_Toc19013"/>
      <w:bookmarkStart w:id="453" w:name="_Toc436834156"/>
      <w:bookmarkStart w:id="454" w:name="_Toc19642"/>
      <w:bookmarkStart w:id="455" w:name="_Toc485211063"/>
      <w:bookmarkStart w:id="456" w:name="_Toc436834749"/>
      <w:bookmarkStart w:id="457" w:name="_Toc152045555"/>
      <w:bookmarkStart w:id="458" w:name="_Toc152042333"/>
      <w:bookmarkStart w:id="459" w:name="_Toc247513981"/>
      <w:bookmarkStart w:id="460" w:name="_Toc152045557"/>
      <w:bookmarkStart w:id="461" w:name="_Toc144974525"/>
      <w:bookmarkStart w:id="462" w:name="_Toc247527582"/>
      <w:bookmarkStart w:id="463" w:name="_Toc399165400"/>
      <w:bookmarkStart w:id="464" w:name="_Toc300834978"/>
    </w:p>
    <w:p>
      <w:pPr>
        <w:keepNext/>
        <w:keepLines/>
        <w:spacing w:before="260" w:after="260" w:line="360" w:lineRule="auto"/>
        <w:outlineLvl w:val="1"/>
        <w:rPr>
          <w:rFonts w:hint="eastAsia" w:ascii="宋体" w:hAnsi="宋体" w:cs="宋体"/>
          <w:b/>
          <w:bCs/>
          <w:sz w:val="28"/>
          <w:szCs w:val="28"/>
        </w:rPr>
      </w:pPr>
      <w:bookmarkStart w:id="465" w:name="_Toc4201"/>
      <w:bookmarkStart w:id="466" w:name="_Toc29511"/>
      <w:r>
        <w:rPr>
          <w:rFonts w:hint="eastAsia" w:ascii="宋体" w:hAnsi="宋体" w:cs="宋体"/>
          <w:b/>
          <w:bCs/>
          <w:sz w:val="28"/>
          <w:szCs w:val="28"/>
        </w:rPr>
        <w:t>4. 投标</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65"/>
      <w:bookmarkEnd w:id="466"/>
    </w:p>
    <w:p>
      <w:pPr>
        <w:keepNext/>
        <w:keepLines/>
        <w:spacing w:before="260" w:after="260" w:line="360" w:lineRule="auto"/>
        <w:outlineLvl w:val="2"/>
        <w:rPr>
          <w:rFonts w:hint="eastAsia" w:ascii="宋体" w:hAnsi="宋体" w:cs="宋体"/>
          <w:bCs/>
          <w:sz w:val="28"/>
          <w:szCs w:val="28"/>
        </w:rPr>
      </w:pPr>
      <w:bookmarkStart w:id="467" w:name="_Toc144974524"/>
      <w:bookmarkStart w:id="468" w:name="_Toc26252"/>
      <w:bookmarkStart w:id="469" w:name="_Toc24340"/>
      <w:bookmarkStart w:id="470" w:name="_Toc14380"/>
      <w:bookmarkStart w:id="471" w:name="_Toc247527581"/>
      <w:bookmarkStart w:id="472" w:name="_Toc28266"/>
      <w:bookmarkStart w:id="473" w:name="_Toc152042332"/>
      <w:bookmarkStart w:id="474" w:name="_Toc32403"/>
      <w:bookmarkStart w:id="475" w:name="_Toc384759601"/>
      <w:bookmarkStart w:id="476" w:name="_Toc12356"/>
      <w:bookmarkStart w:id="477" w:name="_Toc436834157"/>
      <w:bookmarkStart w:id="478" w:name="_Toc25808"/>
      <w:bookmarkStart w:id="479" w:name="_Toc8390"/>
      <w:bookmarkStart w:id="480" w:name="_Toc152045556"/>
      <w:bookmarkStart w:id="481" w:name="_Toc436834750"/>
      <w:bookmarkStart w:id="482" w:name="_Toc247513980"/>
      <w:bookmarkStart w:id="483" w:name="_Toc26110"/>
      <w:bookmarkStart w:id="484" w:name="_Toc485211064"/>
      <w:bookmarkStart w:id="485" w:name="_Toc21175"/>
      <w:r>
        <w:rPr>
          <w:rFonts w:hint="eastAsia" w:ascii="宋体" w:hAnsi="宋体" w:cs="宋体"/>
          <w:bCs/>
          <w:sz w:val="28"/>
          <w:szCs w:val="28"/>
        </w:rPr>
        <w:t>4.1 投标文件及定标文件的密封和标记</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pPr>
        <w:spacing w:line="360" w:lineRule="auto"/>
        <w:ind w:firstLine="480" w:firstLineChars="200"/>
        <w:rPr>
          <w:rFonts w:hint="eastAsia" w:ascii="宋体" w:hAnsi="宋体" w:cs="宋体"/>
          <w:sz w:val="24"/>
          <w:szCs w:val="24"/>
        </w:rPr>
      </w:pPr>
      <w:r>
        <w:rPr>
          <w:rFonts w:hint="eastAsia" w:ascii="宋体" w:hAnsi="宋体" w:cs="宋体"/>
          <w:sz w:val="24"/>
          <w:szCs w:val="24"/>
        </w:rPr>
        <w:t>4.1.1投标人应当按照招标文件和电子招标投标交易平台的要求加密投标文件，具体操作详见《建设工程全流程电子化项目操作指南（适用于投标人）》。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4.1.2 投标文件封套上应写明的内容见投标人须知前附表。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4.1.3 未按本章第4.1.1项或第4.1.2项要求密封和加写标记的投标文件，招标人不予受理。</w:t>
      </w:r>
    </w:p>
    <w:p>
      <w:pPr>
        <w:keepNext/>
        <w:keepLines/>
        <w:spacing w:before="260" w:after="260" w:line="360" w:lineRule="auto"/>
        <w:outlineLvl w:val="2"/>
        <w:rPr>
          <w:rFonts w:hint="eastAsia" w:ascii="宋体" w:hAnsi="宋体" w:cs="宋体"/>
          <w:bCs/>
          <w:sz w:val="28"/>
          <w:szCs w:val="28"/>
        </w:rPr>
      </w:pPr>
      <w:bookmarkStart w:id="486" w:name="_Toc436834158"/>
      <w:bookmarkStart w:id="487" w:name="_Toc13525"/>
      <w:bookmarkStart w:id="488" w:name="_Toc10998"/>
      <w:bookmarkStart w:id="489" w:name="_Toc29781"/>
      <w:bookmarkStart w:id="490" w:name="_Toc8844"/>
      <w:bookmarkStart w:id="491" w:name="_Toc22154"/>
      <w:bookmarkStart w:id="492" w:name="_Toc436834751"/>
      <w:bookmarkStart w:id="493" w:name="_Toc485211065"/>
      <w:bookmarkStart w:id="494" w:name="_Toc20862"/>
      <w:bookmarkStart w:id="495" w:name="_Toc11665"/>
      <w:bookmarkStart w:id="496" w:name="_Toc20463"/>
      <w:bookmarkStart w:id="497" w:name="_Toc26573"/>
      <w:bookmarkStart w:id="498" w:name="_Toc18437"/>
      <w:r>
        <w:rPr>
          <w:rFonts w:hint="eastAsia" w:ascii="宋体" w:hAnsi="宋体" w:cs="宋体"/>
          <w:bCs/>
          <w:sz w:val="28"/>
          <w:szCs w:val="28"/>
        </w:rPr>
        <w:t>4.2 投标文件</w:t>
      </w:r>
      <w:r>
        <w:rPr>
          <w:rFonts w:hint="eastAsia" w:ascii="宋体" w:hAnsi="宋体" w:cs="宋体"/>
          <w:bCs/>
          <w:sz w:val="28"/>
          <w:szCs w:val="28"/>
          <w:u w:val="single"/>
        </w:rPr>
        <w:t>及定标文件</w:t>
      </w:r>
      <w:r>
        <w:rPr>
          <w:rFonts w:hint="eastAsia" w:ascii="宋体" w:hAnsi="宋体" w:cs="宋体"/>
          <w:bCs/>
          <w:sz w:val="28"/>
          <w:szCs w:val="28"/>
        </w:rPr>
        <w:t>的递交</w:t>
      </w:r>
      <w:bookmarkEnd w:id="458"/>
      <w:bookmarkEnd w:id="459"/>
      <w:bookmarkEnd w:id="460"/>
      <w:bookmarkEnd w:id="461"/>
      <w:bookmarkEnd w:id="462"/>
      <w:bookmarkEnd w:id="463"/>
      <w:bookmarkEnd w:id="464"/>
      <w:bookmarkEnd w:id="486"/>
      <w:bookmarkEnd w:id="487"/>
      <w:bookmarkEnd w:id="488"/>
      <w:bookmarkEnd w:id="489"/>
      <w:bookmarkEnd w:id="490"/>
      <w:bookmarkEnd w:id="491"/>
      <w:bookmarkEnd w:id="492"/>
      <w:bookmarkEnd w:id="493"/>
      <w:bookmarkEnd w:id="494"/>
      <w:bookmarkEnd w:id="495"/>
      <w:bookmarkEnd w:id="496"/>
      <w:bookmarkEnd w:id="497"/>
      <w:bookmarkEnd w:id="498"/>
    </w:p>
    <w:p>
      <w:pPr>
        <w:spacing w:line="360" w:lineRule="auto"/>
        <w:ind w:firstLine="480" w:firstLineChars="200"/>
        <w:rPr>
          <w:rFonts w:hint="eastAsia" w:ascii="宋体" w:hAnsi="宋体" w:cs="宋体"/>
          <w:sz w:val="24"/>
          <w:szCs w:val="24"/>
        </w:rPr>
      </w:pPr>
      <w:bookmarkStart w:id="499" w:name="_Toc247527583"/>
      <w:bookmarkStart w:id="500" w:name="_Toc247513982"/>
      <w:bookmarkStart w:id="501" w:name="_Toc152042334"/>
      <w:bookmarkStart w:id="502" w:name="_Toc152045558"/>
      <w:bookmarkStart w:id="503" w:name="_Toc399165401"/>
      <w:bookmarkStart w:id="504" w:name="_Toc300834979"/>
      <w:bookmarkStart w:id="505" w:name="_Toc144974526"/>
      <w:r>
        <w:rPr>
          <w:rFonts w:hint="eastAsia" w:ascii="宋体" w:hAnsi="宋体" w:cs="宋体"/>
          <w:sz w:val="24"/>
          <w:szCs w:val="24"/>
        </w:rPr>
        <w:t>4.2.1 投标人应在</w:t>
      </w:r>
      <w:r>
        <w:t>《投标人须知前附表》</w:t>
      </w:r>
      <w:r>
        <w:rPr>
          <w:rFonts w:hint="eastAsia" w:ascii="宋体" w:hAnsi="宋体" w:cs="宋体"/>
          <w:sz w:val="24"/>
          <w:szCs w:val="24"/>
        </w:rPr>
        <w:t>第2.2.2项规定的投标截止时间前递交投标文件。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4.2.2 投标人递交投标文件的地点：见投标人须知前附表。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4.2.3 除投标人须知前附表另有规定外，投标人所递交的投标文件不予退还。</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4.2.4 投</w:t>
      </w:r>
      <w:r>
        <w:rPr>
          <w:rFonts w:hint="eastAsia" w:ascii="宋体" w:hAnsi="宋体" w:cs="宋体"/>
          <w:spacing w:val="-2"/>
          <w:sz w:val="24"/>
          <w:szCs w:val="24"/>
          <w:u w:val="single"/>
        </w:rPr>
        <w:t>标</w:t>
      </w:r>
      <w:r>
        <w:rPr>
          <w:rFonts w:hint="eastAsia" w:ascii="宋体" w:hAnsi="宋体" w:cs="宋体"/>
          <w:sz w:val="24"/>
          <w:szCs w:val="24"/>
          <w:u w:val="single"/>
        </w:rPr>
        <w:t>人</w:t>
      </w:r>
      <w:r>
        <w:rPr>
          <w:rFonts w:hint="eastAsia" w:ascii="宋体" w:hAnsi="宋体" w:cs="宋体"/>
          <w:spacing w:val="-2"/>
          <w:sz w:val="24"/>
          <w:szCs w:val="24"/>
          <w:u w:val="single"/>
        </w:rPr>
        <w:t>完</w:t>
      </w:r>
      <w:r>
        <w:rPr>
          <w:rFonts w:hint="eastAsia" w:ascii="宋体" w:hAnsi="宋体" w:cs="宋体"/>
          <w:sz w:val="24"/>
          <w:szCs w:val="24"/>
          <w:u w:val="single"/>
        </w:rPr>
        <w:t>成</w:t>
      </w:r>
      <w:r>
        <w:rPr>
          <w:rFonts w:hint="eastAsia" w:ascii="宋体" w:hAnsi="宋体" w:cs="宋体"/>
          <w:spacing w:val="-2"/>
          <w:sz w:val="24"/>
          <w:szCs w:val="24"/>
          <w:u w:val="single"/>
        </w:rPr>
        <w:t>电</w:t>
      </w:r>
      <w:r>
        <w:rPr>
          <w:rFonts w:hint="eastAsia" w:ascii="宋体" w:hAnsi="宋体" w:cs="宋体"/>
          <w:sz w:val="24"/>
          <w:szCs w:val="24"/>
          <w:u w:val="single"/>
        </w:rPr>
        <w:t>子投</w:t>
      </w:r>
      <w:r>
        <w:rPr>
          <w:rFonts w:hint="eastAsia" w:ascii="宋体" w:hAnsi="宋体" w:cs="宋体"/>
          <w:spacing w:val="-2"/>
          <w:sz w:val="24"/>
          <w:szCs w:val="24"/>
          <w:u w:val="single"/>
        </w:rPr>
        <w:t>标</w:t>
      </w:r>
      <w:r>
        <w:rPr>
          <w:rFonts w:hint="eastAsia" w:ascii="宋体" w:hAnsi="宋体" w:cs="宋体"/>
          <w:sz w:val="24"/>
          <w:szCs w:val="24"/>
          <w:u w:val="single"/>
        </w:rPr>
        <w:t>文</w:t>
      </w:r>
      <w:r>
        <w:rPr>
          <w:rFonts w:hint="eastAsia" w:ascii="宋体" w:hAnsi="宋体" w:cs="宋体"/>
          <w:spacing w:val="-2"/>
          <w:sz w:val="24"/>
          <w:szCs w:val="24"/>
          <w:u w:val="single"/>
        </w:rPr>
        <w:t>件及定标文件</w:t>
      </w:r>
      <w:r>
        <w:rPr>
          <w:rFonts w:hint="eastAsia" w:ascii="宋体" w:hAnsi="宋体" w:cs="宋体"/>
          <w:sz w:val="24"/>
          <w:szCs w:val="24"/>
          <w:u w:val="single"/>
        </w:rPr>
        <w:t>上</w:t>
      </w:r>
      <w:r>
        <w:rPr>
          <w:rFonts w:hint="eastAsia" w:ascii="宋体" w:hAnsi="宋体" w:cs="宋体"/>
          <w:spacing w:val="-2"/>
          <w:sz w:val="24"/>
          <w:szCs w:val="24"/>
          <w:u w:val="single"/>
        </w:rPr>
        <w:t>传</w:t>
      </w:r>
      <w:r>
        <w:rPr>
          <w:rFonts w:hint="eastAsia" w:ascii="宋体" w:hAnsi="宋体" w:cs="宋体"/>
          <w:sz w:val="24"/>
          <w:szCs w:val="24"/>
          <w:u w:val="single"/>
        </w:rPr>
        <w:t>后</w:t>
      </w:r>
      <w:r>
        <w:rPr>
          <w:rFonts w:hint="eastAsia" w:ascii="宋体" w:hAnsi="宋体" w:cs="宋体"/>
          <w:spacing w:val="-5"/>
          <w:sz w:val="24"/>
          <w:szCs w:val="24"/>
          <w:u w:val="single"/>
        </w:rPr>
        <w:t>，</w:t>
      </w:r>
      <w:r>
        <w:rPr>
          <w:rFonts w:hint="eastAsia" w:ascii="宋体" w:hAnsi="宋体" w:cs="宋体"/>
          <w:sz w:val="24"/>
          <w:szCs w:val="24"/>
          <w:u w:val="single"/>
        </w:rPr>
        <w:t>电</w:t>
      </w:r>
      <w:r>
        <w:rPr>
          <w:rFonts w:hint="eastAsia" w:ascii="宋体" w:hAnsi="宋体" w:cs="宋体"/>
          <w:spacing w:val="-2"/>
          <w:sz w:val="24"/>
          <w:szCs w:val="24"/>
          <w:u w:val="single"/>
        </w:rPr>
        <w:t>子</w:t>
      </w:r>
      <w:r>
        <w:rPr>
          <w:rFonts w:hint="eastAsia" w:ascii="宋体" w:hAnsi="宋体" w:cs="宋体"/>
          <w:sz w:val="24"/>
          <w:szCs w:val="24"/>
          <w:u w:val="single"/>
        </w:rPr>
        <w:t>招标</w:t>
      </w:r>
      <w:r>
        <w:rPr>
          <w:rFonts w:hint="eastAsia" w:ascii="宋体" w:hAnsi="宋体" w:cs="宋体"/>
          <w:spacing w:val="-2"/>
          <w:sz w:val="24"/>
          <w:szCs w:val="24"/>
          <w:u w:val="single"/>
        </w:rPr>
        <w:t>投</w:t>
      </w:r>
      <w:r>
        <w:rPr>
          <w:rFonts w:hint="eastAsia" w:ascii="宋体" w:hAnsi="宋体" w:cs="宋体"/>
          <w:sz w:val="24"/>
          <w:szCs w:val="24"/>
          <w:u w:val="single"/>
        </w:rPr>
        <w:t>标</w:t>
      </w:r>
      <w:r>
        <w:rPr>
          <w:rFonts w:hint="eastAsia" w:ascii="宋体" w:hAnsi="宋体" w:cs="宋体"/>
          <w:spacing w:val="-2"/>
          <w:sz w:val="24"/>
          <w:szCs w:val="24"/>
          <w:u w:val="single"/>
        </w:rPr>
        <w:t>交</w:t>
      </w:r>
      <w:r>
        <w:rPr>
          <w:rFonts w:hint="eastAsia" w:ascii="宋体" w:hAnsi="宋体" w:cs="宋体"/>
          <w:sz w:val="24"/>
          <w:szCs w:val="24"/>
          <w:u w:val="single"/>
        </w:rPr>
        <w:t>易</w:t>
      </w:r>
      <w:r>
        <w:rPr>
          <w:rFonts w:hint="eastAsia" w:ascii="宋体" w:hAnsi="宋体" w:cs="宋体"/>
          <w:spacing w:val="-2"/>
          <w:sz w:val="24"/>
          <w:szCs w:val="24"/>
          <w:u w:val="single"/>
        </w:rPr>
        <w:t>平</w:t>
      </w:r>
      <w:r>
        <w:rPr>
          <w:rFonts w:hint="eastAsia" w:ascii="宋体" w:hAnsi="宋体" w:cs="宋体"/>
          <w:sz w:val="24"/>
          <w:szCs w:val="24"/>
          <w:u w:val="single"/>
        </w:rPr>
        <w:t>台</w:t>
      </w:r>
      <w:r>
        <w:rPr>
          <w:rFonts w:hint="eastAsia" w:ascii="宋体" w:hAnsi="宋体" w:cs="宋体"/>
          <w:spacing w:val="-2"/>
          <w:sz w:val="24"/>
          <w:szCs w:val="24"/>
          <w:u w:val="single"/>
        </w:rPr>
        <w:t>即</w:t>
      </w:r>
      <w:r>
        <w:rPr>
          <w:rFonts w:hint="eastAsia" w:ascii="宋体" w:hAnsi="宋体" w:cs="宋体"/>
          <w:sz w:val="24"/>
          <w:szCs w:val="24"/>
          <w:u w:val="single"/>
        </w:rPr>
        <w:t>时</w:t>
      </w:r>
      <w:r>
        <w:rPr>
          <w:rFonts w:hint="eastAsia" w:ascii="宋体" w:hAnsi="宋体" w:cs="宋体"/>
          <w:spacing w:val="-2"/>
          <w:sz w:val="24"/>
          <w:szCs w:val="24"/>
          <w:u w:val="single"/>
        </w:rPr>
        <w:t>向</w:t>
      </w:r>
      <w:r>
        <w:rPr>
          <w:rFonts w:hint="eastAsia" w:ascii="宋体" w:hAnsi="宋体" w:cs="宋体"/>
          <w:sz w:val="24"/>
          <w:szCs w:val="24"/>
          <w:u w:val="single"/>
        </w:rPr>
        <w:t>投标</w:t>
      </w:r>
      <w:r>
        <w:rPr>
          <w:rFonts w:hint="eastAsia" w:ascii="宋体" w:hAnsi="宋体" w:cs="宋体"/>
          <w:spacing w:val="-2"/>
          <w:sz w:val="24"/>
          <w:szCs w:val="24"/>
          <w:u w:val="single"/>
        </w:rPr>
        <w:t>人</w:t>
      </w:r>
      <w:r>
        <w:rPr>
          <w:rFonts w:hint="eastAsia" w:ascii="宋体" w:hAnsi="宋体" w:cs="宋体"/>
          <w:sz w:val="24"/>
          <w:szCs w:val="24"/>
          <w:u w:val="single"/>
        </w:rPr>
        <w:t>发</w:t>
      </w:r>
      <w:r>
        <w:rPr>
          <w:rFonts w:hint="eastAsia" w:ascii="宋体" w:hAnsi="宋体" w:cs="宋体"/>
          <w:spacing w:val="-2"/>
          <w:sz w:val="24"/>
          <w:szCs w:val="24"/>
          <w:u w:val="single"/>
        </w:rPr>
        <w:t>出</w:t>
      </w:r>
      <w:r>
        <w:rPr>
          <w:rFonts w:hint="eastAsia" w:ascii="宋体" w:hAnsi="宋体" w:cs="宋体"/>
          <w:sz w:val="24"/>
          <w:szCs w:val="24"/>
          <w:u w:val="single"/>
        </w:rPr>
        <w:t>递交回</w:t>
      </w:r>
      <w:r>
        <w:rPr>
          <w:rFonts w:hint="eastAsia" w:ascii="宋体" w:hAnsi="宋体" w:cs="宋体"/>
          <w:spacing w:val="-2"/>
          <w:sz w:val="24"/>
          <w:szCs w:val="24"/>
          <w:u w:val="single"/>
        </w:rPr>
        <w:t>执</w:t>
      </w:r>
      <w:r>
        <w:rPr>
          <w:rFonts w:hint="eastAsia" w:ascii="宋体" w:hAnsi="宋体" w:cs="宋体"/>
          <w:sz w:val="24"/>
          <w:szCs w:val="24"/>
          <w:u w:val="single"/>
        </w:rPr>
        <w:t>通</w:t>
      </w:r>
      <w:r>
        <w:rPr>
          <w:rFonts w:hint="eastAsia" w:ascii="宋体" w:hAnsi="宋体" w:cs="宋体"/>
          <w:spacing w:val="-3"/>
          <w:sz w:val="24"/>
          <w:szCs w:val="24"/>
          <w:u w:val="single"/>
        </w:rPr>
        <w:t>知</w:t>
      </w:r>
      <w:r>
        <w:rPr>
          <w:rFonts w:hint="eastAsia" w:ascii="宋体" w:hAnsi="宋体" w:cs="宋体"/>
          <w:sz w:val="24"/>
          <w:szCs w:val="24"/>
          <w:u w:val="single"/>
        </w:rPr>
        <w:t>。</w:t>
      </w:r>
      <w:r>
        <w:rPr>
          <w:rFonts w:hint="eastAsia" w:ascii="宋体" w:hAnsi="宋体" w:cs="宋体"/>
          <w:spacing w:val="-2"/>
          <w:sz w:val="24"/>
          <w:szCs w:val="24"/>
          <w:u w:val="single"/>
        </w:rPr>
        <w:t>递</w:t>
      </w:r>
      <w:r>
        <w:rPr>
          <w:rFonts w:hint="eastAsia" w:ascii="宋体" w:hAnsi="宋体" w:cs="宋体"/>
          <w:sz w:val="24"/>
          <w:szCs w:val="24"/>
          <w:u w:val="single"/>
        </w:rPr>
        <w:t>交</w:t>
      </w:r>
      <w:r>
        <w:rPr>
          <w:rFonts w:hint="eastAsia" w:ascii="宋体" w:hAnsi="宋体" w:cs="宋体"/>
          <w:spacing w:val="-2"/>
          <w:sz w:val="24"/>
          <w:szCs w:val="24"/>
          <w:u w:val="single"/>
        </w:rPr>
        <w:t>时</w:t>
      </w:r>
      <w:r>
        <w:rPr>
          <w:rFonts w:hint="eastAsia" w:ascii="宋体" w:hAnsi="宋体" w:cs="宋体"/>
          <w:sz w:val="24"/>
          <w:szCs w:val="24"/>
          <w:u w:val="single"/>
        </w:rPr>
        <w:t>间</w:t>
      </w:r>
      <w:r>
        <w:rPr>
          <w:rFonts w:hint="eastAsia" w:ascii="宋体" w:hAnsi="宋体" w:cs="宋体"/>
          <w:spacing w:val="-2"/>
          <w:sz w:val="24"/>
          <w:szCs w:val="24"/>
          <w:u w:val="single"/>
        </w:rPr>
        <w:t>以</w:t>
      </w:r>
      <w:r>
        <w:rPr>
          <w:rFonts w:hint="eastAsia" w:ascii="宋体" w:hAnsi="宋体" w:cs="宋体"/>
          <w:sz w:val="24"/>
          <w:szCs w:val="24"/>
          <w:u w:val="single"/>
        </w:rPr>
        <w:t>递交</w:t>
      </w:r>
      <w:r>
        <w:rPr>
          <w:rFonts w:hint="eastAsia" w:ascii="宋体" w:hAnsi="宋体" w:cs="宋体"/>
          <w:spacing w:val="-2"/>
          <w:sz w:val="24"/>
          <w:szCs w:val="24"/>
          <w:u w:val="single"/>
        </w:rPr>
        <w:t>回</w:t>
      </w:r>
      <w:r>
        <w:rPr>
          <w:rFonts w:hint="eastAsia" w:ascii="宋体" w:hAnsi="宋体" w:cs="宋体"/>
          <w:sz w:val="24"/>
          <w:szCs w:val="24"/>
          <w:u w:val="single"/>
        </w:rPr>
        <w:t>执</w:t>
      </w:r>
      <w:r>
        <w:rPr>
          <w:rFonts w:hint="eastAsia" w:ascii="宋体" w:hAnsi="宋体" w:cs="宋体"/>
          <w:spacing w:val="-2"/>
          <w:sz w:val="24"/>
          <w:szCs w:val="24"/>
          <w:u w:val="single"/>
        </w:rPr>
        <w:t>通</w:t>
      </w:r>
      <w:r>
        <w:rPr>
          <w:rFonts w:hint="eastAsia" w:ascii="宋体" w:hAnsi="宋体" w:cs="宋体"/>
          <w:sz w:val="24"/>
          <w:szCs w:val="24"/>
          <w:u w:val="single"/>
        </w:rPr>
        <w:t>知</w:t>
      </w:r>
      <w:r>
        <w:rPr>
          <w:rFonts w:hint="eastAsia" w:ascii="宋体" w:hAnsi="宋体" w:cs="宋体"/>
          <w:spacing w:val="-2"/>
          <w:sz w:val="24"/>
          <w:szCs w:val="24"/>
          <w:u w:val="single"/>
        </w:rPr>
        <w:t>载</w:t>
      </w:r>
      <w:r>
        <w:rPr>
          <w:rFonts w:hint="eastAsia" w:ascii="宋体" w:hAnsi="宋体" w:cs="宋体"/>
          <w:sz w:val="24"/>
          <w:szCs w:val="24"/>
          <w:u w:val="single"/>
        </w:rPr>
        <w:t>明</w:t>
      </w:r>
      <w:r>
        <w:rPr>
          <w:rFonts w:hint="eastAsia" w:ascii="宋体" w:hAnsi="宋体" w:cs="宋体"/>
          <w:spacing w:val="-2"/>
          <w:sz w:val="24"/>
          <w:szCs w:val="24"/>
          <w:u w:val="single"/>
        </w:rPr>
        <w:t>的</w:t>
      </w:r>
      <w:r>
        <w:rPr>
          <w:rFonts w:hint="eastAsia" w:ascii="宋体" w:hAnsi="宋体" w:cs="宋体"/>
          <w:sz w:val="24"/>
          <w:szCs w:val="24"/>
          <w:u w:val="single"/>
        </w:rPr>
        <w:t>传</w:t>
      </w:r>
      <w:r>
        <w:rPr>
          <w:rFonts w:hint="eastAsia" w:ascii="宋体" w:hAnsi="宋体" w:cs="宋体"/>
          <w:spacing w:val="-2"/>
          <w:sz w:val="24"/>
          <w:szCs w:val="24"/>
          <w:u w:val="single"/>
        </w:rPr>
        <w:t>输</w:t>
      </w:r>
      <w:r>
        <w:rPr>
          <w:rFonts w:hint="eastAsia" w:ascii="宋体" w:hAnsi="宋体" w:cs="宋体"/>
          <w:sz w:val="24"/>
          <w:szCs w:val="24"/>
          <w:u w:val="single"/>
        </w:rPr>
        <w:t>完成</w:t>
      </w:r>
      <w:r>
        <w:rPr>
          <w:rFonts w:hint="eastAsia" w:ascii="宋体" w:hAnsi="宋体" w:cs="宋体"/>
          <w:spacing w:val="-2"/>
          <w:sz w:val="24"/>
          <w:szCs w:val="24"/>
          <w:u w:val="single"/>
        </w:rPr>
        <w:t>时</w:t>
      </w:r>
      <w:r>
        <w:rPr>
          <w:rFonts w:hint="eastAsia" w:ascii="宋体" w:hAnsi="宋体" w:cs="宋体"/>
          <w:sz w:val="24"/>
          <w:szCs w:val="24"/>
          <w:u w:val="single"/>
        </w:rPr>
        <w:t>间</w:t>
      </w:r>
      <w:r>
        <w:rPr>
          <w:rFonts w:hint="eastAsia" w:ascii="宋体" w:hAnsi="宋体" w:cs="宋体"/>
          <w:spacing w:val="-2"/>
          <w:sz w:val="24"/>
          <w:szCs w:val="24"/>
          <w:u w:val="single"/>
        </w:rPr>
        <w:t>为</w:t>
      </w:r>
      <w:r>
        <w:rPr>
          <w:rFonts w:hint="eastAsia" w:ascii="宋体" w:hAnsi="宋体" w:cs="宋体"/>
          <w:sz w:val="24"/>
          <w:szCs w:val="24"/>
          <w:u w:val="single"/>
        </w:rPr>
        <w:t>准。</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 xml:space="preserve">4.2.5 </w:t>
      </w:r>
      <w:r>
        <w:rPr>
          <w:rFonts w:hint="eastAsia" w:ascii="宋体" w:hAnsi="宋体" w:cs="宋体"/>
          <w:spacing w:val="-2"/>
          <w:sz w:val="24"/>
          <w:szCs w:val="24"/>
          <w:u w:val="single"/>
        </w:rPr>
        <w:t>逾</w:t>
      </w:r>
      <w:r>
        <w:rPr>
          <w:rFonts w:hint="eastAsia" w:ascii="宋体" w:hAnsi="宋体" w:cs="宋体"/>
          <w:sz w:val="24"/>
          <w:szCs w:val="24"/>
          <w:u w:val="single"/>
        </w:rPr>
        <w:t>递</w:t>
      </w:r>
      <w:r>
        <w:rPr>
          <w:rFonts w:hint="eastAsia" w:ascii="宋体" w:hAnsi="宋体" w:cs="宋体"/>
          <w:spacing w:val="-2"/>
          <w:sz w:val="24"/>
          <w:szCs w:val="24"/>
          <w:u w:val="single"/>
        </w:rPr>
        <w:t>送</w:t>
      </w:r>
      <w:r>
        <w:rPr>
          <w:rFonts w:hint="eastAsia" w:ascii="宋体" w:hAnsi="宋体" w:cs="宋体"/>
          <w:sz w:val="24"/>
          <w:szCs w:val="24"/>
          <w:u w:val="single"/>
        </w:rPr>
        <w:t>达</w:t>
      </w:r>
      <w:r>
        <w:rPr>
          <w:rFonts w:hint="eastAsia" w:ascii="宋体" w:hAnsi="宋体" w:cs="宋体"/>
          <w:spacing w:val="-2"/>
          <w:sz w:val="24"/>
          <w:szCs w:val="24"/>
          <w:u w:val="single"/>
        </w:rPr>
        <w:t>的投</w:t>
      </w:r>
      <w:r>
        <w:rPr>
          <w:rFonts w:hint="eastAsia" w:ascii="宋体" w:hAnsi="宋体" w:cs="宋体"/>
          <w:sz w:val="24"/>
          <w:szCs w:val="24"/>
          <w:u w:val="single"/>
        </w:rPr>
        <w:t>标文</w:t>
      </w:r>
      <w:r>
        <w:rPr>
          <w:rFonts w:hint="eastAsia" w:ascii="宋体" w:hAnsi="宋体" w:cs="宋体"/>
          <w:spacing w:val="-2"/>
          <w:sz w:val="24"/>
          <w:szCs w:val="24"/>
          <w:u w:val="single"/>
        </w:rPr>
        <w:t>件及定标文件</w:t>
      </w:r>
      <w:r>
        <w:rPr>
          <w:rFonts w:hint="eastAsia" w:ascii="宋体" w:hAnsi="宋体" w:cs="宋体"/>
          <w:sz w:val="24"/>
          <w:szCs w:val="24"/>
          <w:u w:val="single"/>
        </w:rPr>
        <w:t>，</w:t>
      </w:r>
      <w:r>
        <w:rPr>
          <w:rFonts w:hint="eastAsia" w:ascii="宋体" w:hAnsi="宋体" w:cs="宋体"/>
          <w:spacing w:val="-2"/>
          <w:sz w:val="24"/>
          <w:szCs w:val="24"/>
          <w:u w:val="single"/>
        </w:rPr>
        <w:t>电</w:t>
      </w:r>
      <w:r>
        <w:rPr>
          <w:rFonts w:hint="eastAsia" w:ascii="宋体" w:hAnsi="宋体" w:cs="宋体"/>
          <w:sz w:val="24"/>
          <w:szCs w:val="24"/>
          <w:u w:val="single"/>
        </w:rPr>
        <w:t>子</w:t>
      </w:r>
      <w:r>
        <w:rPr>
          <w:rFonts w:hint="eastAsia" w:ascii="宋体" w:hAnsi="宋体" w:cs="宋体"/>
          <w:spacing w:val="-2"/>
          <w:sz w:val="24"/>
          <w:szCs w:val="24"/>
          <w:u w:val="single"/>
        </w:rPr>
        <w:t>招</w:t>
      </w:r>
      <w:r>
        <w:rPr>
          <w:rFonts w:hint="eastAsia" w:ascii="宋体" w:hAnsi="宋体" w:cs="宋体"/>
          <w:sz w:val="24"/>
          <w:szCs w:val="24"/>
          <w:u w:val="single"/>
        </w:rPr>
        <w:t>标</w:t>
      </w:r>
      <w:r>
        <w:rPr>
          <w:rFonts w:hint="eastAsia" w:ascii="宋体" w:hAnsi="宋体" w:cs="宋体"/>
          <w:spacing w:val="-2"/>
          <w:sz w:val="24"/>
          <w:szCs w:val="24"/>
          <w:u w:val="single"/>
        </w:rPr>
        <w:t>投</w:t>
      </w:r>
      <w:r>
        <w:rPr>
          <w:rFonts w:hint="eastAsia" w:ascii="宋体" w:hAnsi="宋体" w:cs="宋体"/>
          <w:sz w:val="24"/>
          <w:szCs w:val="24"/>
          <w:u w:val="single"/>
        </w:rPr>
        <w:t>标</w:t>
      </w:r>
      <w:r>
        <w:rPr>
          <w:rFonts w:hint="eastAsia" w:ascii="宋体" w:hAnsi="宋体" w:cs="宋体"/>
          <w:spacing w:val="-2"/>
          <w:sz w:val="24"/>
          <w:szCs w:val="24"/>
          <w:u w:val="single"/>
        </w:rPr>
        <w:t>交</w:t>
      </w:r>
      <w:r>
        <w:rPr>
          <w:rFonts w:hint="eastAsia" w:ascii="宋体" w:hAnsi="宋体" w:cs="宋体"/>
          <w:sz w:val="24"/>
          <w:szCs w:val="24"/>
          <w:u w:val="single"/>
        </w:rPr>
        <w:t>易平</w:t>
      </w:r>
      <w:r>
        <w:rPr>
          <w:rFonts w:hint="eastAsia" w:ascii="宋体" w:hAnsi="宋体" w:cs="宋体"/>
          <w:spacing w:val="-2"/>
          <w:sz w:val="24"/>
          <w:szCs w:val="24"/>
          <w:u w:val="single"/>
        </w:rPr>
        <w:t>台</w:t>
      </w:r>
      <w:r>
        <w:rPr>
          <w:rFonts w:hint="eastAsia" w:ascii="宋体" w:hAnsi="宋体" w:cs="宋体"/>
          <w:sz w:val="24"/>
          <w:szCs w:val="24"/>
          <w:u w:val="single"/>
        </w:rPr>
        <w:t>将</w:t>
      </w:r>
      <w:r>
        <w:rPr>
          <w:rFonts w:hint="eastAsia" w:ascii="宋体" w:hAnsi="宋体" w:cs="宋体"/>
          <w:spacing w:val="-2"/>
          <w:sz w:val="24"/>
          <w:szCs w:val="24"/>
          <w:u w:val="single"/>
        </w:rPr>
        <w:t>予</w:t>
      </w:r>
      <w:r>
        <w:rPr>
          <w:rFonts w:hint="eastAsia" w:ascii="宋体" w:hAnsi="宋体" w:cs="宋体"/>
          <w:sz w:val="24"/>
          <w:szCs w:val="24"/>
          <w:u w:val="single"/>
        </w:rPr>
        <w:t>以</w:t>
      </w:r>
      <w:r>
        <w:rPr>
          <w:rFonts w:hint="eastAsia" w:ascii="宋体" w:hAnsi="宋体" w:cs="宋体"/>
          <w:spacing w:val="-2"/>
          <w:sz w:val="24"/>
          <w:szCs w:val="24"/>
          <w:u w:val="single"/>
        </w:rPr>
        <w:t>拒</w:t>
      </w:r>
      <w:r>
        <w:rPr>
          <w:rFonts w:hint="eastAsia" w:ascii="宋体" w:hAnsi="宋体" w:cs="宋体"/>
          <w:sz w:val="24"/>
          <w:szCs w:val="24"/>
          <w:u w:val="single"/>
        </w:rPr>
        <w:t>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4.2.6到投标截止时间止，若收到的投标文件少于3家的，则招标失败，将依法重新招标。</w:t>
      </w:r>
    </w:p>
    <w:p>
      <w:pPr>
        <w:keepNext/>
        <w:keepLines/>
        <w:spacing w:before="260" w:after="260" w:line="360" w:lineRule="auto"/>
        <w:outlineLvl w:val="2"/>
        <w:rPr>
          <w:rFonts w:hint="eastAsia" w:ascii="宋体" w:hAnsi="宋体" w:cs="宋体"/>
          <w:bCs/>
          <w:sz w:val="28"/>
          <w:szCs w:val="28"/>
        </w:rPr>
      </w:pPr>
      <w:bookmarkStart w:id="506" w:name="_Toc29112"/>
      <w:bookmarkStart w:id="507" w:name="_Toc436834752"/>
      <w:bookmarkStart w:id="508" w:name="_Toc436834159"/>
      <w:bookmarkStart w:id="509" w:name="_Toc8164"/>
      <w:bookmarkStart w:id="510" w:name="_Toc27723"/>
      <w:bookmarkStart w:id="511" w:name="_Toc1087"/>
      <w:bookmarkStart w:id="512" w:name="_Toc27403"/>
      <w:bookmarkStart w:id="513" w:name="_Toc485211066"/>
      <w:bookmarkStart w:id="514" w:name="_Toc14142"/>
      <w:bookmarkStart w:id="515" w:name="_Toc7320"/>
      <w:bookmarkStart w:id="516" w:name="_Toc2195"/>
      <w:bookmarkStart w:id="517" w:name="_Toc13787"/>
      <w:bookmarkStart w:id="518" w:name="_Toc12422"/>
      <w:r>
        <w:rPr>
          <w:rFonts w:hint="eastAsia" w:ascii="宋体" w:hAnsi="宋体" w:cs="宋体"/>
          <w:bCs/>
          <w:sz w:val="28"/>
          <w:szCs w:val="28"/>
        </w:rPr>
        <w:t>4.3 投标文件的修改与撤回</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pPr>
        <w:spacing w:line="360" w:lineRule="auto"/>
        <w:ind w:firstLine="480" w:firstLineChars="200"/>
        <w:rPr>
          <w:rFonts w:hint="eastAsia" w:ascii="宋体" w:hAnsi="宋体" w:cs="宋体"/>
          <w:sz w:val="24"/>
          <w:szCs w:val="24"/>
        </w:rPr>
      </w:pPr>
      <w:r>
        <w:rPr>
          <w:rFonts w:hint="eastAsia" w:ascii="宋体" w:hAnsi="宋体" w:cs="宋体"/>
          <w:sz w:val="24"/>
          <w:szCs w:val="24"/>
        </w:rPr>
        <w:t>4.3.1 在本章第4.2.1项规定的投标截止时间前，投标人可以修改或撤回已递交的投标文件，但应以书面形式通知招标人。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4.3.2 </w:t>
      </w:r>
      <w:r>
        <w:rPr>
          <w:rFonts w:hint="eastAsia" w:ascii="宋体" w:hAnsi="宋体" w:cs="宋体"/>
          <w:sz w:val="24"/>
          <w:szCs w:val="24"/>
          <w:u w:val="single"/>
        </w:rPr>
        <w:t>投标人修改或撤回已递交投标文件的通知，应按照本章第 3.7.3项的要求加盖电子印章。电子招标投标交易平台收到通知后，即时向投标人发出确认回执通知。</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4.3.3 </w:t>
      </w:r>
      <w:r>
        <w:rPr>
          <w:rFonts w:hint="eastAsia" w:ascii="宋体" w:hAnsi="宋体" w:cs="宋体"/>
          <w:strike/>
          <w:sz w:val="24"/>
          <w:szCs w:val="24"/>
        </w:rPr>
        <w:t>投标人撤回投标文件的，招标人自收到投标人书面撤回通知之日起5日内退还已收取的投标保证金。</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4.3.4 修改的内容为投标文件的组成部分。修改的投标文件应按照本章第3条、第4条规定进行编制、密封、标记和递交，并标明“修改”字样。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4.3.5 在投标截止时间之后，投标人不得补充、修改和更换投标文件。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4.3.6 在投标截止后，投标人在投标文件格式中规定的有效期终止日前，投标人不能撤回投标文件</w:t>
      </w:r>
      <w:r>
        <w:rPr>
          <w:rFonts w:hint="eastAsia" w:ascii="宋体" w:hAnsi="宋体" w:cs="宋体"/>
          <w:strike/>
          <w:sz w:val="24"/>
          <w:szCs w:val="24"/>
        </w:rPr>
        <w:t>，否则其投标保证金将被没收</w:t>
      </w:r>
      <w:r>
        <w:rPr>
          <w:rFonts w:hint="eastAsia" w:ascii="宋体" w:hAnsi="宋体" w:cs="宋体"/>
          <w:sz w:val="24"/>
          <w:szCs w:val="24"/>
        </w:rPr>
        <w:t>。</w:t>
      </w:r>
    </w:p>
    <w:p>
      <w:pPr>
        <w:keepNext/>
        <w:keepLines/>
        <w:spacing w:before="260" w:after="260" w:line="360" w:lineRule="auto"/>
        <w:outlineLvl w:val="1"/>
        <w:rPr>
          <w:rFonts w:hint="eastAsia" w:ascii="宋体" w:hAnsi="宋体" w:cs="宋体"/>
          <w:b/>
          <w:bCs/>
          <w:sz w:val="28"/>
          <w:szCs w:val="28"/>
        </w:rPr>
      </w:pPr>
      <w:bookmarkStart w:id="519" w:name="_Toc16642"/>
      <w:bookmarkStart w:id="520" w:name="_Toc4459"/>
      <w:bookmarkStart w:id="521" w:name="_Toc300834980"/>
      <w:bookmarkStart w:id="522" w:name="_Toc12170"/>
      <w:bookmarkStart w:id="523" w:name="_Toc152045559"/>
      <w:bookmarkStart w:id="524" w:name="_Toc20349"/>
      <w:bookmarkStart w:id="525" w:name="_Toc485211067"/>
      <w:bookmarkStart w:id="526" w:name="_Toc17608"/>
      <w:bookmarkStart w:id="527" w:name="_Toc436834753"/>
      <w:bookmarkStart w:id="528" w:name="_Toc399165402"/>
      <w:bookmarkStart w:id="529" w:name="_Toc31450"/>
      <w:bookmarkStart w:id="530" w:name="_Toc247513983"/>
      <w:bookmarkStart w:id="531" w:name="_Toc30507"/>
      <w:bookmarkStart w:id="532" w:name="_Toc152042335"/>
      <w:bookmarkStart w:id="533" w:name="_Toc6364"/>
      <w:bookmarkStart w:id="534" w:name="_Toc26618"/>
      <w:bookmarkStart w:id="535" w:name="_Toc436834160"/>
      <w:bookmarkStart w:id="536" w:name="_Toc247527584"/>
      <w:bookmarkStart w:id="537" w:name="_Toc144974527"/>
      <w:bookmarkStart w:id="538" w:name="_Toc5421"/>
      <w:r>
        <w:rPr>
          <w:rFonts w:hint="eastAsia" w:ascii="宋体" w:hAnsi="宋体" w:cs="宋体"/>
          <w:b/>
          <w:bCs/>
          <w:sz w:val="28"/>
          <w:szCs w:val="28"/>
        </w:rPr>
        <w:t>5. 开标</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pPr>
        <w:keepNext/>
        <w:keepLines/>
        <w:spacing w:before="260" w:after="260" w:line="360" w:lineRule="auto"/>
        <w:outlineLvl w:val="2"/>
        <w:rPr>
          <w:rFonts w:hint="eastAsia" w:ascii="宋体" w:hAnsi="宋体" w:cs="宋体"/>
          <w:bCs/>
          <w:sz w:val="28"/>
          <w:szCs w:val="28"/>
        </w:rPr>
      </w:pPr>
      <w:bookmarkStart w:id="539" w:name="_Toc19541"/>
      <w:bookmarkStart w:id="540" w:name="_Toc24982"/>
      <w:bookmarkStart w:id="541" w:name="_Toc18579"/>
      <w:bookmarkStart w:id="542" w:name="_Toc247513984"/>
      <w:bookmarkStart w:id="543" w:name="_Toc247527585"/>
      <w:bookmarkStart w:id="544" w:name="_Toc4802"/>
      <w:bookmarkStart w:id="545" w:name="_Toc152042336"/>
      <w:bookmarkStart w:id="546" w:name="_Toc436834161"/>
      <w:bookmarkStart w:id="547" w:name="_Toc7901"/>
      <w:bookmarkStart w:id="548" w:name="_Toc485211068"/>
      <w:bookmarkStart w:id="549" w:name="_Toc436834754"/>
      <w:bookmarkStart w:id="550" w:name="_Toc29641"/>
      <w:bookmarkStart w:id="551" w:name="_Toc24693"/>
      <w:bookmarkStart w:id="552" w:name="_Toc10949"/>
      <w:bookmarkStart w:id="553" w:name="_Toc144974528"/>
      <w:bookmarkStart w:id="554" w:name="_Toc152045560"/>
      <w:bookmarkStart w:id="555" w:name="_Toc399165403"/>
      <w:bookmarkStart w:id="556" w:name="_Toc6981"/>
      <w:bookmarkStart w:id="557" w:name="_Toc300834981"/>
      <w:bookmarkStart w:id="558" w:name="_Toc22565"/>
      <w:r>
        <w:rPr>
          <w:rFonts w:hint="eastAsia" w:ascii="宋体" w:hAnsi="宋体" w:cs="宋体"/>
          <w:bCs/>
          <w:sz w:val="28"/>
          <w:szCs w:val="28"/>
        </w:rPr>
        <w:t>5.1 开标时间和地点</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rPr>
        <w:t>招标人在本章第4.2.1项规定的投标截止时间（开标时间）和《投标人须知前附表》规定的地点公开开标，并邀请所有投标人的法定代表人或其委托代理人准时参加。</w:t>
      </w:r>
      <w:bookmarkStart w:id="559" w:name="_Toc11280"/>
      <w:bookmarkStart w:id="560" w:name="_Toc399165404"/>
      <w:bookmarkStart w:id="561" w:name="_Toc1215"/>
      <w:bookmarkStart w:id="562" w:name="_Toc29350"/>
      <w:bookmarkStart w:id="563" w:name="_Toc149"/>
      <w:bookmarkStart w:id="564" w:name="_Toc436834162"/>
      <w:bookmarkStart w:id="565" w:name="_Toc485211069"/>
      <w:bookmarkStart w:id="566" w:name="_Toc2356"/>
      <w:bookmarkStart w:id="567" w:name="_Toc300834982"/>
      <w:bookmarkStart w:id="568" w:name="_Toc21731"/>
      <w:bookmarkStart w:id="569" w:name="_Toc436834755"/>
      <w:bookmarkStart w:id="570" w:name="_Toc32550"/>
      <w:bookmarkStart w:id="571" w:name="_Toc152045561"/>
      <w:bookmarkStart w:id="572" w:name="_Toc247513985"/>
      <w:bookmarkStart w:id="573" w:name="_Toc13039"/>
      <w:bookmarkStart w:id="574" w:name="_Toc22128"/>
      <w:bookmarkStart w:id="575" w:name="_Toc247527586"/>
      <w:bookmarkStart w:id="576" w:name="_Toc1228"/>
      <w:bookmarkStart w:id="577" w:name="_Toc152042337"/>
      <w:bookmarkStart w:id="578" w:name="_Toc144974529"/>
      <w:bookmarkStart w:id="579" w:name="_Toc300834983"/>
      <w:bookmarkStart w:id="580" w:name="_Toc399165405"/>
      <w:r>
        <w:rPr>
          <w:rFonts w:hint="eastAsia" w:ascii="宋体" w:hAnsi="宋体" w:cs="宋体"/>
          <w:sz w:val="24"/>
          <w:szCs w:val="24"/>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投标人不参加开标的，视为认可开标过程及结果。</w:t>
      </w:r>
    </w:p>
    <w:p>
      <w:pPr>
        <w:keepNext/>
        <w:keepLines/>
        <w:spacing w:before="260" w:after="260" w:line="360" w:lineRule="auto"/>
        <w:ind w:firstLine="0" w:firstLineChars="0"/>
        <w:outlineLvl w:val="2"/>
        <w:rPr>
          <w:rFonts w:hint="eastAsia" w:ascii="宋体" w:hAnsi="宋体" w:cs="宋体"/>
          <w:bCs/>
          <w:sz w:val="28"/>
          <w:szCs w:val="28"/>
        </w:rPr>
      </w:pPr>
      <w:r>
        <w:rPr>
          <w:rFonts w:hint="eastAsia" w:ascii="宋体" w:hAnsi="宋体" w:cs="宋体"/>
          <w:bCs/>
          <w:sz w:val="28"/>
          <w:szCs w:val="28"/>
        </w:rPr>
        <w:t>5.2 开标程序</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Start w:id="581" w:name="_Toc4656"/>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详见投标须知前附表第5.2条。</w:t>
      </w:r>
      <w:bookmarkEnd w:id="581"/>
      <w:bookmarkStart w:id="582" w:name="_Toc1755"/>
      <w:bookmarkStart w:id="583" w:name="_Toc20459"/>
      <w:bookmarkStart w:id="584" w:name="_Toc30580"/>
      <w:bookmarkStart w:id="585" w:name="_Toc436834756"/>
      <w:bookmarkStart w:id="586" w:name="_Toc28564"/>
      <w:bookmarkStart w:id="587" w:name="_Toc436834163"/>
      <w:bookmarkStart w:id="588" w:name="_Toc3636"/>
      <w:bookmarkStart w:id="589" w:name="_Toc27243"/>
      <w:bookmarkStart w:id="590" w:name="_Toc485211070"/>
      <w:bookmarkStart w:id="591" w:name="_Toc11445"/>
      <w:bookmarkStart w:id="592" w:name="_Toc19375"/>
    </w:p>
    <w:p>
      <w:pPr>
        <w:keepNext/>
        <w:keepLines/>
        <w:spacing w:before="260" w:after="260" w:line="360" w:lineRule="auto"/>
        <w:outlineLvl w:val="2"/>
        <w:rPr>
          <w:rFonts w:hint="eastAsia" w:ascii="宋体" w:hAnsi="宋体" w:cs="宋体"/>
          <w:bCs/>
          <w:sz w:val="28"/>
          <w:szCs w:val="28"/>
        </w:rPr>
      </w:pPr>
      <w:bookmarkStart w:id="593" w:name="_Toc30018"/>
      <w:bookmarkStart w:id="594" w:name="_Toc18744"/>
      <w:r>
        <w:rPr>
          <w:rFonts w:hint="eastAsia" w:ascii="宋体" w:hAnsi="宋体" w:cs="宋体"/>
          <w:bCs/>
          <w:sz w:val="28"/>
          <w:szCs w:val="28"/>
        </w:rPr>
        <w:t>5.3 开标异议</w:t>
      </w:r>
      <w:bookmarkEnd w:id="579"/>
      <w:bookmarkEnd w:id="580"/>
      <w:bookmarkEnd w:id="582"/>
      <w:bookmarkEnd w:id="583"/>
      <w:bookmarkEnd w:id="584"/>
      <w:bookmarkEnd w:id="585"/>
      <w:bookmarkEnd w:id="586"/>
      <w:bookmarkEnd w:id="587"/>
      <w:bookmarkEnd w:id="588"/>
      <w:bookmarkEnd w:id="589"/>
      <w:bookmarkEnd w:id="590"/>
      <w:bookmarkEnd w:id="591"/>
      <w:bookmarkEnd w:id="592"/>
      <w:bookmarkEnd w:id="593"/>
      <w:bookmarkEnd w:id="594"/>
    </w:p>
    <w:p>
      <w:pPr>
        <w:spacing w:line="360" w:lineRule="auto"/>
        <w:ind w:firstLine="480" w:firstLineChars="200"/>
        <w:rPr>
          <w:rFonts w:hint="eastAsia" w:ascii="宋体" w:hAnsi="宋体" w:cs="宋体"/>
          <w:sz w:val="24"/>
          <w:szCs w:val="24"/>
        </w:rPr>
      </w:pPr>
      <w:r>
        <w:rPr>
          <w:rFonts w:hint="eastAsia" w:ascii="宋体" w:hAnsi="宋体" w:cs="宋体"/>
          <w:sz w:val="24"/>
          <w:szCs w:val="24"/>
        </w:rPr>
        <w:t>投标人对开标有异议的，应当在</w:t>
      </w:r>
      <w:r>
        <w:rPr>
          <w:rFonts w:hint="eastAsia" w:ascii="宋体" w:hAnsi="宋体" w:cs="宋体"/>
          <w:sz w:val="24"/>
          <w:szCs w:val="24"/>
          <w:u w:val="single"/>
        </w:rPr>
        <w:t>交易平台规定的时间内</w:t>
      </w:r>
      <w:r>
        <w:rPr>
          <w:rFonts w:hint="eastAsia" w:ascii="宋体" w:hAnsi="宋体" w:cs="宋体"/>
          <w:sz w:val="24"/>
          <w:szCs w:val="24"/>
        </w:rPr>
        <w:t>提出，招标人当场作出答复，并制作记录。</w:t>
      </w:r>
    </w:p>
    <w:p>
      <w:pPr>
        <w:keepNext/>
        <w:keepLines/>
        <w:spacing w:before="260" w:after="260" w:line="360" w:lineRule="auto"/>
        <w:outlineLvl w:val="1"/>
        <w:rPr>
          <w:rFonts w:hint="eastAsia" w:ascii="宋体" w:hAnsi="宋体" w:cs="宋体"/>
          <w:b/>
          <w:bCs/>
          <w:sz w:val="28"/>
          <w:szCs w:val="28"/>
        </w:rPr>
      </w:pPr>
      <w:bookmarkStart w:id="595" w:name="_Toc300834984"/>
      <w:bookmarkStart w:id="596" w:name="_Toc152042338"/>
      <w:bookmarkStart w:id="597" w:name="_Toc436834757"/>
      <w:bookmarkStart w:id="598" w:name="_Toc29634"/>
      <w:bookmarkStart w:id="599" w:name="_Toc27065"/>
      <w:bookmarkStart w:id="600" w:name="_Toc6781"/>
      <w:bookmarkStart w:id="601" w:name="_Toc29948"/>
      <w:bookmarkStart w:id="602" w:name="_Toc485211071"/>
      <w:bookmarkStart w:id="603" w:name="_Toc3138"/>
      <w:bookmarkStart w:id="604" w:name="_Toc399165406"/>
      <w:bookmarkStart w:id="605" w:name="_Toc152045562"/>
      <w:bookmarkStart w:id="606" w:name="_Toc21872"/>
      <w:bookmarkStart w:id="607" w:name="_Toc247513986"/>
      <w:bookmarkStart w:id="608" w:name="_Toc436834164"/>
      <w:bookmarkStart w:id="609" w:name="_Toc17424"/>
      <w:bookmarkStart w:id="610" w:name="_Toc144974530"/>
      <w:bookmarkStart w:id="611" w:name="_Toc791"/>
      <w:bookmarkStart w:id="612" w:name="_Toc247527587"/>
      <w:bookmarkStart w:id="613" w:name="_Toc2702"/>
      <w:bookmarkStart w:id="614" w:name="_Toc16899"/>
      <w:r>
        <w:rPr>
          <w:rFonts w:hint="eastAsia" w:ascii="宋体" w:hAnsi="宋体" w:cs="宋体"/>
          <w:b/>
          <w:bCs/>
          <w:sz w:val="28"/>
          <w:szCs w:val="28"/>
        </w:rPr>
        <w:t>6. 评标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pPr>
        <w:keepNext/>
        <w:keepLines/>
        <w:spacing w:before="260" w:after="260" w:line="360" w:lineRule="auto"/>
        <w:outlineLvl w:val="2"/>
        <w:rPr>
          <w:rFonts w:hint="eastAsia" w:ascii="宋体" w:hAnsi="宋体" w:cs="宋体"/>
          <w:bCs/>
          <w:sz w:val="28"/>
          <w:szCs w:val="28"/>
        </w:rPr>
      </w:pPr>
      <w:bookmarkStart w:id="615" w:name="_Toc29291"/>
      <w:bookmarkStart w:id="616" w:name="_Toc152042339"/>
      <w:bookmarkStart w:id="617" w:name="_Toc16779"/>
      <w:bookmarkStart w:id="618" w:name="_Toc399165407"/>
      <w:bookmarkStart w:id="619" w:name="_Toc22048"/>
      <w:bookmarkStart w:id="620" w:name="_Toc436834758"/>
      <w:bookmarkStart w:id="621" w:name="_Toc1432"/>
      <w:bookmarkStart w:id="622" w:name="_Toc247527588"/>
      <w:bookmarkStart w:id="623" w:name="_Toc6630"/>
      <w:bookmarkStart w:id="624" w:name="_Toc152045563"/>
      <w:bookmarkStart w:id="625" w:name="_Toc16102"/>
      <w:bookmarkStart w:id="626" w:name="_Toc485211072"/>
      <w:bookmarkStart w:id="627" w:name="_Toc436834165"/>
      <w:bookmarkStart w:id="628" w:name="_Toc300834985"/>
      <w:bookmarkStart w:id="629" w:name="_Toc12762"/>
      <w:bookmarkStart w:id="630" w:name="_Toc25490"/>
      <w:bookmarkStart w:id="631" w:name="_Toc144974531"/>
      <w:bookmarkStart w:id="632" w:name="_Toc247513987"/>
      <w:bookmarkStart w:id="633" w:name="_Toc26166"/>
      <w:bookmarkStart w:id="634" w:name="_Toc9770"/>
      <w:r>
        <w:rPr>
          <w:rFonts w:hint="eastAsia" w:ascii="宋体" w:hAnsi="宋体" w:cs="宋体"/>
          <w:bCs/>
          <w:sz w:val="28"/>
          <w:szCs w:val="28"/>
        </w:rPr>
        <w:t>6.1 评标委员会</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pPr>
        <w:spacing w:line="360" w:lineRule="auto"/>
        <w:ind w:firstLine="480" w:firstLineChars="200"/>
        <w:rPr>
          <w:rFonts w:hint="eastAsia" w:ascii="宋体" w:hAnsi="宋体" w:cs="宋体"/>
          <w:sz w:val="24"/>
          <w:szCs w:val="24"/>
        </w:rPr>
      </w:pPr>
      <w:r>
        <w:rPr>
          <w:rFonts w:hint="eastAsia" w:ascii="宋体" w:hAnsi="宋体" w:cs="宋体"/>
          <w:sz w:val="24"/>
          <w:szCs w:val="24"/>
        </w:rPr>
        <w:t>6.1.1评标由招标人依法组建的评标委员会负责，</w:t>
      </w:r>
      <w:r>
        <w:rPr>
          <w:rFonts w:hint="eastAsia" w:ascii="宋体" w:hAnsi="宋体" w:cs="宋体"/>
          <w:sz w:val="24"/>
          <w:szCs w:val="24"/>
          <w:u w:val="single"/>
        </w:rPr>
        <w:t>评标委员会由招标人依法组建</w:t>
      </w:r>
      <w:r>
        <w:rPr>
          <w:rFonts w:hint="eastAsia" w:ascii="宋体" w:hAnsi="宋体" w:cs="宋体"/>
          <w:sz w:val="24"/>
          <w:szCs w:val="24"/>
        </w:rPr>
        <w:t>。</w:t>
      </w:r>
      <w:bookmarkStart w:id="635" w:name="_Toc247513988"/>
      <w:bookmarkStart w:id="636" w:name="_Toc399165408"/>
      <w:bookmarkStart w:id="637" w:name="_Toc300834986"/>
      <w:bookmarkStart w:id="638" w:name="_Toc152045564"/>
      <w:bookmarkStart w:id="639" w:name="_Toc247527589"/>
      <w:bookmarkStart w:id="640" w:name="_Toc144974532"/>
      <w:bookmarkStart w:id="641" w:name="_Toc152042340"/>
    </w:p>
    <w:p>
      <w:pPr>
        <w:spacing w:line="360" w:lineRule="auto"/>
        <w:ind w:firstLine="480" w:firstLineChars="200"/>
        <w:rPr>
          <w:rFonts w:hint="eastAsia" w:ascii="宋体" w:hAnsi="宋体" w:cs="宋体"/>
          <w:sz w:val="24"/>
          <w:szCs w:val="24"/>
        </w:rPr>
      </w:pPr>
      <w:r>
        <w:rPr>
          <w:rFonts w:hint="eastAsia" w:ascii="宋体" w:hAnsi="宋体" w:cs="宋体"/>
          <w:sz w:val="24"/>
          <w:szCs w:val="24"/>
        </w:rPr>
        <w:t>6.1.2 评标委员会成员有下列情形之一的，应当回避：</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（1）投标人或投标人主要负责人的近亲属；</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（2）项目主管部门或者行政监督部门的人员；</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（3）与投标人有经济利益关系，可能影响对投标公正评审的；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（4）曾因在招标、评标以及其他与招标投标有关活动中从事违法行为而受过行政处罚或刑事处罚的；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（5）与投标人有其他利害关系。</w:t>
      </w:r>
    </w:p>
    <w:p>
      <w:pPr>
        <w:keepNext/>
        <w:keepLines/>
        <w:spacing w:before="260" w:after="260" w:line="360" w:lineRule="auto"/>
        <w:outlineLvl w:val="2"/>
        <w:rPr>
          <w:rFonts w:hint="eastAsia" w:ascii="宋体" w:hAnsi="宋体" w:cs="宋体"/>
          <w:bCs/>
          <w:sz w:val="28"/>
          <w:szCs w:val="28"/>
        </w:rPr>
      </w:pPr>
      <w:bookmarkStart w:id="642" w:name="_Toc436834759"/>
      <w:bookmarkStart w:id="643" w:name="_Toc10755"/>
      <w:bookmarkStart w:id="644" w:name="_Toc28088"/>
      <w:bookmarkStart w:id="645" w:name="_Toc485211073"/>
      <w:bookmarkStart w:id="646" w:name="_Toc14481"/>
      <w:bookmarkStart w:id="647" w:name="_Toc30304"/>
      <w:bookmarkStart w:id="648" w:name="_Toc22045"/>
      <w:bookmarkStart w:id="649" w:name="_Toc1675"/>
      <w:bookmarkStart w:id="650" w:name="_Toc23158"/>
      <w:bookmarkStart w:id="651" w:name="_Toc12018"/>
      <w:bookmarkStart w:id="652" w:name="_Toc29188"/>
      <w:bookmarkStart w:id="653" w:name="_Toc7385"/>
      <w:bookmarkStart w:id="654" w:name="_Toc436834166"/>
      <w:r>
        <w:rPr>
          <w:rFonts w:hint="eastAsia" w:ascii="宋体" w:hAnsi="宋体" w:cs="宋体"/>
          <w:bCs/>
          <w:sz w:val="28"/>
          <w:szCs w:val="28"/>
        </w:rPr>
        <w:t>6.2 评标原则</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pPr>
        <w:spacing w:line="360" w:lineRule="auto"/>
        <w:ind w:firstLine="480" w:firstLineChars="200"/>
        <w:rPr>
          <w:rFonts w:hint="eastAsia" w:ascii="宋体" w:hAnsi="宋体" w:cs="宋体"/>
          <w:sz w:val="24"/>
          <w:szCs w:val="24"/>
        </w:rPr>
      </w:pPr>
      <w:r>
        <w:rPr>
          <w:rFonts w:hint="eastAsia" w:ascii="宋体" w:hAnsi="宋体" w:cs="宋体"/>
          <w:sz w:val="24"/>
          <w:szCs w:val="24"/>
        </w:rPr>
        <w:t>评标活动遵循公平、公正、科学和择优的原则。</w:t>
      </w:r>
    </w:p>
    <w:p>
      <w:pPr>
        <w:keepNext/>
        <w:keepLines/>
        <w:spacing w:before="260" w:after="260" w:line="360" w:lineRule="auto"/>
        <w:outlineLvl w:val="2"/>
        <w:rPr>
          <w:rFonts w:hint="eastAsia" w:ascii="宋体" w:hAnsi="宋体" w:cs="宋体"/>
          <w:bCs/>
          <w:sz w:val="28"/>
          <w:szCs w:val="28"/>
        </w:rPr>
      </w:pPr>
      <w:bookmarkStart w:id="655" w:name="_Toc14592"/>
      <w:bookmarkStart w:id="656" w:name="_Toc24080"/>
      <w:bookmarkStart w:id="657" w:name="_Toc21087"/>
      <w:bookmarkStart w:id="658" w:name="_Toc6398"/>
      <w:bookmarkStart w:id="659" w:name="_Toc247527590"/>
      <w:bookmarkStart w:id="660" w:name="_Toc436834167"/>
      <w:bookmarkStart w:id="661" w:name="_Toc300834987"/>
      <w:bookmarkStart w:id="662" w:name="_Toc399165409"/>
      <w:bookmarkStart w:id="663" w:name="_Toc152045565"/>
      <w:bookmarkStart w:id="664" w:name="_Toc18940"/>
      <w:bookmarkStart w:id="665" w:name="_Toc22925"/>
      <w:bookmarkStart w:id="666" w:name="_Toc19074"/>
      <w:bookmarkStart w:id="667" w:name="_Toc436834760"/>
      <w:bookmarkStart w:id="668" w:name="_Toc23921"/>
      <w:bookmarkStart w:id="669" w:name="_Toc144974533"/>
      <w:bookmarkStart w:id="670" w:name="_Toc247513989"/>
      <w:bookmarkStart w:id="671" w:name="_Toc22884"/>
      <w:bookmarkStart w:id="672" w:name="_Toc485211074"/>
      <w:bookmarkStart w:id="673" w:name="_Toc18962"/>
      <w:bookmarkStart w:id="674" w:name="_Toc152042341"/>
      <w:r>
        <w:rPr>
          <w:rFonts w:hint="eastAsia" w:ascii="宋体" w:hAnsi="宋体" w:cs="宋体"/>
          <w:bCs/>
          <w:sz w:val="28"/>
          <w:szCs w:val="28"/>
        </w:rPr>
        <w:t>6.3 评标</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pPr>
        <w:spacing w:line="360" w:lineRule="auto"/>
        <w:ind w:firstLine="480" w:firstLineChars="200"/>
        <w:rPr>
          <w:rFonts w:hint="eastAsia" w:ascii="宋体" w:hAnsi="宋体" w:cs="宋体"/>
          <w:sz w:val="24"/>
          <w:szCs w:val="24"/>
        </w:rPr>
      </w:pPr>
      <w:r>
        <w:rPr>
          <w:rFonts w:hint="eastAsia" w:ascii="宋体" w:hAnsi="宋体" w:cs="宋体"/>
          <w:sz w:val="24"/>
          <w:szCs w:val="24"/>
        </w:rPr>
        <w:t>评标委员会按照第二章“评标办法”规定的方法、评审因素、标准和程序对投标文件进行评审。第二章“评标办法”没有规定的方法、评审因素和标准，不作为评标依据。</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评标委员会在开始评标前，应了解评标专家的职责及守则，认真阅读附件1《评标委员会成员声明》的内容并签名，签字后方可进行评标。</w:t>
      </w:r>
      <w:bookmarkStart w:id="675" w:name="_Toc1457"/>
      <w:bookmarkStart w:id="676" w:name="_Toc19417"/>
      <w:bookmarkStart w:id="677" w:name="_Toc20501"/>
      <w:bookmarkStart w:id="678" w:name="_Toc436834168"/>
      <w:bookmarkStart w:id="679" w:name="_Toc6048"/>
      <w:bookmarkStart w:id="680" w:name="_Toc30169"/>
      <w:bookmarkStart w:id="681" w:name="_Toc399165410"/>
      <w:bookmarkStart w:id="682" w:name="_Toc152045566"/>
      <w:bookmarkStart w:id="683" w:name="_Toc485211075"/>
      <w:bookmarkStart w:id="684" w:name="_Toc247527591"/>
      <w:bookmarkStart w:id="685" w:name="_Toc436834761"/>
      <w:bookmarkStart w:id="686" w:name="_Toc26489"/>
      <w:bookmarkStart w:id="687" w:name="_Toc247513990"/>
      <w:bookmarkStart w:id="688" w:name="_Toc15814"/>
      <w:bookmarkStart w:id="689" w:name="_Toc9325"/>
      <w:bookmarkStart w:id="690" w:name="_Toc300834988"/>
      <w:bookmarkStart w:id="691" w:name="_Toc152042342"/>
      <w:bookmarkStart w:id="692" w:name="_Toc27113"/>
      <w:bookmarkStart w:id="693" w:name="_Toc144974534"/>
      <w:bookmarkStart w:id="694" w:name="_Toc16775"/>
    </w:p>
    <w:p>
      <w:pPr>
        <w:pStyle w:val="176"/>
        <w:ind w:firstLine="480"/>
        <w:rPr>
          <w:rFonts w:hint="eastAsia" w:ascii="宋体" w:hAnsi="宋体" w:eastAsia="宋体" w:cs="宋体"/>
          <w:kern w:val="2"/>
          <w:sz w:val="24"/>
          <w:lang w:eastAsia="zh-CN"/>
        </w:rPr>
      </w:pPr>
    </w:p>
    <w:p>
      <w:pPr>
        <w:keepNext/>
        <w:keepLines/>
        <w:spacing w:before="260" w:after="260" w:line="360" w:lineRule="auto"/>
        <w:ind w:firstLineChars="0"/>
        <w:outlineLvl w:val="1"/>
        <w:rPr>
          <w:rFonts w:hint="eastAsia" w:ascii="宋体" w:hAnsi="宋体" w:cs="宋体"/>
          <w:b/>
          <w:bCs/>
          <w:sz w:val="28"/>
          <w:szCs w:val="28"/>
        </w:rPr>
      </w:pPr>
      <w:r>
        <w:rPr>
          <w:rFonts w:hint="eastAsia" w:ascii="宋体" w:hAnsi="宋体" w:cs="宋体"/>
          <w:b/>
          <w:bCs/>
          <w:sz w:val="28"/>
          <w:szCs w:val="28"/>
        </w:rPr>
        <w:t>7</w:t>
      </w:r>
      <w:r>
        <w:rPr>
          <w:rFonts w:ascii="宋体" w:hAnsi="宋体" w:cs="宋体"/>
          <w:b/>
          <w:bCs/>
          <w:sz w:val="28"/>
          <w:szCs w:val="28"/>
        </w:rPr>
        <w:t xml:space="preserve">. </w:t>
      </w:r>
      <w:r>
        <w:rPr>
          <w:rFonts w:hint="eastAsia" w:ascii="宋体" w:hAnsi="宋体" w:cs="宋体"/>
          <w:b/>
          <w:bCs/>
          <w:sz w:val="28"/>
          <w:szCs w:val="28"/>
        </w:rPr>
        <w:t>合同授予</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Start w:id="695" w:name="_Toc399165411"/>
      <w:bookmarkStart w:id="696" w:name="_Toc15433"/>
      <w:bookmarkStart w:id="697" w:name="_Toc32320"/>
      <w:bookmarkStart w:id="698" w:name="_Toc144974535"/>
      <w:bookmarkStart w:id="699" w:name="_Toc247527592"/>
      <w:bookmarkStart w:id="700" w:name="_Toc24540"/>
      <w:bookmarkStart w:id="701" w:name="_Toc485211076"/>
      <w:bookmarkStart w:id="702" w:name="_Toc26639"/>
      <w:bookmarkStart w:id="703" w:name="_Toc126"/>
      <w:bookmarkStart w:id="704" w:name="_Toc436834169"/>
      <w:bookmarkStart w:id="705" w:name="_Toc152045567"/>
      <w:bookmarkStart w:id="706" w:name="_Toc152042343"/>
      <w:bookmarkStart w:id="707" w:name="_Toc23658"/>
      <w:bookmarkStart w:id="708" w:name="_Toc247513991"/>
      <w:bookmarkStart w:id="709" w:name="_Toc300834989"/>
      <w:bookmarkStart w:id="710" w:name="_Toc14648"/>
      <w:bookmarkStart w:id="711" w:name="_Toc436834762"/>
      <w:bookmarkStart w:id="712" w:name="_Toc3151"/>
      <w:bookmarkStart w:id="713" w:name="_Toc17516"/>
      <w:bookmarkStart w:id="714" w:name="_Toc4558"/>
    </w:p>
    <w:p>
      <w:pPr>
        <w:keepNext/>
        <w:keepLines/>
        <w:spacing w:before="260" w:after="260" w:line="360" w:lineRule="auto"/>
        <w:ind w:firstLineChars="0"/>
        <w:outlineLvl w:val="2"/>
        <w:rPr>
          <w:rFonts w:hint="eastAsia" w:ascii="宋体" w:hAnsi="宋体" w:cs="宋体"/>
          <w:bCs/>
          <w:sz w:val="28"/>
          <w:szCs w:val="28"/>
        </w:rPr>
      </w:pPr>
      <w:r>
        <w:rPr>
          <w:rFonts w:hint="eastAsia" w:ascii="宋体" w:hAnsi="宋体" w:cs="宋体"/>
          <w:bCs/>
          <w:sz w:val="28"/>
          <w:szCs w:val="28"/>
        </w:rPr>
        <w:t>7.1 定标方式</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rPr>
        <w:t>7.1.1</w:t>
      </w:r>
      <w:r>
        <w:rPr>
          <w:rFonts w:hint="eastAsia" w:ascii="宋体" w:hAnsi="宋体" w:cs="宋体"/>
          <w:sz w:val="24"/>
          <w:szCs w:val="24"/>
          <w:u w:val="single"/>
        </w:rPr>
        <w:t>定标后出现中标人不符合法定情形的，招标人可从其他合格的中标候选人中采用原定标办法，由原定标委员会确定中标人，也可以重新招标。</w:t>
      </w:r>
    </w:p>
    <w:p>
      <w:pPr>
        <w:spacing w:line="360" w:lineRule="auto"/>
        <w:ind w:firstLine="480" w:firstLineChars="200"/>
        <w:rPr>
          <w:rFonts w:hint="eastAsia" w:ascii="宋体" w:hAnsi="宋体" w:cs="宋体"/>
          <w:sz w:val="24"/>
          <w:szCs w:val="24"/>
        </w:rPr>
      </w:pPr>
    </w:p>
    <w:p>
      <w:pPr>
        <w:keepNext/>
        <w:keepLines/>
        <w:spacing w:before="260" w:after="260" w:line="360" w:lineRule="auto"/>
        <w:outlineLvl w:val="2"/>
        <w:rPr>
          <w:rFonts w:hint="eastAsia" w:ascii="宋体" w:hAnsi="宋体" w:cs="宋体"/>
          <w:bCs/>
          <w:sz w:val="28"/>
          <w:szCs w:val="28"/>
        </w:rPr>
      </w:pPr>
      <w:bookmarkStart w:id="715" w:name="_Toc18148"/>
      <w:bookmarkStart w:id="716" w:name="_Toc23065"/>
      <w:bookmarkStart w:id="717" w:name="_Toc20879"/>
      <w:bookmarkStart w:id="718" w:name="_Toc1089"/>
      <w:bookmarkStart w:id="719" w:name="_Toc300834990"/>
      <w:bookmarkStart w:id="720" w:name="_Toc485211077"/>
      <w:bookmarkStart w:id="721" w:name="_Toc436834763"/>
      <w:bookmarkStart w:id="722" w:name="_Toc8456"/>
      <w:bookmarkStart w:id="723" w:name="_Toc30794"/>
      <w:bookmarkStart w:id="724" w:name="_Toc1391"/>
      <w:bookmarkStart w:id="725" w:name="_Toc436834170"/>
      <w:bookmarkStart w:id="726" w:name="_Toc11008"/>
      <w:bookmarkStart w:id="727" w:name="_Toc8769"/>
      <w:bookmarkStart w:id="728" w:name="_Toc399165412"/>
      <w:bookmarkStart w:id="729" w:name="_Toc455"/>
      <w:r>
        <w:rPr>
          <w:rFonts w:hint="eastAsia" w:ascii="宋体" w:hAnsi="宋体" w:cs="宋体"/>
          <w:bCs/>
          <w:sz w:val="28"/>
          <w:szCs w:val="28"/>
        </w:rPr>
        <w:t>7.2 合格中标候选人公示</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rPr>
        <w:t>招标人在《投标人须知前附表》规定的媒介公示合格中标候选人，公示时间为三天（最后一天为工作日）。</w:t>
      </w:r>
      <w:r>
        <w:rPr>
          <w:rFonts w:hint="eastAsia" w:ascii="宋体" w:hAnsi="宋体" w:cs="宋体"/>
          <w:sz w:val="24"/>
          <w:szCs w:val="24"/>
          <w:u w:val="single"/>
        </w:rPr>
        <w:t>中标候选人公示期间，投标人或其他利害关系人对评标结果有异议的应当在公示期内提出，因异议或投诉生效导致合格中标候选人不符合中标资格的，将取消其中标候选人资格；因异议或投诉生效导致所有入围候选人均不符合招标文件要求的，应当重新组织招标。</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在定标委员会完成定标工作后，招标人将在广州交易集团有限公司（广州公共资源交易中心）交易平台、广东省招标投标监管网和中国招标投标公共服务平台公示中标结果，定标后出现中标人不符合法定情形的，招标人可从其他合格的中标候选人中采用原定标办法，由原定标委员会确定中标人，也可以重新组织招标。</w:t>
      </w:r>
    </w:p>
    <w:p>
      <w:pPr>
        <w:keepNext/>
        <w:keepLines/>
        <w:spacing w:before="260" w:after="260" w:line="360" w:lineRule="auto"/>
        <w:outlineLvl w:val="2"/>
        <w:rPr>
          <w:rFonts w:hint="eastAsia" w:ascii="宋体" w:hAnsi="宋体" w:cs="宋体"/>
          <w:bCs/>
          <w:sz w:val="28"/>
          <w:szCs w:val="28"/>
        </w:rPr>
      </w:pPr>
      <w:bookmarkStart w:id="730" w:name="_Toc399165413"/>
      <w:bookmarkStart w:id="731" w:name="_Toc3310"/>
      <w:bookmarkStart w:id="732" w:name="_Toc152042344"/>
      <w:bookmarkStart w:id="733" w:name="_Toc436834764"/>
      <w:bookmarkStart w:id="734" w:name="_Toc247527593"/>
      <w:bookmarkStart w:id="735" w:name="_Toc436834171"/>
      <w:bookmarkStart w:id="736" w:name="_Toc5132"/>
      <w:bookmarkStart w:id="737" w:name="_Toc31317"/>
      <w:bookmarkStart w:id="738" w:name="_Toc28986"/>
      <w:bookmarkStart w:id="739" w:name="_Toc144974536"/>
      <w:bookmarkStart w:id="740" w:name="_Toc19952"/>
      <w:bookmarkStart w:id="741" w:name="_Toc485211078"/>
      <w:bookmarkStart w:id="742" w:name="_Toc15766"/>
      <w:bookmarkStart w:id="743" w:name="_Toc27933"/>
      <w:bookmarkStart w:id="744" w:name="_Toc152045568"/>
      <w:bookmarkStart w:id="745" w:name="_Toc17946"/>
      <w:bookmarkStart w:id="746" w:name="_Toc300834991"/>
      <w:bookmarkStart w:id="747" w:name="_Toc247513992"/>
      <w:bookmarkStart w:id="748" w:name="_Toc8002"/>
      <w:bookmarkStart w:id="749" w:name="_Toc20160"/>
      <w:r>
        <w:rPr>
          <w:rFonts w:hint="eastAsia" w:ascii="宋体" w:hAnsi="宋体" w:cs="宋体"/>
          <w:bCs/>
          <w:sz w:val="28"/>
          <w:szCs w:val="28"/>
        </w:rPr>
        <w:t>7.3 中标通知</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pPr>
        <w:spacing w:line="360" w:lineRule="auto"/>
        <w:ind w:firstLine="480" w:firstLineChars="200"/>
        <w:rPr>
          <w:rFonts w:hint="eastAsia" w:ascii="宋体" w:hAnsi="宋体" w:cs="宋体"/>
          <w:sz w:val="24"/>
          <w:szCs w:val="24"/>
        </w:rPr>
      </w:pPr>
      <w:r>
        <w:rPr>
          <w:rFonts w:hint="eastAsia" w:ascii="宋体" w:hAnsi="宋体" w:cs="宋体"/>
          <w:sz w:val="24"/>
          <w:szCs w:val="24"/>
        </w:rPr>
        <w:t>7.3.1在本章第3.3.1款规定的投标有效期内，招标人以书面形式向中标人发出中标通知书，同时将中标结果通知未中标的投标人。中标通知书按本章附表格式填写。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7.3.2招标人应当自确定中标人后，向招投标监管机构提交招标投标情况的书面报告；经招投标监管机构备案后，方可发出中标通知书。中标通知书由招标人颁发，并经广州交易集团有限公司（广州公共资源交易中心）确认。</w:t>
      </w:r>
    </w:p>
    <w:p>
      <w:pPr>
        <w:keepNext/>
        <w:keepLines/>
        <w:spacing w:before="260" w:after="260" w:line="360" w:lineRule="auto"/>
        <w:outlineLvl w:val="2"/>
        <w:rPr>
          <w:rFonts w:hint="eastAsia" w:ascii="宋体" w:hAnsi="宋体" w:cs="宋体"/>
          <w:bCs/>
          <w:sz w:val="28"/>
          <w:szCs w:val="28"/>
        </w:rPr>
      </w:pPr>
      <w:bookmarkStart w:id="750" w:name="_Toc436834172"/>
      <w:bookmarkStart w:id="751" w:name="_Toc247513993"/>
      <w:bookmarkStart w:id="752" w:name="_Toc32175"/>
      <w:bookmarkStart w:id="753" w:name="_Toc28701"/>
      <w:bookmarkStart w:id="754" w:name="_Toc11792"/>
      <w:bookmarkStart w:id="755" w:name="_Toc152045569"/>
      <w:bookmarkStart w:id="756" w:name="_Toc485211079"/>
      <w:bookmarkStart w:id="757" w:name="_Toc300834992"/>
      <w:bookmarkStart w:id="758" w:name="_Toc144974537"/>
      <w:bookmarkStart w:id="759" w:name="_Toc20415"/>
      <w:bookmarkStart w:id="760" w:name="_Toc436834765"/>
      <w:bookmarkStart w:id="761" w:name="_Toc15332"/>
      <w:bookmarkStart w:id="762" w:name="_Toc399165414"/>
      <w:bookmarkStart w:id="763" w:name="_Toc247527594"/>
      <w:bookmarkStart w:id="764" w:name="_Toc19408"/>
      <w:bookmarkStart w:id="765" w:name="_Toc16658"/>
      <w:bookmarkStart w:id="766" w:name="_Toc7052"/>
      <w:bookmarkStart w:id="767" w:name="_Toc152042345"/>
      <w:bookmarkStart w:id="768" w:name="_Toc29469"/>
      <w:bookmarkStart w:id="769" w:name="_Toc14040"/>
      <w:r>
        <w:rPr>
          <w:rFonts w:hint="eastAsia" w:ascii="宋体" w:hAnsi="宋体" w:cs="宋体"/>
          <w:bCs/>
          <w:sz w:val="28"/>
          <w:szCs w:val="28"/>
        </w:rPr>
        <w:t>7.4 履约担保</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pPr>
        <w:spacing w:line="360" w:lineRule="auto"/>
        <w:ind w:firstLine="480" w:firstLineChars="200"/>
        <w:rPr>
          <w:rFonts w:hint="eastAsia" w:ascii="宋体" w:hAnsi="宋体" w:cs="宋体"/>
          <w:sz w:val="24"/>
          <w:szCs w:val="24"/>
        </w:rPr>
      </w:pPr>
      <w:r>
        <w:rPr>
          <w:rFonts w:hint="eastAsia" w:ascii="宋体" w:hAnsi="宋体" w:cs="宋体"/>
          <w:sz w:val="24"/>
          <w:szCs w:val="24"/>
        </w:rPr>
        <w:t>7.4.1 在签订合同前，中标人应按《投标人须知前附表》规定的担保形式和招标文件第三章“合同条款及格式”规定的或者事先经过招标人书面认可的履约担保格式向招标人提交履约担保（如有约定）。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7.4.2 中标人不能按本章第7.4.1项要求提交履约担保的，视为放弃中标。</w:t>
      </w:r>
      <w:r>
        <w:rPr>
          <w:rFonts w:hint="eastAsia" w:ascii="宋体" w:hAnsi="宋体" w:cs="宋体"/>
          <w:strike/>
          <w:sz w:val="24"/>
          <w:szCs w:val="24"/>
        </w:rPr>
        <w:t>，其投标保证金不予退还，给招标人造成的损失超过投标保证金数额的，中标人还应当对超过部分予以赔偿。</w:t>
      </w:r>
    </w:p>
    <w:p>
      <w:pPr>
        <w:keepNext/>
        <w:keepLines/>
        <w:spacing w:before="260" w:after="260" w:line="360" w:lineRule="auto"/>
        <w:outlineLvl w:val="2"/>
        <w:rPr>
          <w:rFonts w:hint="eastAsia" w:ascii="宋体" w:hAnsi="宋体" w:cs="宋体"/>
          <w:bCs/>
          <w:sz w:val="28"/>
          <w:szCs w:val="28"/>
        </w:rPr>
      </w:pPr>
      <w:bookmarkStart w:id="770" w:name="_Toc13224"/>
      <w:bookmarkStart w:id="771" w:name="_Toc247513994"/>
      <w:bookmarkStart w:id="772" w:name="_Toc399165415"/>
      <w:bookmarkStart w:id="773" w:name="_Toc152042346"/>
      <w:bookmarkStart w:id="774" w:name="_Toc144974538"/>
      <w:bookmarkStart w:id="775" w:name="_Toc29811"/>
      <w:bookmarkStart w:id="776" w:name="_Toc24472"/>
      <w:bookmarkStart w:id="777" w:name="_Toc436834173"/>
      <w:bookmarkStart w:id="778" w:name="_Toc152045570"/>
      <w:bookmarkStart w:id="779" w:name="_Toc10427"/>
      <w:bookmarkStart w:id="780" w:name="_Toc5465"/>
      <w:bookmarkStart w:id="781" w:name="_Toc26297"/>
      <w:bookmarkStart w:id="782" w:name="_Toc485211080"/>
      <w:bookmarkStart w:id="783" w:name="_Toc247527595"/>
      <w:bookmarkStart w:id="784" w:name="_Toc300834993"/>
      <w:bookmarkStart w:id="785" w:name="_Toc30893"/>
      <w:bookmarkStart w:id="786" w:name="_Toc13654"/>
      <w:bookmarkStart w:id="787" w:name="_Toc1426"/>
      <w:bookmarkStart w:id="788" w:name="_Toc16750"/>
      <w:bookmarkStart w:id="789" w:name="_Toc436834766"/>
      <w:r>
        <w:rPr>
          <w:rFonts w:hint="eastAsia" w:ascii="宋体" w:hAnsi="宋体" w:cs="宋体"/>
          <w:bCs/>
          <w:sz w:val="28"/>
          <w:szCs w:val="28"/>
        </w:rPr>
        <w:t>7.5 签订合同</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pPr>
        <w:spacing w:line="360" w:lineRule="auto"/>
        <w:ind w:firstLine="480" w:firstLineChars="200"/>
        <w:rPr>
          <w:rFonts w:hint="eastAsia" w:ascii="宋体" w:hAnsi="宋体" w:cs="宋体"/>
          <w:sz w:val="24"/>
          <w:szCs w:val="24"/>
        </w:rPr>
      </w:pPr>
      <w:r>
        <w:rPr>
          <w:rFonts w:hint="eastAsia" w:ascii="宋体" w:hAnsi="宋体" w:cs="宋体"/>
          <w:sz w:val="24"/>
          <w:szCs w:val="24"/>
        </w:rPr>
        <w:t>7.5.1 招标人和中标人应当自中标通知书发出之日起30天内，根据招标文件和中标人的投标文件订立书面合同。中标人无正当理由拒签合同的，招标人取消其中标资格，</w:t>
      </w:r>
      <w:r>
        <w:rPr>
          <w:rFonts w:hint="eastAsia" w:ascii="宋体" w:hAnsi="宋体" w:cs="宋体"/>
          <w:strike/>
          <w:sz w:val="24"/>
          <w:szCs w:val="24"/>
        </w:rPr>
        <w:t>其投标保证金不予退还</w:t>
      </w:r>
      <w:r>
        <w:rPr>
          <w:rFonts w:hint="eastAsia" w:ascii="宋体" w:hAnsi="宋体" w:cs="宋体"/>
          <w:sz w:val="24"/>
          <w:szCs w:val="24"/>
        </w:rPr>
        <w:t>；给招标人造成的损失</w:t>
      </w:r>
      <w:r>
        <w:rPr>
          <w:rFonts w:hint="eastAsia" w:ascii="宋体" w:hAnsi="宋体" w:cs="宋体"/>
          <w:strike/>
          <w:sz w:val="24"/>
          <w:szCs w:val="24"/>
        </w:rPr>
        <w:t>超过投标保证金数额</w:t>
      </w:r>
      <w:r>
        <w:rPr>
          <w:rFonts w:hint="eastAsia" w:ascii="宋体" w:hAnsi="宋体" w:cs="宋体"/>
          <w:sz w:val="24"/>
          <w:szCs w:val="24"/>
        </w:rPr>
        <w:t>的，中标人还应当对</w:t>
      </w:r>
      <w:r>
        <w:rPr>
          <w:rFonts w:hint="eastAsia" w:ascii="宋体" w:hAnsi="宋体" w:cs="宋体"/>
          <w:strike/>
          <w:sz w:val="24"/>
          <w:szCs w:val="24"/>
        </w:rPr>
        <w:t>超过部分</w:t>
      </w:r>
      <w:r>
        <w:rPr>
          <w:rFonts w:hint="eastAsia" w:ascii="宋体" w:hAnsi="宋体" w:cs="宋体"/>
          <w:sz w:val="24"/>
          <w:szCs w:val="24"/>
        </w:rPr>
        <w:t>予以赔偿。</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7.5.2 发出中标通知书后，招标人无正当理由拒签合同的，</w:t>
      </w:r>
      <w:r>
        <w:rPr>
          <w:rFonts w:hint="eastAsia" w:ascii="宋体" w:hAnsi="宋体" w:cs="宋体"/>
          <w:strike/>
          <w:sz w:val="24"/>
          <w:szCs w:val="24"/>
        </w:rPr>
        <w:t>招标人向中标人退还投标保证金；</w:t>
      </w:r>
      <w:r>
        <w:rPr>
          <w:rFonts w:hint="eastAsia" w:ascii="宋体" w:hAnsi="宋体" w:cs="宋体"/>
          <w:sz w:val="24"/>
          <w:szCs w:val="24"/>
        </w:rPr>
        <w:t>给中标人造成损失的，还应当赔偿损失。</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7.5.3 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7.5.4 招标人支付工程款时，中标人应提供工程所在地发票。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7.5.6发包人有权根据项目管理及资金管理的需要，选择签订三方合同或主合同加补充协议的方式，中标人不得有异议。</w:t>
      </w:r>
    </w:p>
    <w:p>
      <w:pPr>
        <w:keepNext/>
        <w:keepLines/>
        <w:spacing w:before="260" w:after="260" w:line="360" w:lineRule="auto"/>
        <w:outlineLvl w:val="1"/>
        <w:rPr>
          <w:rFonts w:hint="eastAsia" w:ascii="宋体" w:hAnsi="宋体" w:cs="宋体"/>
          <w:b/>
          <w:bCs/>
          <w:sz w:val="28"/>
          <w:szCs w:val="28"/>
        </w:rPr>
      </w:pPr>
      <w:bookmarkStart w:id="790" w:name="_Toc144974539"/>
      <w:bookmarkStart w:id="791" w:name="_Toc152045571"/>
      <w:bookmarkStart w:id="792" w:name="_Toc247527596"/>
      <w:bookmarkStart w:id="793" w:name="_Toc152042347"/>
      <w:bookmarkStart w:id="794" w:name="_Toc247513995"/>
      <w:bookmarkStart w:id="795" w:name="_Toc18789"/>
      <w:bookmarkStart w:id="796" w:name="_Toc18486"/>
      <w:bookmarkStart w:id="797" w:name="_Toc28927"/>
      <w:bookmarkStart w:id="798" w:name="_Toc436834767"/>
      <w:bookmarkStart w:id="799" w:name="_Toc29250"/>
      <w:bookmarkStart w:id="800" w:name="_Toc23073"/>
      <w:bookmarkStart w:id="801" w:name="_Toc300834994"/>
      <w:bookmarkStart w:id="802" w:name="_Toc25566"/>
      <w:bookmarkStart w:id="803" w:name="_Toc485211081"/>
      <w:bookmarkStart w:id="804" w:name="_Toc399165416"/>
      <w:bookmarkStart w:id="805" w:name="_Toc6337"/>
      <w:bookmarkStart w:id="806" w:name="_Toc436834174"/>
      <w:bookmarkStart w:id="807" w:name="_Toc7834"/>
      <w:bookmarkStart w:id="808" w:name="_Toc11110"/>
      <w:bookmarkStart w:id="809" w:name="_Toc5708"/>
      <w:r>
        <w:rPr>
          <w:rFonts w:hint="eastAsia" w:ascii="宋体" w:hAnsi="宋体" w:cs="宋体"/>
          <w:b/>
          <w:bCs/>
          <w:sz w:val="28"/>
          <w:szCs w:val="28"/>
        </w:rPr>
        <w:t>8.</w:t>
      </w:r>
      <w:bookmarkEnd w:id="790"/>
      <w:bookmarkEnd w:id="791"/>
      <w:bookmarkEnd w:id="792"/>
      <w:bookmarkEnd w:id="793"/>
      <w:bookmarkEnd w:id="794"/>
      <w:bookmarkStart w:id="810" w:name="_Toc247513998"/>
      <w:bookmarkStart w:id="811" w:name="_Toc152042350"/>
      <w:bookmarkStart w:id="812" w:name="_Toc247527599"/>
      <w:bookmarkStart w:id="813" w:name="_Toc152045574"/>
      <w:bookmarkStart w:id="814" w:name="_Toc144974542"/>
      <w:r>
        <w:rPr>
          <w:rFonts w:hint="eastAsia" w:ascii="宋体" w:hAnsi="宋体" w:cs="宋体"/>
          <w:b/>
          <w:bCs/>
          <w:sz w:val="28"/>
          <w:szCs w:val="28"/>
        </w:rPr>
        <w:t xml:space="preserve"> 纪律和监督</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pPr>
        <w:keepNext/>
        <w:keepLines/>
        <w:spacing w:before="260" w:after="260" w:line="360" w:lineRule="auto"/>
        <w:outlineLvl w:val="2"/>
        <w:rPr>
          <w:rFonts w:hint="eastAsia" w:ascii="宋体" w:hAnsi="宋体" w:cs="宋体"/>
          <w:bCs/>
          <w:sz w:val="28"/>
          <w:szCs w:val="28"/>
        </w:rPr>
      </w:pPr>
      <w:bookmarkStart w:id="815" w:name="_Toc1452"/>
      <w:bookmarkStart w:id="816" w:name="_Toc5172"/>
      <w:bookmarkStart w:id="817" w:name="_Toc485211082"/>
      <w:bookmarkStart w:id="818" w:name="_Toc152045575"/>
      <w:bookmarkStart w:id="819" w:name="_Toc152042351"/>
      <w:bookmarkStart w:id="820" w:name="_Toc436834768"/>
      <w:bookmarkStart w:id="821" w:name="_Toc399165417"/>
      <w:bookmarkStart w:id="822" w:name="_Toc25919"/>
      <w:bookmarkStart w:id="823" w:name="_Toc1360"/>
      <w:bookmarkStart w:id="824" w:name="_Toc26815"/>
      <w:bookmarkStart w:id="825" w:name="_Toc24913"/>
      <w:bookmarkStart w:id="826" w:name="_Toc25574"/>
      <w:bookmarkStart w:id="827" w:name="_Toc144974543"/>
      <w:bookmarkStart w:id="828" w:name="_Toc3121"/>
      <w:bookmarkStart w:id="829" w:name="_Toc247527600"/>
      <w:bookmarkStart w:id="830" w:name="_Toc436834175"/>
      <w:bookmarkStart w:id="831" w:name="_Toc10936"/>
      <w:bookmarkStart w:id="832" w:name="_Toc247513999"/>
      <w:bookmarkStart w:id="833" w:name="_Toc8648"/>
      <w:bookmarkStart w:id="834" w:name="_Toc300834995"/>
      <w:r>
        <w:rPr>
          <w:rFonts w:hint="eastAsia" w:ascii="宋体" w:hAnsi="宋体" w:cs="宋体"/>
          <w:bCs/>
          <w:sz w:val="28"/>
          <w:szCs w:val="28"/>
        </w:rPr>
        <w:t>8.1 对招标人的纪律要求</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pPr>
        <w:spacing w:line="360" w:lineRule="auto"/>
        <w:ind w:firstLine="480" w:firstLineChars="200"/>
        <w:rPr>
          <w:rFonts w:hint="eastAsia" w:ascii="宋体" w:hAnsi="宋体" w:cs="宋体"/>
          <w:sz w:val="24"/>
          <w:szCs w:val="24"/>
        </w:rPr>
      </w:pPr>
      <w:r>
        <w:rPr>
          <w:rFonts w:hint="eastAsia" w:ascii="宋体" w:hAnsi="宋体" w:cs="宋体"/>
          <w:sz w:val="24"/>
          <w:szCs w:val="24"/>
        </w:rPr>
        <w:t>招标人不得泄漏招标投标活动中应当保密的情况和资料，不得与投标人串通损害国家利益、社会公共利益或者他人合法权益。</w:t>
      </w:r>
    </w:p>
    <w:p>
      <w:pPr>
        <w:keepNext/>
        <w:keepLines/>
        <w:spacing w:before="260" w:after="260" w:line="360" w:lineRule="auto"/>
        <w:outlineLvl w:val="2"/>
        <w:rPr>
          <w:rFonts w:hint="eastAsia" w:ascii="宋体" w:hAnsi="宋体" w:cs="宋体"/>
          <w:bCs/>
          <w:sz w:val="28"/>
          <w:szCs w:val="28"/>
        </w:rPr>
      </w:pPr>
      <w:bookmarkStart w:id="835" w:name="_Toc10085"/>
      <w:bookmarkStart w:id="836" w:name="_Toc247527601"/>
      <w:bookmarkStart w:id="837" w:name="_Toc152045576"/>
      <w:bookmarkStart w:id="838" w:name="_Toc3971"/>
      <w:bookmarkStart w:id="839" w:name="_Toc300834996"/>
      <w:bookmarkStart w:id="840" w:name="_Toc21852"/>
      <w:bookmarkStart w:id="841" w:name="_Toc247514000"/>
      <w:bookmarkStart w:id="842" w:name="_Toc152042352"/>
      <w:bookmarkStart w:id="843" w:name="_Toc7734"/>
      <w:bookmarkStart w:id="844" w:name="_Toc399165418"/>
      <w:bookmarkStart w:id="845" w:name="_Toc9604"/>
      <w:bookmarkStart w:id="846" w:name="_Toc24737"/>
      <w:bookmarkStart w:id="847" w:name="_Toc28773"/>
      <w:bookmarkStart w:id="848" w:name="_Toc436834176"/>
      <w:bookmarkStart w:id="849" w:name="_Toc144974544"/>
      <w:bookmarkStart w:id="850" w:name="_Toc436834769"/>
      <w:bookmarkStart w:id="851" w:name="_Toc25854"/>
      <w:bookmarkStart w:id="852" w:name="_Toc11497"/>
      <w:bookmarkStart w:id="853" w:name="_Toc21966"/>
      <w:bookmarkStart w:id="854" w:name="_Toc485211083"/>
      <w:r>
        <w:rPr>
          <w:rFonts w:hint="eastAsia" w:ascii="宋体" w:hAnsi="宋体" w:cs="宋体"/>
          <w:bCs/>
          <w:sz w:val="28"/>
          <w:szCs w:val="28"/>
        </w:rPr>
        <w:t>8.2 对投标人的纪律要求</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pPr>
        <w:spacing w:line="360" w:lineRule="auto"/>
        <w:ind w:firstLine="480" w:firstLineChars="200"/>
        <w:rPr>
          <w:rFonts w:hint="eastAsia" w:ascii="宋体" w:hAnsi="宋体" w:cs="宋体"/>
          <w:sz w:val="24"/>
          <w:szCs w:val="24"/>
        </w:rPr>
      </w:pPr>
      <w:r>
        <w:rPr>
          <w:rFonts w:hint="eastAsia" w:ascii="宋体" w:hAnsi="宋体" w:cs="宋体"/>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keepLines/>
        <w:spacing w:before="260" w:after="260" w:line="360" w:lineRule="auto"/>
        <w:outlineLvl w:val="2"/>
        <w:rPr>
          <w:rFonts w:hint="eastAsia" w:ascii="宋体" w:hAnsi="宋体" w:cs="宋体"/>
          <w:bCs/>
          <w:sz w:val="28"/>
          <w:szCs w:val="28"/>
        </w:rPr>
      </w:pPr>
      <w:bookmarkStart w:id="855" w:name="_Toc436834770"/>
      <w:bookmarkStart w:id="856" w:name="_Toc144974545"/>
      <w:bookmarkStart w:id="857" w:name="_Toc12847"/>
      <w:bookmarkStart w:id="858" w:name="_Toc7942"/>
      <w:bookmarkStart w:id="859" w:name="_Toc300834997"/>
      <w:bookmarkStart w:id="860" w:name="_Toc20671"/>
      <w:bookmarkStart w:id="861" w:name="_Toc399165419"/>
      <w:bookmarkStart w:id="862" w:name="_Toc485211084"/>
      <w:bookmarkStart w:id="863" w:name="_Toc16502"/>
      <w:bookmarkStart w:id="864" w:name="_Toc18726"/>
      <w:bookmarkStart w:id="865" w:name="_Toc247514001"/>
      <w:bookmarkStart w:id="866" w:name="_Toc247527602"/>
      <w:bookmarkStart w:id="867" w:name="_Toc1764"/>
      <w:bookmarkStart w:id="868" w:name="_Toc152042353"/>
      <w:bookmarkStart w:id="869" w:name="_Toc152045577"/>
      <w:bookmarkStart w:id="870" w:name="_Toc9452"/>
      <w:bookmarkStart w:id="871" w:name="_Toc9436"/>
      <w:bookmarkStart w:id="872" w:name="_Toc14578"/>
      <w:bookmarkStart w:id="873" w:name="_Toc436834177"/>
      <w:bookmarkStart w:id="874" w:name="_Toc13115"/>
      <w:r>
        <w:rPr>
          <w:rFonts w:hint="eastAsia" w:ascii="宋体" w:hAnsi="宋体" w:cs="宋体"/>
          <w:bCs/>
          <w:sz w:val="28"/>
          <w:szCs w:val="28"/>
        </w:rPr>
        <w:t>8.3 对评标委员会成员的纪律要求</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pPr>
        <w:spacing w:line="360" w:lineRule="auto"/>
        <w:ind w:firstLine="480" w:firstLineChars="200"/>
        <w:rPr>
          <w:rFonts w:hint="eastAsia" w:ascii="宋体" w:hAnsi="宋体" w:cs="宋体"/>
          <w:sz w:val="24"/>
          <w:szCs w:val="24"/>
        </w:rPr>
      </w:pPr>
      <w:r>
        <w:rPr>
          <w:rFonts w:hint="eastAsia" w:ascii="宋体" w:hAnsi="宋体" w:cs="宋体"/>
          <w:sz w:val="24"/>
          <w:szCs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二章“评标办法”没有规定的评审因素和标准进行评标。</w:t>
      </w:r>
    </w:p>
    <w:p>
      <w:pPr>
        <w:keepNext/>
        <w:keepLines/>
        <w:spacing w:before="260" w:after="260" w:line="360" w:lineRule="auto"/>
        <w:outlineLvl w:val="2"/>
        <w:rPr>
          <w:rFonts w:hint="eastAsia" w:ascii="宋体" w:hAnsi="宋体" w:cs="宋体"/>
          <w:bCs/>
          <w:sz w:val="28"/>
          <w:szCs w:val="28"/>
        </w:rPr>
      </w:pPr>
      <w:bookmarkStart w:id="875" w:name="_Toc152042354"/>
      <w:bookmarkStart w:id="876" w:name="_Toc23424"/>
      <w:bookmarkStart w:id="877" w:name="_Toc15426"/>
      <w:bookmarkStart w:id="878" w:name="_Toc2073"/>
      <w:bookmarkStart w:id="879" w:name="_Toc247527603"/>
      <w:bookmarkStart w:id="880" w:name="_Toc28465"/>
      <w:bookmarkStart w:id="881" w:name="_Toc6372"/>
      <w:bookmarkStart w:id="882" w:name="_Toc300834998"/>
      <w:bookmarkStart w:id="883" w:name="_Toc13233"/>
      <w:bookmarkStart w:id="884" w:name="_Toc9761"/>
      <w:bookmarkStart w:id="885" w:name="_Toc13534"/>
      <w:bookmarkStart w:id="886" w:name="_Toc24670"/>
      <w:bookmarkStart w:id="887" w:name="_Toc485211085"/>
      <w:bookmarkStart w:id="888" w:name="_Toc9582"/>
      <w:bookmarkStart w:id="889" w:name="_Toc152045578"/>
      <w:bookmarkStart w:id="890" w:name="_Toc436834771"/>
      <w:bookmarkStart w:id="891" w:name="_Toc436834178"/>
      <w:bookmarkStart w:id="892" w:name="_Toc399165420"/>
      <w:bookmarkStart w:id="893" w:name="_Toc247514002"/>
      <w:bookmarkStart w:id="894" w:name="_Toc144974546"/>
      <w:r>
        <w:rPr>
          <w:rFonts w:hint="eastAsia" w:ascii="宋体" w:hAnsi="宋体" w:cs="宋体"/>
          <w:bCs/>
          <w:sz w:val="28"/>
          <w:szCs w:val="28"/>
        </w:rPr>
        <w:t>8.4 对与评标活动有关的工作人员的纪律要求</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p>
      <w:pPr>
        <w:spacing w:line="360" w:lineRule="auto"/>
        <w:ind w:firstLine="480" w:firstLineChars="200"/>
        <w:rPr>
          <w:rFonts w:hint="eastAsia" w:ascii="宋体" w:hAnsi="宋体" w:cs="宋体"/>
          <w:sz w:val="24"/>
          <w:szCs w:val="24"/>
        </w:rPr>
      </w:pPr>
      <w:bookmarkStart w:id="895" w:name="_Toc152042355"/>
      <w:r>
        <w:rPr>
          <w:rFonts w:hint="eastAsia" w:ascii="宋体" w:hAnsi="宋体" w:cs="宋体"/>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895"/>
    </w:p>
    <w:p>
      <w:pPr>
        <w:keepNext/>
        <w:keepLines/>
        <w:spacing w:before="260" w:after="260" w:line="360" w:lineRule="auto"/>
        <w:outlineLvl w:val="2"/>
        <w:rPr>
          <w:rFonts w:hint="eastAsia" w:ascii="宋体" w:hAnsi="宋体" w:cs="宋体"/>
          <w:bCs/>
          <w:sz w:val="28"/>
          <w:szCs w:val="28"/>
        </w:rPr>
      </w:pPr>
      <w:bookmarkStart w:id="896" w:name="_Toc485211086"/>
      <w:bookmarkStart w:id="897" w:name="_Toc28353"/>
      <w:bookmarkStart w:id="898" w:name="_Toc8527"/>
      <w:bookmarkStart w:id="899" w:name="_Toc247514003"/>
      <w:bookmarkStart w:id="900" w:name="_Toc399165421"/>
      <w:bookmarkStart w:id="901" w:name="_Toc22999"/>
      <w:bookmarkStart w:id="902" w:name="_Toc10059"/>
      <w:bookmarkStart w:id="903" w:name="_Toc152042356"/>
      <w:bookmarkStart w:id="904" w:name="_Toc152045579"/>
      <w:bookmarkStart w:id="905" w:name="_Toc247527604"/>
      <w:bookmarkStart w:id="906" w:name="_Toc15882"/>
      <w:bookmarkStart w:id="907" w:name="_Toc27663"/>
      <w:bookmarkStart w:id="908" w:name="_Toc5305"/>
      <w:bookmarkStart w:id="909" w:name="_Toc738"/>
      <w:bookmarkStart w:id="910" w:name="_Toc436834179"/>
      <w:bookmarkStart w:id="911" w:name="_Toc300834999"/>
      <w:bookmarkStart w:id="912" w:name="_Toc436834772"/>
      <w:bookmarkStart w:id="913" w:name="_Toc5216"/>
      <w:bookmarkStart w:id="914" w:name="_Toc2374"/>
      <w:r>
        <w:rPr>
          <w:rFonts w:hint="eastAsia" w:ascii="宋体" w:hAnsi="宋体" w:cs="宋体"/>
          <w:bCs/>
          <w:sz w:val="28"/>
          <w:szCs w:val="28"/>
        </w:rPr>
        <w:t>8.5 投诉</w:t>
      </w:r>
      <w:bookmarkEnd w:id="894"/>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pPr>
        <w:spacing w:line="360" w:lineRule="auto"/>
        <w:ind w:firstLine="480" w:firstLineChars="200"/>
        <w:rPr>
          <w:rFonts w:hint="eastAsia" w:ascii="宋体" w:hAnsi="宋体" w:cs="宋体"/>
          <w:sz w:val="24"/>
          <w:szCs w:val="24"/>
        </w:rPr>
      </w:pPr>
      <w:r>
        <w:rPr>
          <w:rFonts w:hint="eastAsia" w:ascii="宋体" w:hAnsi="宋体" w:cs="宋体"/>
          <w:sz w:val="24"/>
          <w:szCs w:val="24"/>
        </w:rPr>
        <w:t>投标人和其他利害关系人认为本次招标活动违反法律、法规和规章规定的，有权向有关行政监督部门投诉。</w:t>
      </w:r>
    </w:p>
    <w:p>
      <w:pPr>
        <w:keepNext/>
        <w:keepLines/>
        <w:spacing w:before="260" w:after="260" w:line="360" w:lineRule="auto"/>
        <w:outlineLvl w:val="1"/>
        <w:rPr>
          <w:rFonts w:hint="eastAsia" w:ascii="宋体" w:hAnsi="宋体" w:cs="宋体"/>
          <w:b/>
          <w:bCs/>
          <w:sz w:val="28"/>
          <w:szCs w:val="28"/>
        </w:rPr>
      </w:pPr>
      <w:bookmarkStart w:id="915" w:name="_Toc152045580"/>
      <w:bookmarkStart w:id="916" w:name="_Toc300835000"/>
      <w:bookmarkStart w:id="917" w:name="_Toc5380"/>
      <w:bookmarkStart w:id="918" w:name="_Toc22770"/>
      <w:bookmarkStart w:id="919" w:name="_Toc436834773"/>
      <w:bookmarkStart w:id="920" w:name="_Toc399165422"/>
      <w:bookmarkStart w:id="921" w:name="_Toc22539"/>
      <w:bookmarkStart w:id="922" w:name="_Toc247527605"/>
      <w:bookmarkStart w:id="923" w:name="_Toc28528"/>
      <w:bookmarkStart w:id="924" w:name="_Toc247514004"/>
      <w:bookmarkStart w:id="925" w:name="_Toc436834180"/>
      <w:bookmarkStart w:id="926" w:name="_Toc11995"/>
      <w:bookmarkStart w:id="927" w:name="_Toc485211087"/>
      <w:bookmarkStart w:id="928" w:name="_Toc18590"/>
      <w:bookmarkStart w:id="929" w:name="_Toc9615"/>
      <w:bookmarkStart w:id="930" w:name="_Toc144974547"/>
      <w:bookmarkStart w:id="931" w:name="_Toc6670"/>
      <w:bookmarkStart w:id="932" w:name="_Toc13569"/>
      <w:bookmarkStart w:id="933" w:name="_Toc152042357"/>
      <w:bookmarkStart w:id="934" w:name="_Toc1548"/>
      <w:r>
        <w:rPr>
          <w:rFonts w:hint="eastAsia" w:ascii="宋体" w:hAnsi="宋体" w:cs="宋体"/>
          <w:b/>
          <w:bCs/>
          <w:sz w:val="28"/>
          <w:szCs w:val="28"/>
        </w:rPr>
        <w:t>9. 需要补充的其他内容</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spacing w:line="360" w:lineRule="auto"/>
        <w:ind w:firstLine="480" w:firstLineChars="200"/>
        <w:rPr>
          <w:rFonts w:hint="eastAsia" w:ascii="宋体" w:hAnsi="宋体" w:cs="宋体"/>
          <w:sz w:val="24"/>
          <w:szCs w:val="24"/>
        </w:rPr>
      </w:pPr>
      <w:r>
        <w:rPr>
          <w:rFonts w:hint="eastAsia" w:ascii="宋体" w:hAnsi="宋体" w:cs="宋体"/>
          <w:sz w:val="24"/>
          <w:szCs w:val="24"/>
        </w:rPr>
        <w:t>需要补充的其他内容：见《投标人须知前附表》。</w:t>
      </w:r>
    </w:p>
    <w:p>
      <w:pPr>
        <w:keepNext/>
        <w:keepLines/>
        <w:spacing w:before="260" w:after="260" w:line="360" w:lineRule="auto"/>
        <w:outlineLvl w:val="1"/>
        <w:rPr>
          <w:rFonts w:hint="eastAsia" w:ascii="宋体" w:hAnsi="宋体" w:cs="宋体"/>
          <w:b/>
          <w:bCs/>
          <w:sz w:val="28"/>
          <w:szCs w:val="28"/>
        </w:rPr>
      </w:pPr>
      <w:bookmarkStart w:id="935" w:name="_Toc436834774"/>
      <w:bookmarkStart w:id="936" w:name="_Toc300835001"/>
      <w:bookmarkStart w:id="937" w:name="_Toc15755"/>
      <w:bookmarkStart w:id="938" w:name="_Toc18743"/>
      <w:bookmarkStart w:id="939" w:name="_Toc5960"/>
      <w:bookmarkStart w:id="940" w:name="_Toc10015"/>
      <w:bookmarkStart w:id="941" w:name="_Toc399165423"/>
      <w:bookmarkStart w:id="942" w:name="_Toc29749"/>
      <w:bookmarkStart w:id="943" w:name="_Toc19525"/>
      <w:bookmarkStart w:id="944" w:name="_Toc4044"/>
      <w:bookmarkStart w:id="945" w:name="_Toc29306"/>
      <w:bookmarkStart w:id="946" w:name="_Toc436834181"/>
      <w:bookmarkStart w:id="947" w:name="_Toc485211088"/>
      <w:bookmarkStart w:id="948" w:name="_Toc21545"/>
      <w:bookmarkStart w:id="949" w:name="_Toc144"/>
      <w:r>
        <w:rPr>
          <w:rFonts w:hint="eastAsia" w:ascii="宋体" w:hAnsi="宋体" w:cs="宋体"/>
          <w:b/>
          <w:bCs/>
          <w:sz w:val="28"/>
          <w:szCs w:val="28"/>
        </w:rPr>
        <w:t>10. 电子招标投标</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pPr>
        <w:spacing w:line="360" w:lineRule="auto"/>
        <w:ind w:firstLine="480" w:firstLineChars="200"/>
        <w:rPr>
          <w:rFonts w:hint="eastAsia" w:ascii="宋体" w:hAnsi="宋体" w:cs="宋体"/>
          <w:szCs w:val="24"/>
        </w:rPr>
      </w:pPr>
      <w:r>
        <w:rPr>
          <w:rFonts w:hint="eastAsia" w:ascii="宋体" w:hAnsi="宋体" w:cs="宋体"/>
          <w:sz w:val="24"/>
          <w:szCs w:val="24"/>
        </w:rPr>
        <w:t>如采用电子招标投标，对投标文件的编制、密封和标记、递交、开标、评标等具体要求，见《投标人须知前附表》</w:t>
      </w:r>
    </w:p>
    <w:p>
      <w:pPr>
        <w:spacing w:line="360" w:lineRule="auto"/>
        <w:ind w:firstLine="420" w:firstLineChars="200"/>
        <w:rPr>
          <w:rFonts w:hint="eastAsia" w:ascii="宋体" w:hAnsi="宋体" w:cs="宋体"/>
          <w:szCs w:val="24"/>
        </w:rPr>
        <w:sectPr>
          <w:footerReference r:id="rId5" w:type="default"/>
          <w:pgSz w:w="11905" w:h="16838"/>
          <w:pgMar w:top="1440" w:right="1440" w:bottom="1440" w:left="1440" w:header="850" w:footer="850" w:gutter="0"/>
          <w:pgNumType w:start="1"/>
          <w:cols w:space="720" w:num="1"/>
          <w:docGrid w:type="lines" w:linePitch="312" w:charSpace="0"/>
        </w:sectPr>
      </w:pPr>
    </w:p>
    <w:p>
      <w:pPr>
        <w:keepNext/>
        <w:keepLines/>
        <w:spacing w:before="260" w:after="260" w:line="360" w:lineRule="auto"/>
        <w:outlineLvl w:val="2"/>
        <w:rPr>
          <w:rFonts w:ascii="宋体" w:hAnsi="宋体" w:cs="宋体"/>
          <w:b/>
          <w:bCs/>
          <w:sz w:val="28"/>
          <w:szCs w:val="28"/>
        </w:rPr>
      </w:pPr>
      <w:bookmarkStart w:id="950" w:name="_Toc17173"/>
      <w:bookmarkStart w:id="951" w:name="_Toc1292"/>
      <w:bookmarkStart w:id="952" w:name="_Toc485211089"/>
      <w:bookmarkStart w:id="953" w:name="_Toc3212"/>
      <w:bookmarkStart w:id="954" w:name="_Toc14581"/>
      <w:bookmarkStart w:id="955" w:name="_Toc247514005"/>
      <w:bookmarkStart w:id="956" w:name="_Toc12839"/>
      <w:bookmarkStart w:id="957" w:name="_Toc32530"/>
      <w:bookmarkStart w:id="958" w:name="_Toc16275"/>
      <w:bookmarkStart w:id="959" w:name="_Toc28995"/>
      <w:bookmarkStart w:id="960" w:name="_Toc13480"/>
      <w:bookmarkStart w:id="961" w:name="_Toc247527606"/>
      <w:bookmarkStart w:id="962" w:name="_Toc152042358"/>
      <w:bookmarkStart w:id="963" w:name="_Toc144974548"/>
      <w:bookmarkStart w:id="964" w:name="_Toc152045581"/>
      <w:bookmarkStart w:id="965" w:name="_Toc3477"/>
      <w:r>
        <w:rPr>
          <w:rFonts w:hint="eastAsia" w:ascii="宋体" w:hAnsi="宋体" w:cs="宋体"/>
          <w:b/>
          <w:bCs/>
          <w:sz w:val="28"/>
          <w:szCs w:val="28"/>
        </w:rPr>
        <w:t>附件1：</w:t>
      </w:r>
    </w:p>
    <w:p>
      <w:pPr>
        <w:ind w:firstLine="640" w:firstLineChars="200"/>
        <w:jc w:val="center"/>
        <w:rPr>
          <w:rFonts w:ascii="黑体" w:hAnsi="黑体" w:eastAsia="黑体"/>
          <w:sz w:val="32"/>
          <w:szCs w:val="32"/>
        </w:rPr>
      </w:pPr>
      <w:r>
        <w:rPr>
          <w:rFonts w:hint="eastAsia" w:ascii="黑体" w:hAnsi="黑体" w:eastAsia="黑体"/>
          <w:sz w:val="32"/>
          <w:szCs w:val="32"/>
        </w:rPr>
        <w:t>评标委员会成员声明</w:t>
      </w:r>
    </w:p>
    <w:p>
      <w:pPr>
        <w:rPr>
          <w:rFonts w:ascii="仿宋_GB2312" w:eastAsia="仿宋_GB2312"/>
          <w:sz w:val="28"/>
          <w:szCs w:val="28"/>
        </w:rPr>
      </w:pPr>
      <w:r>
        <w:rPr>
          <w:rFonts w:hint="eastAsia" w:ascii="仿宋_GB2312" w:eastAsia="仿宋_GB2312"/>
          <w:sz w:val="28"/>
          <w:szCs w:val="28"/>
          <w:u w:val="single"/>
        </w:rPr>
        <w:t xml:space="preserve">   本项目招标人  </w:t>
      </w:r>
      <w:r>
        <w:rPr>
          <w:rFonts w:hint="eastAsia" w:ascii="仿宋_GB2312" w:eastAsia="仿宋_GB2312"/>
          <w:sz w:val="28"/>
          <w:szCs w:val="28"/>
        </w:rPr>
        <w:t>：</w:t>
      </w:r>
    </w:p>
    <w:p>
      <w:pPr>
        <w:ind w:firstLine="560" w:firstLineChars="200"/>
        <w:rPr>
          <w:rFonts w:ascii="仿宋_GB2312" w:eastAsia="仿宋_GB2312"/>
          <w:sz w:val="28"/>
          <w:szCs w:val="28"/>
        </w:rPr>
      </w:pPr>
      <w:r>
        <w:rPr>
          <w:rFonts w:hint="eastAsia" w:ascii="仿宋_GB2312" w:eastAsia="仿宋_GB2312"/>
          <w:sz w:val="28"/>
          <w:szCs w:val="28"/>
        </w:rPr>
        <w:t>本人就参与</w:t>
      </w:r>
      <w:r>
        <w:rPr>
          <w:rFonts w:hint="eastAsia" w:ascii="仿宋_GB2312" w:eastAsia="仿宋_GB2312"/>
          <w:sz w:val="28"/>
          <w:szCs w:val="28"/>
          <w:u w:val="single"/>
        </w:rPr>
        <w:t xml:space="preserve">               </w:t>
      </w:r>
      <w:r>
        <w:rPr>
          <w:rFonts w:hint="eastAsia" w:ascii="仿宋_GB2312" w:eastAsia="仿宋_GB2312"/>
          <w:sz w:val="28"/>
          <w:szCs w:val="28"/>
        </w:rPr>
        <w:t>项目的评标工作，作出郑重声明：</w:t>
      </w:r>
    </w:p>
    <w:p>
      <w:pPr>
        <w:ind w:firstLine="560" w:firstLineChars="200"/>
        <w:rPr>
          <w:rFonts w:ascii="仿宋_GB2312" w:eastAsia="仿宋_GB2312"/>
          <w:sz w:val="28"/>
          <w:szCs w:val="28"/>
        </w:rPr>
      </w:pPr>
      <w:r>
        <w:rPr>
          <w:rFonts w:hint="eastAsia" w:ascii="仿宋_GB2312" w:eastAsia="仿宋_GB2312"/>
          <w:sz w:val="28"/>
          <w:szCs w:val="28"/>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ind w:firstLine="560" w:firstLineChars="200"/>
        <w:rPr>
          <w:rFonts w:ascii="仿宋_GB2312" w:eastAsia="仿宋_GB2312"/>
          <w:sz w:val="28"/>
          <w:szCs w:val="28"/>
        </w:rPr>
      </w:pPr>
      <w:r>
        <w:rPr>
          <w:rFonts w:hint="eastAsia" w:ascii="仿宋_GB2312" w:eastAsia="仿宋_GB2312"/>
          <w:sz w:val="28"/>
          <w:szCs w:val="28"/>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ind w:firstLine="560" w:firstLineChars="200"/>
        <w:rPr>
          <w:rFonts w:ascii="仿宋_GB2312" w:eastAsia="仿宋_GB2312"/>
          <w:sz w:val="28"/>
          <w:szCs w:val="28"/>
        </w:rPr>
      </w:pPr>
      <w:r>
        <w:rPr>
          <w:rFonts w:hint="eastAsia" w:ascii="仿宋_GB2312" w:eastAsia="仿宋_GB2312"/>
          <w:sz w:val="28"/>
          <w:szCs w:val="28"/>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ind w:firstLine="560" w:firstLineChars="200"/>
        <w:rPr>
          <w:rFonts w:ascii="仿宋_GB2312" w:eastAsia="仿宋_GB2312"/>
          <w:sz w:val="28"/>
          <w:szCs w:val="28"/>
        </w:rPr>
      </w:pPr>
      <w:r>
        <w:rPr>
          <w:rFonts w:hint="eastAsia" w:ascii="仿宋_GB2312" w:eastAsia="仿宋_GB2312"/>
          <w:sz w:val="28"/>
          <w:szCs w:val="28"/>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ind w:firstLine="560" w:firstLineChars="200"/>
        <w:rPr>
          <w:rFonts w:ascii="仿宋_GB2312" w:eastAsia="仿宋_GB2312"/>
          <w:sz w:val="28"/>
          <w:szCs w:val="28"/>
        </w:rPr>
      </w:pPr>
      <w:r>
        <w:rPr>
          <w:rFonts w:hint="eastAsia" w:ascii="仿宋_GB2312" w:eastAsia="仿宋_GB2312"/>
          <w:sz w:val="28"/>
          <w:szCs w:val="28"/>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ind w:firstLine="560" w:firstLineChars="200"/>
        <w:rPr>
          <w:rFonts w:ascii="仿宋_GB2312" w:eastAsia="仿宋_GB2312"/>
          <w:sz w:val="28"/>
          <w:szCs w:val="28"/>
        </w:rPr>
      </w:pPr>
      <w:r>
        <w:rPr>
          <w:rFonts w:hint="eastAsia" w:ascii="仿宋_GB2312" w:eastAsia="仿宋_GB2312"/>
          <w:sz w:val="28"/>
          <w:szCs w:val="28"/>
        </w:rPr>
        <w:t>如果本人违反上述声明内容，造成的后果由本人自行承担。</w:t>
      </w:r>
    </w:p>
    <w:p>
      <w:pPr>
        <w:ind w:firstLine="560" w:firstLineChars="200"/>
        <w:rPr>
          <w:rFonts w:ascii="仿宋_GB2312" w:eastAsia="仿宋_GB2312"/>
          <w:sz w:val="28"/>
          <w:szCs w:val="28"/>
        </w:rPr>
      </w:pPr>
    </w:p>
    <w:p>
      <w:pPr>
        <w:keepNext w:val="0"/>
        <w:keepLines w:val="0"/>
        <w:spacing w:before="0" w:after="0" w:line="240" w:lineRule="auto"/>
        <w:ind w:firstLine="560" w:firstLineChars="200"/>
        <w:outlineLvl w:val="9"/>
        <w:rPr>
          <w:rFonts w:hint="eastAsia" w:ascii="仿宋_GB2312" w:eastAsia="仿宋_GB2312"/>
          <w:sz w:val="28"/>
          <w:szCs w:val="28"/>
          <w:u w:val="none"/>
        </w:rPr>
      </w:pPr>
      <w:r>
        <w:rPr>
          <w:rFonts w:hint="eastAsia" w:ascii="仿宋_GB2312" w:eastAsia="仿宋_GB2312"/>
          <w:sz w:val="28"/>
          <w:szCs w:val="28"/>
        </w:rPr>
        <w:t xml:space="preserve">                             声明人：</w:t>
      </w:r>
      <w:r>
        <w:rPr>
          <w:rFonts w:hint="eastAsia" w:ascii="仿宋_GB2312" w:eastAsia="仿宋_GB2312"/>
          <w:sz w:val="28"/>
          <w:szCs w:val="28"/>
          <w:u w:val="none"/>
        </w:rPr>
        <w:t xml:space="preserve">（签名）  </w:t>
      </w:r>
    </w:p>
    <w:p>
      <w:pPr>
        <w:keepNext/>
        <w:keepLines/>
        <w:spacing w:before="260" w:after="260" w:line="360" w:lineRule="auto"/>
        <w:outlineLvl w:val="2"/>
        <w:rPr>
          <w:rFonts w:hint="eastAsia" w:ascii="宋体" w:hAnsi="宋体" w:cs="宋体"/>
          <w:bCs/>
          <w:sz w:val="28"/>
          <w:szCs w:val="28"/>
        </w:rPr>
      </w:pPr>
      <w:r>
        <w:rPr>
          <w:rFonts w:hint="eastAsia" w:ascii="仿宋_GB2312" w:eastAsia="仿宋_GB2312"/>
          <w:sz w:val="28"/>
          <w:szCs w:val="28"/>
          <w:u w:val="single"/>
        </w:rPr>
        <w:br w:type="page"/>
      </w:r>
      <w:r>
        <w:rPr>
          <w:rFonts w:hint="eastAsia" w:ascii="宋体" w:hAnsi="宋体" w:cs="宋体"/>
          <w:bCs/>
          <w:sz w:val="28"/>
          <w:szCs w:val="28"/>
        </w:rPr>
        <w:t>附件</w:t>
      </w:r>
      <w:r>
        <w:rPr>
          <w:rFonts w:hint="eastAsia" w:ascii="宋体" w:hAnsi="宋体" w:cs="宋体"/>
          <w:bCs/>
          <w:sz w:val="28"/>
          <w:szCs w:val="28"/>
          <w:lang w:val="en-US" w:eastAsia="zh-CN"/>
        </w:rPr>
        <w:t>2</w:t>
      </w:r>
      <w:r>
        <w:rPr>
          <w:rFonts w:hint="eastAsia" w:ascii="宋体" w:hAnsi="宋体" w:cs="宋体"/>
          <w:bCs/>
          <w:sz w:val="28"/>
          <w:szCs w:val="28"/>
        </w:rPr>
        <w:t>：开标记录表</w:t>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pPr>
        <w:spacing w:line="360" w:lineRule="auto"/>
        <w:rPr>
          <w:rFonts w:hint="eastAsia" w:ascii="宋体" w:hAnsi="宋体" w:cs="宋体"/>
          <w:sz w:val="28"/>
          <w:szCs w:val="28"/>
        </w:rPr>
      </w:pPr>
      <w:r>
        <w:rPr>
          <w:rFonts w:hint="eastAsia" w:ascii="宋体" w:hAnsi="宋体" w:cs="宋体"/>
          <w:sz w:val="28"/>
          <w:szCs w:val="28"/>
        </w:rPr>
        <w:t>开标记录表采用广州交易集团有限公司（广州公共资源交易中心）系统生成格式</w:t>
      </w:r>
    </w:p>
    <w:p>
      <w:pPr>
        <w:spacing w:line="440" w:lineRule="exact"/>
        <w:rPr>
          <w:rFonts w:hint="eastAsia" w:ascii="宋体" w:hAnsi="宋体" w:cs="宋体"/>
          <w:szCs w:val="21"/>
        </w:rPr>
      </w:pPr>
    </w:p>
    <w:p>
      <w:pPr>
        <w:spacing w:line="440" w:lineRule="exact"/>
        <w:rPr>
          <w:rFonts w:hint="eastAsia" w:ascii="宋体" w:hAnsi="宋体" w:cs="宋体"/>
          <w:szCs w:val="21"/>
        </w:rPr>
      </w:pPr>
    </w:p>
    <w:p>
      <w:pPr>
        <w:spacing w:line="440" w:lineRule="exact"/>
        <w:rPr>
          <w:rFonts w:hint="eastAsia" w:ascii="宋体" w:hAnsi="宋体" w:cs="宋体"/>
          <w:szCs w:val="21"/>
        </w:rPr>
      </w:pPr>
    </w:p>
    <w:p>
      <w:pPr>
        <w:spacing w:line="440" w:lineRule="exact"/>
        <w:rPr>
          <w:rFonts w:hint="eastAsia" w:ascii="宋体" w:hAnsi="宋体" w:cs="宋体"/>
          <w:szCs w:val="21"/>
        </w:rPr>
      </w:pPr>
    </w:p>
    <w:p>
      <w:pPr>
        <w:spacing w:line="440" w:lineRule="exact"/>
        <w:rPr>
          <w:rFonts w:hint="eastAsia" w:ascii="宋体" w:hAnsi="宋体" w:cs="宋体"/>
          <w:szCs w:val="21"/>
        </w:rPr>
      </w:pPr>
    </w:p>
    <w:p>
      <w:pPr>
        <w:spacing w:line="440" w:lineRule="exact"/>
        <w:rPr>
          <w:rFonts w:hint="eastAsia" w:ascii="宋体" w:hAnsi="宋体" w:cs="宋体"/>
          <w:szCs w:val="21"/>
        </w:rPr>
      </w:pPr>
    </w:p>
    <w:p>
      <w:pPr>
        <w:keepNext/>
        <w:keepLines/>
        <w:spacing w:before="260" w:after="260" w:line="360" w:lineRule="auto"/>
        <w:outlineLvl w:val="2"/>
        <w:rPr>
          <w:rFonts w:hint="eastAsia" w:ascii="宋体" w:hAnsi="宋体" w:cs="宋体"/>
          <w:bCs/>
          <w:sz w:val="28"/>
          <w:szCs w:val="28"/>
        </w:rPr>
      </w:pPr>
      <w:r>
        <w:rPr>
          <w:rFonts w:hint="eastAsia" w:ascii="宋体" w:hAnsi="宋体" w:cs="宋体"/>
          <w:szCs w:val="21"/>
        </w:rPr>
        <w:br w:type="page"/>
      </w:r>
      <w:bookmarkStart w:id="966" w:name="_Toc22250"/>
      <w:bookmarkStart w:id="967" w:name="_Toc144974549"/>
      <w:bookmarkStart w:id="968" w:name="_Toc7096"/>
      <w:bookmarkStart w:id="969" w:name="_Toc247527607"/>
      <w:bookmarkStart w:id="970" w:name="_Toc152042359"/>
      <w:bookmarkStart w:id="971" w:name="_Toc23946"/>
      <w:bookmarkStart w:id="972" w:name="_Toc20609"/>
      <w:bookmarkStart w:id="973" w:name="_Toc26951"/>
      <w:bookmarkStart w:id="974" w:name="_Toc22367"/>
      <w:bookmarkStart w:id="975" w:name="_Toc12992"/>
      <w:bookmarkStart w:id="976" w:name="_Toc8530"/>
      <w:bookmarkStart w:id="977" w:name="_Toc152045582"/>
      <w:bookmarkStart w:id="978" w:name="_Toc485211090"/>
      <w:bookmarkStart w:id="979" w:name="_Toc247514006"/>
      <w:bookmarkStart w:id="980" w:name="_Toc22267"/>
      <w:r>
        <w:rPr>
          <w:rFonts w:hint="eastAsia" w:ascii="宋体" w:hAnsi="宋体" w:cs="宋体"/>
          <w:bCs/>
          <w:sz w:val="28"/>
          <w:szCs w:val="28"/>
        </w:rPr>
        <w:t>附件</w:t>
      </w:r>
      <w:r>
        <w:rPr>
          <w:rFonts w:hint="eastAsia" w:ascii="宋体" w:hAnsi="宋体" w:cs="宋体"/>
          <w:bCs/>
          <w:sz w:val="28"/>
          <w:szCs w:val="28"/>
          <w:lang w:val="en-US" w:eastAsia="zh-CN"/>
        </w:rPr>
        <w:t>3</w:t>
      </w:r>
      <w:r>
        <w:rPr>
          <w:rFonts w:hint="eastAsia" w:ascii="宋体" w:hAnsi="宋体" w:cs="宋体"/>
          <w:bCs/>
          <w:sz w:val="28"/>
          <w:szCs w:val="28"/>
        </w:rPr>
        <w:t>：问题澄清通知</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pPr>
        <w:spacing w:line="440" w:lineRule="exact"/>
        <w:jc w:val="center"/>
        <w:rPr>
          <w:rFonts w:hint="eastAsia" w:ascii="宋体" w:hAnsi="宋体" w:cs="宋体"/>
          <w:szCs w:val="21"/>
        </w:rPr>
      </w:pPr>
    </w:p>
    <w:p>
      <w:pPr>
        <w:spacing w:line="360" w:lineRule="auto"/>
        <w:jc w:val="center"/>
        <w:rPr>
          <w:rFonts w:hint="eastAsia" w:ascii="宋体" w:hAnsi="宋体" w:cs="宋体"/>
          <w:sz w:val="28"/>
          <w:szCs w:val="28"/>
        </w:rPr>
      </w:pPr>
      <w:r>
        <w:rPr>
          <w:rFonts w:hint="eastAsia" w:ascii="宋体" w:hAnsi="宋体" w:cs="宋体"/>
          <w:sz w:val="28"/>
          <w:szCs w:val="28"/>
        </w:rPr>
        <w:t>问题澄清通知</w:t>
      </w:r>
    </w:p>
    <w:p>
      <w:pPr>
        <w:spacing w:line="360" w:lineRule="auto"/>
        <w:ind w:firstLine="6000" w:firstLineChars="2500"/>
        <w:jc w:val="left"/>
        <w:rPr>
          <w:rFonts w:hint="eastAsia" w:ascii="宋体" w:hAnsi="宋体" w:cs="宋体"/>
          <w:sz w:val="24"/>
          <w:szCs w:val="24"/>
        </w:rPr>
      </w:pPr>
      <w:r>
        <w:rPr>
          <w:rFonts w:hint="eastAsia" w:ascii="宋体" w:hAnsi="宋体" w:cs="宋体"/>
          <w:sz w:val="24"/>
          <w:szCs w:val="24"/>
        </w:rPr>
        <w:t>编号：</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（投标人名称）：</w:t>
      </w:r>
    </w:p>
    <w:p>
      <w:pPr>
        <w:spacing w:line="360" w:lineRule="auto"/>
        <w:ind w:firstLine="480" w:firstLineChars="20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招标的评标委员会，对你方的投标文件进行了仔细的审查，现需你方对下列问题以书面形式予以澄清：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请将上述问题的澄清于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时前递交至</w:t>
      </w:r>
      <w:r>
        <w:rPr>
          <w:rFonts w:hint="eastAsia" w:ascii="宋体" w:hAnsi="宋体" w:cs="宋体"/>
          <w:sz w:val="24"/>
          <w:szCs w:val="24"/>
          <w:u w:val="single"/>
        </w:rPr>
        <w:t xml:space="preserve">                  </w:t>
      </w:r>
      <w:r>
        <w:rPr>
          <w:rFonts w:hint="eastAsia" w:ascii="宋体" w:hAnsi="宋体" w:cs="宋体"/>
          <w:sz w:val="24"/>
          <w:szCs w:val="24"/>
        </w:rPr>
        <w:t>（详细地址）或传真至</w:t>
      </w:r>
      <w:r>
        <w:rPr>
          <w:rFonts w:hint="eastAsia" w:ascii="宋体" w:hAnsi="宋体" w:cs="宋体"/>
          <w:sz w:val="24"/>
          <w:szCs w:val="24"/>
          <w:u w:val="single"/>
        </w:rPr>
        <w:t xml:space="preserve">         </w:t>
      </w:r>
      <w:r>
        <w:rPr>
          <w:rFonts w:hint="eastAsia" w:ascii="宋体" w:hAnsi="宋体" w:cs="宋体"/>
          <w:sz w:val="24"/>
          <w:szCs w:val="24"/>
        </w:rPr>
        <w:t>（传真号码）。采用传真方式的，应在</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时前将原件递交至</w:t>
      </w:r>
      <w:r>
        <w:rPr>
          <w:rFonts w:hint="eastAsia" w:ascii="宋体" w:hAnsi="宋体" w:cs="宋体"/>
          <w:sz w:val="24"/>
          <w:szCs w:val="24"/>
          <w:u w:val="single"/>
        </w:rPr>
        <w:t xml:space="preserve">                         </w:t>
      </w:r>
      <w:r>
        <w:rPr>
          <w:rFonts w:hint="eastAsia" w:ascii="宋体" w:hAnsi="宋体" w:cs="宋体"/>
          <w:sz w:val="24"/>
          <w:szCs w:val="24"/>
        </w:rPr>
        <w:t>（详细地址）。</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jc w:val="right"/>
        <w:rPr>
          <w:rFonts w:hint="eastAsia" w:ascii="宋体" w:hAnsi="宋体" w:cs="宋体"/>
          <w:sz w:val="24"/>
          <w:szCs w:val="24"/>
        </w:rPr>
      </w:pPr>
      <w:r>
        <w:rPr>
          <w:rFonts w:hint="eastAsia" w:ascii="宋体" w:hAnsi="宋体" w:cs="宋体"/>
          <w:sz w:val="24"/>
          <w:szCs w:val="24"/>
        </w:rPr>
        <w:t>评标委员会授权的招标人或招标代理机构：</w:t>
      </w:r>
      <w:r>
        <w:rPr>
          <w:rFonts w:hint="eastAsia" w:ascii="宋体" w:hAnsi="宋体" w:cs="宋体"/>
          <w:sz w:val="24"/>
          <w:szCs w:val="24"/>
          <w:u w:val="single"/>
        </w:rPr>
        <w:t xml:space="preserve">           </w:t>
      </w:r>
      <w:r>
        <w:rPr>
          <w:rFonts w:hint="eastAsia" w:ascii="宋体" w:hAnsi="宋体" w:cs="宋体"/>
          <w:sz w:val="24"/>
          <w:szCs w:val="24"/>
        </w:rPr>
        <w:t>（签字或盖章）</w:t>
      </w:r>
    </w:p>
    <w:p>
      <w:pPr>
        <w:spacing w:line="360" w:lineRule="auto"/>
        <w:jc w:val="right"/>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rPr>
          <w:rFonts w:hint="eastAsia" w:ascii="宋体" w:hAnsi="宋体" w:cs="宋体"/>
          <w:sz w:val="24"/>
          <w:szCs w:val="24"/>
        </w:rPr>
      </w:pPr>
    </w:p>
    <w:p>
      <w:pPr>
        <w:keepNext/>
        <w:keepLines/>
        <w:spacing w:before="260" w:after="260" w:line="360" w:lineRule="auto"/>
        <w:outlineLvl w:val="2"/>
        <w:rPr>
          <w:rFonts w:hint="eastAsia" w:ascii="宋体" w:hAnsi="宋体" w:cs="宋体"/>
          <w:bCs/>
          <w:sz w:val="28"/>
          <w:szCs w:val="28"/>
        </w:rPr>
      </w:pPr>
      <w:r>
        <w:rPr>
          <w:rFonts w:hint="eastAsia" w:ascii="宋体" w:hAnsi="宋体" w:cs="宋体"/>
          <w:szCs w:val="24"/>
        </w:rPr>
        <w:br w:type="page"/>
      </w:r>
      <w:bookmarkStart w:id="981" w:name="_Toc29892"/>
      <w:bookmarkStart w:id="982" w:name="_Toc485211091"/>
      <w:bookmarkStart w:id="983" w:name="_Toc247527608"/>
      <w:bookmarkStart w:id="984" w:name="_Toc152045583"/>
      <w:bookmarkStart w:id="985" w:name="_Toc18238"/>
      <w:bookmarkStart w:id="986" w:name="_Toc21221"/>
      <w:bookmarkStart w:id="987" w:name="_Toc152042360"/>
      <w:bookmarkStart w:id="988" w:name="_Toc2612"/>
      <w:bookmarkStart w:id="989" w:name="_Toc18642"/>
      <w:bookmarkStart w:id="990" w:name="_Toc4085"/>
      <w:bookmarkStart w:id="991" w:name="_Toc5410"/>
      <w:bookmarkStart w:id="992" w:name="_Toc144974550"/>
      <w:bookmarkStart w:id="993" w:name="_Toc20542"/>
      <w:bookmarkStart w:id="994" w:name="_Toc26015"/>
      <w:bookmarkStart w:id="995" w:name="_Toc247514007"/>
      <w:r>
        <w:rPr>
          <w:rFonts w:hint="eastAsia" w:ascii="宋体" w:hAnsi="宋体" w:cs="宋体"/>
          <w:bCs/>
          <w:sz w:val="28"/>
          <w:szCs w:val="28"/>
        </w:rPr>
        <w:t>附件</w:t>
      </w:r>
      <w:r>
        <w:rPr>
          <w:rFonts w:hint="eastAsia" w:ascii="宋体" w:hAnsi="宋体" w:cs="宋体"/>
          <w:bCs/>
          <w:sz w:val="28"/>
          <w:szCs w:val="28"/>
          <w:lang w:val="en-US" w:eastAsia="zh-CN"/>
        </w:rPr>
        <w:t>4</w:t>
      </w:r>
      <w:r>
        <w:rPr>
          <w:rFonts w:hint="eastAsia" w:ascii="宋体" w:hAnsi="宋体" w:cs="宋体"/>
          <w:bCs/>
          <w:sz w:val="28"/>
          <w:szCs w:val="28"/>
        </w:rPr>
        <w:t>：问题的澄清</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p>
      <w:pPr>
        <w:spacing w:line="360" w:lineRule="auto"/>
        <w:jc w:val="center"/>
        <w:rPr>
          <w:rFonts w:hint="eastAsia" w:ascii="宋体" w:hAnsi="宋体" w:cs="宋体"/>
          <w:sz w:val="28"/>
          <w:szCs w:val="28"/>
        </w:rPr>
      </w:pPr>
    </w:p>
    <w:p>
      <w:pPr>
        <w:spacing w:line="360" w:lineRule="auto"/>
        <w:jc w:val="center"/>
        <w:rPr>
          <w:rFonts w:hint="eastAsia" w:ascii="宋体" w:hAnsi="宋体" w:cs="宋体"/>
          <w:sz w:val="28"/>
          <w:szCs w:val="28"/>
        </w:rPr>
      </w:pPr>
      <w:r>
        <w:rPr>
          <w:rFonts w:hint="eastAsia" w:ascii="宋体" w:hAnsi="宋体" w:cs="宋体"/>
          <w:sz w:val="28"/>
          <w:szCs w:val="28"/>
        </w:rPr>
        <w:t>问题的澄清</w:t>
      </w:r>
    </w:p>
    <w:p>
      <w:pPr>
        <w:spacing w:line="360" w:lineRule="auto"/>
        <w:ind w:firstLine="6000" w:firstLineChars="2500"/>
        <w:jc w:val="left"/>
        <w:rPr>
          <w:rFonts w:ascii="宋体" w:hAnsi="宋体" w:cs="宋体"/>
          <w:sz w:val="24"/>
          <w:szCs w:val="24"/>
          <w:u w:val="single"/>
        </w:rPr>
      </w:pPr>
      <w:r>
        <w:rPr>
          <w:rFonts w:hint="eastAsia" w:ascii="宋体" w:hAnsi="宋体" w:cs="宋体"/>
          <w:sz w:val="24"/>
          <w:szCs w:val="24"/>
        </w:rPr>
        <w:t>编号：</w:t>
      </w:r>
      <w:r>
        <w:rPr>
          <w:rFonts w:hint="eastAsia" w:ascii="宋体" w:hAnsi="宋体" w:cs="宋体"/>
          <w:sz w:val="24"/>
          <w:szCs w:val="24"/>
          <w:u w:val="single"/>
        </w:rPr>
        <w:t xml:space="preserve">                </w:t>
      </w:r>
    </w:p>
    <w:p>
      <w:pPr>
        <w:spacing w:line="360" w:lineRule="auto"/>
        <w:rPr>
          <w:rFonts w:hint="eastAsia" w:ascii="宋体" w:hAnsi="宋体" w:cs="宋体"/>
          <w:sz w:val="24"/>
          <w:szCs w:val="24"/>
          <w:u w:val="single"/>
        </w:rPr>
      </w:pPr>
    </w:p>
    <w:p>
      <w:pPr>
        <w:spacing w:line="360" w:lineRule="auto"/>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评标委员会：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问题澄清通知（编号：</w:t>
      </w:r>
      <w:r>
        <w:rPr>
          <w:rFonts w:hint="eastAsia" w:ascii="宋体" w:hAnsi="宋体" w:cs="宋体"/>
          <w:sz w:val="24"/>
          <w:szCs w:val="24"/>
          <w:u w:val="single"/>
        </w:rPr>
        <w:t xml:space="preserve">        </w:t>
      </w:r>
      <w:r>
        <w:rPr>
          <w:rFonts w:hint="eastAsia" w:ascii="宋体" w:hAnsi="宋体" w:cs="宋体"/>
          <w:sz w:val="24"/>
          <w:szCs w:val="24"/>
        </w:rPr>
        <w:t>）已收悉，现澄清如下：</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w:t>
      </w: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p>
    <w:p>
      <w:pPr>
        <w:spacing w:line="360" w:lineRule="auto"/>
        <w:jc w:val="right"/>
        <w:rPr>
          <w:rFonts w:hint="eastAsia"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 xml:space="preserve">                        </w:t>
      </w:r>
      <w:r>
        <w:rPr>
          <w:rFonts w:hint="eastAsia" w:ascii="宋体" w:hAnsi="宋体" w:cs="宋体"/>
          <w:sz w:val="24"/>
          <w:szCs w:val="24"/>
        </w:rPr>
        <w:t>（盖单位章）</w:t>
      </w:r>
    </w:p>
    <w:p>
      <w:pPr>
        <w:spacing w:line="360" w:lineRule="auto"/>
        <w:jc w:val="right"/>
        <w:rPr>
          <w:rFonts w:hint="eastAsia"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w:t>
      </w:r>
    </w:p>
    <w:p>
      <w:pPr>
        <w:spacing w:line="360" w:lineRule="auto"/>
        <w:jc w:val="right"/>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rPr>
          <w:rFonts w:hint="eastAsia" w:ascii="宋体" w:hAnsi="宋体" w:cs="宋体"/>
          <w:sz w:val="24"/>
          <w:szCs w:val="24"/>
        </w:rPr>
      </w:pPr>
    </w:p>
    <w:p>
      <w:pPr>
        <w:keepNext/>
        <w:keepLines/>
        <w:spacing w:before="260" w:after="260" w:line="360" w:lineRule="auto"/>
        <w:outlineLvl w:val="2"/>
        <w:rPr>
          <w:rFonts w:hint="eastAsia" w:ascii="宋体" w:hAnsi="宋体" w:cs="宋体"/>
          <w:bCs/>
          <w:sz w:val="28"/>
          <w:szCs w:val="28"/>
        </w:rPr>
      </w:pPr>
      <w:r>
        <w:rPr>
          <w:rFonts w:hint="eastAsia" w:ascii="宋体" w:hAnsi="宋体" w:cs="宋体"/>
          <w:szCs w:val="24"/>
        </w:rPr>
        <w:br w:type="page"/>
      </w:r>
      <w:bookmarkStart w:id="996" w:name="_Toc947"/>
      <w:bookmarkStart w:id="997" w:name="_Toc22580"/>
      <w:bookmarkStart w:id="998" w:name="_Toc14178"/>
      <w:bookmarkStart w:id="999" w:name="_Toc152045584"/>
      <w:bookmarkStart w:id="1000" w:name="_Toc26426"/>
      <w:bookmarkStart w:id="1001" w:name="_Toc247514008"/>
      <w:bookmarkStart w:id="1002" w:name="_Toc152042361"/>
      <w:bookmarkStart w:id="1003" w:name="_Toc23717"/>
      <w:bookmarkStart w:id="1004" w:name="_Toc247527609"/>
      <w:bookmarkStart w:id="1005" w:name="_Toc30679"/>
      <w:bookmarkStart w:id="1006" w:name="_Toc172"/>
      <w:bookmarkStart w:id="1007" w:name="_Toc2111"/>
      <w:bookmarkStart w:id="1008" w:name="_Toc144974551"/>
      <w:bookmarkStart w:id="1009" w:name="_Toc485211092"/>
      <w:bookmarkStart w:id="1010" w:name="_Toc15621"/>
      <w:r>
        <w:rPr>
          <w:rFonts w:hint="eastAsia" w:ascii="宋体" w:hAnsi="宋体" w:cs="宋体"/>
          <w:bCs/>
          <w:sz w:val="28"/>
          <w:szCs w:val="28"/>
        </w:rPr>
        <w:t>附件</w:t>
      </w:r>
      <w:r>
        <w:rPr>
          <w:rFonts w:hint="eastAsia" w:ascii="宋体" w:hAnsi="宋体" w:cs="宋体"/>
          <w:bCs/>
          <w:sz w:val="28"/>
          <w:szCs w:val="28"/>
          <w:lang w:val="en-US" w:eastAsia="zh-CN"/>
        </w:rPr>
        <w:t>5</w:t>
      </w:r>
      <w:r>
        <w:rPr>
          <w:rFonts w:hint="eastAsia" w:ascii="宋体" w:hAnsi="宋体" w:cs="宋体"/>
          <w:bCs/>
          <w:sz w:val="28"/>
          <w:szCs w:val="28"/>
        </w:rPr>
        <w:t>：中标通知书</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spacing w:line="400" w:lineRule="exact"/>
        <w:rPr>
          <w:rFonts w:hint="eastAsia" w:ascii="宋体" w:hAnsi="宋体" w:cs="宋体"/>
          <w:szCs w:val="24"/>
        </w:rPr>
      </w:pPr>
    </w:p>
    <w:p>
      <w:pPr>
        <w:spacing w:line="400" w:lineRule="exact"/>
        <w:jc w:val="center"/>
        <w:rPr>
          <w:rFonts w:hint="eastAsia" w:ascii="宋体" w:hAnsi="宋体" w:cs="宋体"/>
          <w:sz w:val="28"/>
          <w:szCs w:val="28"/>
        </w:rPr>
      </w:pPr>
      <w:r>
        <w:rPr>
          <w:rFonts w:hint="eastAsia" w:ascii="宋体" w:hAnsi="宋体" w:cs="宋体"/>
          <w:sz w:val="28"/>
          <w:szCs w:val="28"/>
        </w:rPr>
        <w:t>中标通知书采用广州交易集团有限公司（广州公共资源交易中心）格式</w:t>
      </w:r>
    </w:p>
    <w:p>
      <w:pPr>
        <w:spacing w:line="400" w:lineRule="exact"/>
        <w:rPr>
          <w:rFonts w:hint="eastAsia" w:ascii="宋体" w:hAnsi="宋体" w:cs="宋体"/>
          <w:szCs w:val="24"/>
        </w:rPr>
      </w:pPr>
    </w:p>
    <w:p>
      <w:pPr>
        <w:spacing w:line="360" w:lineRule="auto"/>
        <w:jc w:val="center"/>
        <w:rPr>
          <w:rFonts w:hint="eastAsia" w:ascii="宋体" w:hAnsi="宋体" w:cs="宋体"/>
          <w:sz w:val="24"/>
          <w:szCs w:val="24"/>
        </w:rPr>
      </w:pPr>
      <w:r>
        <w:rPr>
          <w:rFonts w:hint="eastAsia" w:ascii="宋体" w:hAnsi="宋体" w:cs="宋体"/>
          <w:sz w:val="24"/>
          <w:szCs w:val="24"/>
        </w:rPr>
        <w:t>（以广州交易集团有限公司（广州公共资源交易中心）出具格式为准）</w:t>
      </w:r>
    </w:p>
    <w:p>
      <w:pPr>
        <w:spacing w:line="540" w:lineRule="exact"/>
        <w:jc w:val="center"/>
        <w:rPr>
          <w:rFonts w:hint="eastAsia" w:ascii="宋体" w:hAnsi="宋体" w:cs="宋体"/>
          <w:szCs w:val="21"/>
        </w:rPr>
      </w:pPr>
    </w:p>
    <w:p>
      <w:pPr>
        <w:spacing w:line="540" w:lineRule="exact"/>
        <w:jc w:val="center"/>
        <w:rPr>
          <w:rFonts w:hint="eastAsia" w:ascii="宋体" w:hAnsi="宋体" w:cs="宋体"/>
          <w:szCs w:val="21"/>
        </w:rPr>
      </w:pPr>
    </w:p>
    <w:p>
      <w:pPr>
        <w:spacing w:line="540" w:lineRule="exact"/>
        <w:jc w:val="center"/>
        <w:rPr>
          <w:rFonts w:hint="eastAsia" w:ascii="宋体" w:hAnsi="宋体" w:cs="宋体"/>
          <w:szCs w:val="21"/>
        </w:rPr>
      </w:pPr>
    </w:p>
    <w:p>
      <w:pPr>
        <w:spacing w:line="540" w:lineRule="exact"/>
        <w:jc w:val="center"/>
        <w:rPr>
          <w:rFonts w:hint="eastAsia" w:ascii="宋体" w:hAnsi="宋体" w:cs="宋体"/>
          <w:szCs w:val="21"/>
        </w:rPr>
      </w:pPr>
    </w:p>
    <w:p>
      <w:pPr>
        <w:spacing w:line="540" w:lineRule="exact"/>
        <w:jc w:val="center"/>
        <w:rPr>
          <w:rFonts w:hint="eastAsia" w:ascii="宋体" w:hAnsi="宋体" w:cs="宋体"/>
          <w:szCs w:val="21"/>
        </w:rPr>
      </w:pPr>
    </w:p>
    <w:p>
      <w:pPr>
        <w:spacing w:line="540" w:lineRule="exact"/>
        <w:jc w:val="center"/>
        <w:rPr>
          <w:rFonts w:hint="eastAsia" w:ascii="宋体" w:hAnsi="宋体" w:cs="宋体"/>
          <w:szCs w:val="24"/>
        </w:rPr>
        <w:sectPr>
          <w:pgSz w:w="11905" w:h="16838"/>
          <w:pgMar w:top="1247" w:right="1247" w:bottom="1247" w:left="1247" w:header="567" w:footer="850" w:gutter="0"/>
          <w:cols w:space="720" w:num="1"/>
          <w:docGrid w:type="lines" w:linePitch="312" w:charSpace="0"/>
        </w:sectPr>
      </w:pPr>
    </w:p>
    <w:p>
      <w:pPr>
        <w:pStyle w:val="3"/>
        <w:jc w:val="center"/>
        <w:rPr>
          <w:rFonts w:hint="eastAsia" w:ascii="宋体" w:hAnsi="宋体" w:cs="宋体"/>
          <w:sz w:val="28"/>
          <w:szCs w:val="28"/>
        </w:rPr>
      </w:pPr>
      <w:bookmarkStart w:id="1011" w:name="_Toc13679"/>
      <w:bookmarkStart w:id="1012" w:name="_Toc14000"/>
      <w:bookmarkStart w:id="1013" w:name="_Toc485211093"/>
      <w:bookmarkStart w:id="1014" w:name="_Toc247514022"/>
      <w:bookmarkStart w:id="1015" w:name="_Toc5899"/>
      <w:bookmarkStart w:id="1016" w:name="_Toc152045598"/>
      <w:bookmarkStart w:id="1017" w:name="_Toc32048"/>
      <w:bookmarkStart w:id="1018" w:name="_Toc5053"/>
      <w:bookmarkStart w:id="1019" w:name="_Toc24996"/>
      <w:bookmarkStart w:id="1020" w:name="_Toc144974565"/>
      <w:bookmarkStart w:id="1021" w:name="_Toc152042375"/>
      <w:bookmarkStart w:id="1022" w:name="_Toc16297"/>
      <w:bookmarkStart w:id="1023" w:name="_Toc247527623"/>
      <w:bookmarkStart w:id="1024" w:name="_Toc354847399"/>
      <w:r>
        <w:rPr>
          <w:rFonts w:hint="eastAsia" w:ascii="宋体" w:hAnsi="宋体" w:cs="宋体"/>
          <w:sz w:val="28"/>
          <w:szCs w:val="28"/>
        </w:rPr>
        <w:t>第二章 评标办法（评定分离）</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Start w:id="1025" w:name="_Toc247514023"/>
      <w:bookmarkStart w:id="1026" w:name="_Toc152042376"/>
      <w:bookmarkStart w:id="1027" w:name="_Toc247527624"/>
      <w:bookmarkStart w:id="1028" w:name="_Toc144974566"/>
      <w:bookmarkStart w:id="1029" w:name="_Toc152045599"/>
    </w:p>
    <w:bookmarkEnd w:id="1025"/>
    <w:bookmarkEnd w:id="1026"/>
    <w:bookmarkEnd w:id="1027"/>
    <w:bookmarkEnd w:id="1028"/>
    <w:bookmarkEnd w:id="1029"/>
    <w:p>
      <w:pPr>
        <w:keepNext/>
        <w:keepLines/>
        <w:spacing w:before="260" w:after="260" w:line="415" w:lineRule="auto"/>
        <w:jc w:val="center"/>
        <w:outlineLvl w:val="1"/>
        <w:rPr>
          <w:rFonts w:hint="eastAsia" w:ascii="宋体" w:hAnsi="宋体" w:cs="宋体"/>
          <w:b/>
          <w:bCs/>
          <w:sz w:val="28"/>
          <w:szCs w:val="28"/>
        </w:rPr>
      </w:pPr>
      <w:bookmarkStart w:id="1030" w:name="_Toc436834184"/>
      <w:bookmarkStart w:id="1031" w:name="_Toc30443"/>
      <w:bookmarkStart w:id="1032" w:name="_Toc26598"/>
      <w:bookmarkStart w:id="1033" w:name="_Toc25722"/>
      <w:bookmarkStart w:id="1034" w:name="_Toc399165430"/>
      <w:bookmarkStart w:id="1035" w:name="_Toc3267"/>
      <w:bookmarkStart w:id="1036" w:name="_Toc436834777"/>
      <w:bookmarkStart w:id="1037" w:name="_Toc26731"/>
      <w:bookmarkStart w:id="1038" w:name="_Toc19639"/>
      <w:bookmarkStart w:id="1039" w:name="_Toc300835009"/>
      <w:bookmarkStart w:id="1040" w:name="_Toc28730"/>
      <w:bookmarkStart w:id="1041" w:name="_Toc29441"/>
      <w:bookmarkStart w:id="1042" w:name="_Toc17809"/>
      <w:bookmarkStart w:id="1043" w:name="_Toc485211094"/>
      <w:bookmarkStart w:id="1044" w:name="_Toc24145"/>
      <w:r>
        <w:rPr>
          <w:rFonts w:hint="eastAsia" w:ascii="宋体" w:hAnsi="宋体" w:cs="宋体"/>
          <w:b/>
          <w:bCs/>
          <w:sz w:val="28"/>
          <w:szCs w:val="28"/>
        </w:rPr>
        <w:t>评标办法前附表</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7"/>
        <w:gridCol w:w="1565"/>
        <w:gridCol w:w="1565"/>
        <w:gridCol w:w="521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2322" w:type="dxa"/>
            <w:gridSpan w:val="2"/>
            <w:vAlign w:val="center"/>
          </w:tcPr>
          <w:p>
            <w:pPr>
              <w:jc w:val="center"/>
              <w:rPr>
                <w:rFonts w:hint="eastAsia" w:ascii="宋体" w:hAnsi="宋体" w:cs="宋体"/>
                <w:b/>
                <w:szCs w:val="21"/>
              </w:rPr>
            </w:pPr>
            <w:r>
              <w:rPr>
                <w:rFonts w:hint="eastAsia" w:ascii="宋体" w:hAnsi="宋体" w:cs="宋体"/>
                <w:b/>
                <w:szCs w:val="21"/>
              </w:rPr>
              <w:t>条款号</w:t>
            </w:r>
          </w:p>
        </w:tc>
        <w:tc>
          <w:tcPr>
            <w:tcW w:w="1565" w:type="dxa"/>
            <w:vAlign w:val="center"/>
          </w:tcPr>
          <w:p>
            <w:pPr>
              <w:jc w:val="center"/>
              <w:rPr>
                <w:rFonts w:hint="eastAsia" w:ascii="宋体" w:hAnsi="宋体" w:cs="宋体"/>
                <w:b/>
                <w:szCs w:val="21"/>
              </w:rPr>
            </w:pPr>
            <w:r>
              <w:rPr>
                <w:rFonts w:hint="eastAsia" w:ascii="宋体" w:hAnsi="宋体" w:cs="宋体"/>
                <w:b/>
                <w:szCs w:val="21"/>
              </w:rPr>
              <w:t>评审因素</w:t>
            </w:r>
          </w:p>
        </w:tc>
        <w:tc>
          <w:tcPr>
            <w:tcW w:w="5214" w:type="dxa"/>
            <w:vAlign w:val="center"/>
          </w:tcPr>
          <w:p>
            <w:pPr>
              <w:jc w:val="center"/>
              <w:rPr>
                <w:rFonts w:hint="eastAsia"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57" w:type="dxa"/>
            <w:vAlign w:val="center"/>
          </w:tcPr>
          <w:p>
            <w:pPr>
              <w:jc w:val="center"/>
              <w:rPr>
                <w:rFonts w:hint="eastAsia" w:ascii="宋体" w:hAnsi="宋体" w:cs="宋体"/>
                <w:szCs w:val="21"/>
              </w:rPr>
            </w:pPr>
            <w:r>
              <w:rPr>
                <w:rFonts w:hint="eastAsia" w:ascii="宋体" w:hAnsi="宋体" w:cs="宋体"/>
                <w:szCs w:val="21"/>
              </w:rPr>
              <w:t>2.1.1</w:t>
            </w:r>
          </w:p>
        </w:tc>
        <w:tc>
          <w:tcPr>
            <w:tcW w:w="1565" w:type="dxa"/>
            <w:vAlign w:val="center"/>
          </w:tcPr>
          <w:p>
            <w:pPr>
              <w:jc w:val="center"/>
              <w:rPr>
                <w:rFonts w:hint="eastAsia" w:ascii="宋体" w:hAnsi="宋体" w:cs="宋体"/>
                <w:szCs w:val="21"/>
              </w:rPr>
            </w:pPr>
            <w:r>
              <w:rPr>
                <w:rFonts w:hint="eastAsia" w:ascii="宋体" w:hAnsi="宋体" w:cs="宋体"/>
                <w:szCs w:val="21"/>
              </w:rPr>
              <w:t>资格审查</w:t>
            </w:r>
          </w:p>
        </w:tc>
        <w:tc>
          <w:tcPr>
            <w:tcW w:w="6779" w:type="dxa"/>
            <w:gridSpan w:val="2"/>
            <w:vAlign w:val="center"/>
          </w:tcPr>
          <w:p>
            <w:pPr>
              <w:rPr>
                <w:rFonts w:hint="eastAsia" w:ascii="宋体" w:hAnsi="宋体" w:cs="宋体"/>
                <w:szCs w:val="21"/>
              </w:rPr>
            </w:pPr>
            <w:r>
              <w:rPr>
                <w:rFonts w:hint="eastAsia" w:ascii="宋体" w:hAnsi="宋体" w:cs="宋体"/>
                <w:szCs w:val="21"/>
              </w:rPr>
              <w:t>见附表一《资格审查表》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57" w:type="dxa"/>
            <w:vAlign w:val="center"/>
          </w:tcPr>
          <w:p>
            <w:pPr>
              <w:jc w:val="center"/>
              <w:rPr>
                <w:rFonts w:ascii="宋体" w:hAnsi="宋体" w:cs="宋体"/>
                <w:szCs w:val="21"/>
              </w:rPr>
            </w:pPr>
            <w:r>
              <w:rPr>
                <w:rFonts w:hint="eastAsia" w:ascii="宋体" w:hAnsi="宋体" w:cs="宋体"/>
                <w:szCs w:val="21"/>
              </w:rPr>
              <w:t>2.1.2</w:t>
            </w:r>
          </w:p>
        </w:tc>
        <w:tc>
          <w:tcPr>
            <w:tcW w:w="1565" w:type="dxa"/>
            <w:vAlign w:val="center"/>
          </w:tcPr>
          <w:p>
            <w:pPr>
              <w:jc w:val="center"/>
              <w:rPr>
                <w:rFonts w:hint="eastAsia" w:ascii="宋体" w:hAnsi="宋体" w:cs="宋体"/>
                <w:szCs w:val="21"/>
              </w:rPr>
            </w:pPr>
            <w:r>
              <w:rPr>
                <w:rFonts w:hint="eastAsia" w:ascii="宋体" w:hAnsi="宋体" w:cs="宋体"/>
                <w:szCs w:val="21"/>
              </w:rPr>
              <w:t>工程总承包实施方案（含资格审查文件）投标文件有效性审查表</w:t>
            </w:r>
          </w:p>
        </w:tc>
        <w:tc>
          <w:tcPr>
            <w:tcW w:w="6779" w:type="dxa"/>
            <w:gridSpan w:val="2"/>
            <w:vAlign w:val="center"/>
          </w:tcPr>
          <w:p>
            <w:pPr>
              <w:rPr>
                <w:rFonts w:hint="eastAsia" w:ascii="宋体" w:hAnsi="宋体" w:cs="宋体"/>
                <w:szCs w:val="21"/>
              </w:rPr>
            </w:pPr>
            <w:r>
              <w:rPr>
                <w:rFonts w:hint="eastAsia" w:ascii="宋体" w:hAnsi="宋体" w:cs="宋体"/>
                <w:szCs w:val="21"/>
              </w:rPr>
              <w:t>见附表二《工程总承包实施方案（含资格审查文件）投标文件有效性审查表》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57" w:type="dxa"/>
            <w:vAlign w:val="center"/>
          </w:tcPr>
          <w:p>
            <w:pPr>
              <w:jc w:val="center"/>
              <w:rPr>
                <w:rFonts w:ascii="宋体" w:hAnsi="宋体" w:cs="宋体"/>
                <w:szCs w:val="21"/>
              </w:rPr>
            </w:pPr>
            <w:r>
              <w:rPr>
                <w:rFonts w:hint="eastAsia" w:ascii="宋体" w:hAnsi="宋体" w:cs="宋体"/>
                <w:szCs w:val="21"/>
              </w:rPr>
              <w:t>2.1.3</w:t>
            </w:r>
          </w:p>
        </w:tc>
        <w:tc>
          <w:tcPr>
            <w:tcW w:w="1565" w:type="dxa"/>
            <w:vAlign w:val="center"/>
          </w:tcPr>
          <w:p>
            <w:pPr>
              <w:jc w:val="center"/>
              <w:rPr>
                <w:rFonts w:ascii="宋体" w:hAnsi="宋体" w:cs="宋体"/>
                <w:szCs w:val="21"/>
              </w:rPr>
            </w:pPr>
            <w:r>
              <w:rPr>
                <w:rFonts w:hint="eastAsia" w:ascii="宋体" w:hAnsi="宋体" w:cs="宋体"/>
                <w:szCs w:val="21"/>
              </w:rPr>
              <w:t>设计投标文件有效性审查表</w:t>
            </w:r>
          </w:p>
        </w:tc>
        <w:tc>
          <w:tcPr>
            <w:tcW w:w="6779" w:type="dxa"/>
            <w:gridSpan w:val="2"/>
            <w:vAlign w:val="center"/>
          </w:tcPr>
          <w:p>
            <w:pPr>
              <w:rPr>
                <w:rFonts w:hint="eastAsia" w:ascii="宋体" w:hAnsi="宋体" w:cs="宋体"/>
                <w:szCs w:val="21"/>
              </w:rPr>
            </w:pPr>
            <w:r>
              <w:rPr>
                <w:rFonts w:hint="eastAsia" w:ascii="宋体" w:hAnsi="宋体" w:cs="宋体"/>
                <w:szCs w:val="21"/>
              </w:rPr>
              <w:t>见附表三《设计投标文件有效性审查表》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22" w:type="dxa"/>
            <w:gridSpan w:val="2"/>
            <w:vAlign w:val="center"/>
          </w:tcPr>
          <w:p>
            <w:pPr>
              <w:jc w:val="center"/>
              <w:rPr>
                <w:rFonts w:hint="eastAsia" w:ascii="宋体" w:hAnsi="宋体" w:cs="宋体"/>
                <w:b/>
                <w:szCs w:val="21"/>
              </w:rPr>
            </w:pPr>
            <w:r>
              <w:rPr>
                <w:rFonts w:hint="eastAsia" w:ascii="宋体" w:hAnsi="宋体" w:cs="宋体"/>
                <w:b/>
                <w:szCs w:val="21"/>
              </w:rPr>
              <w:t>条款号</w:t>
            </w:r>
          </w:p>
        </w:tc>
        <w:tc>
          <w:tcPr>
            <w:tcW w:w="1565" w:type="dxa"/>
            <w:vAlign w:val="center"/>
          </w:tcPr>
          <w:p>
            <w:pPr>
              <w:jc w:val="center"/>
              <w:rPr>
                <w:rFonts w:hint="eastAsia" w:ascii="宋体" w:hAnsi="宋体" w:cs="宋体"/>
                <w:b/>
                <w:szCs w:val="21"/>
              </w:rPr>
            </w:pPr>
            <w:r>
              <w:rPr>
                <w:rFonts w:hint="eastAsia" w:ascii="宋体" w:hAnsi="宋体" w:cs="宋体"/>
                <w:b/>
                <w:szCs w:val="21"/>
              </w:rPr>
              <w:t>条款内容</w:t>
            </w:r>
          </w:p>
        </w:tc>
        <w:tc>
          <w:tcPr>
            <w:tcW w:w="5214" w:type="dxa"/>
            <w:vAlign w:val="center"/>
          </w:tcPr>
          <w:p>
            <w:pPr>
              <w:jc w:val="center"/>
              <w:rPr>
                <w:rFonts w:hint="eastAsia" w:ascii="宋体" w:hAnsi="宋体" w:cs="宋体"/>
                <w:b/>
                <w:szCs w:val="21"/>
              </w:rPr>
            </w:pPr>
            <w:r>
              <w:rPr>
                <w:rFonts w:hint="eastAsia" w:ascii="宋体" w:hAnsi="宋体" w:cs="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2322" w:type="dxa"/>
            <w:gridSpan w:val="2"/>
            <w:vAlign w:val="center"/>
          </w:tcPr>
          <w:p>
            <w:pPr>
              <w:jc w:val="center"/>
              <w:rPr>
                <w:rFonts w:hint="eastAsia" w:ascii="宋体" w:hAnsi="宋体" w:cs="宋体"/>
                <w:szCs w:val="21"/>
              </w:rPr>
            </w:pPr>
            <w:r>
              <w:rPr>
                <w:rFonts w:hint="eastAsia" w:ascii="宋体" w:hAnsi="宋体" w:cs="宋体"/>
                <w:szCs w:val="21"/>
              </w:rPr>
              <w:t>2.2.1</w:t>
            </w:r>
          </w:p>
        </w:tc>
        <w:tc>
          <w:tcPr>
            <w:tcW w:w="1565" w:type="dxa"/>
            <w:vAlign w:val="center"/>
          </w:tcPr>
          <w:p>
            <w:pPr>
              <w:jc w:val="center"/>
              <w:rPr>
                <w:rFonts w:hint="eastAsia" w:ascii="宋体" w:hAnsi="宋体" w:cs="宋体"/>
                <w:szCs w:val="21"/>
              </w:rPr>
            </w:pPr>
            <w:r>
              <w:rPr>
                <w:rFonts w:hint="eastAsia" w:ascii="宋体" w:hAnsi="宋体" w:cs="宋体"/>
                <w:szCs w:val="21"/>
              </w:rPr>
              <w:t>分值构成及权重</w:t>
            </w:r>
          </w:p>
        </w:tc>
        <w:tc>
          <w:tcPr>
            <w:tcW w:w="5214" w:type="dxa"/>
            <w:vAlign w:val="center"/>
          </w:tcPr>
          <w:p>
            <w:pPr>
              <w:rPr>
                <w:rFonts w:hint="eastAsia" w:ascii="宋体" w:hAnsi="宋体" w:cs="宋体"/>
                <w:szCs w:val="21"/>
                <w:u w:val="single"/>
              </w:rPr>
            </w:pPr>
            <w:r>
              <w:rPr>
                <w:rFonts w:hint="eastAsia" w:ascii="宋体" w:hAnsi="宋体" w:cs="宋体"/>
                <w:szCs w:val="21"/>
                <w:u w:val="single"/>
              </w:rPr>
              <w:t>（通过制评审：资格审查与有效性审查）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22" w:type="dxa"/>
            <w:gridSpan w:val="2"/>
            <w:vAlign w:val="center"/>
          </w:tcPr>
          <w:p>
            <w:pPr>
              <w:jc w:val="center"/>
              <w:rPr>
                <w:rFonts w:hint="eastAsia" w:ascii="宋体" w:hAnsi="宋体" w:cs="宋体"/>
                <w:szCs w:val="21"/>
              </w:rPr>
            </w:pPr>
            <w:r>
              <w:rPr>
                <w:rFonts w:hint="eastAsia" w:ascii="宋体" w:hAnsi="宋体" w:cs="宋体"/>
                <w:b/>
                <w:szCs w:val="21"/>
              </w:rPr>
              <w:t>条款号</w:t>
            </w:r>
          </w:p>
        </w:tc>
        <w:tc>
          <w:tcPr>
            <w:tcW w:w="1565" w:type="dxa"/>
            <w:tcBorders>
              <w:right w:val="single" w:color="auto" w:sz="4" w:space="0"/>
            </w:tcBorders>
            <w:vAlign w:val="center"/>
          </w:tcPr>
          <w:p>
            <w:pPr>
              <w:jc w:val="center"/>
              <w:rPr>
                <w:rFonts w:hint="eastAsia" w:ascii="宋体" w:hAnsi="宋体" w:cs="宋体"/>
                <w:b/>
                <w:szCs w:val="21"/>
              </w:rPr>
            </w:pPr>
            <w:r>
              <w:rPr>
                <w:rFonts w:hint="eastAsia" w:ascii="宋体" w:hAnsi="宋体" w:cs="宋体"/>
                <w:b/>
                <w:szCs w:val="21"/>
              </w:rPr>
              <w:t>评分因素</w:t>
            </w:r>
          </w:p>
        </w:tc>
        <w:tc>
          <w:tcPr>
            <w:tcW w:w="5214" w:type="dxa"/>
            <w:tcBorders>
              <w:left w:val="single" w:color="auto" w:sz="4" w:space="0"/>
            </w:tcBorders>
            <w:vAlign w:val="center"/>
          </w:tcPr>
          <w:p>
            <w:pPr>
              <w:jc w:val="center"/>
              <w:rPr>
                <w:rFonts w:hint="eastAsia" w:ascii="宋体" w:hAnsi="宋体" w:cs="宋体"/>
                <w:szCs w:val="21"/>
              </w:rPr>
            </w:pPr>
            <w:r>
              <w:rPr>
                <w:rFonts w:hint="eastAsia" w:ascii="宋体" w:hAnsi="宋体" w:cs="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2" w:hRule="atLeast"/>
          <w:jc w:val="center"/>
        </w:trPr>
        <w:tc>
          <w:tcPr>
            <w:tcW w:w="757" w:type="dxa"/>
            <w:vAlign w:val="center"/>
          </w:tcPr>
          <w:p>
            <w:pPr>
              <w:jc w:val="center"/>
              <w:rPr>
                <w:rFonts w:hint="eastAsia" w:ascii="宋体" w:hAnsi="宋体" w:cs="宋体"/>
                <w:szCs w:val="21"/>
              </w:rPr>
            </w:pPr>
            <w:r>
              <w:rPr>
                <w:rFonts w:hint="eastAsia" w:ascii="宋体" w:hAnsi="宋体" w:cs="宋体"/>
                <w:szCs w:val="21"/>
              </w:rPr>
              <w:t>2.2.4</w:t>
            </w:r>
          </w:p>
          <w:p>
            <w:pPr>
              <w:jc w:val="center"/>
              <w:rPr>
                <w:rFonts w:hint="eastAsia" w:ascii="宋体" w:hAnsi="宋体" w:cs="宋体"/>
                <w:szCs w:val="21"/>
              </w:rPr>
            </w:pPr>
            <w:r>
              <w:rPr>
                <w:rFonts w:hint="eastAsia" w:ascii="宋体" w:hAnsi="宋体" w:cs="宋体"/>
                <w:szCs w:val="21"/>
              </w:rPr>
              <w:t>（1）</w:t>
            </w:r>
          </w:p>
        </w:tc>
        <w:tc>
          <w:tcPr>
            <w:tcW w:w="1565" w:type="dxa"/>
            <w:vAlign w:val="center"/>
          </w:tcPr>
          <w:p>
            <w:pPr>
              <w:jc w:val="center"/>
              <w:rPr>
                <w:rFonts w:hint="eastAsia" w:ascii="宋体" w:hAnsi="宋体" w:cs="宋体"/>
                <w:strike/>
                <w:szCs w:val="21"/>
              </w:rPr>
            </w:pPr>
            <w:r>
              <w:rPr>
                <w:rFonts w:hint="eastAsia" w:ascii="宋体" w:hAnsi="宋体" w:cs="宋体"/>
                <w:strike/>
                <w:szCs w:val="21"/>
              </w:rPr>
              <w:t>设计投标文件评分标准</w:t>
            </w:r>
          </w:p>
        </w:tc>
        <w:tc>
          <w:tcPr>
            <w:tcW w:w="1565" w:type="dxa"/>
            <w:tcBorders>
              <w:right w:val="single" w:color="auto" w:sz="4" w:space="0"/>
            </w:tcBorders>
            <w:vAlign w:val="center"/>
          </w:tcPr>
          <w:p>
            <w:pPr>
              <w:jc w:val="left"/>
              <w:rPr>
                <w:rFonts w:hint="eastAsia" w:ascii="宋体" w:hAnsi="宋体" w:cs="宋体"/>
                <w:szCs w:val="21"/>
              </w:rPr>
            </w:pPr>
            <w:r>
              <w:rPr>
                <w:rFonts w:hint="eastAsia" w:ascii="宋体" w:hAnsi="宋体" w:cs="宋体"/>
                <w:szCs w:val="21"/>
              </w:rPr>
              <w:t>/</w:t>
            </w:r>
          </w:p>
        </w:tc>
        <w:tc>
          <w:tcPr>
            <w:tcW w:w="5214" w:type="dxa"/>
            <w:tcBorders>
              <w:left w:val="single" w:color="auto" w:sz="4" w:space="0"/>
            </w:tcBorders>
            <w:vAlign w:val="center"/>
          </w:tcPr>
          <w:p>
            <w:pP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0" w:hRule="atLeast"/>
          <w:jc w:val="center"/>
        </w:trPr>
        <w:tc>
          <w:tcPr>
            <w:tcW w:w="757" w:type="dxa"/>
            <w:vAlign w:val="center"/>
          </w:tcPr>
          <w:p>
            <w:pPr>
              <w:jc w:val="center"/>
              <w:rPr>
                <w:rFonts w:hint="eastAsia" w:ascii="宋体" w:hAnsi="宋体" w:cs="宋体"/>
                <w:szCs w:val="21"/>
              </w:rPr>
            </w:pPr>
            <w:r>
              <w:rPr>
                <w:rFonts w:hint="eastAsia" w:ascii="宋体" w:hAnsi="宋体" w:cs="宋体"/>
                <w:szCs w:val="21"/>
              </w:rPr>
              <w:t>2.2.4</w:t>
            </w:r>
          </w:p>
          <w:p>
            <w:pPr>
              <w:jc w:val="center"/>
              <w:rPr>
                <w:rFonts w:hint="eastAsia" w:ascii="宋体" w:hAnsi="宋体" w:cs="宋体"/>
                <w:szCs w:val="21"/>
              </w:rPr>
            </w:pPr>
            <w:r>
              <w:rPr>
                <w:rFonts w:hint="eastAsia" w:ascii="宋体" w:hAnsi="宋体" w:cs="宋体"/>
                <w:szCs w:val="21"/>
              </w:rPr>
              <w:t>（2）</w:t>
            </w:r>
          </w:p>
        </w:tc>
        <w:tc>
          <w:tcPr>
            <w:tcW w:w="1565" w:type="dxa"/>
            <w:vAlign w:val="center"/>
          </w:tcPr>
          <w:p>
            <w:pPr>
              <w:jc w:val="center"/>
              <w:rPr>
                <w:rFonts w:hint="eastAsia" w:ascii="宋体" w:hAnsi="宋体" w:cs="宋体"/>
                <w:strike/>
                <w:szCs w:val="21"/>
              </w:rPr>
            </w:pPr>
            <w:r>
              <w:rPr>
                <w:rFonts w:hint="eastAsia" w:ascii="宋体" w:hAnsi="宋体" w:cs="宋体"/>
                <w:strike/>
                <w:szCs w:val="21"/>
              </w:rPr>
              <w:t>工程总承包实施方案评分标准</w:t>
            </w:r>
          </w:p>
        </w:tc>
        <w:tc>
          <w:tcPr>
            <w:tcW w:w="1565" w:type="dxa"/>
            <w:tcBorders>
              <w:right w:val="single" w:color="auto" w:sz="4" w:space="0"/>
            </w:tcBorders>
            <w:vAlign w:val="center"/>
          </w:tcPr>
          <w:p>
            <w:pPr>
              <w:jc w:val="left"/>
              <w:rPr>
                <w:rFonts w:hint="eastAsia" w:ascii="宋体" w:hAnsi="宋体" w:cs="宋体"/>
                <w:szCs w:val="21"/>
              </w:rPr>
            </w:pPr>
            <w:r>
              <w:rPr>
                <w:rFonts w:hint="eastAsia" w:ascii="宋体" w:hAnsi="宋体" w:cs="宋体"/>
                <w:szCs w:val="21"/>
              </w:rPr>
              <w:t>/</w:t>
            </w:r>
          </w:p>
        </w:tc>
        <w:tc>
          <w:tcPr>
            <w:tcW w:w="5214" w:type="dxa"/>
            <w:tcBorders>
              <w:left w:val="single" w:color="auto" w:sz="4" w:space="0"/>
            </w:tcBorders>
            <w:vAlign w:val="center"/>
          </w:tcPr>
          <w:p>
            <w:pP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757" w:type="dxa"/>
            <w:vAlign w:val="center"/>
          </w:tcPr>
          <w:p>
            <w:pPr>
              <w:jc w:val="center"/>
              <w:rPr>
                <w:rFonts w:hint="eastAsia" w:ascii="宋体" w:hAnsi="宋体" w:cs="宋体"/>
                <w:szCs w:val="21"/>
              </w:rPr>
            </w:pPr>
            <w:r>
              <w:rPr>
                <w:rFonts w:hint="eastAsia" w:ascii="宋体" w:hAnsi="宋体" w:cs="宋体"/>
                <w:szCs w:val="21"/>
              </w:rPr>
              <w:t>2.2.4（3）</w:t>
            </w:r>
          </w:p>
        </w:tc>
        <w:tc>
          <w:tcPr>
            <w:tcW w:w="1565" w:type="dxa"/>
            <w:vAlign w:val="center"/>
          </w:tcPr>
          <w:p>
            <w:pPr>
              <w:jc w:val="center"/>
              <w:rPr>
                <w:rFonts w:hint="eastAsia" w:ascii="宋体" w:hAnsi="宋体" w:cs="宋体"/>
                <w:strike/>
                <w:szCs w:val="21"/>
              </w:rPr>
            </w:pPr>
            <w:r>
              <w:rPr>
                <w:rFonts w:hint="eastAsia" w:ascii="宋体" w:hAnsi="宋体" w:cs="宋体"/>
                <w:strike/>
                <w:szCs w:val="21"/>
              </w:rPr>
              <w:t>投标报价评分标准</w:t>
            </w:r>
          </w:p>
        </w:tc>
        <w:tc>
          <w:tcPr>
            <w:tcW w:w="1565" w:type="dxa"/>
            <w:tcBorders>
              <w:right w:val="single" w:color="auto" w:sz="4" w:space="0"/>
            </w:tcBorders>
            <w:vAlign w:val="center"/>
          </w:tcPr>
          <w:p>
            <w:pPr>
              <w:jc w:val="left"/>
              <w:rPr>
                <w:rFonts w:hint="eastAsia" w:ascii="宋体" w:hAnsi="宋体" w:cs="宋体"/>
                <w:szCs w:val="21"/>
              </w:rPr>
            </w:pPr>
            <w:r>
              <w:rPr>
                <w:rFonts w:hint="eastAsia" w:ascii="宋体" w:hAnsi="宋体" w:cs="宋体"/>
                <w:szCs w:val="21"/>
              </w:rPr>
              <w:t>/</w:t>
            </w:r>
          </w:p>
        </w:tc>
        <w:tc>
          <w:tcPr>
            <w:tcW w:w="5214" w:type="dxa"/>
            <w:tcBorders>
              <w:left w:val="single" w:color="auto" w:sz="4" w:space="0"/>
            </w:tcBorders>
            <w:vAlign w:val="center"/>
          </w:tcPr>
          <w:p>
            <w:pP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6" w:hRule="atLeast"/>
          <w:jc w:val="center"/>
        </w:trPr>
        <w:tc>
          <w:tcPr>
            <w:tcW w:w="757" w:type="dxa"/>
            <w:vAlign w:val="center"/>
          </w:tcPr>
          <w:p>
            <w:pPr>
              <w:jc w:val="center"/>
              <w:rPr>
                <w:rFonts w:hint="eastAsia" w:ascii="宋体" w:hAnsi="宋体" w:cs="宋体"/>
                <w:szCs w:val="21"/>
              </w:rPr>
            </w:pPr>
            <w:r>
              <w:rPr>
                <w:rFonts w:hint="eastAsia" w:ascii="宋体" w:hAnsi="宋体" w:cs="宋体"/>
                <w:szCs w:val="21"/>
              </w:rPr>
              <w:t>2.2.4（4）</w:t>
            </w:r>
          </w:p>
        </w:tc>
        <w:tc>
          <w:tcPr>
            <w:tcW w:w="1565" w:type="dxa"/>
            <w:vAlign w:val="center"/>
          </w:tcPr>
          <w:p>
            <w:pPr>
              <w:jc w:val="center"/>
              <w:rPr>
                <w:rFonts w:hint="eastAsia" w:ascii="宋体" w:hAnsi="宋体" w:cs="宋体"/>
                <w:strike/>
                <w:szCs w:val="21"/>
              </w:rPr>
            </w:pPr>
            <w:r>
              <w:rPr>
                <w:rFonts w:hint="eastAsia" w:ascii="宋体" w:hAnsi="宋体" w:cs="宋体"/>
                <w:strike/>
                <w:szCs w:val="21"/>
              </w:rPr>
              <w:t>其他因素评分标准</w:t>
            </w:r>
          </w:p>
        </w:tc>
        <w:tc>
          <w:tcPr>
            <w:tcW w:w="1565" w:type="dxa"/>
            <w:tcBorders>
              <w:right w:val="single" w:color="auto" w:sz="4" w:space="0"/>
            </w:tcBorders>
            <w:vAlign w:val="center"/>
          </w:tcPr>
          <w:p>
            <w:pPr>
              <w:jc w:val="left"/>
              <w:rPr>
                <w:rFonts w:hint="eastAsia" w:ascii="宋体" w:hAnsi="宋体" w:cs="宋体"/>
                <w:szCs w:val="21"/>
              </w:rPr>
            </w:pPr>
            <w:r>
              <w:rPr>
                <w:rFonts w:hint="eastAsia" w:ascii="宋体" w:hAnsi="宋体" w:cs="宋体"/>
                <w:szCs w:val="21"/>
              </w:rPr>
              <w:t>/</w:t>
            </w:r>
          </w:p>
        </w:tc>
        <w:tc>
          <w:tcPr>
            <w:tcW w:w="5214" w:type="dxa"/>
            <w:tcBorders>
              <w:left w:val="single" w:color="auto" w:sz="4" w:space="0"/>
            </w:tcBorders>
            <w:vAlign w:val="center"/>
          </w:tcPr>
          <w:p>
            <w:pPr>
              <w:rPr>
                <w:rFonts w:hint="eastAsia" w:ascii="宋体" w:hAnsi="宋体" w:cs="宋体"/>
                <w:szCs w:val="21"/>
              </w:rPr>
            </w:pPr>
            <w:r>
              <w:rPr>
                <w:rFonts w:hint="eastAsia" w:ascii="宋体" w:hAnsi="宋体" w:cs="宋体"/>
                <w:szCs w:val="21"/>
              </w:rPr>
              <w:t>/</w:t>
            </w:r>
          </w:p>
        </w:tc>
      </w:tr>
    </w:tbl>
    <w:p>
      <w:pPr>
        <w:widowControl/>
        <w:jc w:val="left"/>
        <w:rPr>
          <w:rFonts w:hint="eastAsia" w:ascii="宋体" w:hAnsi="宋体" w:cs="宋体"/>
          <w:szCs w:val="24"/>
        </w:rPr>
      </w:pPr>
    </w:p>
    <w:p>
      <w:pPr>
        <w:rPr>
          <w:rFonts w:hint="eastAsia" w:ascii="宋体" w:hAnsi="宋体" w:cs="宋体"/>
          <w:szCs w:val="24"/>
        </w:rPr>
        <w:sectPr>
          <w:pgSz w:w="11905" w:h="16838"/>
          <w:pgMar w:top="1247" w:right="1247" w:bottom="1247" w:left="1247" w:header="567" w:footer="850" w:gutter="0"/>
          <w:cols w:space="720" w:num="1"/>
          <w:docGrid w:type="lines" w:linePitch="312" w:charSpace="0"/>
        </w:sectPr>
      </w:pPr>
    </w:p>
    <w:p>
      <w:pPr>
        <w:keepNext/>
        <w:keepLines/>
        <w:spacing w:before="100" w:after="100" w:line="360" w:lineRule="auto"/>
        <w:outlineLvl w:val="1"/>
        <w:rPr>
          <w:rFonts w:hint="eastAsia" w:ascii="宋体" w:hAnsi="宋体" w:cs="宋体"/>
          <w:b/>
          <w:bCs/>
          <w:kern w:val="0"/>
          <w:sz w:val="28"/>
          <w:szCs w:val="28"/>
        </w:rPr>
      </w:pPr>
      <w:bookmarkStart w:id="1045" w:name="_Toc8954"/>
      <w:bookmarkStart w:id="1046" w:name="_Toc375931097"/>
      <w:bookmarkStart w:id="1047" w:name="_Toc14459"/>
      <w:bookmarkStart w:id="1048" w:name="_Toc22237"/>
      <w:bookmarkStart w:id="1049" w:name="_Toc485211095"/>
      <w:bookmarkStart w:id="1050" w:name="_Toc3030"/>
      <w:bookmarkStart w:id="1051" w:name="_Toc21694"/>
      <w:bookmarkStart w:id="1052" w:name="_Toc29426"/>
      <w:bookmarkStart w:id="1053" w:name="_Toc28121"/>
      <w:bookmarkStart w:id="1054" w:name="_Toc2694"/>
      <w:bookmarkStart w:id="1055" w:name="_Toc16531"/>
      <w:bookmarkStart w:id="1056" w:name="_Toc12763"/>
      <w:r>
        <w:rPr>
          <w:rFonts w:hint="eastAsia" w:ascii="宋体" w:hAnsi="宋体" w:cs="宋体"/>
          <w:b/>
          <w:bCs/>
          <w:kern w:val="0"/>
          <w:sz w:val="28"/>
          <w:szCs w:val="28"/>
        </w:rPr>
        <w:t>1. 评标方法</w:t>
      </w:r>
      <w:bookmarkEnd w:id="1045"/>
      <w:bookmarkEnd w:id="1046"/>
      <w:bookmarkEnd w:id="1047"/>
      <w:bookmarkEnd w:id="1048"/>
      <w:bookmarkEnd w:id="1049"/>
      <w:bookmarkEnd w:id="1050"/>
      <w:bookmarkEnd w:id="1051"/>
      <w:bookmarkEnd w:id="1052"/>
      <w:bookmarkEnd w:id="1053"/>
      <w:bookmarkEnd w:id="1054"/>
      <w:bookmarkEnd w:id="1055"/>
      <w:bookmarkEnd w:id="1056"/>
    </w:p>
    <w:p>
      <w:pPr>
        <w:spacing w:line="360" w:lineRule="auto"/>
        <w:ind w:firstLine="480" w:firstLineChars="200"/>
        <w:rPr>
          <w:rFonts w:hint="eastAsia" w:ascii="宋体" w:hAnsi="宋体" w:cs="宋体"/>
          <w:sz w:val="24"/>
          <w:szCs w:val="24"/>
        </w:rPr>
      </w:pPr>
      <w:r>
        <w:rPr>
          <w:rFonts w:hint="eastAsia" w:ascii="宋体" w:hAnsi="宋体"/>
          <w:sz w:val="24"/>
          <w:szCs w:val="24"/>
          <w:u w:val="single"/>
        </w:rPr>
        <w:t>本项目采用评定分离，评标采用“通过制”的评标办法，定标采用“记名投票+撰写评语”定标法。</w:t>
      </w:r>
      <w:r>
        <w:rPr>
          <w:rFonts w:hint="eastAsia" w:ascii="宋体" w:hAnsi="宋体" w:cs="宋体"/>
          <w:sz w:val="24"/>
          <w:szCs w:val="24"/>
        </w:rPr>
        <w:t>分为评标委员会与定标委员会，评标委员会负责对招标文件进行资格审查与有效性审查，定标委员会负责对通过评标阶段的合格候选人进行定标投票并按得票数决定中标人，但投标报价低于其成本的除外。</w:t>
      </w:r>
    </w:p>
    <w:p>
      <w:pPr>
        <w:spacing w:line="400" w:lineRule="exact"/>
        <w:ind w:firstLine="420" w:firstLineChars="200"/>
        <w:rPr>
          <w:rFonts w:hint="eastAsia" w:ascii="宋体" w:hAnsi="宋体" w:cs="宋体"/>
          <w:szCs w:val="24"/>
        </w:rPr>
      </w:pPr>
    </w:p>
    <w:p>
      <w:pPr>
        <w:keepNext/>
        <w:keepLines/>
        <w:spacing w:before="100" w:after="100" w:line="360" w:lineRule="auto"/>
        <w:outlineLvl w:val="1"/>
        <w:rPr>
          <w:rFonts w:hint="eastAsia" w:ascii="宋体" w:hAnsi="宋体" w:cs="宋体"/>
          <w:b/>
          <w:bCs/>
          <w:kern w:val="0"/>
          <w:sz w:val="28"/>
          <w:szCs w:val="28"/>
        </w:rPr>
      </w:pPr>
      <w:bookmarkStart w:id="1057" w:name="_Toc2505"/>
      <w:bookmarkStart w:id="1058" w:name="_Toc17945"/>
      <w:bookmarkStart w:id="1059" w:name="_Toc27392"/>
      <w:bookmarkStart w:id="1060" w:name="_Toc2279"/>
      <w:bookmarkStart w:id="1061" w:name="_Toc26325"/>
      <w:bookmarkStart w:id="1062" w:name="_Toc3630"/>
      <w:bookmarkStart w:id="1063" w:name="_Toc485211096"/>
      <w:bookmarkStart w:id="1064" w:name="_Toc24828"/>
      <w:bookmarkStart w:id="1065" w:name="_Toc15820"/>
      <w:bookmarkStart w:id="1066" w:name="_Toc10045"/>
      <w:bookmarkStart w:id="1067" w:name="_Toc375931098"/>
      <w:bookmarkStart w:id="1068" w:name="_Toc30781"/>
      <w:r>
        <w:rPr>
          <w:rFonts w:hint="eastAsia" w:ascii="宋体" w:hAnsi="宋体" w:cs="宋体"/>
          <w:b/>
          <w:bCs/>
          <w:kern w:val="0"/>
          <w:sz w:val="28"/>
          <w:szCs w:val="28"/>
        </w:rPr>
        <w:t>2. 评审标准</w:t>
      </w:r>
      <w:bookmarkEnd w:id="1057"/>
      <w:bookmarkEnd w:id="1058"/>
      <w:bookmarkEnd w:id="1059"/>
      <w:bookmarkEnd w:id="1060"/>
      <w:bookmarkEnd w:id="1061"/>
      <w:bookmarkEnd w:id="1062"/>
      <w:bookmarkEnd w:id="1063"/>
      <w:bookmarkEnd w:id="1064"/>
      <w:bookmarkEnd w:id="1065"/>
      <w:bookmarkEnd w:id="1066"/>
      <w:bookmarkEnd w:id="1067"/>
      <w:bookmarkEnd w:id="1068"/>
    </w:p>
    <w:p>
      <w:pPr>
        <w:keepNext/>
        <w:keepLines/>
        <w:spacing w:before="100" w:after="100" w:line="360" w:lineRule="auto"/>
        <w:outlineLvl w:val="2"/>
        <w:rPr>
          <w:rFonts w:hint="eastAsia" w:ascii="宋体" w:hAnsi="宋体" w:cs="宋体"/>
          <w:b/>
          <w:bCs/>
          <w:kern w:val="0"/>
          <w:sz w:val="28"/>
          <w:szCs w:val="28"/>
        </w:rPr>
      </w:pPr>
      <w:bookmarkStart w:id="1069" w:name="_Toc485211097"/>
      <w:bookmarkStart w:id="1070" w:name="_Toc10650"/>
      <w:bookmarkStart w:id="1071" w:name="_Toc14343"/>
      <w:bookmarkStart w:id="1072" w:name="_Toc14365"/>
      <w:bookmarkStart w:id="1073" w:name="_Toc18499"/>
      <w:bookmarkStart w:id="1074" w:name="_Toc10135"/>
      <w:bookmarkStart w:id="1075" w:name="_Toc6033"/>
      <w:bookmarkStart w:id="1076" w:name="_Toc15352"/>
      <w:bookmarkStart w:id="1077" w:name="_Toc32413"/>
      <w:bookmarkStart w:id="1078" w:name="_Toc18599"/>
      <w:bookmarkStart w:id="1079" w:name="_Toc30598"/>
      <w:r>
        <w:rPr>
          <w:rFonts w:hint="eastAsia" w:ascii="宋体" w:hAnsi="宋体" w:cs="宋体"/>
          <w:b/>
          <w:bCs/>
          <w:kern w:val="0"/>
          <w:sz w:val="28"/>
          <w:szCs w:val="28"/>
        </w:rPr>
        <w:t>2.1 评审标准</w:t>
      </w:r>
      <w:bookmarkEnd w:id="1069"/>
      <w:bookmarkEnd w:id="1070"/>
      <w:bookmarkEnd w:id="1071"/>
      <w:bookmarkEnd w:id="1072"/>
      <w:bookmarkEnd w:id="1073"/>
      <w:bookmarkEnd w:id="1074"/>
      <w:bookmarkEnd w:id="1075"/>
      <w:bookmarkEnd w:id="1076"/>
      <w:bookmarkEnd w:id="1077"/>
      <w:bookmarkEnd w:id="1078"/>
      <w:bookmarkEnd w:id="1079"/>
    </w:p>
    <w:p>
      <w:pPr>
        <w:spacing w:line="360" w:lineRule="auto"/>
        <w:ind w:firstLine="480" w:firstLineChars="200"/>
        <w:rPr>
          <w:rFonts w:hint="eastAsia" w:ascii="宋体" w:hAnsi="宋体" w:cs="宋体"/>
          <w:sz w:val="24"/>
          <w:szCs w:val="24"/>
        </w:rPr>
      </w:pPr>
      <w:r>
        <w:rPr>
          <w:rFonts w:hint="eastAsia" w:ascii="宋体" w:hAnsi="宋体" w:cs="宋体"/>
          <w:sz w:val="24"/>
          <w:szCs w:val="24"/>
        </w:rPr>
        <w:t>2.1.1投标人资格审查标准：见评标办法前附表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2.1.2工程总承包实施方案（含资格审查文件）投标文件有效性审查标准：见评标办法前附表。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2.1.3设计投标文件有效性审查标准：见评标办法前附表。</w:t>
      </w:r>
    </w:p>
    <w:p>
      <w:pPr>
        <w:keepNext/>
        <w:keepLines/>
        <w:spacing w:before="100" w:after="100" w:line="360" w:lineRule="auto"/>
        <w:outlineLvl w:val="1"/>
        <w:rPr>
          <w:rFonts w:hint="eastAsia" w:ascii="宋体" w:hAnsi="宋体" w:cs="宋体"/>
          <w:b/>
          <w:bCs/>
          <w:kern w:val="0"/>
          <w:sz w:val="28"/>
          <w:szCs w:val="28"/>
        </w:rPr>
      </w:pPr>
      <w:bookmarkStart w:id="1080" w:name="_Toc26640"/>
      <w:bookmarkStart w:id="1081" w:name="_Toc4535"/>
      <w:bookmarkStart w:id="1082" w:name="_Toc375931099"/>
      <w:bookmarkStart w:id="1083" w:name="_Toc28694"/>
      <w:bookmarkStart w:id="1084" w:name="_Toc6743"/>
      <w:bookmarkStart w:id="1085" w:name="_Toc9293"/>
      <w:bookmarkStart w:id="1086" w:name="_Toc30826"/>
      <w:bookmarkStart w:id="1087" w:name="_Toc12185"/>
      <w:bookmarkStart w:id="1088" w:name="_Toc19008"/>
      <w:bookmarkStart w:id="1089" w:name="_Toc6828"/>
      <w:bookmarkStart w:id="1090" w:name="_Toc19115"/>
      <w:bookmarkStart w:id="1091" w:name="_Toc485211099"/>
      <w:r>
        <w:rPr>
          <w:rFonts w:hint="eastAsia" w:ascii="宋体" w:hAnsi="宋体" w:cs="宋体"/>
          <w:b/>
          <w:bCs/>
          <w:kern w:val="0"/>
          <w:sz w:val="28"/>
          <w:szCs w:val="28"/>
        </w:rPr>
        <w:t>3. 评标、定标程序</w:t>
      </w:r>
      <w:bookmarkEnd w:id="1080"/>
      <w:bookmarkEnd w:id="1081"/>
      <w:bookmarkEnd w:id="1082"/>
      <w:bookmarkEnd w:id="1083"/>
      <w:bookmarkEnd w:id="1084"/>
      <w:bookmarkEnd w:id="1085"/>
      <w:bookmarkEnd w:id="1086"/>
      <w:bookmarkEnd w:id="1087"/>
      <w:bookmarkEnd w:id="1088"/>
      <w:bookmarkEnd w:id="1089"/>
      <w:bookmarkEnd w:id="1090"/>
      <w:bookmarkEnd w:id="1091"/>
    </w:p>
    <w:p>
      <w:pPr>
        <w:keepNext/>
        <w:keepLines/>
        <w:spacing w:before="100" w:after="100" w:line="360" w:lineRule="auto"/>
        <w:outlineLvl w:val="2"/>
        <w:rPr>
          <w:rFonts w:hint="eastAsia" w:ascii="宋体" w:hAnsi="宋体" w:cs="宋体"/>
          <w:b/>
          <w:sz w:val="28"/>
          <w:szCs w:val="28"/>
        </w:rPr>
      </w:pPr>
      <w:bookmarkStart w:id="1092" w:name="_Toc16960"/>
      <w:bookmarkStart w:id="1093" w:name="_Toc20824"/>
      <w:bookmarkStart w:id="1094" w:name="_Toc13361"/>
      <w:bookmarkStart w:id="1095" w:name="_Toc485211100"/>
      <w:r>
        <w:rPr>
          <w:rFonts w:hint="eastAsia" w:ascii="宋体" w:hAnsi="宋体" w:cs="宋体"/>
          <w:b/>
          <w:kern w:val="0"/>
          <w:sz w:val="28"/>
          <w:szCs w:val="28"/>
        </w:rPr>
        <w:t>3.1</w:t>
      </w:r>
      <w:r>
        <w:rPr>
          <w:rFonts w:hint="eastAsia" w:ascii="宋体" w:hAnsi="宋体" w:cs="宋体"/>
          <w:b/>
          <w:sz w:val="28"/>
          <w:szCs w:val="28"/>
        </w:rPr>
        <w:t>资格审查及评标细则</w:t>
      </w:r>
      <w:bookmarkEnd w:id="1092"/>
      <w:bookmarkEnd w:id="1093"/>
      <w:bookmarkEnd w:id="1094"/>
    </w:p>
    <w:p>
      <w:pPr>
        <w:tabs>
          <w:tab w:val="left" w:pos="7380"/>
        </w:tabs>
        <w:spacing w:line="360" w:lineRule="auto"/>
        <w:ind w:firstLine="480" w:firstLineChars="200"/>
        <w:rPr>
          <w:rFonts w:hint="eastAsia" w:ascii="宋体" w:hAnsi="宋体" w:cs="宋体"/>
          <w:sz w:val="24"/>
          <w:szCs w:val="24"/>
        </w:rPr>
      </w:pPr>
      <w:r>
        <w:rPr>
          <w:rFonts w:hint="eastAsia" w:ascii="宋体" w:hAnsi="宋体" w:cs="宋体"/>
          <w:sz w:val="24"/>
          <w:szCs w:val="24"/>
        </w:rPr>
        <w:t>3.1.1资格审查及评标均由招标人依法组建的评标委员会负责。</w:t>
      </w:r>
    </w:p>
    <w:p>
      <w:pPr>
        <w:tabs>
          <w:tab w:val="left" w:pos="7380"/>
        </w:tabs>
        <w:spacing w:line="360" w:lineRule="auto"/>
        <w:ind w:firstLine="480" w:firstLineChars="200"/>
        <w:rPr>
          <w:rFonts w:hint="eastAsia" w:ascii="宋体" w:hAnsi="宋体" w:cs="宋体"/>
          <w:sz w:val="24"/>
          <w:szCs w:val="24"/>
        </w:rPr>
      </w:pPr>
      <w:r>
        <w:rPr>
          <w:rFonts w:hint="eastAsia" w:ascii="宋体" w:hAnsi="宋体" w:cs="宋体"/>
          <w:sz w:val="24"/>
          <w:szCs w:val="24"/>
        </w:rPr>
        <w:t>3.1.2评标委员会的组成：详见《投标人须知前附表》6.1.1。</w:t>
      </w:r>
    </w:p>
    <w:p>
      <w:pPr>
        <w:tabs>
          <w:tab w:val="left" w:pos="7380"/>
        </w:tabs>
        <w:spacing w:line="360" w:lineRule="auto"/>
        <w:ind w:firstLine="480" w:firstLineChars="200"/>
        <w:rPr>
          <w:rFonts w:hint="eastAsia" w:ascii="宋体" w:hAnsi="宋体" w:cs="宋体"/>
          <w:sz w:val="24"/>
          <w:szCs w:val="24"/>
        </w:rPr>
      </w:pPr>
      <w:r>
        <w:rPr>
          <w:rFonts w:hint="eastAsia" w:ascii="宋体" w:hAnsi="宋体" w:cs="宋体"/>
          <w:sz w:val="24"/>
          <w:szCs w:val="24"/>
        </w:rPr>
        <w:t>3.1.3资格审查流程</w:t>
      </w:r>
    </w:p>
    <w:p>
      <w:pPr>
        <w:tabs>
          <w:tab w:val="left" w:pos="7380"/>
        </w:tabs>
        <w:spacing w:line="360" w:lineRule="auto"/>
        <w:ind w:firstLine="480" w:firstLineChars="200"/>
        <w:rPr>
          <w:rFonts w:hint="eastAsia" w:ascii="宋体" w:hAnsi="宋体" w:cs="宋体"/>
          <w:sz w:val="24"/>
          <w:szCs w:val="24"/>
        </w:rPr>
      </w:pPr>
      <w:r>
        <w:rPr>
          <w:rFonts w:hint="eastAsia" w:ascii="宋体" w:hAnsi="宋体" w:cs="宋体"/>
          <w:sz w:val="24"/>
          <w:szCs w:val="24"/>
        </w:rPr>
        <w:t>3.1.3.1评标委员会按资格审查的标准对所有递交投标文件的投标人进行审查，如资格审查合格的投标人不足3名时，应重新招标。</w:t>
      </w:r>
    </w:p>
    <w:p>
      <w:pPr>
        <w:tabs>
          <w:tab w:val="left" w:pos="7380"/>
        </w:tabs>
        <w:spacing w:line="360" w:lineRule="auto"/>
        <w:ind w:firstLine="480" w:firstLineChars="200"/>
        <w:rPr>
          <w:rFonts w:hint="eastAsia" w:ascii="宋体" w:hAnsi="宋体" w:cs="宋体"/>
          <w:sz w:val="24"/>
          <w:szCs w:val="24"/>
        </w:rPr>
      </w:pPr>
      <w:r>
        <w:rPr>
          <w:rFonts w:hint="eastAsia" w:ascii="宋体" w:hAnsi="宋体" w:cs="宋体"/>
          <w:sz w:val="24"/>
          <w:szCs w:val="24"/>
        </w:rPr>
        <w:t>3.1.3.2如通过否决性条款审查的投标人少于3名时，应重新招标。</w:t>
      </w:r>
    </w:p>
    <w:p>
      <w:pPr>
        <w:tabs>
          <w:tab w:val="left" w:pos="7380"/>
        </w:tabs>
        <w:spacing w:line="360" w:lineRule="auto"/>
        <w:ind w:firstLine="480" w:firstLineChars="200"/>
        <w:rPr>
          <w:rFonts w:hint="eastAsia" w:ascii="宋体" w:hAnsi="宋体" w:cs="宋体"/>
          <w:sz w:val="24"/>
          <w:szCs w:val="24"/>
        </w:rPr>
      </w:pPr>
      <w:r>
        <w:rPr>
          <w:rFonts w:hint="eastAsia" w:ascii="宋体" w:hAnsi="宋体" w:cs="宋体"/>
          <w:sz w:val="24"/>
          <w:szCs w:val="24"/>
        </w:rPr>
        <w:t>3.1.4投标人资格审查</w:t>
      </w:r>
    </w:p>
    <w:p>
      <w:pPr>
        <w:tabs>
          <w:tab w:val="left" w:pos="7380"/>
        </w:tabs>
        <w:spacing w:line="360" w:lineRule="auto"/>
        <w:ind w:firstLine="480" w:firstLineChars="200"/>
        <w:rPr>
          <w:rFonts w:hint="eastAsia" w:ascii="宋体" w:hAnsi="宋体" w:cs="宋体"/>
          <w:sz w:val="24"/>
          <w:szCs w:val="24"/>
        </w:rPr>
      </w:pPr>
      <w:r>
        <w:rPr>
          <w:rFonts w:hint="eastAsia" w:ascii="宋体" w:hAnsi="宋体" w:cs="宋体"/>
          <w:sz w:val="24"/>
          <w:szCs w:val="24"/>
        </w:rPr>
        <w:t>3.1.4.1由评标委员会进行资格审查。资格审查文件全部符合本办法附表一《资格审查表》中情形的，为资格审查合格。否则为资格审查不合格，经评标委员会认定后，其资格审查文件将被拒绝。如评标委员会成员的评审意见不一致时，应先公开要求投标人进行澄清，并记录及由评标委员会、作出澄清的投标人签字确认，以评标委员会过半数成员的意见作为评标委员会对该情形的认定结论。</w:t>
      </w:r>
    </w:p>
    <w:p>
      <w:pPr>
        <w:tabs>
          <w:tab w:val="left" w:pos="7380"/>
        </w:tabs>
        <w:spacing w:line="360" w:lineRule="auto"/>
        <w:ind w:firstLine="480" w:firstLineChars="200"/>
        <w:rPr>
          <w:rFonts w:hint="eastAsia" w:ascii="宋体" w:hAnsi="宋体" w:cs="宋体"/>
          <w:sz w:val="24"/>
          <w:szCs w:val="24"/>
        </w:rPr>
      </w:pPr>
      <w:r>
        <w:rPr>
          <w:rFonts w:hint="eastAsia" w:ascii="宋体" w:hAnsi="宋体" w:cs="宋体"/>
          <w:sz w:val="24"/>
          <w:szCs w:val="24"/>
        </w:rPr>
        <w:t>3.1.4.2汇总资格审查情况，编写资格审查报告。</w:t>
      </w:r>
    </w:p>
    <w:p>
      <w:pPr>
        <w:tabs>
          <w:tab w:val="left" w:pos="7380"/>
        </w:tabs>
        <w:spacing w:line="360" w:lineRule="auto"/>
        <w:ind w:firstLine="480" w:firstLineChars="200"/>
        <w:rPr>
          <w:rFonts w:hint="eastAsia" w:ascii="宋体" w:hAnsi="宋体" w:cs="宋体"/>
          <w:sz w:val="24"/>
          <w:szCs w:val="24"/>
        </w:rPr>
      </w:pPr>
      <w:r>
        <w:rPr>
          <w:rFonts w:hint="eastAsia" w:ascii="宋体" w:hAnsi="宋体" w:cs="宋体"/>
          <w:sz w:val="24"/>
          <w:szCs w:val="24"/>
        </w:rPr>
        <w:t>3.1.5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pPr>
        <w:tabs>
          <w:tab w:val="left" w:pos="7380"/>
        </w:tabs>
        <w:spacing w:line="360" w:lineRule="auto"/>
        <w:ind w:firstLine="480" w:firstLineChars="200"/>
        <w:rPr>
          <w:rFonts w:hint="eastAsia" w:ascii="宋体" w:hAnsi="宋体" w:cs="宋体"/>
          <w:sz w:val="24"/>
          <w:szCs w:val="24"/>
        </w:rPr>
      </w:pPr>
      <w:r>
        <w:rPr>
          <w:rFonts w:hint="eastAsia" w:ascii="宋体" w:hAnsi="宋体" w:cs="宋体"/>
          <w:sz w:val="24"/>
          <w:szCs w:val="24"/>
        </w:rPr>
        <w:t>特别声明：资审合格后，投标人的资格发生变化而不满足投标人合格条件，在发出中标通知书前，资格问题仍未解决的，招标人将取消其中标资格。</w:t>
      </w:r>
      <w:bookmarkStart w:id="1096" w:name="_Toc9052"/>
      <w:bookmarkStart w:id="1097" w:name="_Toc10376"/>
      <w:bookmarkStart w:id="1098" w:name="_Toc28366"/>
      <w:bookmarkStart w:id="1099" w:name="_Toc19231"/>
      <w:bookmarkStart w:id="1100" w:name="_Toc10869"/>
      <w:bookmarkStart w:id="1101" w:name="_Toc22905"/>
      <w:bookmarkStart w:id="1102" w:name="_Toc25987"/>
    </w:p>
    <w:bookmarkEnd w:id="1095"/>
    <w:bookmarkEnd w:id="1096"/>
    <w:bookmarkEnd w:id="1097"/>
    <w:bookmarkEnd w:id="1098"/>
    <w:bookmarkEnd w:id="1099"/>
    <w:bookmarkEnd w:id="1100"/>
    <w:bookmarkEnd w:id="1101"/>
    <w:bookmarkEnd w:id="1102"/>
    <w:p>
      <w:pPr>
        <w:spacing w:line="360" w:lineRule="auto"/>
        <w:ind w:firstLine="523" w:firstLineChars="218"/>
        <w:rPr>
          <w:rFonts w:hint="eastAsia" w:ascii="宋体" w:hAnsi="宋体" w:cs="宋体"/>
          <w:sz w:val="24"/>
          <w:szCs w:val="24"/>
          <w:u w:val="single"/>
        </w:rPr>
      </w:pPr>
    </w:p>
    <w:p>
      <w:pPr>
        <w:keepNext/>
        <w:keepLines/>
        <w:spacing w:before="100" w:after="100" w:line="360" w:lineRule="auto"/>
        <w:outlineLvl w:val="2"/>
        <w:rPr>
          <w:rFonts w:hint="eastAsia" w:ascii="宋体" w:hAnsi="宋体" w:cs="宋体"/>
          <w:b/>
          <w:sz w:val="28"/>
          <w:szCs w:val="28"/>
        </w:rPr>
      </w:pPr>
      <w:bookmarkStart w:id="1103" w:name="_Toc4194"/>
      <w:bookmarkStart w:id="1104" w:name="_Toc21684"/>
      <w:bookmarkStart w:id="1105" w:name="_Toc4047"/>
      <w:bookmarkStart w:id="1106" w:name="_Toc13247"/>
      <w:bookmarkStart w:id="1107" w:name="_Toc31681"/>
      <w:bookmarkStart w:id="1108" w:name="_Toc11927"/>
      <w:bookmarkStart w:id="1109" w:name="_Toc8655"/>
      <w:bookmarkStart w:id="1110" w:name="_Toc6010"/>
      <w:bookmarkStart w:id="1111" w:name="_Toc3190"/>
      <w:bookmarkStart w:id="1112" w:name="_Toc2634"/>
      <w:bookmarkStart w:id="1113" w:name="_Toc485211101"/>
      <w:r>
        <w:rPr>
          <w:rFonts w:hint="eastAsia" w:ascii="宋体" w:hAnsi="宋体" w:cs="宋体"/>
          <w:b/>
          <w:sz w:val="28"/>
          <w:szCs w:val="28"/>
        </w:rPr>
        <w:t>3.2工程总承包实施方案（含资格审查文件）投标文件评审</w:t>
      </w:r>
      <w:bookmarkEnd w:id="1103"/>
      <w:bookmarkEnd w:id="1104"/>
      <w:bookmarkEnd w:id="1105"/>
      <w:bookmarkEnd w:id="1106"/>
      <w:bookmarkEnd w:id="1107"/>
      <w:bookmarkEnd w:id="1108"/>
      <w:bookmarkEnd w:id="1109"/>
      <w:bookmarkEnd w:id="1110"/>
      <w:bookmarkEnd w:id="1111"/>
      <w:bookmarkEnd w:id="1112"/>
      <w:bookmarkEnd w:id="1113"/>
    </w:p>
    <w:p>
      <w:pPr>
        <w:spacing w:line="360" w:lineRule="auto"/>
        <w:ind w:firstLine="480" w:firstLineChars="200"/>
        <w:rPr>
          <w:rFonts w:hint="eastAsia" w:ascii="宋体" w:hAnsi="宋体" w:cs="宋体"/>
          <w:sz w:val="24"/>
          <w:szCs w:val="24"/>
        </w:rPr>
      </w:pPr>
      <w:r>
        <w:rPr>
          <w:rFonts w:hint="eastAsia" w:ascii="宋体" w:hAnsi="宋体" w:cs="宋体"/>
          <w:sz w:val="24"/>
          <w:szCs w:val="24"/>
        </w:rPr>
        <w:t>工程总承包实施方案（含资格审查文件）投标文件的有效性审查：投标文件中分别没有任一种列于</w:t>
      </w:r>
      <w:r>
        <w:rPr>
          <w:rFonts w:hint="eastAsia" w:ascii="宋体" w:hAnsi="宋体" w:cs="宋体"/>
          <w:sz w:val="24"/>
          <w:szCs w:val="24"/>
          <w:u w:val="single"/>
        </w:rPr>
        <w:t>本办法附表二《工程总承包实施方案（含资格审查文件）投标文件有效性审查表》</w:t>
      </w:r>
      <w:r>
        <w:rPr>
          <w:rFonts w:hint="eastAsia" w:ascii="宋体" w:hAnsi="宋体" w:cs="宋体"/>
          <w:sz w:val="24"/>
          <w:szCs w:val="24"/>
        </w:rPr>
        <w:t>中情形的，为有效标书。否则为无效标书，经评标委员会认定后，其投标文件将被拒绝。如评标委员会成员的评审意见不一致时，以评标委员会过半数成员的意见作为评标委员会对该情形的认定结论。未通过有效性审查的，不得进入下一阶段评审。</w:t>
      </w:r>
    </w:p>
    <w:p>
      <w:pPr>
        <w:pStyle w:val="24"/>
        <w:rPr>
          <w:rFonts w:hint="eastAsia"/>
        </w:rPr>
      </w:pPr>
    </w:p>
    <w:p>
      <w:pPr>
        <w:keepNext/>
        <w:keepLines/>
        <w:spacing w:before="100" w:after="100" w:line="360" w:lineRule="auto"/>
        <w:outlineLvl w:val="2"/>
        <w:rPr>
          <w:rFonts w:hint="eastAsia" w:ascii="宋体" w:hAnsi="宋体" w:cs="宋体"/>
          <w:b/>
          <w:sz w:val="28"/>
          <w:szCs w:val="28"/>
        </w:rPr>
      </w:pPr>
      <w:bookmarkStart w:id="1114" w:name="_Toc1190"/>
      <w:bookmarkStart w:id="1115" w:name="_Toc654"/>
      <w:bookmarkStart w:id="1116" w:name="_Toc20978"/>
      <w:bookmarkStart w:id="1117" w:name="_Toc20907"/>
      <w:bookmarkStart w:id="1118" w:name="_Toc17769"/>
      <w:bookmarkStart w:id="1119" w:name="_Toc20136"/>
      <w:bookmarkStart w:id="1120" w:name="_Toc20026"/>
      <w:bookmarkStart w:id="1121" w:name="_Toc13879"/>
      <w:bookmarkStart w:id="1122" w:name="_Toc4002"/>
      <w:bookmarkStart w:id="1123" w:name="_Toc31665"/>
      <w:bookmarkStart w:id="1124" w:name="_Toc485211103"/>
      <w:r>
        <w:rPr>
          <w:rFonts w:hint="eastAsia" w:ascii="宋体" w:hAnsi="宋体" w:cs="宋体"/>
          <w:b/>
          <w:sz w:val="28"/>
          <w:szCs w:val="28"/>
        </w:rPr>
        <w:t>3.3设计投标文件评审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3.3.1</w:t>
      </w:r>
      <w:r>
        <w:rPr>
          <w:rFonts w:hint="eastAsia"/>
          <w:sz w:val="24"/>
          <w:szCs w:val="28"/>
        </w:rPr>
        <w:t>设计投标文件有效性评审：</w:t>
      </w:r>
      <w:r>
        <w:rPr>
          <w:rFonts w:hint="eastAsia" w:ascii="宋体" w:hAnsi="宋体" w:cs="宋体"/>
          <w:sz w:val="24"/>
          <w:szCs w:val="24"/>
        </w:rPr>
        <w:t>投标文件中分别没有任一种列于</w:t>
      </w:r>
      <w:r>
        <w:rPr>
          <w:rFonts w:hint="eastAsia" w:ascii="宋体" w:hAnsi="宋体" w:cs="宋体"/>
          <w:sz w:val="24"/>
          <w:szCs w:val="24"/>
          <w:u w:val="single"/>
        </w:rPr>
        <w:t>本办法附表三《设计投标文件有效性审查表》</w:t>
      </w:r>
      <w:r>
        <w:rPr>
          <w:rFonts w:hint="eastAsia" w:ascii="宋体" w:hAnsi="宋体" w:cs="宋体"/>
          <w:sz w:val="24"/>
          <w:szCs w:val="24"/>
        </w:rPr>
        <w:t>中情形的，为有效标书。否则为无效标书，经评标委员会认定后，其投标文件将被拒绝。如评标委员会成员的评审意见不一致时，以评标委员会过半数成员的意见作为评标委员会对该情形的认定结论。未通过有效性审查的，不得进入下一阶段评审。</w:t>
      </w:r>
    </w:p>
    <w:p>
      <w:pPr>
        <w:spacing w:line="360" w:lineRule="auto"/>
        <w:ind w:firstLine="480" w:firstLineChars="200"/>
        <w:rPr>
          <w:rFonts w:hint="eastAsia" w:cs="宋体"/>
          <w:sz w:val="24"/>
          <w:szCs w:val="24"/>
          <w:u w:val="single"/>
        </w:rPr>
      </w:pPr>
    </w:p>
    <w:p>
      <w:pPr>
        <w:keepNext/>
        <w:keepLines/>
        <w:spacing w:before="100" w:after="100" w:line="360" w:lineRule="auto"/>
        <w:outlineLvl w:val="2"/>
        <w:rPr>
          <w:rFonts w:hint="eastAsia" w:ascii="宋体" w:hAnsi="宋体" w:cs="宋体"/>
          <w:b/>
          <w:sz w:val="28"/>
          <w:szCs w:val="28"/>
        </w:rPr>
      </w:pPr>
      <w:r>
        <w:rPr>
          <w:rFonts w:hint="eastAsia" w:ascii="宋体" w:hAnsi="宋体" w:cs="宋体"/>
          <w:b/>
          <w:sz w:val="28"/>
          <w:szCs w:val="28"/>
        </w:rPr>
        <w:t>3.4评审汇总</w:t>
      </w:r>
      <w:bookmarkEnd w:id="1114"/>
      <w:bookmarkEnd w:id="1115"/>
      <w:bookmarkEnd w:id="1116"/>
      <w:bookmarkEnd w:id="1117"/>
      <w:bookmarkEnd w:id="1118"/>
      <w:bookmarkEnd w:id="1119"/>
      <w:bookmarkEnd w:id="1120"/>
      <w:bookmarkEnd w:id="1121"/>
      <w:bookmarkEnd w:id="1122"/>
      <w:bookmarkEnd w:id="1123"/>
      <w:bookmarkEnd w:id="1124"/>
    </w:p>
    <w:p>
      <w:pPr>
        <w:spacing w:line="360" w:lineRule="auto"/>
        <w:ind w:firstLine="480" w:firstLineChars="200"/>
        <w:rPr>
          <w:rFonts w:hint="eastAsia" w:ascii="宋体" w:hAnsi="宋体" w:cs="宋体"/>
          <w:sz w:val="24"/>
          <w:szCs w:val="24"/>
        </w:rPr>
      </w:pPr>
      <w:r>
        <w:rPr>
          <w:rFonts w:hint="eastAsia" w:ascii="宋体" w:hAnsi="宋体" w:cs="宋体"/>
          <w:sz w:val="24"/>
          <w:szCs w:val="24"/>
        </w:rPr>
        <w:t>3.4.1 评标委员会评出合格的投标人全部进入定标阶段；</w:t>
      </w:r>
      <w:r>
        <w:rPr>
          <w:rFonts w:hint="eastAsia" w:ascii="宋体" w:hAnsi="宋体" w:cs="宋体"/>
          <w:b/>
          <w:bCs/>
          <w:sz w:val="24"/>
          <w:szCs w:val="24"/>
        </w:rPr>
        <w:t>按统一信用代码后四位大小排位（联合体参与的，以联合体</w:t>
      </w:r>
      <w:r>
        <w:rPr>
          <w:rFonts w:hint="eastAsia" w:ascii="宋体" w:hAnsi="宋体" w:cs="宋体"/>
          <w:b/>
          <w:bCs/>
          <w:sz w:val="24"/>
          <w:szCs w:val="24"/>
          <w:lang w:val="en-US" w:eastAsia="zh-CN"/>
        </w:rPr>
        <w:t>主办</w:t>
      </w:r>
      <w:r>
        <w:rPr>
          <w:rFonts w:hint="eastAsia" w:ascii="宋体" w:hAnsi="宋体" w:cs="宋体"/>
          <w:b/>
          <w:bCs/>
          <w:sz w:val="24"/>
          <w:szCs w:val="24"/>
        </w:rPr>
        <w:t>单位的代码为准）</w:t>
      </w:r>
      <w:r>
        <w:rPr>
          <w:rFonts w:hint="eastAsia" w:ascii="宋体" w:hAnsi="宋体" w:cs="宋体"/>
          <w:sz w:val="24"/>
          <w:szCs w:val="24"/>
        </w:rPr>
        <w:t>向招标人推荐合格的中标候选人，并递交资格审查报告及评标报告。</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3.4.2 有效投标单位不足三家，应当依法重新招标。</w:t>
      </w:r>
    </w:p>
    <w:p>
      <w:pPr>
        <w:spacing w:line="360" w:lineRule="auto"/>
        <w:ind w:firstLine="480" w:firstLineChars="200"/>
        <w:rPr>
          <w:rFonts w:hint="eastAsia" w:ascii="宋体" w:hAnsi="宋体" w:cs="宋体"/>
          <w:sz w:val="24"/>
          <w:szCs w:val="24"/>
        </w:rPr>
      </w:pPr>
    </w:p>
    <w:p>
      <w:pPr>
        <w:keepNext/>
        <w:keepLines/>
        <w:spacing w:before="100" w:after="100" w:line="360" w:lineRule="auto"/>
        <w:outlineLvl w:val="2"/>
        <w:rPr>
          <w:rFonts w:hint="eastAsia" w:ascii="宋体" w:hAnsi="宋体" w:cs="宋体"/>
          <w:b/>
          <w:sz w:val="28"/>
          <w:szCs w:val="28"/>
        </w:rPr>
      </w:pPr>
      <w:bookmarkStart w:id="1125" w:name="_Toc623"/>
      <w:bookmarkStart w:id="1126" w:name="_Toc7763"/>
      <w:bookmarkStart w:id="1127" w:name="_Toc11316"/>
      <w:bookmarkStart w:id="1128" w:name="_Toc14447"/>
      <w:bookmarkStart w:id="1129" w:name="_Toc22114"/>
      <w:bookmarkStart w:id="1130" w:name="_Toc31339"/>
      <w:bookmarkStart w:id="1131" w:name="_Toc30922"/>
      <w:bookmarkStart w:id="1132" w:name="_Toc32165"/>
      <w:bookmarkStart w:id="1133" w:name="_Toc12458"/>
      <w:bookmarkStart w:id="1134" w:name="_Toc19366"/>
      <w:bookmarkStart w:id="1135" w:name="_Toc485211104"/>
      <w:r>
        <w:rPr>
          <w:rFonts w:hint="eastAsia" w:ascii="宋体" w:hAnsi="宋体" w:cs="宋体"/>
          <w:b/>
          <w:sz w:val="28"/>
          <w:szCs w:val="28"/>
        </w:rPr>
        <w:t>3.5投标文件的澄清和补正</w:t>
      </w:r>
      <w:bookmarkEnd w:id="1125"/>
      <w:bookmarkEnd w:id="1126"/>
      <w:bookmarkEnd w:id="1127"/>
      <w:bookmarkEnd w:id="1128"/>
      <w:bookmarkEnd w:id="1129"/>
      <w:bookmarkEnd w:id="1130"/>
      <w:bookmarkEnd w:id="1131"/>
      <w:bookmarkEnd w:id="1132"/>
      <w:bookmarkEnd w:id="1133"/>
      <w:bookmarkEnd w:id="1134"/>
      <w:bookmarkEnd w:id="1135"/>
    </w:p>
    <w:p>
      <w:pPr>
        <w:spacing w:line="360" w:lineRule="auto"/>
        <w:ind w:firstLine="480" w:firstLineChars="200"/>
        <w:rPr>
          <w:rFonts w:hint="eastAsia" w:ascii="宋体" w:hAnsi="宋体" w:cs="宋体"/>
          <w:sz w:val="24"/>
          <w:szCs w:val="24"/>
        </w:rPr>
      </w:pPr>
      <w:r>
        <w:rPr>
          <w:rFonts w:hint="eastAsia" w:ascii="宋体" w:hAnsi="宋体" w:cs="宋体"/>
          <w:sz w:val="24"/>
          <w:szCs w:val="24"/>
        </w:rPr>
        <w:t>3.5.1 为有助于投标文件的审查、评价和比较，评标期间，经评标委员会中超过2人（含2人）的成员以书面形式提出动议，评标委员会应当书面发出澄清通知，要求投标人对投标文件含义不明确的内容作出澄清。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3.5.2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如果分项报价累加不等总价的，以分项报价累加为准，修正总价；投标文件存在其他计算性错误的，按就低不就高计算并修正；若修正后的投标报价超过最高投标限价的，作否决投标处理；按上述修正错误的原则及方法调整或修正投标文件的投标报价，调整后的投标报价对投标人起约束作用。如果投标人不接受修正后的报价，则取消其投标资格或中标资格。</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3.5.3 评标委员会成员均应当阅读投标人的澄清，但应独立参考澄清对投标文件进行评审。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3.5.4 如果投标文件实质上不响应招标文件的各项要求，评标委员会相应评审将按照有效性审查标准予以拒绝，不接受投标人通过修改或撤销其不符合要求的差异或保留，使之成为具有响应性的投标。</w:t>
      </w:r>
    </w:p>
    <w:p>
      <w:pPr>
        <w:spacing w:line="360" w:lineRule="auto"/>
        <w:ind w:firstLine="482" w:firstLineChars="200"/>
        <w:rPr>
          <w:rFonts w:hint="eastAsia" w:ascii="宋体" w:hAnsi="宋体" w:cs="宋体"/>
          <w:b/>
          <w:bCs/>
          <w:sz w:val="24"/>
          <w:szCs w:val="24"/>
          <w:u w:val="single"/>
        </w:rPr>
      </w:pPr>
      <w:r>
        <w:rPr>
          <w:rFonts w:hint="eastAsia" w:ascii="宋体" w:hAnsi="宋体" w:cs="宋体"/>
          <w:b/>
          <w:bCs/>
          <w:sz w:val="24"/>
          <w:szCs w:val="24"/>
          <w:u w:val="single"/>
        </w:rPr>
        <w:t>注：①评委发现投标文件中含义不明确、对同类问题表述不一致、有明显文字和计算错误、投标报价可能低于成本影响履约的，应当要求投标人作必要的澄清、说明后再判定投标人是否通过初步评审，不得认定其不通过初步评审或直接否决投标。</w:t>
      </w:r>
    </w:p>
    <w:p>
      <w:pPr>
        <w:spacing w:line="360" w:lineRule="auto"/>
        <w:ind w:firstLine="482" w:firstLineChars="200"/>
        <w:rPr>
          <w:rFonts w:hint="eastAsia" w:ascii="宋体" w:hAnsi="宋体"/>
          <w:b/>
          <w:bCs/>
          <w:sz w:val="24"/>
          <w:u w:val="single"/>
        </w:rPr>
      </w:pPr>
      <w:r>
        <w:rPr>
          <w:rFonts w:hint="eastAsia" w:ascii="宋体" w:hAnsi="宋体" w:cs="宋体"/>
          <w:b/>
          <w:bCs/>
          <w:sz w:val="24"/>
          <w:szCs w:val="24"/>
          <w:u w:val="single"/>
        </w:rPr>
        <w:t>②不得将文件顺序、明显的文字错误等列为否决投标的情形。若出现评标委员会否决投标的，应在评标报告中载明否决投标的具体情形、原因。</w:t>
      </w:r>
    </w:p>
    <w:p>
      <w:pPr>
        <w:spacing w:line="360" w:lineRule="auto"/>
        <w:ind w:firstLine="480" w:firstLineChars="200"/>
        <w:rPr>
          <w:rFonts w:hint="eastAsia" w:ascii="宋体" w:hAnsi="宋体" w:cs="宋体"/>
          <w:sz w:val="24"/>
          <w:szCs w:val="24"/>
        </w:rPr>
      </w:pPr>
    </w:p>
    <w:p>
      <w:pPr>
        <w:keepNext/>
        <w:keepLines/>
        <w:spacing w:before="100" w:after="100" w:line="360" w:lineRule="auto"/>
        <w:outlineLvl w:val="2"/>
        <w:rPr>
          <w:rFonts w:hint="eastAsia" w:ascii="宋体" w:hAnsi="宋体" w:cs="宋体"/>
          <w:b/>
          <w:sz w:val="28"/>
          <w:szCs w:val="28"/>
        </w:rPr>
      </w:pPr>
      <w:bookmarkStart w:id="1136" w:name="_Toc29583"/>
      <w:bookmarkStart w:id="1137" w:name="_Toc23075"/>
      <w:bookmarkStart w:id="1138" w:name="_Toc13871"/>
      <w:bookmarkStart w:id="1139" w:name="_Toc32271"/>
      <w:bookmarkStart w:id="1140" w:name="_Toc29079"/>
      <w:bookmarkStart w:id="1141" w:name="_Toc26472"/>
      <w:bookmarkStart w:id="1142" w:name="_Toc485211105"/>
      <w:bookmarkStart w:id="1143" w:name="_Toc18654"/>
      <w:bookmarkStart w:id="1144" w:name="_Toc10695"/>
      <w:bookmarkStart w:id="1145" w:name="_Toc15560"/>
      <w:bookmarkStart w:id="1146" w:name="_Toc19376"/>
      <w:r>
        <w:rPr>
          <w:rFonts w:hint="eastAsia" w:ascii="宋体" w:hAnsi="宋体" w:cs="宋体"/>
          <w:b/>
          <w:sz w:val="28"/>
          <w:szCs w:val="28"/>
        </w:rPr>
        <w:t>3.</w:t>
      </w:r>
      <w:bookmarkEnd w:id="1136"/>
      <w:bookmarkEnd w:id="1137"/>
      <w:bookmarkEnd w:id="1138"/>
      <w:bookmarkEnd w:id="1139"/>
      <w:bookmarkEnd w:id="1140"/>
      <w:bookmarkEnd w:id="1141"/>
      <w:bookmarkEnd w:id="1142"/>
      <w:bookmarkEnd w:id="1143"/>
      <w:r>
        <w:rPr>
          <w:rFonts w:hint="eastAsia" w:ascii="宋体" w:hAnsi="宋体" w:cs="宋体"/>
          <w:b/>
          <w:sz w:val="28"/>
          <w:szCs w:val="28"/>
        </w:rPr>
        <w:t>6定标</w:t>
      </w:r>
      <w:bookmarkEnd w:id="1144"/>
      <w:bookmarkEnd w:id="1145"/>
      <w:bookmarkEnd w:id="1146"/>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3.6.1中标候选人公示结束后，招标人按以下规定组建定标委员会，在评标委员会推荐的合格中标候选人确定中标人：</w:t>
      </w:r>
    </w:p>
    <w:p>
      <w:pPr>
        <w:numPr>
          <w:ilvl w:val="0"/>
          <w:numId w:val="2"/>
        </w:num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定标由招标人依法组建的定标委员会负责，成员数量为5人，定标委员会成员不得参与定标前期准备工作。</w:t>
      </w:r>
    </w:p>
    <w:p>
      <w:pPr>
        <w:pStyle w:val="5"/>
        <w:ind w:firstLine="480" w:firstLineChars="200"/>
        <w:rPr>
          <w:rFonts w:hint="eastAsia"/>
        </w:rPr>
      </w:pPr>
      <w:r>
        <w:rPr>
          <w:rFonts w:hint="eastAsia" w:ascii="宋体" w:hAnsi="宋体" w:cs="宋体"/>
          <w:sz w:val="24"/>
          <w:szCs w:val="24"/>
        </w:rPr>
        <w:t>（2）</w:t>
      </w:r>
      <w:r>
        <w:rPr>
          <w:rFonts w:hint="eastAsia" w:ascii="宋体" w:hAnsi="宋体" w:cs="宋体"/>
          <w:sz w:val="24"/>
          <w:szCs w:val="24"/>
          <w:u w:val="single"/>
        </w:rPr>
        <w:t>招标人</w:t>
      </w:r>
      <w:r>
        <w:rPr>
          <w:rFonts w:hint="eastAsia" w:ascii="宋体" w:hAnsi="宋体" w:cs="宋体"/>
          <w:sz w:val="24"/>
          <w:szCs w:val="24"/>
          <w:u w:val="single"/>
          <w:lang w:val="en-US" w:eastAsia="zh-CN"/>
        </w:rPr>
        <w:t>可</w:t>
      </w:r>
      <w:r>
        <w:rPr>
          <w:rFonts w:hint="eastAsia" w:ascii="宋体" w:hAnsi="宋体" w:cs="宋体"/>
          <w:sz w:val="24"/>
          <w:szCs w:val="24"/>
          <w:u w:val="single"/>
        </w:rPr>
        <w:t>组建监督小组对定标过程进行见证监督。</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3.6.2 定标时间和地点：</w:t>
      </w:r>
    </w:p>
    <w:p>
      <w:pPr>
        <w:spacing w:line="360" w:lineRule="auto"/>
        <w:ind w:firstLine="480" w:firstLineChars="200"/>
        <w:rPr>
          <w:rFonts w:hint="eastAsia" w:ascii="宋体" w:hAnsi="宋体"/>
          <w:sz w:val="24"/>
          <w:szCs w:val="24"/>
          <w:u w:val="single"/>
        </w:rPr>
      </w:pPr>
      <w:r>
        <w:rPr>
          <w:rFonts w:hint="eastAsia" w:ascii="宋体" w:hAnsi="宋体"/>
          <w:sz w:val="24"/>
          <w:szCs w:val="24"/>
          <w:u w:val="single"/>
        </w:rPr>
        <w:t>招标人在合格的中标候选人公示结束后10个工作日内在广州交易集团有限公司（广州公共资源交易中心）举行定标会议，招标人按规定程序在投标人须知的时间和地点完成定标工作。</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3.6.3定标规则</w:t>
      </w:r>
    </w:p>
    <w:p>
      <w:pPr>
        <w:spacing w:line="360" w:lineRule="auto"/>
        <w:ind w:firstLine="480" w:firstLineChars="200"/>
        <w:rPr>
          <w:rFonts w:hint="eastAsia" w:ascii="宋体" w:hAnsi="宋体"/>
          <w:sz w:val="24"/>
          <w:szCs w:val="24"/>
          <w:u w:val="single"/>
        </w:rPr>
      </w:pPr>
      <w:r>
        <w:rPr>
          <w:rFonts w:hint="eastAsia" w:ascii="宋体" w:hAnsi="宋体"/>
          <w:sz w:val="24"/>
          <w:szCs w:val="24"/>
          <w:u w:val="single"/>
        </w:rPr>
        <w:t>本项目采用“记名投票+撰写评语”定标方法,定标方法如下：</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3.6.4</w:t>
      </w:r>
      <w:r>
        <w:rPr>
          <w:rFonts w:hint="eastAsia" w:ascii="宋体" w:hAnsi="宋体"/>
          <w:sz w:val="24"/>
          <w:szCs w:val="24"/>
          <w:u w:val="single"/>
        </w:rPr>
        <w:t>定标程序</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3.6.4.1定标工作开始后，发放选票，由定标委员会参考定标因素进行记名投票，定标委员会应推荐一人为定标委员会组长，主持当次定标会议。</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3.6.4.2定标辅助资料为评标阶段的评标报告、投标人提交的投标文件。</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3.6.4.3定标委员会根据定标辅助资料，在同等条件下，定标因素的相对标准按以下几个方面进行：</w:t>
      </w:r>
    </w:p>
    <w:p>
      <w:pPr>
        <w:pStyle w:val="5"/>
        <w:spacing w:after="0" w:line="360" w:lineRule="auto"/>
        <w:ind w:firstLine="480" w:firstLineChars="200"/>
        <w:rPr>
          <w:rFonts w:ascii="宋体" w:hAnsi="宋体" w:cs="宋体"/>
          <w:sz w:val="24"/>
          <w:szCs w:val="24"/>
          <w:u w:val="single"/>
        </w:rPr>
      </w:pPr>
      <w:r>
        <w:rPr>
          <w:rFonts w:hint="eastAsia" w:ascii="宋体" w:hAnsi="宋体" w:cs="宋体"/>
          <w:sz w:val="24"/>
          <w:szCs w:val="24"/>
          <w:u w:val="single"/>
        </w:rPr>
        <w:t>（1）施工管理团队、设计团队；</w:t>
      </w:r>
    </w:p>
    <w:p>
      <w:pPr>
        <w:pStyle w:val="5"/>
        <w:spacing w:after="0"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（2）设计方案；</w:t>
      </w:r>
    </w:p>
    <w:p>
      <w:pPr>
        <w:pStyle w:val="5"/>
        <w:spacing w:after="0" w:line="360" w:lineRule="auto"/>
        <w:ind w:firstLine="480" w:firstLineChars="200"/>
        <w:rPr>
          <w:rFonts w:ascii="宋体" w:hAnsi="宋体" w:cs="宋体"/>
          <w:sz w:val="24"/>
          <w:szCs w:val="24"/>
          <w:u w:val="single"/>
        </w:rPr>
      </w:pPr>
      <w:r>
        <w:rPr>
          <w:rFonts w:hint="eastAsia" w:ascii="宋体" w:hAnsi="宋体" w:cs="宋体"/>
          <w:sz w:val="24"/>
          <w:szCs w:val="24"/>
          <w:u w:val="single"/>
        </w:rPr>
        <w:t>（3）施工方案；</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（4）投标报价；</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（5）企业资信；</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3.6.4.4投票规则：定标委员会根据定标因素对各投标人进行综合比较后，进行一次性票决，每位定标委员会成员只有1票表决权（即只能对其中一家投标人投票），得票数最多的投标人为中标人；若出现票数相同且无法决出中标人时，票数相同的再进行一次性票决；若再次票决出现票数相同且无法决出中标人时，以投标总报价低者为中标人。</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3.6.4.5定标委员会中的各定标委员应独立投票，可以弃权，当弃权票数达到定标委员会人数50%或以上时，本次定标会无效，招标人重新组建定标委员会或重新招标。</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3.6.5定标委员会根据选票情况确定中标人。</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3.6.6编写定标报告，定标委员会全体确认后签署定标报告。</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3.6.7因异议或投诉生效，需要重新评标或定标的，评标、定标信息（含业绩、奖项等）仍以投标截止时投标人的信息为准。</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3.6.8定标后出现中标人不符合法定情形的，招标人有权从其他已进入定标阶段的合格中标候选人中采用原定标办法，由原定标委员会确定中标人，招标人也有权重新招标。</w:t>
      </w:r>
    </w:p>
    <w:p>
      <w:pPr>
        <w:spacing w:line="360" w:lineRule="auto"/>
        <w:ind w:firstLine="480" w:firstLineChars="200"/>
        <w:rPr>
          <w:rFonts w:hint="eastAsia" w:ascii="宋体" w:hAnsi="宋体" w:cs="宋体"/>
          <w:sz w:val="24"/>
          <w:szCs w:val="24"/>
        </w:rPr>
      </w:pPr>
    </w:p>
    <w:p>
      <w:pPr>
        <w:keepNext/>
        <w:keepLines/>
        <w:spacing w:before="100" w:after="100" w:line="360" w:lineRule="auto"/>
        <w:outlineLvl w:val="1"/>
        <w:rPr>
          <w:rFonts w:hint="eastAsia" w:ascii="宋体" w:hAnsi="宋体" w:cs="宋体"/>
          <w:b/>
          <w:bCs/>
          <w:kern w:val="0"/>
          <w:sz w:val="28"/>
          <w:szCs w:val="28"/>
        </w:rPr>
      </w:pPr>
      <w:bookmarkStart w:id="1147" w:name="_Toc14911"/>
      <w:bookmarkStart w:id="1148" w:name="_Toc26861"/>
      <w:bookmarkStart w:id="1149" w:name="_Toc26117"/>
      <w:bookmarkStart w:id="1150" w:name="_Toc29753"/>
      <w:bookmarkStart w:id="1151" w:name="_Toc12943"/>
      <w:bookmarkStart w:id="1152" w:name="_Toc30003"/>
      <w:bookmarkStart w:id="1153" w:name="_Toc20085"/>
      <w:bookmarkStart w:id="1154" w:name="_Toc375931100"/>
      <w:bookmarkStart w:id="1155" w:name="_Toc7183"/>
      <w:bookmarkStart w:id="1156" w:name="_Toc26712"/>
      <w:bookmarkStart w:id="1157" w:name="_Toc485211106"/>
      <w:bookmarkStart w:id="1158" w:name="_Toc930"/>
      <w:r>
        <w:rPr>
          <w:rFonts w:hint="eastAsia" w:ascii="宋体" w:hAnsi="宋体" w:cs="宋体"/>
          <w:b/>
          <w:bCs/>
          <w:kern w:val="0"/>
          <w:sz w:val="28"/>
          <w:szCs w:val="28"/>
        </w:rPr>
        <w:t>4. 评标、定标表格</w:t>
      </w:r>
      <w:bookmarkEnd w:id="1147"/>
      <w:bookmarkEnd w:id="1148"/>
      <w:bookmarkEnd w:id="1149"/>
      <w:bookmarkEnd w:id="1150"/>
      <w:bookmarkEnd w:id="1151"/>
      <w:bookmarkEnd w:id="1152"/>
      <w:bookmarkEnd w:id="1153"/>
      <w:bookmarkEnd w:id="1154"/>
      <w:bookmarkEnd w:id="1155"/>
      <w:bookmarkEnd w:id="1156"/>
      <w:bookmarkEnd w:id="1157"/>
      <w:bookmarkEnd w:id="1158"/>
    </w:p>
    <w:p>
      <w:pPr>
        <w:spacing w:line="360" w:lineRule="auto"/>
        <w:ind w:firstLine="480" w:firstLineChars="200"/>
        <w:rPr>
          <w:rFonts w:hint="eastAsia" w:ascii="宋体" w:hAnsi="宋体" w:cs="宋体"/>
          <w:sz w:val="24"/>
          <w:szCs w:val="24"/>
        </w:rPr>
      </w:pPr>
      <w:r>
        <w:rPr>
          <w:rFonts w:hint="eastAsia" w:ascii="宋体" w:hAnsi="宋体" w:cs="宋体"/>
          <w:sz w:val="24"/>
          <w:szCs w:val="24"/>
        </w:rPr>
        <w:t>见后附。</w:t>
      </w:r>
    </w:p>
    <w:p>
      <w:pPr>
        <w:spacing w:line="400" w:lineRule="exact"/>
        <w:ind w:firstLine="420" w:firstLineChars="200"/>
        <w:rPr>
          <w:rFonts w:hint="eastAsia" w:ascii="宋体" w:hAnsi="宋体" w:cs="宋体"/>
          <w:szCs w:val="24"/>
        </w:rPr>
        <w:sectPr>
          <w:pgSz w:w="11905" w:h="16838"/>
          <w:pgMar w:top="1247" w:right="1247" w:bottom="1247" w:left="1247" w:header="567" w:footer="850" w:gutter="0"/>
          <w:cols w:space="720" w:num="1"/>
          <w:docGrid w:type="lines" w:linePitch="312" w:charSpace="0"/>
        </w:sectPr>
      </w:pPr>
    </w:p>
    <w:p>
      <w:pPr>
        <w:spacing w:line="360" w:lineRule="auto"/>
        <w:rPr>
          <w:rFonts w:hint="eastAsia" w:ascii="宋体" w:hAnsi="宋体" w:cs="宋体"/>
          <w:b/>
          <w:sz w:val="30"/>
          <w:szCs w:val="30"/>
        </w:rPr>
      </w:pPr>
      <w:r>
        <w:rPr>
          <w:rFonts w:hint="eastAsia" w:ascii="宋体" w:hAnsi="宋体" w:cs="宋体"/>
          <w:sz w:val="24"/>
          <w:szCs w:val="24"/>
        </w:rPr>
        <w:t>附表一</w:t>
      </w:r>
      <w:r>
        <w:rPr>
          <w:rFonts w:hint="eastAsia" w:ascii="宋体" w:hAnsi="宋体" w:cs="宋体"/>
          <w:b/>
          <w:sz w:val="24"/>
          <w:szCs w:val="24"/>
        </w:rPr>
        <w:t xml:space="preserve">                                     </w:t>
      </w:r>
      <w:r>
        <w:rPr>
          <w:rFonts w:hint="eastAsia" w:ascii="宋体" w:hAnsi="宋体" w:cs="宋体"/>
          <w:b/>
          <w:sz w:val="30"/>
          <w:szCs w:val="30"/>
        </w:rPr>
        <w:t xml:space="preserve">         </w:t>
      </w:r>
      <w:r>
        <w:rPr>
          <w:rFonts w:hint="eastAsia" w:ascii="宋体" w:hAnsi="宋体" w:cs="宋体"/>
          <w:b/>
          <w:sz w:val="28"/>
          <w:szCs w:val="28"/>
        </w:rPr>
        <w:t>资格审查表</w:t>
      </w:r>
    </w:p>
    <w:p>
      <w:pPr>
        <w:spacing w:line="360" w:lineRule="auto"/>
        <w:rPr>
          <w:rFonts w:hint="eastAsia" w:ascii="宋体" w:hAnsi="宋体" w:cs="宋体"/>
          <w:b/>
          <w:szCs w:val="21"/>
        </w:rPr>
      </w:pPr>
      <w:r>
        <w:rPr>
          <w:rFonts w:hint="eastAsia" w:ascii="宋体" w:hAnsi="宋体" w:cs="宋体"/>
          <w:b/>
          <w:szCs w:val="21"/>
        </w:rPr>
        <w:t>工程名称：</w:t>
      </w:r>
    </w:p>
    <w:tbl>
      <w:tblPr>
        <w:tblStyle w:val="42"/>
        <w:tblW w:w="0" w:type="auto"/>
        <w:jc w:val="center"/>
        <w:tblLayout w:type="fixed"/>
        <w:tblCellMar>
          <w:top w:w="0" w:type="dxa"/>
          <w:left w:w="108" w:type="dxa"/>
          <w:bottom w:w="0" w:type="dxa"/>
          <w:right w:w="108" w:type="dxa"/>
        </w:tblCellMar>
      </w:tblPr>
      <w:tblGrid>
        <w:gridCol w:w="540"/>
        <w:gridCol w:w="7001"/>
        <w:gridCol w:w="1306"/>
        <w:gridCol w:w="1306"/>
        <w:gridCol w:w="1306"/>
        <w:gridCol w:w="1306"/>
        <w:gridCol w:w="1307"/>
      </w:tblGrid>
      <w:tr>
        <w:tblPrEx>
          <w:tblCellMar>
            <w:top w:w="0" w:type="dxa"/>
            <w:left w:w="108" w:type="dxa"/>
            <w:bottom w:w="0" w:type="dxa"/>
            <w:right w:w="108" w:type="dxa"/>
          </w:tblCellMar>
        </w:tblPrEx>
        <w:trPr>
          <w:trHeight w:val="679"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Cs w:val="21"/>
              </w:rPr>
            </w:pPr>
            <w:r>
              <w:rPr>
                <w:rFonts w:hint="eastAsia" w:ascii="宋体" w:hAnsi="宋体" w:cs="宋体"/>
                <w:b/>
                <w:szCs w:val="21"/>
              </w:rPr>
              <w:t>序号</w:t>
            </w:r>
          </w:p>
        </w:tc>
        <w:tc>
          <w:tcPr>
            <w:tcW w:w="7001" w:type="dxa"/>
            <w:tcBorders>
              <w:top w:val="single" w:color="auto" w:sz="4" w:space="0"/>
              <w:left w:val="single" w:color="auto" w:sz="4" w:space="0"/>
              <w:bottom w:val="single" w:color="auto" w:sz="4" w:space="0"/>
              <w:right w:val="single" w:color="auto" w:sz="4" w:space="0"/>
              <w:tl2br w:val="single" w:color="auto" w:sz="4" w:space="0"/>
            </w:tcBorders>
          </w:tcPr>
          <w:p>
            <w:pPr>
              <w:jc w:val="right"/>
              <w:rPr>
                <w:rFonts w:hint="eastAsia" w:ascii="宋体" w:hAnsi="宋体" w:cs="宋体"/>
                <w:b/>
                <w:szCs w:val="21"/>
              </w:rPr>
            </w:pPr>
            <w:r>
              <w:rPr>
                <w:rFonts w:hint="eastAsia" w:ascii="宋体" w:hAnsi="宋体" w:cs="宋体"/>
                <w:b/>
                <w:szCs w:val="21"/>
              </w:rPr>
              <w:t>投标单位</w:t>
            </w:r>
          </w:p>
          <w:p>
            <w:pPr>
              <w:rPr>
                <w:rFonts w:hint="eastAsia" w:ascii="宋体" w:hAnsi="宋体" w:cs="宋体"/>
                <w:b/>
                <w:szCs w:val="21"/>
              </w:rPr>
            </w:pPr>
            <w:r>
              <w:rPr>
                <w:rFonts w:hint="eastAsia" w:ascii="宋体" w:hAnsi="宋体" w:cs="宋体"/>
                <w:b/>
                <w:szCs w:val="21"/>
              </w:rPr>
              <w:t>评审内容</w:t>
            </w: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584"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bookmarkStart w:id="1159" w:name="OLE_LINK4" w:colFirst="1" w:colLast="1"/>
            <w:r>
              <w:rPr>
                <w:rFonts w:hint="eastAsia" w:ascii="宋体" w:hAnsi="宋体" w:cs="宋体"/>
                <w:szCs w:val="21"/>
              </w:rPr>
              <w:t>1</w:t>
            </w:r>
          </w:p>
        </w:tc>
        <w:tc>
          <w:tcPr>
            <w:tcW w:w="700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投标文件中有法定代表人证明书，如投标文件为委托代理人签署应同时附上法定代表人证明书和法定代表人授权书。</w:t>
            </w:r>
            <w:r>
              <w:rPr>
                <w:rFonts w:hint="eastAsia" w:ascii="宋体" w:hAnsi="宋体" w:cs="宋体"/>
                <w:szCs w:val="21"/>
                <w:u w:val="single"/>
              </w:rPr>
              <w:t>（联合体投标的，由联合体主办方出具）</w:t>
            </w: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bookmarkEnd w:id="1159"/>
      <w:tr>
        <w:tblPrEx>
          <w:tblCellMar>
            <w:top w:w="0" w:type="dxa"/>
            <w:left w:w="108" w:type="dxa"/>
            <w:bottom w:w="0" w:type="dxa"/>
            <w:right w:w="108" w:type="dxa"/>
          </w:tblCellMar>
        </w:tblPrEx>
        <w:trPr>
          <w:trHeight w:val="73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2</w:t>
            </w:r>
          </w:p>
        </w:tc>
        <w:tc>
          <w:tcPr>
            <w:tcW w:w="700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u w:val="single"/>
              </w:rPr>
              <w:t>投标人（联合体投标的，联合体所有成员均出具）具有独立法人资格，持有工商行政管理部门核发的法人营业执照，按国家法律经营。投标人参加投标的意思表达清楚，投标人代表被授权有效。</w:t>
            </w: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46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3</w:t>
            </w:r>
          </w:p>
        </w:tc>
        <w:tc>
          <w:tcPr>
            <w:tcW w:w="700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投标人</w:t>
            </w:r>
            <w:r>
              <w:rPr>
                <w:rFonts w:hint="eastAsia" w:ascii="宋体" w:hAnsi="宋体" w:cs="宋体"/>
                <w:szCs w:val="21"/>
                <w:u w:val="single"/>
              </w:rPr>
              <w:t>（联合体投标的，联合体成员出具</w:t>
            </w:r>
            <w:r>
              <w:rPr>
                <w:rFonts w:hint="eastAsia" w:ascii="宋体" w:hAnsi="宋体" w:cs="宋体"/>
                <w:szCs w:val="21"/>
                <w:u w:val="single"/>
                <w:lang w:val="en-US" w:eastAsia="zh-CN"/>
              </w:rPr>
              <w:t>相应的</w:t>
            </w:r>
            <w:r>
              <w:rPr>
                <w:rFonts w:hint="eastAsia" w:ascii="宋体" w:hAnsi="宋体" w:cs="宋体"/>
                <w:szCs w:val="21"/>
                <w:u w:val="single"/>
              </w:rPr>
              <w:t>）</w:t>
            </w:r>
            <w:r>
              <w:rPr>
                <w:rFonts w:hint="eastAsia" w:ascii="宋体" w:hAnsi="宋体" w:cs="宋体"/>
                <w:szCs w:val="21"/>
              </w:rPr>
              <w:t>具有承接本工程所需的资质。</w:t>
            </w: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4</w:t>
            </w:r>
          </w:p>
        </w:tc>
        <w:tc>
          <w:tcPr>
            <w:tcW w:w="700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投标人持有建设行政主管部门颁发的有效期内的安全生产许可证。</w:t>
            </w:r>
            <w:r>
              <w:rPr>
                <w:rFonts w:hint="eastAsia" w:ascii="宋体" w:hAnsi="宋体" w:cs="宋体"/>
                <w:szCs w:val="21"/>
                <w:u w:val="single"/>
              </w:rPr>
              <w:t>（联合体投标的，由联合体承担施工任务方出具）。</w:t>
            </w: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9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5</w:t>
            </w:r>
          </w:p>
        </w:tc>
        <w:tc>
          <w:tcPr>
            <w:tcW w:w="7001" w:type="dxa"/>
            <w:tcBorders>
              <w:top w:val="single" w:color="auto" w:sz="4" w:space="0"/>
              <w:left w:val="single" w:color="auto" w:sz="4" w:space="0"/>
              <w:bottom w:val="single" w:color="auto" w:sz="4" w:space="0"/>
              <w:right w:val="single" w:color="auto" w:sz="4" w:space="0"/>
            </w:tcBorders>
            <w:vAlign w:val="center"/>
          </w:tcPr>
          <w:p>
            <w:pPr>
              <w:pStyle w:val="121"/>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项目负责人（若为联合体投标，由联合体主办方提供；可兼任施工负责人）须具备：建筑工程专业一级注册建造师资格或一级注册建筑师或一级注册结构工程师或房屋建筑工程专业注册监理工程师或建筑工程类高级或以上职称，注册单位为投标人本单位（若为联合体投标，指联合体主办方）。香港专业人士参与投标的，须在广东省住房和城乡建设主管部门备案且备案的资格满足本项目招标文件的要求。</w:t>
            </w:r>
          </w:p>
          <w:p>
            <w:pPr>
              <w:pStyle w:val="121"/>
              <w:numPr>
                <w:ilvl w:val="0"/>
                <w:numId w:val="0"/>
              </w:num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施工负责人（若为联合体投标，由承担建筑施工任务的单位委派）须具备：建筑工程专业一级注册建造师资格，且在投标人（若为联合体投标，由承担施工任务方提供）单位注册；并持有在有效期内的安全生产考核合格证（B类）或建筑施工企业项目负责人安全生产考核合格证书。</w:t>
            </w:r>
          </w:p>
          <w:p>
            <w:pPr>
              <w:pStyle w:val="121"/>
              <w:numPr>
                <w:ilvl w:val="0"/>
                <w:numId w:val="0"/>
              </w:num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设计负责人（若为联合体投标，由承担设计任务的单位委派）须具备：一级注册建筑师资格，且在投标人单位注册，或在广东省住房和城乡建设主管部门备案且备案的业务范围符合本招标项目对设计负责人要求的香港专业人士。</w:t>
            </w:r>
          </w:p>
          <w:p>
            <w:pPr>
              <w:pStyle w:val="121"/>
              <w:numPr>
                <w:ilvl w:val="0"/>
                <w:numId w:val="0"/>
              </w:numPr>
              <w:spacing w:line="360" w:lineRule="auto"/>
              <w:rPr>
                <w:rFonts w:hint="eastAsia" w:ascii="宋体" w:hAnsi="宋体" w:cs="宋体"/>
                <w:kern w:val="2"/>
                <w:szCs w:val="21"/>
              </w:rPr>
            </w:pPr>
            <w:r>
              <w:rPr>
                <w:rFonts w:hint="eastAsia" w:ascii="宋体" w:hAnsi="宋体" w:eastAsia="宋体" w:cs="宋体"/>
                <w:color w:val="auto"/>
                <w:kern w:val="2"/>
                <w:sz w:val="21"/>
                <w:szCs w:val="21"/>
                <w:lang w:val="en-US" w:eastAsia="zh-CN" w:bidi="ar-SA"/>
              </w:rPr>
              <w:t>（4）施工技术负责人（若为联合体投标，由承担建筑施工任务的单位委派）须具备：建筑工程类高级或以上职称，且施工技术负责人和项目负责人、施工负责人、设计负责人、专职安全员不为同一人。</w:t>
            </w: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35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6</w:t>
            </w:r>
          </w:p>
        </w:tc>
        <w:tc>
          <w:tcPr>
            <w:tcW w:w="700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投标人（联合体投标的，由联合体承担施工任务方出具）专职安全人员具有在有效期内的安全生产考核合格证（C类）或建筑施工企业专职安全生产管理人员安全生产考核合格证书（C3）的扫描件。投标人拟任本工程项目负责人（可兼任</w:t>
            </w:r>
            <w:r>
              <w:rPr>
                <w:rFonts w:hint="eastAsia" w:ascii="宋体" w:hAnsi="宋体" w:cs="宋体"/>
                <w:szCs w:val="21"/>
                <w:lang w:val="en-US" w:eastAsia="zh-CN"/>
              </w:rPr>
              <w:t>施工</w:t>
            </w:r>
            <w:r>
              <w:rPr>
                <w:rFonts w:hint="eastAsia" w:ascii="宋体" w:hAnsi="宋体" w:cs="宋体"/>
                <w:szCs w:val="21"/>
              </w:rPr>
              <w:t>负责人）、施工负责人、专职安全员、设计负责人、施工技术负责人之间均不得兼任。</w:t>
            </w: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7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7</w:t>
            </w:r>
          </w:p>
        </w:tc>
        <w:tc>
          <w:tcPr>
            <w:tcW w:w="700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资格审查前，投标人（含联合体各方）须在广州市住建行业信用管理平台建立企业信用档案，且拟担任本项目的项目负责人、施工负责人、专职安全员、设计负责人是本企业信用档案中的在册人员（联合体投标的，信用档案信息和人员在册情况为联合体协议分工对应信用管理平台信息）。</w:t>
            </w: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59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8</w:t>
            </w:r>
          </w:p>
        </w:tc>
        <w:tc>
          <w:tcPr>
            <w:tcW w:w="700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投标人按规定的格式及内容要求签署《投标人声明》。</w:t>
            </w:r>
            <w:r>
              <w:rPr>
                <w:rFonts w:hint="eastAsia" w:ascii="宋体" w:hAnsi="宋体" w:cs="宋体"/>
                <w:szCs w:val="21"/>
                <w:u w:val="single"/>
              </w:rPr>
              <w:t>（格式见招标公告附件一）（联合体投标的，由联合体主办方出具）。</w:t>
            </w: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249"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9</w:t>
            </w:r>
          </w:p>
        </w:tc>
        <w:tc>
          <w:tcPr>
            <w:tcW w:w="700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rPr>
              <w:t>按招标文件要求签订了联合体共同投标协议，且协议中明确约定了各方拟承担的工作和责任。（适用于以联合体投标的需递交，</w:t>
            </w:r>
            <w:r>
              <w:rPr>
                <w:rFonts w:hint="eastAsia" w:ascii="宋体" w:hAnsi="宋体" w:cs="宋体"/>
                <w:szCs w:val="21"/>
                <w:lang w:val="en-US" w:eastAsia="zh-CN"/>
              </w:rPr>
              <w:t>联合体要求详见招标公告相关说明，</w:t>
            </w:r>
            <w:r>
              <w:rPr>
                <w:rFonts w:hint="eastAsia" w:ascii="宋体" w:hAnsi="宋体" w:cs="宋体"/>
                <w:szCs w:val="21"/>
              </w:rPr>
              <w:t>格式见招标公告附件二）。</w:t>
            </w: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3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10</w:t>
            </w:r>
          </w:p>
        </w:tc>
        <w:tc>
          <w:tcPr>
            <w:tcW w:w="700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szCs w:val="21"/>
              </w:rPr>
            </w:pPr>
            <w:r>
              <w:rPr>
                <w:rFonts w:hint="eastAsia" w:ascii="宋体" w:hAnsi="宋体" w:cs="宋体"/>
                <w:szCs w:val="21"/>
                <w:u w:val="single"/>
              </w:rPr>
              <w:t>投标人（含联合体各方）未出现以下情形：与其它投标人的单位负责人为同一人或者存在控股、管理关系的（按投标人提供的《投标人声明》第八条内容进行评审）。如不同投标申请人出现单位负责人为同一人或者存在控股、管理关系的情形，则不得参加同一标段投标或者未划分标段的同一招标项目投标，否则均视其不符合投标人合格条件予以处理。（联合体内各成员之间不受本条限制）。</w:t>
            </w: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88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bookmarkStart w:id="1160" w:name="OLE_LINK5" w:colFirst="1" w:colLast="1"/>
            <w:r>
              <w:rPr>
                <w:rFonts w:hint="eastAsia" w:ascii="宋体" w:hAnsi="宋体" w:cs="宋体"/>
                <w:szCs w:val="21"/>
              </w:rPr>
              <w:t>11</w:t>
            </w:r>
          </w:p>
        </w:tc>
        <w:tc>
          <w:tcPr>
            <w:tcW w:w="7001"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szCs w:val="21"/>
                <w:u w:val="single"/>
              </w:rPr>
            </w:pPr>
            <w:r>
              <w:rPr>
                <w:rFonts w:hint="eastAsia" w:ascii="宋体" w:hAnsi="宋体" w:cs="宋体"/>
                <w:szCs w:val="21"/>
              </w:rPr>
              <w:t>投标人（含联合体各方）未被列入拖欠农民工工资失信联合惩戒对象名单（投标人无需提供资料，按交易系统比对的结果进行评审）。</w:t>
            </w: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bookmarkEnd w:id="1160"/>
      <w:tr>
        <w:tblPrEx>
          <w:tblCellMar>
            <w:top w:w="0" w:type="dxa"/>
            <w:left w:w="108" w:type="dxa"/>
            <w:bottom w:w="0" w:type="dxa"/>
            <w:right w:w="108" w:type="dxa"/>
          </w:tblCellMar>
        </w:tblPrEx>
        <w:trPr>
          <w:trHeight w:val="417" w:hRule="atLeast"/>
          <w:jc w:val="center"/>
        </w:trPr>
        <w:tc>
          <w:tcPr>
            <w:tcW w:w="754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结   论</w:t>
            </w: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bl>
    <w:p>
      <w:pPr>
        <w:rPr>
          <w:rFonts w:hint="eastAsia" w:ascii="宋体" w:hAnsi="宋体" w:cs="宋体"/>
          <w:szCs w:val="21"/>
        </w:rPr>
      </w:pPr>
      <w:r>
        <w:rPr>
          <w:rFonts w:hint="eastAsia" w:ascii="宋体" w:hAnsi="宋体" w:cs="宋体"/>
          <w:szCs w:val="21"/>
        </w:rPr>
        <w:t>注：</w:t>
      </w:r>
    </w:p>
    <w:p>
      <w:pPr>
        <w:rPr>
          <w:rFonts w:hint="eastAsia" w:ascii="宋体" w:hAnsi="宋体" w:cs="宋体"/>
          <w:szCs w:val="21"/>
        </w:rPr>
      </w:pPr>
      <w:r>
        <w:rPr>
          <w:rFonts w:hint="eastAsia" w:ascii="宋体" w:hAnsi="宋体" w:cs="宋体"/>
          <w:szCs w:val="21"/>
        </w:rPr>
        <w:t>1.凡不满足以上任何一项情形，结论均为无效，否则就为有效。有效的记“○”无效的记“×”，全部审查项目均为有效的，结论为“通过”，否则为“不通过”。</w:t>
      </w:r>
    </w:p>
    <w:p>
      <w:pPr>
        <w:rPr>
          <w:rFonts w:hint="eastAsia" w:ascii="宋体" w:hAnsi="宋体" w:cs="宋体"/>
          <w:szCs w:val="21"/>
        </w:rPr>
      </w:pPr>
      <w:r>
        <w:rPr>
          <w:rFonts w:hint="eastAsia" w:ascii="宋体" w:hAnsi="宋体" w:cs="宋体"/>
          <w:szCs w:val="21"/>
        </w:rPr>
        <w:t xml:space="preserve">2.如对本表中某种情形的评审意见不一致时，以评审组过半数成员的意见作为评审组对该情形的认定结论。   </w:t>
      </w:r>
    </w:p>
    <w:p>
      <w:pPr>
        <w:rPr>
          <w:rFonts w:hint="eastAsia" w:ascii="宋体" w:hAnsi="宋体" w:cs="宋体"/>
          <w:szCs w:val="21"/>
        </w:rPr>
      </w:pPr>
      <w:r>
        <w:rPr>
          <w:rFonts w:hint="eastAsia" w:ascii="宋体" w:hAnsi="宋体" w:cs="宋体"/>
          <w:szCs w:val="21"/>
        </w:rPr>
        <w:t>3.</w:t>
      </w:r>
      <w:r>
        <w:rPr>
          <w:rFonts w:hint="eastAsia" w:ascii="宋体" w:hAnsi="宋体"/>
          <w:szCs w:val="21"/>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r>
        <w:rPr>
          <w:rFonts w:hint="eastAsia" w:ascii="宋体" w:hAnsi="宋体" w:cs="宋体"/>
          <w:szCs w:val="21"/>
        </w:rPr>
        <w:t xml:space="preserve">    </w:t>
      </w:r>
    </w:p>
    <w:p>
      <w:pPr>
        <w:rPr>
          <w:rFonts w:hint="eastAsia" w:ascii="宋体" w:hAnsi="宋体" w:cs="宋体"/>
          <w:szCs w:val="21"/>
        </w:rPr>
      </w:pPr>
      <w:r>
        <w:rPr>
          <w:rFonts w:hint="eastAsia" w:ascii="宋体" w:hAnsi="宋体" w:cs="宋体"/>
          <w:szCs w:val="21"/>
        </w:rPr>
        <w:t xml:space="preserve"> </w:t>
      </w:r>
    </w:p>
    <w:p>
      <w:pPr>
        <w:rPr>
          <w:rFonts w:hint="eastAsia" w:ascii="宋体" w:hAnsi="宋体" w:cs="宋体"/>
          <w:b/>
          <w:sz w:val="28"/>
          <w:szCs w:val="28"/>
        </w:rPr>
      </w:pPr>
      <w:r>
        <w:rPr>
          <w:rFonts w:hint="eastAsia" w:ascii="宋体" w:hAnsi="宋体" w:cs="宋体"/>
          <w:bCs/>
          <w:szCs w:val="21"/>
        </w:rPr>
        <w:t xml:space="preserve">评委签字：                                                                                                          日期：  </w:t>
      </w:r>
      <w:r>
        <w:rPr>
          <w:rFonts w:hint="eastAsia" w:ascii="宋体" w:hAnsi="宋体" w:cs="宋体"/>
          <w:b/>
          <w:sz w:val="24"/>
          <w:szCs w:val="24"/>
        </w:rPr>
        <w:br w:type="page"/>
      </w:r>
      <w:bookmarkStart w:id="1161" w:name="OLE_LINK1"/>
      <w:bookmarkEnd w:id="1161"/>
      <w:r>
        <w:rPr>
          <w:rFonts w:hint="eastAsia" w:ascii="宋体" w:hAnsi="宋体" w:cs="宋体"/>
          <w:b/>
          <w:sz w:val="24"/>
          <w:szCs w:val="24"/>
        </w:rPr>
        <w:t>附表二：</w:t>
      </w:r>
    </w:p>
    <w:p>
      <w:pPr>
        <w:spacing w:line="360" w:lineRule="auto"/>
        <w:jc w:val="center"/>
        <w:rPr>
          <w:rFonts w:hint="eastAsia" w:ascii="宋体" w:hAnsi="宋体" w:cs="宋体"/>
          <w:b/>
          <w:sz w:val="28"/>
          <w:szCs w:val="28"/>
        </w:rPr>
      </w:pPr>
      <w:bookmarkStart w:id="1162" w:name="OLE_LINK2"/>
      <w:r>
        <w:rPr>
          <w:rFonts w:hint="eastAsia" w:ascii="宋体" w:hAnsi="宋体" w:cs="宋体"/>
          <w:b/>
          <w:sz w:val="28"/>
          <w:szCs w:val="28"/>
        </w:rPr>
        <w:t>工程总承包实施方案（含资格审查文件）投标文件</w:t>
      </w:r>
      <w:bookmarkEnd w:id="1162"/>
      <w:r>
        <w:rPr>
          <w:rFonts w:hint="eastAsia" w:ascii="宋体" w:hAnsi="宋体" w:cs="宋体"/>
          <w:b/>
          <w:sz w:val="28"/>
          <w:szCs w:val="28"/>
        </w:rPr>
        <w:t>有效性审查表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8422"/>
        <w:gridCol w:w="829"/>
        <w:gridCol w:w="829"/>
        <w:gridCol w:w="830"/>
        <w:gridCol w:w="829"/>
        <w:gridCol w:w="829"/>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58" w:type="dxa"/>
            <w:vAlign w:val="center"/>
          </w:tcPr>
          <w:p>
            <w:pPr>
              <w:jc w:val="center"/>
              <w:rPr>
                <w:rFonts w:hint="eastAsia" w:ascii="宋体" w:hAnsi="宋体" w:cs="宋体"/>
                <w:b/>
                <w:szCs w:val="21"/>
              </w:rPr>
            </w:pPr>
            <w:r>
              <w:rPr>
                <w:rFonts w:hint="eastAsia" w:ascii="宋体" w:hAnsi="宋体" w:cs="宋体"/>
                <w:b/>
                <w:szCs w:val="21"/>
              </w:rPr>
              <w:t>序号</w:t>
            </w:r>
          </w:p>
        </w:tc>
        <w:tc>
          <w:tcPr>
            <w:tcW w:w="8422" w:type="dxa"/>
            <w:tcBorders>
              <w:tl2br w:val="single" w:color="auto" w:sz="4" w:space="0"/>
            </w:tcBorders>
          </w:tcPr>
          <w:p>
            <w:pPr>
              <w:jc w:val="right"/>
              <w:rPr>
                <w:rFonts w:hint="eastAsia" w:ascii="宋体" w:hAnsi="宋体" w:cs="宋体"/>
                <w:b/>
                <w:szCs w:val="21"/>
              </w:rPr>
            </w:pPr>
            <w:r>
              <w:rPr>
                <w:rFonts w:hint="eastAsia" w:ascii="宋体" w:hAnsi="宋体" w:cs="宋体"/>
                <w:b/>
                <w:szCs w:val="21"/>
              </w:rPr>
              <w:t xml:space="preserve">  投标单位</w:t>
            </w:r>
          </w:p>
          <w:p>
            <w:pPr>
              <w:rPr>
                <w:rFonts w:hint="eastAsia" w:ascii="宋体" w:hAnsi="宋体" w:cs="宋体"/>
                <w:b/>
                <w:szCs w:val="21"/>
              </w:rPr>
            </w:pPr>
            <w:r>
              <w:rPr>
                <w:rFonts w:hint="eastAsia" w:ascii="宋体" w:hAnsi="宋体" w:cs="宋体"/>
                <w:b/>
                <w:szCs w:val="21"/>
              </w:rPr>
              <w:t>评审内容</w:t>
            </w:r>
          </w:p>
        </w:tc>
        <w:tc>
          <w:tcPr>
            <w:tcW w:w="829" w:type="dxa"/>
            <w:vAlign w:val="center"/>
          </w:tcPr>
          <w:p>
            <w:pPr>
              <w:jc w:val="center"/>
              <w:rPr>
                <w:rFonts w:hint="eastAsia" w:ascii="宋体" w:hAnsi="宋体" w:cs="宋体"/>
                <w:b/>
                <w:szCs w:val="21"/>
              </w:rPr>
            </w:pPr>
          </w:p>
        </w:tc>
        <w:tc>
          <w:tcPr>
            <w:tcW w:w="829" w:type="dxa"/>
            <w:vAlign w:val="center"/>
          </w:tcPr>
          <w:p>
            <w:pPr>
              <w:jc w:val="center"/>
              <w:rPr>
                <w:rFonts w:hint="eastAsia" w:ascii="宋体" w:hAnsi="宋体" w:cs="宋体"/>
                <w:b/>
                <w:szCs w:val="21"/>
              </w:rPr>
            </w:pPr>
          </w:p>
        </w:tc>
        <w:tc>
          <w:tcPr>
            <w:tcW w:w="830" w:type="dxa"/>
            <w:vAlign w:val="center"/>
          </w:tcPr>
          <w:p>
            <w:pPr>
              <w:jc w:val="center"/>
              <w:rPr>
                <w:rFonts w:hint="eastAsia" w:ascii="宋体" w:hAnsi="宋体" w:cs="宋体"/>
                <w:b/>
                <w:szCs w:val="21"/>
              </w:rPr>
            </w:pPr>
          </w:p>
        </w:tc>
        <w:tc>
          <w:tcPr>
            <w:tcW w:w="829" w:type="dxa"/>
            <w:vAlign w:val="center"/>
          </w:tcPr>
          <w:p>
            <w:pPr>
              <w:jc w:val="center"/>
              <w:rPr>
                <w:rFonts w:hint="eastAsia" w:ascii="宋体" w:hAnsi="宋体" w:cs="宋体"/>
                <w:b/>
                <w:szCs w:val="21"/>
              </w:rPr>
            </w:pPr>
          </w:p>
        </w:tc>
        <w:tc>
          <w:tcPr>
            <w:tcW w:w="829" w:type="dxa"/>
            <w:vAlign w:val="center"/>
          </w:tcPr>
          <w:p>
            <w:pPr>
              <w:jc w:val="center"/>
              <w:rPr>
                <w:rFonts w:hint="eastAsia" w:ascii="宋体" w:hAnsi="宋体" w:cs="宋体"/>
                <w:b/>
                <w:szCs w:val="21"/>
              </w:rPr>
            </w:pPr>
          </w:p>
        </w:tc>
        <w:tc>
          <w:tcPr>
            <w:tcW w:w="830" w:type="dxa"/>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8" w:type="dxa"/>
            <w:vAlign w:val="center"/>
          </w:tcPr>
          <w:p>
            <w:pPr>
              <w:jc w:val="center"/>
              <w:rPr>
                <w:rFonts w:hint="eastAsia" w:ascii="宋体" w:hAnsi="宋体" w:cs="宋体"/>
                <w:szCs w:val="21"/>
              </w:rPr>
            </w:pPr>
            <w:r>
              <w:rPr>
                <w:rFonts w:hint="eastAsia" w:ascii="宋体" w:hAnsi="宋体" w:cs="宋体"/>
                <w:szCs w:val="21"/>
              </w:rPr>
              <w:t>1</w:t>
            </w:r>
          </w:p>
        </w:tc>
        <w:tc>
          <w:tcPr>
            <w:tcW w:w="8422" w:type="dxa"/>
            <w:vAlign w:val="center"/>
          </w:tcPr>
          <w:p>
            <w:pPr>
              <w:rPr>
                <w:rFonts w:hint="eastAsia" w:ascii="宋体" w:hAnsi="宋体" w:cs="宋体"/>
                <w:szCs w:val="21"/>
              </w:rPr>
            </w:pPr>
            <w:r>
              <w:rPr>
                <w:rFonts w:hint="eastAsia" w:ascii="宋体" w:hAnsi="宋体" w:cs="宋体"/>
                <w:szCs w:val="21"/>
              </w:rPr>
              <w:t>投标文件所列投标人名称、项目负责人、专职安全员与投标登记时不一致；</w:t>
            </w: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8" w:type="dxa"/>
            <w:vAlign w:val="center"/>
          </w:tcPr>
          <w:p>
            <w:pPr>
              <w:jc w:val="center"/>
              <w:rPr>
                <w:rFonts w:hint="eastAsia" w:ascii="宋体" w:hAnsi="宋体" w:cs="宋体"/>
                <w:szCs w:val="21"/>
              </w:rPr>
            </w:pPr>
            <w:r>
              <w:rPr>
                <w:rFonts w:hint="eastAsia" w:ascii="宋体" w:hAnsi="宋体" w:cs="宋体"/>
                <w:szCs w:val="21"/>
              </w:rPr>
              <w:t>2</w:t>
            </w:r>
          </w:p>
        </w:tc>
        <w:tc>
          <w:tcPr>
            <w:tcW w:w="8422" w:type="dxa"/>
            <w:vAlign w:val="center"/>
          </w:tcPr>
          <w:p>
            <w:pPr>
              <w:rPr>
                <w:rFonts w:hint="eastAsia" w:ascii="宋体" w:hAnsi="宋体" w:cs="宋体"/>
                <w:szCs w:val="21"/>
              </w:rPr>
            </w:pPr>
            <w:r>
              <w:rPr>
                <w:rFonts w:hint="eastAsia" w:ascii="宋体" w:hAnsi="宋体" w:cs="宋体"/>
                <w:szCs w:val="21"/>
              </w:rPr>
              <w:t>《投标承诺书》未按规定的格式填写盖章的；</w:t>
            </w: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8" w:type="dxa"/>
            <w:vAlign w:val="center"/>
          </w:tcPr>
          <w:p>
            <w:pPr>
              <w:jc w:val="center"/>
              <w:rPr>
                <w:rFonts w:hint="eastAsia" w:ascii="宋体" w:hAnsi="宋体" w:cs="宋体"/>
                <w:szCs w:val="21"/>
              </w:rPr>
            </w:pPr>
            <w:r>
              <w:rPr>
                <w:rFonts w:hint="eastAsia" w:ascii="宋体" w:hAnsi="宋体" w:cs="宋体"/>
                <w:szCs w:val="21"/>
              </w:rPr>
              <w:t>3</w:t>
            </w:r>
          </w:p>
        </w:tc>
        <w:tc>
          <w:tcPr>
            <w:tcW w:w="8422" w:type="dxa"/>
            <w:vAlign w:val="center"/>
          </w:tcPr>
          <w:p>
            <w:pPr>
              <w:rPr>
                <w:rFonts w:hint="eastAsia" w:ascii="宋体" w:hAnsi="宋体" w:cs="宋体"/>
                <w:szCs w:val="21"/>
              </w:rPr>
            </w:pPr>
            <w:r>
              <w:rPr>
                <w:rFonts w:hint="eastAsia" w:ascii="宋体" w:hAnsi="宋体" w:cs="宋体"/>
                <w:szCs w:val="21"/>
              </w:rPr>
              <w:t>《投标书》中的投标总工期不符合招标文件要求的；</w:t>
            </w: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8" w:type="dxa"/>
            <w:vAlign w:val="center"/>
          </w:tcPr>
          <w:p>
            <w:pPr>
              <w:jc w:val="center"/>
              <w:rPr>
                <w:rFonts w:hint="eastAsia" w:ascii="宋体" w:hAnsi="宋体" w:cs="宋体"/>
                <w:szCs w:val="21"/>
              </w:rPr>
            </w:pPr>
            <w:r>
              <w:rPr>
                <w:rFonts w:hint="eastAsia" w:ascii="宋体" w:hAnsi="宋体" w:cs="宋体"/>
                <w:szCs w:val="21"/>
              </w:rPr>
              <w:t>4</w:t>
            </w:r>
          </w:p>
        </w:tc>
        <w:tc>
          <w:tcPr>
            <w:tcW w:w="8422" w:type="dxa"/>
            <w:vAlign w:val="center"/>
          </w:tcPr>
          <w:p>
            <w:pPr>
              <w:rPr>
                <w:rFonts w:hint="eastAsia" w:ascii="宋体" w:hAnsi="宋体" w:cs="宋体"/>
                <w:szCs w:val="21"/>
              </w:rPr>
            </w:pPr>
            <w:r>
              <w:rPr>
                <w:rFonts w:hint="eastAsia" w:ascii="宋体" w:hAnsi="宋体" w:cs="宋体"/>
                <w:szCs w:val="21"/>
              </w:rPr>
              <w:t>《投标书》中的工程质量标准不符合招标文件要求的；</w:t>
            </w: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8" w:type="dxa"/>
            <w:vAlign w:val="center"/>
          </w:tcPr>
          <w:p>
            <w:pPr>
              <w:jc w:val="center"/>
              <w:rPr>
                <w:rFonts w:hint="eastAsia" w:ascii="宋体" w:hAnsi="宋体" w:cs="宋体"/>
                <w:szCs w:val="21"/>
              </w:rPr>
            </w:pPr>
            <w:r>
              <w:rPr>
                <w:rFonts w:hint="eastAsia" w:ascii="宋体" w:hAnsi="宋体" w:cs="宋体"/>
                <w:szCs w:val="21"/>
              </w:rPr>
              <w:t>5</w:t>
            </w:r>
          </w:p>
        </w:tc>
        <w:tc>
          <w:tcPr>
            <w:tcW w:w="8422" w:type="dxa"/>
            <w:vAlign w:val="center"/>
          </w:tcPr>
          <w:p>
            <w:pPr>
              <w:rPr>
                <w:rFonts w:hint="eastAsia" w:ascii="宋体" w:hAnsi="宋体" w:cs="宋体"/>
                <w:szCs w:val="21"/>
              </w:rPr>
            </w:pPr>
            <w:r>
              <w:rPr>
                <w:rFonts w:hint="eastAsia" w:ascii="宋体" w:hAnsi="宋体" w:cs="宋体"/>
                <w:szCs w:val="21"/>
              </w:rPr>
              <w:t>投标文件的封面没有加盖投标单位的法定印章并经投标人代表签署或盖章的；</w:t>
            </w: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58" w:type="dxa"/>
            <w:vAlign w:val="center"/>
          </w:tcPr>
          <w:p>
            <w:pPr>
              <w:jc w:val="center"/>
              <w:rPr>
                <w:rFonts w:hint="eastAsia" w:ascii="宋体" w:hAnsi="宋体" w:cs="宋体"/>
                <w:szCs w:val="21"/>
              </w:rPr>
            </w:pPr>
            <w:r>
              <w:rPr>
                <w:rFonts w:hint="eastAsia" w:ascii="宋体" w:hAnsi="宋体" w:cs="宋体"/>
                <w:szCs w:val="21"/>
              </w:rPr>
              <w:t>6</w:t>
            </w:r>
          </w:p>
        </w:tc>
        <w:tc>
          <w:tcPr>
            <w:tcW w:w="8422" w:type="dxa"/>
            <w:vAlign w:val="center"/>
          </w:tcPr>
          <w:p>
            <w:pPr>
              <w:rPr>
                <w:rFonts w:hint="eastAsia" w:ascii="宋体" w:hAnsi="宋体" w:cs="宋体"/>
                <w:szCs w:val="21"/>
              </w:rPr>
            </w:pPr>
            <w:r>
              <w:rPr>
                <w:rFonts w:hint="eastAsia" w:ascii="宋体" w:hAnsi="宋体" w:cs="宋体"/>
                <w:szCs w:val="21"/>
              </w:rPr>
              <w:t>投标文件未按第六章规定的格式二、格式三填写，或主要内容不全，或关键字迹模糊、无法辨认的；</w:t>
            </w: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8" w:type="dxa"/>
            <w:vAlign w:val="center"/>
          </w:tcPr>
          <w:p>
            <w:pPr>
              <w:jc w:val="center"/>
              <w:rPr>
                <w:rFonts w:hint="eastAsia" w:ascii="宋体" w:hAnsi="宋体" w:cs="宋体"/>
                <w:szCs w:val="21"/>
              </w:rPr>
            </w:pPr>
            <w:r>
              <w:rPr>
                <w:rFonts w:hint="eastAsia" w:ascii="宋体" w:hAnsi="宋体" w:cs="宋体"/>
                <w:szCs w:val="21"/>
              </w:rPr>
              <w:t>7</w:t>
            </w:r>
          </w:p>
        </w:tc>
        <w:tc>
          <w:tcPr>
            <w:tcW w:w="8422" w:type="dxa"/>
            <w:vAlign w:val="center"/>
          </w:tcPr>
          <w:p>
            <w:pPr>
              <w:rPr>
                <w:rFonts w:hint="eastAsia" w:ascii="宋体" w:hAnsi="宋体" w:cs="宋体"/>
                <w:szCs w:val="21"/>
              </w:rPr>
            </w:pPr>
            <w:r>
              <w:rPr>
                <w:rFonts w:hint="eastAsia" w:ascii="宋体" w:hAnsi="宋体" w:cs="宋体"/>
                <w:szCs w:val="21"/>
              </w:rPr>
              <w:t>对同一招标项目出现两个或以上的投标报价，且没有申明哪个有效；</w:t>
            </w: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58" w:type="dxa"/>
            <w:vAlign w:val="center"/>
          </w:tcPr>
          <w:p>
            <w:pPr>
              <w:jc w:val="center"/>
              <w:rPr>
                <w:rFonts w:hint="eastAsia" w:ascii="宋体" w:hAnsi="宋体" w:cs="宋体"/>
                <w:szCs w:val="21"/>
              </w:rPr>
            </w:pPr>
            <w:r>
              <w:rPr>
                <w:rFonts w:hint="eastAsia" w:ascii="宋体" w:hAnsi="宋体" w:cs="宋体"/>
                <w:szCs w:val="21"/>
              </w:rPr>
              <w:t>8</w:t>
            </w:r>
          </w:p>
        </w:tc>
        <w:tc>
          <w:tcPr>
            <w:tcW w:w="8422" w:type="dxa"/>
            <w:vAlign w:val="center"/>
          </w:tcPr>
          <w:p>
            <w:pPr>
              <w:jc w:val="left"/>
              <w:rPr>
                <w:rFonts w:hint="eastAsia" w:ascii="宋体" w:hAnsi="宋体" w:cs="宋体"/>
                <w:szCs w:val="21"/>
              </w:rPr>
            </w:pPr>
            <w:r>
              <w:rPr>
                <w:rFonts w:hint="eastAsia" w:ascii="宋体" w:hAnsi="宋体" w:cs="宋体"/>
                <w:szCs w:val="21"/>
                <w:u w:val="single"/>
              </w:rPr>
              <w:t>投标总报价高于最高投标限价，或各子项的投标报价高于各子项相应的最高投标限价，或各地块的投标报价高于各地块相应的最高投标限价；</w:t>
            </w: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8" w:type="dxa"/>
            <w:vAlign w:val="center"/>
          </w:tcPr>
          <w:p>
            <w:pPr>
              <w:jc w:val="center"/>
              <w:rPr>
                <w:rFonts w:hint="eastAsia" w:ascii="宋体" w:hAnsi="宋体" w:cs="宋体"/>
                <w:szCs w:val="21"/>
              </w:rPr>
            </w:pPr>
            <w:r>
              <w:rPr>
                <w:rFonts w:hint="eastAsia" w:ascii="宋体" w:hAnsi="宋体" w:cs="宋体"/>
                <w:szCs w:val="21"/>
              </w:rPr>
              <w:t>9</w:t>
            </w:r>
          </w:p>
        </w:tc>
        <w:tc>
          <w:tcPr>
            <w:tcW w:w="8422" w:type="dxa"/>
            <w:vAlign w:val="center"/>
          </w:tcPr>
          <w:p>
            <w:pPr>
              <w:tabs>
                <w:tab w:val="left" w:pos="0"/>
              </w:tabs>
              <w:rPr>
                <w:rFonts w:hint="eastAsia" w:ascii="宋体" w:hAnsi="宋体" w:cs="宋体"/>
                <w:szCs w:val="21"/>
              </w:rPr>
            </w:pPr>
            <w:r>
              <w:rPr>
                <w:rFonts w:hint="eastAsia" w:ascii="宋体" w:hAnsi="宋体" w:cs="宋体"/>
                <w:szCs w:val="21"/>
              </w:rPr>
              <w:t>投标报价低于成本价的；</w:t>
            </w: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8" w:type="dxa"/>
            <w:vAlign w:val="center"/>
          </w:tcPr>
          <w:p>
            <w:pPr>
              <w:jc w:val="center"/>
              <w:rPr>
                <w:rFonts w:ascii="宋体" w:hAnsi="宋体" w:cs="宋体"/>
                <w:szCs w:val="21"/>
              </w:rPr>
            </w:pPr>
            <w:r>
              <w:rPr>
                <w:rFonts w:hint="eastAsia" w:ascii="宋体" w:hAnsi="宋体" w:cs="宋体"/>
                <w:szCs w:val="21"/>
              </w:rPr>
              <w:t>10</w:t>
            </w:r>
          </w:p>
        </w:tc>
        <w:tc>
          <w:tcPr>
            <w:tcW w:w="8422" w:type="dxa"/>
            <w:vAlign w:val="center"/>
          </w:tcPr>
          <w:p>
            <w:pPr>
              <w:rPr>
                <w:rFonts w:hint="eastAsia" w:ascii="宋体" w:hAnsi="宋体" w:cs="宋体"/>
                <w:szCs w:val="21"/>
              </w:rPr>
            </w:pPr>
            <w:r>
              <w:rPr>
                <w:rFonts w:hint="eastAsia" w:ascii="宋体" w:hAnsi="宋体" w:cs="宋体"/>
                <w:szCs w:val="21"/>
              </w:rPr>
              <w:t>投标人之间存在《广东省实施&lt;中华人民共和国招标投标法&gt;》第十六条所禁止的情形的；</w:t>
            </w: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8" w:type="dxa"/>
            <w:vAlign w:val="center"/>
          </w:tcPr>
          <w:p>
            <w:pPr>
              <w:jc w:val="center"/>
              <w:rPr>
                <w:rFonts w:ascii="宋体" w:hAnsi="宋体" w:cs="宋体"/>
                <w:szCs w:val="21"/>
              </w:rPr>
            </w:pPr>
            <w:r>
              <w:rPr>
                <w:rFonts w:hint="eastAsia" w:ascii="宋体" w:hAnsi="宋体" w:cs="宋体"/>
                <w:szCs w:val="21"/>
              </w:rPr>
              <w:t>11</w:t>
            </w:r>
          </w:p>
        </w:tc>
        <w:tc>
          <w:tcPr>
            <w:tcW w:w="8422" w:type="dxa"/>
            <w:vAlign w:val="center"/>
          </w:tcPr>
          <w:p>
            <w:pPr>
              <w:rPr>
                <w:rFonts w:hint="eastAsia" w:ascii="宋体" w:hAnsi="宋体" w:cs="宋体"/>
                <w:szCs w:val="21"/>
              </w:rPr>
            </w:pPr>
            <w:r>
              <w:rPr>
                <w:rFonts w:hint="eastAsia" w:ascii="宋体" w:hAnsi="宋体" w:cs="宋体"/>
                <w:szCs w:val="21"/>
              </w:rPr>
              <w:t>无《参与编制工程总承包实施方案（含资格审查文件）投标文件人员名单》的；</w:t>
            </w: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58" w:type="dxa"/>
            <w:vAlign w:val="center"/>
          </w:tcPr>
          <w:p>
            <w:pPr>
              <w:jc w:val="center"/>
              <w:rPr>
                <w:rFonts w:hint="eastAsia" w:ascii="宋体" w:hAnsi="宋体" w:cs="宋体"/>
                <w:szCs w:val="21"/>
              </w:rPr>
            </w:pPr>
            <w:bookmarkStart w:id="1163" w:name="OLE_LINK6" w:colFirst="1" w:colLast="1"/>
            <w:r>
              <w:rPr>
                <w:rFonts w:hint="eastAsia" w:ascii="宋体" w:hAnsi="宋体" w:cs="宋体"/>
                <w:szCs w:val="21"/>
              </w:rPr>
              <w:t>12</w:t>
            </w:r>
          </w:p>
        </w:tc>
        <w:tc>
          <w:tcPr>
            <w:tcW w:w="8422" w:type="dxa"/>
            <w:vAlign w:val="center"/>
          </w:tcPr>
          <w:p>
            <w:pPr>
              <w:rPr>
                <w:rFonts w:hint="eastAsia" w:ascii="宋体" w:hAnsi="宋体" w:cs="宋体"/>
                <w:szCs w:val="21"/>
              </w:rPr>
            </w:pPr>
            <w:r>
              <w:rPr>
                <w:rFonts w:hint="eastAsia" w:ascii="宋体" w:hAnsi="宋体" w:cs="宋体"/>
                <w:szCs w:val="21"/>
              </w:rPr>
              <w:t>投标人与本项目其他投标人加密打包投标文件电脑机器特征码一致的(以广州交易集团有限公司（广州公共资源交易中心）交易平台评标系统的检索信息为准)</w:t>
            </w: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r>
      <w:bookmarkEnd w:id="11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结论</w:t>
            </w:r>
          </w:p>
        </w:tc>
        <w:tc>
          <w:tcPr>
            <w:tcW w:w="842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是否通过并进入下一阶段评审。</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bl>
    <w:p>
      <w:pPr>
        <w:rPr>
          <w:rFonts w:hint="eastAsia" w:ascii="宋体" w:hAnsi="宋体" w:cs="宋体"/>
          <w:szCs w:val="21"/>
        </w:rPr>
      </w:pPr>
      <w:r>
        <w:rPr>
          <w:rFonts w:hint="eastAsia" w:ascii="宋体" w:hAnsi="宋体" w:cs="宋体"/>
          <w:szCs w:val="21"/>
        </w:rPr>
        <w:t>备注：1.凡出现以上任何一项情形，均为无效，否则就为有效。</w:t>
      </w:r>
    </w:p>
    <w:p>
      <w:pPr>
        <w:ind w:firstLine="630" w:firstLineChars="300"/>
        <w:rPr>
          <w:rFonts w:hint="eastAsia" w:ascii="宋体" w:hAnsi="宋体" w:cs="宋体"/>
          <w:szCs w:val="21"/>
        </w:rPr>
      </w:pPr>
      <w:r>
        <w:rPr>
          <w:rFonts w:hint="eastAsia" w:ascii="宋体" w:hAnsi="宋体" w:cs="宋体"/>
          <w:szCs w:val="21"/>
        </w:rPr>
        <w:t>2.根据本表审查项目，填 “○”或 “×”，评审结论填“通过“或“不通过”。</w:t>
      </w:r>
    </w:p>
    <w:p>
      <w:pPr>
        <w:ind w:firstLine="630" w:firstLineChars="300"/>
        <w:rPr>
          <w:rFonts w:hint="eastAsia" w:ascii="宋体" w:hAnsi="宋体" w:cs="宋体"/>
          <w:szCs w:val="21"/>
        </w:rPr>
      </w:pPr>
      <w:r>
        <w:rPr>
          <w:rFonts w:hint="eastAsia" w:ascii="宋体" w:hAnsi="宋体" w:cs="宋体"/>
          <w:szCs w:val="21"/>
        </w:rPr>
        <w:t>3.本表中出现一个（或以上）“×”，投标人的评审结论为“不通过”，即该投标人不进入下一阶段评审。</w:t>
      </w:r>
    </w:p>
    <w:p>
      <w:pPr>
        <w:ind w:firstLine="630" w:firstLineChars="300"/>
        <w:rPr>
          <w:rFonts w:hint="eastAsia" w:ascii="宋体" w:hAnsi="宋体" w:cs="宋体"/>
          <w:szCs w:val="21"/>
        </w:rPr>
      </w:pPr>
      <w:r>
        <w:rPr>
          <w:rFonts w:hint="eastAsia" w:ascii="宋体" w:hAnsi="宋体" w:cs="宋体"/>
          <w:szCs w:val="21"/>
        </w:rPr>
        <w:t>4.本表中评审项目全部为 “○”，投标人的评审结论为“通过”，即该投标人进入下一阶段评审。</w:t>
      </w:r>
    </w:p>
    <w:p>
      <w:pPr>
        <w:ind w:firstLine="630" w:firstLineChars="300"/>
        <w:rPr>
          <w:rFonts w:hint="eastAsia" w:ascii="宋体" w:hAnsi="宋体" w:cs="宋体"/>
          <w:szCs w:val="21"/>
        </w:rPr>
      </w:pPr>
      <w:r>
        <w:rPr>
          <w:rFonts w:hint="eastAsia" w:ascii="宋体" w:hAnsi="宋体" w:cs="宋体"/>
          <w:szCs w:val="21"/>
        </w:rPr>
        <w:t>5.如对本表中某种情形的评审意见不一致时，以评审组过半数成员的意见作为评审组对该情形的认定结论。</w:t>
      </w:r>
    </w:p>
    <w:p>
      <w:pPr>
        <w:ind w:firstLine="630" w:firstLineChars="300"/>
        <w:rPr>
          <w:rFonts w:ascii="宋体" w:hAnsi="宋体"/>
          <w:szCs w:val="21"/>
        </w:rPr>
      </w:pPr>
      <w:r>
        <w:rPr>
          <w:rFonts w:hint="eastAsia" w:ascii="宋体" w:hAnsi="宋体"/>
          <w:szCs w:val="21"/>
        </w:rPr>
        <w:t>6.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ind w:firstLine="630" w:firstLineChars="300"/>
        <w:rPr>
          <w:rFonts w:hint="eastAsia" w:ascii="宋体" w:hAnsi="宋体" w:cs="宋体"/>
          <w:szCs w:val="21"/>
        </w:rPr>
        <w:sectPr>
          <w:footerReference r:id="rId6" w:type="default"/>
          <w:pgSz w:w="16838" w:h="11905" w:orient="landscape"/>
          <w:pgMar w:top="1247" w:right="1247" w:bottom="1247" w:left="1247" w:header="567" w:footer="850" w:gutter="0"/>
          <w:cols w:space="720" w:num="1"/>
          <w:docGrid w:type="lines" w:linePitch="312" w:charSpace="0"/>
        </w:sectPr>
      </w:pPr>
      <w:r>
        <w:rPr>
          <w:rFonts w:hint="eastAsia" w:ascii="宋体" w:hAnsi="宋体" w:cs="宋体"/>
          <w:szCs w:val="21"/>
        </w:rPr>
        <w:t xml:space="preserve">评委签字：                                                                                                     日期：             </w:t>
      </w:r>
    </w:p>
    <w:p>
      <w:pPr>
        <w:rPr>
          <w:rFonts w:hint="eastAsia" w:ascii="宋体" w:hAnsi="宋体" w:cs="宋体"/>
          <w:b/>
          <w:bCs/>
          <w:sz w:val="24"/>
          <w:szCs w:val="24"/>
        </w:rPr>
      </w:pPr>
      <w:r>
        <w:rPr>
          <w:rFonts w:hint="eastAsia" w:ascii="宋体" w:hAnsi="宋体" w:cs="宋体"/>
          <w:b/>
          <w:bCs/>
          <w:sz w:val="24"/>
          <w:szCs w:val="24"/>
        </w:rPr>
        <w:t>附表三</w:t>
      </w:r>
    </w:p>
    <w:p>
      <w:pPr>
        <w:jc w:val="center"/>
        <w:rPr>
          <w:rFonts w:hint="eastAsia" w:ascii="宋体" w:hAnsi="宋体" w:cs="宋体"/>
          <w:b/>
          <w:bCs/>
          <w:sz w:val="28"/>
          <w:szCs w:val="28"/>
        </w:rPr>
      </w:pPr>
      <w:bookmarkStart w:id="1164" w:name="OLE_LINK3"/>
      <w:r>
        <w:rPr>
          <w:rFonts w:hint="eastAsia" w:ascii="宋体" w:hAnsi="宋体" w:cs="宋体"/>
          <w:b/>
          <w:bCs/>
          <w:sz w:val="28"/>
          <w:szCs w:val="28"/>
        </w:rPr>
        <w:t>设计投标文件</w:t>
      </w:r>
      <w:bookmarkEnd w:id="1164"/>
      <w:r>
        <w:rPr>
          <w:rFonts w:hint="eastAsia" w:ascii="宋体" w:hAnsi="宋体" w:cs="宋体"/>
          <w:b/>
          <w:bCs/>
          <w:sz w:val="28"/>
          <w:szCs w:val="28"/>
        </w:rPr>
        <w:t>有效性审查表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8422"/>
        <w:gridCol w:w="829"/>
        <w:gridCol w:w="829"/>
        <w:gridCol w:w="830"/>
        <w:gridCol w:w="829"/>
        <w:gridCol w:w="829"/>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58" w:type="dxa"/>
            <w:vAlign w:val="center"/>
          </w:tcPr>
          <w:p>
            <w:pPr>
              <w:jc w:val="center"/>
              <w:rPr>
                <w:rFonts w:hint="eastAsia" w:ascii="宋体" w:hAnsi="宋体" w:cs="宋体"/>
                <w:b/>
                <w:szCs w:val="21"/>
              </w:rPr>
            </w:pPr>
            <w:r>
              <w:rPr>
                <w:rFonts w:hint="eastAsia" w:ascii="宋体" w:hAnsi="宋体" w:cs="宋体"/>
                <w:b/>
                <w:szCs w:val="21"/>
              </w:rPr>
              <w:t>序号</w:t>
            </w:r>
          </w:p>
        </w:tc>
        <w:tc>
          <w:tcPr>
            <w:tcW w:w="8422" w:type="dxa"/>
            <w:tcBorders>
              <w:tl2br w:val="single" w:color="auto" w:sz="4" w:space="0"/>
            </w:tcBorders>
          </w:tcPr>
          <w:p>
            <w:pPr>
              <w:jc w:val="right"/>
              <w:rPr>
                <w:rFonts w:hint="eastAsia" w:ascii="宋体" w:hAnsi="宋体" w:cs="宋体"/>
                <w:b/>
                <w:szCs w:val="21"/>
              </w:rPr>
            </w:pPr>
            <w:r>
              <w:rPr>
                <w:rFonts w:hint="eastAsia" w:ascii="宋体" w:hAnsi="宋体" w:cs="宋体"/>
                <w:b/>
                <w:szCs w:val="21"/>
              </w:rPr>
              <w:t>投标单位</w:t>
            </w:r>
          </w:p>
          <w:p>
            <w:pPr>
              <w:rPr>
                <w:rFonts w:hint="eastAsia" w:ascii="宋体" w:hAnsi="宋体" w:cs="宋体"/>
                <w:b/>
                <w:szCs w:val="21"/>
              </w:rPr>
            </w:pPr>
            <w:r>
              <w:rPr>
                <w:rFonts w:hint="eastAsia" w:ascii="宋体" w:hAnsi="宋体" w:cs="宋体"/>
                <w:b/>
                <w:szCs w:val="21"/>
              </w:rPr>
              <w:t>评审内容</w:t>
            </w:r>
          </w:p>
        </w:tc>
        <w:tc>
          <w:tcPr>
            <w:tcW w:w="829" w:type="dxa"/>
            <w:vAlign w:val="center"/>
          </w:tcPr>
          <w:p>
            <w:pPr>
              <w:jc w:val="center"/>
              <w:rPr>
                <w:rFonts w:hint="eastAsia" w:ascii="宋体" w:hAnsi="宋体" w:cs="宋体"/>
                <w:b/>
                <w:szCs w:val="21"/>
              </w:rPr>
            </w:pPr>
          </w:p>
        </w:tc>
        <w:tc>
          <w:tcPr>
            <w:tcW w:w="829" w:type="dxa"/>
            <w:vAlign w:val="center"/>
          </w:tcPr>
          <w:p>
            <w:pPr>
              <w:jc w:val="center"/>
              <w:rPr>
                <w:rFonts w:hint="eastAsia" w:ascii="宋体" w:hAnsi="宋体" w:cs="宋体"/>
                <w:b/>
                <w:szCs w:val="21"/>
              </w:rPr>
            </w:pPr>
          </w:p>
        </w:tc>
        <w:tc>
          <w:tcPr>
            <w:tcW w:w="830" w:type="dxa"/>
            <w:vAlign w:val="center"/>
          </w:tcPr>
          <w:p>
            <w:pPr>
              <w:jc w:val="center"/>
              <w:rPr>
                <w:rFonts w:hint="eastAsia" w:ascii="宋体" w:hAnsi="宋体" w:cs="宋体"/>
                <w:b/>
                <w:szCs w:val="21"/>
              </w:rPr>
            </w:pPr>
          </w:p>
        </w:tc>
        <w:tc>
          <w:tcPr>
            <w:tcW w:w="829" w:type="dxa"/>
            <w:vAlign w:val="center"/>
          </w:tcPr>
          <w:p>
            <w:pPr>
              <w:jc w:val="center"/>
              <w:rPr>
                <w:rFonts w:hint="eastAsia" w:ascii="宋体" w:hAnsi="宋体" w:cs="宋体"/>
                <w:b/>
                <w:szCs w:val="21"/>
              </w:rPr>
            </w:pPr>
          </w:p>
        </w:tc>
        <w:tc>
          <w:tcPr>
            <w:tcW w:w="829" w:type="dxa"/>
            <w:vAlign w:val="center"/>
          </w:tcPr>
          <w:p>
            <w:pPr>
              <w:jc w:val="center"/>
              <w:rPr>
                <w:rFonts w:hint="eastAsia" w:ascii="宋体" w:hAnsi="宋体" w:cs="宋体"/>
                <w:b/>
                <w:szCs w:val="21"/>
              </w:rPr>
            </w:pPr>
          </w:p>
        </w:tc>
        <w:tc>
          <w:tcPr>
            <w:tcW w:w="830" w:type="dxa"/>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8" w:type="dxa"/>
            <w:vAlign w:val="center"/>
          </w:tcPr>
          <w:p>
            <w:pPr>
              <w:jc w:val="center"/>
              <w:rPr>
                <w:rFonts w:hint="eastAsia" w:ascii="宋体" w:hAnsi="宋体" w:cs="宋体"/>
                <w:szCs w:val="21"/>
              </w:rPr>
            </w:pPr>
            <w:r>
              <w:rPr>
                <w:rFonts w:hint="eastAsia" w:ascii="宋体" w:hAnsi="宋体" w:cs="宋体"/>
                <w:szCs w:val="21"/>
              </w:rPr>
              <w:t>1</w:t>
            </w:r>
          </w:p>
        </w:tc>
        <w:tc>
          <w:tcPr>
            <w:tcW w:w="8422" w:type="dxa"/>
            <w:vAlign w:val="center"/>
          </w:tcPr>
          <w:p>
            <w:pPr>
              <w:rPr>
                <w:rFonts w:hint="eastAsia" w:ascii="宋体" w:hAnsi="宋体" w:cs="宋体"/>
                <w:szCs w:val="21"/>
              </w:rPr>
            </w:pPr>
            <w:r>
              <w:rPr>
                <w:rFonts w:hint="eastAsia" w:ascii="宋体" w:hAnsi="宋体" w:cs="宋体"/>
                <w:szCs w:val="21"/>
              </w:rPr>
              <w:t>投标文件的封面没有加盖投标单位的法定印章并经投标人代表签署或盖章的；</w:t>
            </w: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8" w:type="dxa"/>
            <w:vAlign w:val="center"/>
          </w:tcPr>
          <w:p>
            <w:pPr>
              <w:jc w:val="center"/>
              <w:rPr>
                <w:rFonts w:hint="eastAsia" w:ascii="宋体" w:hAnsi="宋体" w:cs="宋体"/>
                <w:szCs w:val="21"/>
              </w:rPr>
            </w:pPr>
            <w:r>
              <w:rPr>
                <w:rFonts w:hint="eastAsia" w:ascii="宋体" w:hAnsi="宋体" w:cs="宋体"/>
                <w:szCs w:val="21"/>
              </w:rPr>
              <w:t>2</w:t>
            </w:r>
          </w:p>
        </w:tc>
        <w:tc>
          <w:tcPr>
            <w:tcW w:w="8422" w:type="dxa"/>
            <w:vAlign w:val="center"/>
          </w:tcPr>
          <w:p>
            <w:pPr>
              <w:rPr>
                <w:rFonts w:hint="eastAsia" w:ascii="宋体" w:hAnsi="宋体" w:cs="宋体"/>
                <w:szCs w:val="21"/>
              </w:rPr>
            </w:pPr>
            <w:r>
              <w:rPr>
                <w:rFonts w:hint="eastAsia" w:ascii="宋体" w:hAnsi="宋体" w:cs="宋体"/>
                <w:szCs w:val="21"/>
              </w:rPr>
              <w:t>未发现互相雷同和串通投标。</w:t>
            </w: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8" w:type="dxa"/>
            <w:vAlign w:val="center"/>
          </w:tcPr>
          <w:p>
            <w:pPr>
              <w:jc w:val="center"/>
              <w:rPr>
                <w:rFonts w:hint="eastAsia" w:ascii="宋体" w:hAnsi="宋体" w:cs="宋体"/>
                <w:szCs w:val="21"/>
              </w:rPr>
            </w:pPr>
            <w:bookmarkStart w:id="1165" w:name="OLE_LINK7" w:colFirst="1" w:colLast="1"/>
            <w:r>
              <w:rPr>
                <w:rFonts w:hint="eastAsia" w:ascii="宋体" w:hAnsi="宋体" w:cs="宋体"/>
                <w:szCs w:val="21"/>
              </w:rPr>
              <w:t>3</w:t>
            </w:r>
          </w:p>
        </w:tc>
        <w:tc>
          <w:tcPr>
            <w:tcW w:w="8422" w:type="dxa"/>
            <w:vAlign w:val="center"/>
          </w:tcPr>
          <w:p>
            <w:pPr>
              <w:rPr>
                <w:rFonts w:hint="eastAsia" w:ascii="宋体" w:hAnsi="宋体" w:cs="宋体"/>
                <w:szCs w:val="21"/>
              </w:rPr>
            </w:pPr>
            <w:r>
              <w:rPr>
                <w:rFonts w:hint="eastAsia" w:ascii="宋体" w:hAnsi="宋体" w:cs="宋体"/>
                <w:szCs w:val="21"/>
              </w:rPr>
              <w:t>未发现明显抄袭行为。</w:t>
            </w: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29" w:type="dxa"/>
            <w:vAlign w:val="center"/>
          </w:tcPr>
          <w:p>
            <w:pPr>
              <w:jc w:val="center"/>
              <w:rPr>
                <w:rFonts w:hint="eastAsia" w:ascii="宋体" w:hAnsi="宋体" w:cs="宋体"/>
                <w:szCs w:val="21"/>
              </w:rPr>
            </w:pPr>
          </w:p>
        </w:tc>
        <w:tc>
          <w:tcPr>
            <w:tcW w:w="830" w:type="dxa"/>
            <w:vAlign w:val="center"/>
          </w:tcPr>
          <w:p>
            <w:pPr>
              <w:jc w:val="center"/>
              <w:rPr>
                <w:rFonts w:hint="eastAsia" w:ascii="宋体" w:hAnsi="宋体" w:cs="宋体"/>
                <w:szCs w:val="21"/>
              </w:rPr>
            </w:pPr>
          </w:p>
        </w:tc>
      </w:tr>
      <w:bookmarkEnd w:id="11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结论</w:t>
            </w:r>
          </w:p>
        </w:tc>
        <w:tc>
          <w:tcPr>
            <w:tcW w:w="842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是否通过并进入下一阶段评审。</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bl>
    <w:p>
      <w:pPr>
        <w:rPr>
          <w:rFonts w:hint="eastAsia" w:ascii="宋体" w:hAnsi="宋体" w:cs="宋体"/>
          <w:szCs w:val="21"/>
        </w:rPr>
      </w:pPr>
      <w:r>
        <w:rPr>
          <w:rFonts w:hint="eastAsia" w:ascii="宋体" w:hAnsi="宋体" w:cs="宋体"/>
          <w:szCs w:val="21"/>
        </w:rPr>
        <w:t>备注：1.凡出现以上任何一项情形，均为无效，否则就为有效。</w:t>
      </w:r>
    </w:p>
    <w:p>
      <w:pPr>
        <w:ind w:firstLine="630" w:firstLineChars="300"/>
        <w:rPr>
          <w:rFonts w:hint="eastAsia" w:ascii="宋体" w:hAnsi="宋体" w:cs="宋体"/>
          <w:szCs w:val="21"/>
        </w:rPr>
      </w:pPr>
      <w:r>
        <w:rPr>
          <w:rFonts w:hint="eastAsia" w:ascii="宋体" w:hAnsi="宋体" w:cs="宋体"/>
          <w:szCs w:val="21"/>
        </w:rPr>
        <w:t>2.根据本表审查项目，填 “○”或 “×”，评审结论填“通过“或“不通过”。</w:t>
      </w:r>
    </w:p>
    <w:p>
      <w:pPr>
        <w:ind w:firstLine="630" w:firstLineChars="300"/>
        <w:rPr>
          <w:rFonts w:hint="eastAsia" w:ascii="宋体" w:hAnsi="宋体" w:cs="宋体"/>
          <w:szCs w:val="21"/>
        </w:rPr>
      </w:pPr>
      <w:r>
        <w:rPr>
          <w:rFonts w:hint="eastAsia" w:ascii="宋体" w:hAnsi="宋体" w:cs="宋体"/>
          <w:szCs w:val="21"/>
        </w:rPr>
        <w:t>3.本表中出现一个（或以上）“×”，投标人的评审结论为“不通过”，即该投标人不进入下一阶段评审。</w:t>
      </w:r>
    </w:p>
    <w:p>
      <w:pPr>
        <w:ind w:firstLine="630" w:firstLineChars="300"/>
        <w:rPr>
          <w:rFonts w:hint="eastAsia" w:ascii="宋体" w:hAnsi="宋体" w:cs="宋体"/>
          <w:szCs w:val="21"/>
        </w:rPr>
      </w:pPr>
      <w:r>
        <w:rPr>
          <w:rFonts w:hint="eastAsia" w:ascii="宋体" w:hAnsi="宋体" w:cs="宋体"/>
          <w:szCs w:val="21"/>
        </w:rPr>
        <w:t>4.本表中评审项目全部为 “○”，投标人的评审结论为“通过”，即该投标人进入下一阶段评审。</w:t>
      </w:r>
    </w:p>
    <w:p>
      <w:pPr>
        <w:ind w:firstLine="630" w:firstLineChars="300"/>
        <w:rPr>
          <w:rFonts w:hint="eastAsia" w:ascii="宋体" w:hAnsi="宋体" w:cs="宋体"/>
          <w:szCs w:val="21"/>
        </w:rPr>
      </w:pPr>
      <w:r>
        <w:rPr>
          <w:rFonts w:hint="eastAsia" w:ascii="宋体" w:hAnsi="宋体" w:cs="宋体"/>
          <w:szCs w:val="21"/>
        </w:rPr>
        <w:t>5.如对本表中某种情形的评审意见不一致时，以评审组过半数成员的意见作为评审组对该情形的认定结论。</w:t>
      </w:r>
    </w:p>
    <w:p>
      <w:pPr>
        <w:ind w:firstLine="630" w:firstLineChars="300"/>
        <w:rPr>
          <w:rFonts w:ascii="宋体" w:hAnsi="宋体"/>
          <w:szCs w:val="21"/>
        </w:rPr>
      </w:pPr>
      <w:r>
        <w:rPr>
          <w:rFonts w:hint="eastAsia" w:ascii="宋体" w:hAnsi="宋体"/>
          <w:szCs w:val="21"/>
        </w:rPr>
        <w:t>6.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jc w:val="center"/>
        <w:rPr>
          <w:rFonts w:hint="eastAsia" w:ascii="宋体" w:hAnsi="宋体" w:cs="宋体"/>
          <w:szCs w:val="21"/>
        </w:rPr>
        <w:sectPr>
          <w:headerReference r:id="rId7" w:type="default"/>
          <w:footerReference r:id="rId8" w:type="default"/>
          <w:pgSz w:w="16838" w:h="11905" w:orient="landscape"/>
          <w:pgMar w:top="1247" w:right="1247" w:bottom="1247" w:left="1247" w:header="567" w:footer="850" w:gutter="0"/>
          <w:cols w:space="720" w:num="1"/>
          <w:docGrid w:type="lines" w:linePitch="312" w:charSpace="0"/>
        </w:sectPr>
      </w:pPr>
      <w:r>
        <w:rPr>
          <w:rFonts w:hint="eastAsia" w:ascii="宋体" w:hAnsi="宋体" w:cs="宋体"/>
          <w:szCs w:val="21"/>
        </w:rPr>
        <w:t xml:space="preserve">评委签字：                                                                                                     日期：  </w:t>
      </w:r>
    </w:p>
    <w:p>
      <w:pPr>
        <w:jc w:val="left"/>
        <w:rPr>
          <w:rFonts w:hint="eastAsia" w:ascii="宋体" w:hAnsi="宋体" w:cs="宋体"/>
          <w:b/>
          <w:bCs/>
        </w:rPr>
      </w:pPr>
      <w:r>
        <w:rPr>
          <w:rFonts w:hint="eastAsia" w:ascii="宋体" w:hAnsi="宋体" w:cs="宋体"/>
          <w:b/>
          <w:bCs/>
          <w:sz w:val="24"/>
          <w:szCs w:val="24"/>
        </w:rPr>
        <w:t>附表四</w:t>
      </w:r>
    </w:p>
    <w:p>
      <w:pPr>
        <w:jc w:val="center"/>
        <w:rPr>
          <w:rFonts w:ascii="宋体" w:hAnsi="宋体"/>
          <w:b/>
          <w:sz w:val="28"/>
          <w:szCs w:val="28"/>
        </w:rPr>
      </w:pPr>
      <w:r>
        <w:rPr>
          <w:rFonts w:hint="eastAsia" w:ascii="宋体" w:hAnsi="宋体"/>
          <w:b/>
          <w:sz w:val="28"/>
          <w:szCs w:val="28"/>
        </w:rPr>
        <w:t>定标因素表（定标阶段用表）</w:t>
      </w:r>
    </w:p>
    <w:p>
      <w:pPr>
        <w:rPr>
          <w:rFonts w:ascii="宋体" w:hAnsi="宋体"/>
          <w:szCs w:val="21"/>
        </w:rPr>
      </w:pPr>
      <w:r>
        <w:rPr>
          <w:rFonts w:hint="eastAsia" w:ascii="宋体" w:hAnsi="宋体"/>
          <w:szCs w:val="21"/>
        </w:rPr>
        <w:t>工程名称：</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589"/>
        <w:gridCol w:w="7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8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82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定标因素</w:t>
            </w:r>
          </w:p>
        </w:tc>
        <w:tc>
          <w:tcPr>
            <w:tcW w:w="37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定标评价的内容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8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w:t>
            </w:r>
          </w:p>
        </w:tc>
        <w:tc>
          <w:tcPr>
            <w:tcW w:w="825"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cs="宋体"/>
                <w:szCs w:val="21"/>
                <w:u w:val="single"/>
              </w:rPr>
              <w:t>施工管理团队、设计团队</w:t>
            </w:r>
          </w:p>
        </w:tc>
        <w:tc>
          <w:tcPr>
            <w:tcW w:w="3785"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u w:val="single"/>
              </w:rPr>
            </w:pPr>
            <w:r>
              <w:rPr>
                <w:rFonts w:hint="eastAsia" w:ascii="宋体" w:hAnsi="宋体"/>
                <w:szCs w:val="21"/>
                <w:u w:val="single"/>
              </w:rPr>
              <w:t>投标人拟投入本项目的施工管理团队、设计团队人员中人员满足项目需求情况进行综合评价。</w:t>
            </w:r>
          </w:p>
          <w:p>
            <w:pPr>
              <w:rPr>
                <w:rFonts w:hint="eastAsia" w:ascii="宋体" w:hAnsi="宋体"/>
                <w:szCs w:val="21"/>
                <w:u w:val="single"/>
              </w:rPr>
            </w:pPr>
            <w:r>
              <w:rPr>
                <w:rFonts w:hint="eastAsia" w:ascii="宋体" w:hAnsi="宋体"/>
                <w:szCs w:val="21"/>
                <w:u w:val="single"/>
              </w:rPr>
              <w:t>注：1、须提供的相应证书扫描件，否则按无效处理；</w:t>
            </w:r>
          </w:p>
          <w:p>
            <w:pPr>
              <w:rPr>
                <w:rFonts w:ascii="宋体" w:hAnsi="宋体"/>
                <w:szCs w:val="21"/>
                <w:u w:val="single"/>
              </w:rPr>
            </w:pPr>
            <w:r>
              <w:rPr>
                <w:rFonts w:hint="eastAsia" w:ascii="宋体" w:hAnsi="宋体"/>
                <w:szCs w:val="21"/>
                <w:u w:val="single"/>
              </w:rPr>
              <w:t>2、须提供以上人员投标单位近一个月（2025年1</w:t>
            </w:r>
            <w:r>
              <w:rPr>
                <w:rFonts w:hint="eastAsia" w:ascii="宋体" w:hAnsi="宋体"/>
                <w:szCs w:val="21"/>
                <w:u w:val="single"/>
                <w:lang w:val="en-US" w:eastAsia="zh-CN"/>
              </w:rPr>
              <w:t>0</w:t>
            </w:r>
            <w:r>
              <w:rPr>
                <w:rFonts w:hint="eastAsia" w:ascii="宋体" w:hAnsi="宋体"/>
                <w:szCs w:val="21"/>
                <w:u w:val="single"/>
              </w:rPr>
              <w:t>月）为其购买社保的社保证明材料扫描件。若已办理退休手续且继续聘用的，可以用退休证加返聘证明扫描件来代替社保证明。无上述证明的人员不纳入评审范围。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8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w:t>
            </w:r>
          </w:p>
        </w:tc>
        <w:tc>
          <w:tcPr>
            <w:tcW w:w="825" w:type="pct"/>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szCs w:val="21"/>
              </w:rPr>
            </w:pPr>
            <w:r>
              <w:rPr>
                <w:rFonts w:hint="eastAsia" w:ascii="宋体" w:hAnsi="宋体" w:cs="宋体"/>
                <w:szCs w:val="21"/>
                <w:u w:val="single"/>
              </w:rPr>
              <w:t>设计方案</w:t>
            </w:r>
          </w:p>
        </w:tc>
        <w:tc>
          <w:tcPr>
            <w:tcW w:w="3785"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u w:val="single"/>
              </w:rPr>
              <w:t>对投标人的设计方案进行评审。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38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w:t>
            </w:r>
          </w:p>
        </w:tc>
        <w:tc>
          <w:tcPr>
            <w:tcW w:w="825" w:type="pct"/>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szCs w:val="21"/>
                <w:u w:val="single"/>
              </w:rPr>
            </w:pPr>
            <w:r>
              <w:rPr>
                <w:rFonts w:hint="eastAsia" w:ascii="宋体" w:hAnsi="宋体" w:cs="宋体"/>
                <w:szCs w:val="21"/>
                <w:u w:val="single"/>
              </w:rPr>
              <w:t>施工方案</w:t>
            </w:r>
          </w:p>
        </w:tc>
        <w:tc>
          <w:tcPr>
            <w:tcW w:w="3785"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u w:val="single"/>
              </w:rPr>
            </w:pPr>
            <w:r>
              <w:rPr>
                <w:rFonts w:hint="eastAsia" w:ascii="宋体" w:hAnsi="宋体"/>
                <w:szCs w:val="21"/>
                <w:u w:val="single"/>
              </w:rPr>
              <w:t>对投标人的施工方案进行评审，含如下内容：</w:t>
            </w:r>
          </w:p>
          <w:p>
            <w:pPr>
              <w:rPr>
                <w:rFonts w:hint="eastAsia" w:ascii="宋体" w:hAnsi="宋体"/>
                <w:szCs w:val="21"/>
                <w:u w:val="single"/>
              </w:rPr>
            </w:pPr>
            <w:r>
              <w:rPr>
                <w:rFonts w:hint="eastAsia" w:ascii="宋体" w:hAnsi="宋体"/>
                <w:szCs w:val="21"/>
                <w:u w:val="single"/>
              </w:rPr>
              <w:t>1、项目概况及特点分析；</w:t>
            </w:r>
          </w:p>
          <w:p>
            <w:pPr>
              <w:rPr>
                <w:rFonts w:hint="eastAsia" w:ascii="宋体" w:hAnsi="宋体"/>
                <w:szCs w:val="21"/>
                <w:u w:val="single"/>
              </w:rPr>
            </w:pPr>
            <w:r>
              <w:rPr>
                <w:rFonts w:hint="eastAsia" w:ascii="宋体" w:hAnsi="宋体"/>
                <w:szCs w:val="21"/>
                <w:u w:val="single"/>
              </w:rPr>
              <w:t>2、对工程重点、难点的分析及对策；</w:t>
            </w:r>
          </w:p>
          <w:p>
            <w:pPr>
              <w:rPr>
                <w:rFonts w:hint="eastAsia" w:ascii="宋体" w:hAnsi="宋体"/>
                <w:szCs w:val="21"/>
                <w:u w:val="single"/>
              </w:rPr>
            </w:pPr>
            <w:r>
              <w:rPr>
                <w:rFonts w:hint="eastAsia" w:ascii="宋体" w:hAnsi="宋体"/>
                <w:szCs w:val="21"/>
                <w:u w:val="single"/>
              </w:rPr>
              <w:t>3、施工组织方案与技术措施；</w:t>
            </w:r>
          </w:p>
          <w:p>
            <w:pPr>
              <w:rPr>
                <w:rFonts w:hint="eastAsia" w:ascii="宋体" w:hAnsi="宋体"/>
                <w:szCs w:val="21"/>
                <w:u w:val="single"/>
              </w:rPr>
            </w:pPr>
            <w:r>
              <w:rPr>
                <w:rFonts w:hint="eastAsia" w:ascii="宋体" w:hAnsi="宋体"/>
                <w:szCs w:val="21"/>
                <w:u w:val="single"/>
              </w:rPr>
              <w:t>4、施工资源需求计划；</w:t>
            </w:r>
          </w:p>
          <w:p>
            <w:pPr>
              <w:rPr>
                <w:rFonts w:hint="eastAsia" w:ascii="宋体" w:hAnsi="宋体"/>
                <w:szCs w:val="21"/>
                <w:u w:val="single"/>
              </w:rPr>
            </w:pPr>
            <w:r>
              <w:rPr>
                <w:rFonts w:hint="eastAsia" w:ascii="宋体" w:hAnsi="宋体"/>
                <w:szCs w:val="21"/>
                <w:u w:val="single"/>
              </w:rPr>
              <w:t>5、施工工期管理策划；</w:t>
            </w:r>
          </w:p>
          <w:p>
            <w:pPr>
              <w:rPr>
                <w:rFonts w:hint="eastAsia" w:ascii="宋体" w:hAnsi="宋体"/>
                <w:szCs w:val="21"/>
                <w:u w:val="single"/>
              </w:rPr>
            </w:pPr>
            <w:r>
              <w:rPr>
                <w:rFonts w:hint="eastAsia" w:ascii="宋体" w:hAnsi="宋体"/>
                <w:szCs w:val="21"/>
                <w:u w:val="single"/>
              </w:rPr>
              <w:t>6、质量控制措施；</w:t>
            </w:r>
          </w:p>
          <w:p>
            <w:pPr>
              <w:rPr>
                <w:rFonts w:hint="eastAsia" w:ascii="宋体" w:hAnsi="宋体"/>
                <w:szCs w:val="21"/>
                <w:u w:val="single"/>
              </w:rPr>
            </w:pPr>
            <w:r>
              <w:rPr>
                <w:rFonts w:hint="eastAsia" w:ascii="宋体" w:hAnsi="宋体"/>
                <w:szCs w:val="21"/>
                <w:u w:val="single"/>
              </w:rPr>
              <w:t>7、安全环保、文明施工等保障措施；</w:t>
            </w:r>
          </w:p>
          <w:p>
            <w:pPr>
              <w:rPr>
                <w:rFonts w:hint="eastAsia"/>
              </w:rPr>
            </w:pPr>
            <w:r>
              <w:rPr>
                <w:rFonts w:hint="eastAsia" w:ascii="宋体" w:hAnsi="宋体"/>
                <w:szCs w:val="21"/>
                <w:u w:val="single"/>
              </w:rPr>
              <w:t>8、施工场地成品保护方案。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8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4</w:t>
            </w:r>
          </w:p>
        </w:tc>
        <w:tc>
          <w:tcPr>
            <w:tcW w:w="825"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cs="宋体"/>
                <w:szCs w:val="21"/>
                <w:u w:val="single"/>
              </w:rPr>
              <w:t>投标报价</w:t>
            </w:r>
          </w:p>
        </w:tc>
        <w:tc>
          <w:tcPr>
            <w:tcW w:w="3785" w:type="pct"/>
            <w:tcBorders>
              <w:top w:val="single" w:color="auto" w:sz="4" w:space="0"/>
              <w:left w:val="single" w:color="auto" w:sz="4" w:space="0"/>
              <w:bottom w:val="single" w:color="auto" w:sz="4" w:space="0"/>
              <w:right w:val="single" w:color="auto" w:sz="4" w:space="0"/>
            </w:tcBorders>
            <w:vAlign w:val="center"/>
          </w:tcPr>
          <w:p>
            <w:pPr>
              <w:pStyle w:val="2"/>
              <w:rPr>
                <w:rFonts w:ascii="宋体" w:hAnsi="宋体"/>
                <w:szCs w:val="21"/>
              </w:rPr>
            </w:pPr>
            <w:r>
              <w:rPr>
                <w:rFonts w:hint="eastAsia" w:ascii="宋体" w:hAnsi="宋体" w:cs="宋体"/>
                <w:szCs w:val="21"/>
                <w:u w:val="single"/>
              </w:rPr>
              <w:t>对投标报价进行评审：结合设计方案及施工方案，对投标报价的合理性进行评审。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89" w:type="pct"/>
            <w:vMerge w:val="restart"/>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5</w:t>
            </w:r>
          </w:p>
        </w:tc>
        <w:tc>
          <w:tcPr>
            <w:tcW w:w="825" w:type="pct"/>
            <w:vMerge w:val="restart"/>
            <w:tcBorders>
              <w:top w:val="single" w:color="auto" w:sz="4" w:space="0"/>
              <w:left w:val="single" w:color="auto" w:sz="4" w:space="0"/>
              <w:right w:val="single" w:color="auto" w:sz="4" w:space="0"/>
            </w:tcBorders>
            <w:vAlign w:val="center"/>
          </w:tcPr>
          <w:p>
            <w:pPr>
              <w:jc w:val="left"/>
              <w:rPr>
                <w:rFonts w:hint="eastAsia" w:ascii="宋体" w:hAnsi="宋体" w:cs="宋体"/>
                <w:szCs w:val="21"/>
                <w:u w:val="single"/>
              </w:rPr>
            </w:pPr>
            <w:r>
              <w:rPr>
                <w:rFonts w:hint="eastAsia" w:ascii="宋体" w:hAnsi="宋体" w:cs="宋体"/>
                <w:szCs w:val="21"/>
                <w:u w:val="single"/>
              </w:rPr>
              <w:t>企业资信</w:t>
            </w:r>
          </w:p>
        </w:tc>
        <w:tc>
          <w:tcPr>
            <w:tcW w:w="3785" w:type="pct"/>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szCs w:val="21"/>
                <w:u w:val="single"/>
              </w:rPr>
            </w:pPr>
            <w:r>
              <w:rPr>
                <w:rFonts w:hint="eastAsia" w:ascii="宋体" w:hAnsi="宋体" w:cs="宋体"/>
                <w:szCs w:val="21"/>
                <w:u w:val="single"/>
              </w:rPr>
              <w:t>企业业绩：</w:t>
            </w:r>
          </w:p>
          <w:p>
            <w:pPr>
              <w:jc w:val="left"/>
              <w:rPr>
                <w:rFonts w:hint="eastAsia" w:ascii="宋体" w:hAnsi="宋体" w:cs="宋体"/>
                <w:szCs w:val="21"/>
                <w:shd w:val="clear" w:color="auto" w:fill="FFFFFF"/>
              </w:rPr>
            </w:pPr>
            <w:r>
              <w:rPr>
                <w:rFonts w:hint="eastAsia" w:ascii="宋体" w:hAnsi="宋体" w:cs="宋体"/>
                <w:szCs w:val="21"/>
                <w:shd w:val="clear" w:color="auto" w:fill="FFFFFF"/>
              </w:rPr>
              <w:t>1、投标人（若为联合体投标，指联合体主办方）自2020年1月1日至投标截止时间止，完成过建筑面积≥10万m2或工程造价≥30000万元的建筑工程施工总承包（含施工总承包业绩或工程总承包业绩中施工部分）业绩。请自行选择不超过5个有代表性的业绩提供。</w:t>
            </w:r>
          </w:p>
          <w:p>
            <w:pPr>
              <w:jc w:val="left"/>
              <w:rPr>
                <w:rFonts w:hint="eastAsia" w:ascii="宋体" w:hAnsi="宋体" w:cs="宋体"/>
                <w:szCs w:val="21"/>
                <w:u w:val="single"/>
              </w:rPr>
            </w:pPr>
            <w:r>
              <w:rPr>
                <w:rFonts w:hint="eastAsia" w:ascii="宋体" w:hAnsi="宋体" w:cs="宋体"/>
                <w:szCs w:val="21"/>
                <w:shd w:val="clear" w:color="auto" w:fill="FFFFFF"/>
              </w:rPr>
              <w:t>注：投标人需同时提供中标通知书（或免招标证明）、合同关键页和竣工验收报告或竣工验收证明或竣工验收备案表等竣工验收文件（验收文件具有建设单位、设计、施工和监理单位盖章）扫描件；时间以竣工验收文件为准，合同金额以中标通知书为准，中标通知书上没有金额或免招标的，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89" w:type="pct"/>
            <w:vMerge w:val="continue"/>
            <w:tcBorders>
              <w:left w:val="single" w:color="auto" w:sz="4" w:space="0"/>
              <w:right w:val="single" w:color="auto" w:sz="4" w:space="0"/>
            </w:tcBorders>
            <w:vAlign w:val="center"/>
          </w:tcPr>
          <w:p>
            <w:pPr>
              <w:jc w:val="center"/>
              <w:rPr>
                <w:rFonts w:hint="eastAsia" w:ascii="宋体" w:hAnsi="宋体"/>
                <w:szCs w:val="21"/>
              </w:rPr>
            </w:pPr>
          </w:p>
        </w:tc>
        <w:tc>
          <w:tcPr>
            <w:tcW w:w="825" w:type="pct"/>
            <w:vMerge w:val="continue"/>
            <w:tcBorders>
              <w:left w:val="single" w:color="auto" w:sz="4" w:space="0"/>
              <w:right w:val="single" w:color="auto" w:sz="4" w:space="0"/>
            </w:tcBorders>
            <w:vAlign w:val="center"/>
          </w:tcPr>
          <w:p>
            <w:pPr>
              <w:jc w:val="left"/>
              <w:rPr>
                <w:rFonts w:hint="eastAsia" w:ascii="宋体" w:hAnsi="宋体" w:cs="宋体"/>
                <w:szCs w:val="21"/>
                <w:u w:val="single"/>
              </w:rPr>
            </w:pPr>
          </w:p>
        </w:tc>
        <w:tc>
          <w:tcPr>
            <w:tcW w:w="3785" w:type="pct"/>
            <w:tcBorders>
              <w:top w:val="single" w:color="auto" w:sz="4" w:space="0"/>
              <w:left w:val="single" w:color="auto" w:sz="4" w:space="0"/>
              <w:bottom w:val="single" w:color="auto" w:sz="4" w:space="0"/>
              <w:right w:val="single" w:color="auto" w:sz="4" w:space="0"/>
            </w:tcBorders>
            <w:vAlign w:val="center"/>
          </w:tcPr>
          <w:p>
            <w:pPr>
              <w:pStyle w:val="5"/>
              <w:spacing w:after="0"/>
              <w:rPr>
                <w:rFonts w:hint="eastAsia" w:ascii="宋体" w:hAnsi="宋体" w:cs="宋体"/>
                <w:szCs w:val="21"/>
                <w:u w:val="single"/>
              </w:rPr>
            </w:pPr>
            <w:r>
              <w:rPr>
                <w:rFonts w:hint="eastAsia" w:ascii="宋体" w:hAnsi="宋体" w:cs="宋体"/>
                <w:szCs w:val="21"/>
                <w:u w:val="single"/>
              </w:rPr>
              <w:t>企业奖项：</w:t>
            </w:r>
          </w:p>
          <w:p>
            <w:pPr>
              <w:pStyle w:val="5"/>
              <w:spacing w:after="0"/>
              <w:rPr>
                <w:rFonts w:hint="eastAsia" w:ascii="宋体" w:hAnsi="宋体" w:cs="宋体"/>
                <w:szCs w:val="21"/>
                <w:shd w:val="clear" w:color="auto" w:fill="FFFFFF"/>
              </w:rPr>
            </w:pPr>
            <w:r>
              <w:rPr>
                <w:rFonts w:hint="eastAsia" w:ascii="宋体" w:hAnsi="宋体" w:cs="宋体"/>
                <w:szCs w:val="21"/>
                <w:shd w:val="clear" w:color="auto" w:fill="FFFFFF"/>
              </w:rPr>
              <w:t>1、投标人（若为联合体投标，指联合体主办方）自2020年1月1日至投标截止时间止，已竣工的建筑工程施工业绩（含施工总承包业绩或工程总承包业绩），获得市级及以上的工程质量奖项。请自行选择不超过5个符合本次招标资质方能承接的有代表性的项目奖项提供。</w:t>
            </w:r>
          </w:p>
          <w:p>
            <w:pPr>
              <w:jc w:val="left"/>
              <w:rPr>
                <w:rFonts w:hint="eastAsia" w:ascii="宋体" w:hAnsi="宋体" w:cs="宋体"/>
                <w:szCs w:val="21"/>
                <w:u w:val="single"/>
              </w:rPr>
            </w:pPr>
            <w:r>
              <w:rPr>
                <w:rFonts w:hint="eastAsia" w:ascii="宋体" w:hAnsi="宋体" w:cs="宋体"/>
                <w:szCs w:val="21"/>
              </w:rPr>
              <w:t>注：工程质量奖项需提供获奖证书扫描件，时间以获奖证书发证时间为准，相同项目按最高级别奖项只计一次得分。国家级质量奖包括：鲁班奖、或国家优质工程金质奖（金奖）、或国家优质工程奖、或中国土木工程詹天佑奖。只计算房建类质量奖（不含参建），其他非房建项目，如：路桥、铁路、水利、电力、化工、冶金、市政、港口航道等的获奖不参与计分，奖项不含安全文明、绿色施工、技术创新QC成果及技术应用、钢结构、机电安装、装饰类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89" w:type="pct"/>
            <w:vMerge w:val="continue"/>
            <w:tcBorders>
              <w:left w:val="single" w:color="auto" w:sz="4" w:space="0"/>
              <w:right w:val="single" w:color="auto" w:sz="4" w:space="0"/>
            </w:tcBorders>
            <w:vAlign w:val="center"/>
          </w:tcPr>
          <w:p>
            <w:pPr>
              <w:jc w:val="center"/>
              <w:rPr>
                <w:rFonts w:hint="eastAsia" w:ascii="宋体" w:hAnsi="宋体"/>
                <w:szCs w:val="21"/>
              </w:rPr>
            </w:pPr>
          </w:p>
        </w:tc>
        <w:tc>
          <w:tcPr>
            <w:tcW w:w="825" w:type="pct"/>
            <w:vMerge w:val="continue"/>
            <w:tcBorders>
              <w:left w:val="single" w:color="auto" w:sz="4" w:space="0"/>
              <w:right w:val="single" w:color="auto" w:sz="4" w:space="0"/>
            </w:tcBorders>
            <w:vAlign w:val="center"/>
          </w:tcPr>
          <w:p>
            <w:pPr>
              <w:jc w:val="left"/>
              <w:rPr>
                <w:rFonts w:hint="eastAsia" w:ascii="宋体" w:hAnsi="宋体" w:cs="宋体"/>
                <w:szCs w:val="21"/>
                <w:u w:val="single"/>
              </w:rPr>
            </w:pPr>
          </w:p>
        </w:tc>
        <w:tc>
          <w:tcPr>
            <w:tcW w:w="3785" w:type="pct"/>
            <w:tcBorders>
              <w:top w:val="single" w:color="auto" w:sz="4" w:space="0"/>
              <w:left w:val="single" w:color="auto" w:sz="4" w:space="0"/>
              <w:bottom w:val="single" w:color="auto" w:sz="4" w:space="0"/>
              <w:right w:val="single" w:color="auto" w:sz="4" w:space="0"/>
            </w:tcBorders>
            <w:vAlign w:val="center"/>
          </w:tcPr>
          <w:p>
            <w:pPr>
              <w:pStyle w:val="180"/>
              <w:widowControl/>
              <w:tabs>
                <w:tab w:val="left" w:pos="6398"/>
              </w:tabs>
              <w:rPr>
                <w:sz w:val="21"/>
                <w:szCs w:val="21"/>
                <w:shd w:val="clear" w:color="auto" w:fill="FFFFFF"/>
              </w:rPr>
            </w:pPr>
            <w:r>
              <w:rPr>
                <w:sz w:val="21"/>
                <w:szCs w:val="21"/>
                <w:shd w:val="clear" w:color="auto" w:fill="FFFFFF"/>
              </w:rPr>
              <w:t>工程研发能力：</w:t>
            </w:r>
          </w:p>
          <w:p>
            <w:pPr>
              <w:pStyle w:val="180"/>
              <w:widowControl/>
              <w:tabs>
                <w:tab w:val="left" w:pos="6398"/>
              </w:tabs>
              <w:rPr>
                <w:sz w:val="21"/>
                <w:szCs w:val="21"/>
                <w:shd w:val="clear" w:color="auto" w:fill="FFFFFF"/>
              </w:rPr>
            </w:pPr>
            <w:r>
              <w:rPr>
                <w:sz w:val="21"/>
                <w:szCs w:val="21"/>
                <w:shd w:val="clear" w:color="auto" w:fill="FFFFFF"/>
              </w:rPr>
              <w:t>1、投标人（若为联合体投标，指联合体主办方）自2020年1月1日至今获得过建筑工程类省级或以上工法。请自行选择不超过5个符合建筑工程类项目具体特点的工法提供。</w:t>
            </w:r>
          </w:p>
          <w:p>
            <w:pPr>
              <w:pStyle w:val="180"/>
              <w:widowControl/>
              <w:tabs>
                <w:tab w:val="left" w:pos="6398"/>
              </w:tabs>
              <w:rPr>
                <w:sz w:val="21"/>
                <w:szCs w:val="21"/>
                <w:shd w:val="clear" w:color="auto" w:fill="FFFFFF"/>
              </w:rPr>
            </w:pPr>
            <w:r>
              <w:rPr>
                <w:sz w:val="21"/>
                <w:szCs w:val="21"/>
                <w:shd w:val="clear" w:color="auto" w:fill="FFFFFF"/>
              </w:rPr>
              <w:t>2、投标人（若为联合体投标，指联合体参与方）自2020年1月1日至今获得过</w:t>
            </w:r>
            <w:r>
              <w:rPr>
                <w:sz w:val="21"/>
                <w:szCs w:val="21"/>
              </w:rPr>
              <w:t>省级（或以上）建筑工程类科学技术进步奖或科学技术奖。</w:t>
            </w:r>
            <w:r>
              <w:rPr>
                <w:sz w:val="21"/>
                <w:szCs w:val="21"/>
                <w:shd w:val="clear" w:color="auto" w:fill="FFFFFF"/>
              </w:rPr>
              <w:t>请自行选择不超过5个符合建筑工程类具体特点的</w:t>
            </w:r>
            <w:r>
              <w:rPr>
                <w:sz w:val="21"/>
                <w:szCs w:val="21"/>
              </w:rPr>
              <w:t>科学技术进步奖或科学技术奖</w:t>
            </w:r>
            <w:r>
              <w:rPr>
                <w:sz w:val="21"/>
                <w:szCs w:val="21"/>
                <w:shd w:val="clear" w:color="auto" w:fill="FFFFFF"/>
              </w:rPr>
              <w:t>提供。</w:t>
            </w:r>
          </w:p>
          <w:p>
            <w:pPr>
              <w:pStyle w:val="180"/>
              <w:widowControl/>
              <w:tabs>
                <w:tab w:val="left" w:pos="6398"/>
              </w:tabs>
              <w:rPr>
                <w:sz w:val="21"/>
                <w:szCs w:val="21"/>
              </w:rPr>
            </w:pPr>
            <w:r>
              <w:rPr>
                <w:sz w:val="21"/>
                <w:szCs w:val="21"/>
              </w:rPr>
              <w:t>注：（1）房建类工法：投标人须提供建设行政主管部门或行业协会或学会（行业协会或学会须在民政管理部门登记备案）或其他工法主管部门颁发的工法证书的清晰扫描件。时间以工法证书颁发时间为准。获奖单位必须与投标单位名称一致，子、分公司获奖均不予计算。同一工法获得多个奖项的，该工法奖项只按其中一个奖项所在最高级别计算一次分数，不得重复计算。</w:t>
            </w:r>
          </w:p>
          <w:p>
            <w:pPr>
              <w:jc w:val="left"/>
              <w:rPr>
                <w:rFonts w:hint="eastAsia" w:ascii="宋体" w:hAnsi="宋体" w:cs="宋体"/>
                <w:szCs w:val="21"/>
                <w:u w:val="single"/>
              </w:rPr>
            </w:pPr>
            <w:r>
              <w:rPr>
                <w:rFonts w:hint="eastAsia" w:ascii="宋体" w:hAnsi="宋体" w:cs="宋体"/>
                <w:szCs w:val="21"/>
              </w:rPr>
              <w:t xml:space="preserve">   （2）房建类科学技术奖项：</w:t>
            </w:r>
            <w:r>
              <w:rPr>
                <w:rFonts w:hint="eastAsia" w:ascii="宋体" w:hAnsi="宋体" w:cs="宋体"/>
                <w:szCs w:val="21"/>
                <w:lang w:bidi="ar"/>
              </w:rPr>
              <w:t>投标人须提供省级（或以上）人民政府或建设行政主管部门或行业协会或学会（行业协会或学会须在民政管理部门登记备案）颁发的省级（或以上）科学技术进步奖或科学技术奖证书的清晰扫描件。时间以获奖证书时间为准。获奖单位必须与投标单位名称一致，子、分公司获奖均不予计算。同一科学技术成果获得多个奖项的，该奖项只按其中一个奖项所在最高级别计算一次分数，不得重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89" w:type="pct"/>
            <w:vMerge w:val="continue"/>
            <w:tcBorders>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825" w:type="pct"/>
            <w:vMerge w:val="continue"/>
            <w:tcBorders>
              <w:left w:val="single" w:color="auto" w:sz="4" w:space="0"/>
              <w:bottom w:val="single" w:color="auto" w:sz="4" w:space="0"/>
              <w:right w:val="single" w:color="auto" w:sz="4" w:space="0"/>
            </w:tcBorders>
            <w:vAlign w:val="center"/>
          </w:tcPr>
          <w:p>
            <w:pPr>
              <w:jc w:val="left"/>
              <w:rPr>
                <w:rFonts w:hint="eastAsia" w:ascii="宋体" w:hAnsi="宋体" w:cs="宋体"/>
                <w:szCs w:val="21"/>
                <w:u w:val="single"/>
              </w:rPr>
            </w:pPr>
          </w:p>
        </w:tc>
        <w:tc>
          <w:tcPr>
            <w:tcW w:w="3785" w:type="pct"/>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szCs w:val="21"/>
              </w:rPr>
            </w:pPr>
            <w:r>
              <w:rPr>
                <w:rFonts w:hint="eastAsia" w:ascii="宋体" w:hAnsi="宋体" w:cs="宋体"/>
                <w:szCs w:val="21"/>
              </w:rPr>
              <w:t>纳税情况：</w:t>
            </w:r>
          </w:p>
          <w:p>
            <w:pPr>
              <w:jc w:val="left"/>
              <w:rPr>
                <w:rFonts w:hint="eastAsia" w:ascii="宋体" w:hAnsi="宋体" w:cs="宋体"/>
                <w:szCs w:val="21"/>
              </w:rPr>
            </w:pPr>
            <w:r>
              <w:rPr>
                <w:rFonts w:hint="eastAsia" w:ascii="宋体" w:hAnsi="宋体" w:cs="宋体"/>
                <w:szCs w:val="21"/>
              </w:rPr>
              <w:t>投标人</w:t>
            </w:r>
            <w:r>
              <w:rPr>
                <w:rFonts w:hint="eastAsia" w:ascii="宋体" w:hAnsi="宋体" w:cs="宋体"/>
                <w:szCs w:val="21"/>
                <w:shd w:val="clear" w:color="auto" w:fill="FFFFFF"/>
              </w:rPr>
              <w:t>（若为联合体投标，指联合体主办方）</w:t>
            </w:r>
            <w:r>
              <w:rPr>
                <w:rFonts w:hint="eastAsia" w:ascii="宋体" w:hAnsi="宋体" w:cs="宋体"/>
                <w:szCs w:val="21"/>
              </w:rPr>
              <w:t>连续5个年度获得“纳税信用A级纳税人”称号的情况（须含2024评审年度）。</w:t>
            </w:r>
          </w:p>
          <w:p>
            <w:pPr>
              <w:jc w:val="left"/>
              <w:rPr>
                <w:rFonts w:hint="eastAsia" w:ascii="宋体" w:hAnsi="宋体" w:cs="宋体"/>
                <w:szCs w:val="21"/>
                <w:u w:val="single"/>
              </w:rPr>
            </w:pPr>
            <w:r>
              <w:rPr>
                <w:rFonts w:hint="eastAsia" w:ascii="宋体" w:hAnsi="宋体" w:cs="宋体"/>
                <w:szCs w:val="21"/>
              </w:rPr>
              <w:t>注：投标人须同时提交纳税信用A级纳税人证书扫描件或省级或以上国家税务局官网（含在国家税务局官网单列的城市）纳税信用信息查询结果（查询结果只计算投标人自身，不计算投标人的分公司、子公司和分支机构）的网页截图，并加盖投标单位电子印章。时间以证书或查询结果网页截图上注明的公示评价（评定）年度为准。</w:t>
            </w:r>
          </w:p>
        </w:tc>
      </w:tr>
    </w:tbl>
    <w:p>
      <w:pPr>
        <w:jc w:val="left"/>
        <w:rPr>
          <w:rFonts w:hint="eastAsia" w:ascii="宋体" w:hAnsi="宋体" w:cs="宋体"/>
          <w:sz w:val="20"/>
        </w:rPr>
        <w:sectPr>
          <w:pgSz w:w="11905" w:h="16838"/>
          <w:pgMar w:top="1247" w:right="1247" w:bottom="1247" w:left="1247" w:header="567" w:footer="850" w:gutter="0"/>
          <w:cols w:space="720" w:num="1"/>
          <w:docGrid w:type="lines" w:linePitch="312" w:charSpace="0"/>
        </w:sectPr>
      </w:pPr>
    </w:p>
    <w:p>
      <w:pPr>
        <w:jc w:val="center"/>
        <w:rPr>
          <w:b/>
          <w:bCs/>
          <w:sz w:val="36"/>
          <w:szCs w:val="36"/>
        </w:rPr>
      </w:pPr>
      <w:r>
        <w:rPr>
          <w:rFonts w:hint="eastAsia" w:ascii="仿宋" w:hAnsi="仿宋" w:eastAsia="仿宋" w:cs="仿宋"/>
          <w:b/>
          <w:sz w:val="28"/>
        </w:rPr>
        <w:t>总包现场管理人员配置要求</w:t>
      </w:r>
    </w:p>
    <w:tbl>
      <w:tblPr>
        <w:tblStyle w:val="4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3"/>
        <w:gridCol w:w="1200"/>
        <w:gridCol w:w="1061"/>
        <w:gridCol w:w="2435"/>
        <w:gridCol w:w="1131"/>
        <w:gridCol w:w="1491"/>
        <w:gridCol w:w="1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373" w:type="pct"/>
            <w:vAlign w:val="center"/>
          </w:tcPr>
          <w:p>
            <w:pPr>
              <w:pStyle w:val="132"/>
              <w:ind w:left="173"/>
              <w:jc w:val="center"/>
              <w:rPr>
                <w:rFonts w:ascii="宋体" w:hAnsi="宋体" w:eastAsia="宋体" w:cs="宋体"/>
                <w:b/>
                <w:sz w:val="21"/>
                <w:szCs w:val="21"/>
              </w:rPr>
            </w:pPr>
            <w:r>
              <w:rPr>
                <w:rFonts w:hint="eastAsia" w:ascii="宋体" w:hAnsi="宋体" w:eastAsia="宋体" w:cs="宋体"/>
                <w:b/>
                <w:sz w:val="21"/>
                <w:szCs w:val="21"/>
              </w:rPr>
              <w:t>序号</w:t>
            </w:r>
          </w:p>
        </w:tc>
        <w:tc>
          <w:tcPr>
            <w:tcW w:w="637" w:type="pct"/>
            <w:vAlign w:val="center"/>
          </w:tcPr>
          <w:p>
            <w:pPr>
              <w:pStyle w:val="132"/>
              <w:ind w:left="129"/>
              <w:jc w:val="center"/>
              <w:rPr>
                <w:rFonts w:ascii="宋体" w:hAnsi="宋体" w:eastAsia="宋体" w:cs="宋体"/>
                <w:b/>
                <w:sz w:val="21"/>
                <w:szCs w:val="21"/>
              </w:rPr>
            </w:pPr>
            <w:r>
              <w:rPr>
                <w:rFonts w:hint="eastAsia" w:ascii="宋体" w:hAnsi="宋体" w:eastAsia="宋体" w:cs="宋体"/>
                <w:b/>
                <w:sz w:val="21"/>
                <w:szCs w:val="21"/>
              </w:rPr>
              <w:t>人员岗位</w:t>
            </w:r>
          </w:p>
        </w:tc>
        <w:tc>
          <w:tcPr>
            <w:tcW w:w="563" w:type="pct"/>
            <w:vAlign w:val="center"/>
          </w:tcPr>
          <w:p>
            <w:pPr>
              <w:pStyle w:val="132"/>
              <w:keepNext w:val="0"/>
              <w:keepLines w:val="0"/>
              <w:pageBreakBefore w:val="0"/>
              <w:widowControl w:val="0"/>
              <w:kinsoku/>
              <w:wordWrap/>
              <w:overflowPunct/>
              <w:topLinePunct w:val="0"/>
              <w:autoSpaceDE w:val="0"/>
              <w:autoSpaceDN w:val="0"/>
              <w:bidi w:val="0"/>
              <w:adjustRightInd/>
              <w:snapToGrid/>
              <w:jc w:val="center"/>
              <w:textAlignment w:val="auto"/>
              <w:rPr>
                <w:rFonts w:ascii="宋体" w:hAnsi="宋体" w:eastAsia="宋体" w:cs="宋体"/>
                <w:b/>
                <w:sz w:val="21"/>
                <w:szCs w:val="21"/>
              </w:rPr>
            </w:pPr>
            <w:r>
              <w:rPr>
                <w:rFonts w:hint="eastAsia" w:ascii="宋体" w:hAnsi="宋体" w:eastAsia="宋体" w:cs="宋体"/>
                <w:b/>
                <w:sz w:val="21"/>
                <w:szCs w:val="21"/>
              </w:rPr>
              <w:t>人员数量</w:t>
            </w:r>
          </w:p>
        </w:tc>
        <w:tc>
          <w:tcPr>
            <w:tcW w:w="1292" w:type="pct"/>
            <w:vAlign w:val="center"/>
          </w:tcPr>
          <w:p>
            <w:pPr>
              <w:pStyle w:val="132"/>
              <w:keepNext w:val="0"/>
              <w:keepLines w:val="0"/>
              <w:pageBreakBefore w:val="0"/>
              <w:widowControl w:val="0"/>
              <w:kinsoku/>
              <w:wordWrap/>
              <w:overflowPunct/>
              <w:topLinePunct w:val="0"/>
              <w:autoSpaceDE w:val="0"/>
              <w:autoSpaceDN w:val="0"/>
              <w:bidi w:val="0"/>
              <w:adjustRightInd/>
              <w:snapToGrid/>
              <w:spacing w:before="2"/>
              <w:ind w:right="285"/>
              <w:jc w:val="center"/>
              <w:textAlignment w:val="auto"/>
              <w:rPr>
                <w:rFonts w:hint="eastAsia" w:ascii="宋体" w:hAnsi="宋体" w:eastAsia="宋体" w:cs="宋体"/>
                <w:b/>
                <w:sz w:val="21"/>
                <w:szCs w:val="21"/>
              </w:rPr>
            </w:pPr>
            <w:r>
              <w:rPr>
                <w:rFonts w:hint="eastAsia" w:ascii="宋体" w:hAnsi="宋体" w:eastAsia="宋体" w:cs="宋体"/>
                <w:b/>
                <w:sz w:val="21"/>
                <w:szCs w:val="21"/>
              </w:rPr>
              <w:t>人员要求</w:t>
            </w:r>
          </w:p>
          <w:p>
            <w:pPr>
              <w:pStyle w:val="132"/>
              <w:keepNext w:val="0"/>
              <w:keepLines w:val="0"/>
              <w:pageBreakBefore w:val="0"/>
              <w:widowControl w:val="0"/>
              <w:kinsoku/>
              <w:wordWrap/>
              <w:overflowPunct/>
              <w:topLinePunct w:val="0"/>
              <w:autoSpaceDE w:val="0"/>
              <w:autoSpaceDN w:val="0"/>
              <w:bidi w:val="0"/>
              <w:adjustRightInd/>
              <w:snapToGrid/>
              <w:spacing w:before="2"/>
              <w:ind w:right="285"/>
              <w:jc w:val="center"/>
              <w:textAlignment w:val="auto"/>
              <w:rPr>
                <w:rFonts w:ascii="宋体" w:hAnsi="宋体" w:eastAsia="宋体" w:cs="宋体"/>
                <w:b/>
                <w:sz w:val="21"/>
                <w:szCs w:val="21"/>
              </w:rPr>
            </w:pPr>
            <w:r>
              <w:rPr>
                <w:rFonts w:hint="eastAsia" w:ascii="宋体" w:hAnsi="宋体" w:eastAsia="宋体" w:cs="宋体"/>
                <w:b/>
                <w:sz w:val="21"/>
                <w:szCs w:val="21"/>
              </w:rPr>
              <w:t>（工作经验、执业资格）</w:t>
            </w:r>
          </w:p>
        </w:tc>
        <w:tc>
          <w:tcPr>
            <w:tcW w:w="1391" w:type="pct"/>
            <w:gridSpan w:val="2"/>
            <w:vAlign w:val="center"/>
          </w:tcPr>
          <w:p>
            <w:pPr>
              <w:pStyle w:val="132"/>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本项目</w:t>
            </w:r>
            <w:r>
              <w:rPr>
                <w:rFonts w:hint="eastAsia" w:ascii="宋体" w:hAnsi="宋体" w:eastAsia="宋体" w:cs="宋体"/>
                <w:b/>
                <w:sz w:val="21"/>
                <w:szCs w:val="21"/>
              </w:rPr>
              <w:t>在岗时间</w:t>
            </w:r>
          </w:p>
        </w:tc>
        <w:tc>
          <w:tcPr>
            <w:tcW w:w="741" w:type="pct"/>
            <w:vAlign w:val="center"/>
          </w:tcPr>
          <w:p>
            <w:pPr>
              <w:pStyle w:val="132"/>
              <w:ind w:right="765"/>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 xml:space="preserve"> 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73" w:type="pct"/>
            <w:vAlign w:val="center"/>
          </w:tcPr>
          <w:p>
            <w:pPr>
              <w:pStyle w:val="132"/>
              <w:jc w:val="center"/>
              <w:rPr>
                <w:rFonts w:ascii="宋体" w:hAnsi="宋体" w:eastAsia="宋体" w:cs="宋体"/>
                <w:sz w:val="21"/>
                <w:szCs w:val="21"/>
              </w:rPr>
            </w:pPr>
            <w:r>
              <w:rPr>
                <w:rFonts w:hint="eastAsia" w:ascii="宋体" w:hAnsi="宋体" w:eastAsia="宋体" w:cs="宋体"/>
                <w:sz w:val="21"/>
                <w:szCs w:val="21"/>
              </w:rPr>
              <w:t>1</w:t>
            </w:r>
          </w:p>
        </w:tc>
        <w:tc>
          <w:tcPr>
            <w:tcW w:w="637" w:type="pct"/>
            <w:vAlign w:val="center"/>
          </w:tcPr>
          <w:p>
            <w:pPr>
              <w:pStyle w:val="132"/>
              <w:jc w:val="center"/>
              <w:rPr>
                <w:rFonts w:ascii="宋体" w:hAnsi="宋体" w:eastAsia="宋体" w:cs="宋体"/>
                <w:sz w:val="21"/>
                <w:szCs w:val="21"/>
              </w:rPr>
            </w:pPr>
            <w:r>
              <w:rPr>
                <w:rFonts w:hint="eastAsia" w:ascii="宋体" w:hAnsi="宋体" w:eastAsia="宋体" w:cs="宋体"/>
                <w:sz w:val="21"/>
                <w:szCs w:val="21"/>
              </w:rPr>
              <w:t>项目经理</w:t>
            </w:r>
          </w:p>
        </w:tc>
        <w:tc>
          <w:tcPr>
            <w:tcW w:w="563" w:type="pct"/>
            <w:vAlign w:val="center"/>
          </w:tcPr>
          <w:p>
            <w:pPr>
              <w:pStyle w:val="132"/>
              <w:jc w:val="center"/>
              <w:rPr>
                <w:rFonts w:ascii="宋体" w:hAnsi="宋体" w:eastAsia="宋体" w:cs="宋体"/>
                <w:sz w:val="21"/>
                <w:szCs w:val="21"/>
              </w:rPr>
            </w:pPr>
            <w:r>
              <w:rPr>
                <w:rFonts w:hint="eastAsia" w:ascii="宋体" w:hAnsi="宋体" w:eastAsia="宋体" w:cs="宋体"/>
                <w:sz w:val="21"/>
                <w:szCs w:val="21"/>
              </w:rPr>
              <w:t>1人</w:t>
            </w:r>
          </w:p>
        </w:tc>
        <w:tc>
          <w:tcPr>
            <w:tcW w:w="1292" w:type="pct"/>
            <w:vAlign w:val="center"/>
          </w:tcPr>
          <w:p>
            <w:pPr>
              <w:pStyle w:val="132"/>
              <w:jc w:val="left"/>
              <w:rPr>
                <w:rFonts w:hint="eastAsia" w:ascii="宋体" w:hAnsi="宋体" w:eastAsia="宋体" w:cs="宋体"/>
                <w:sz w:val="21"/>
                <w:szCs w:val="21"/>
              </w:rPr>
            </w:pPr>
            <w:r>
              <w:rPr>
                <w:rFonts w:hint="eastAsia" w:ascii="宋体" w:hAnsi="宋体" w:eastAsia="宋体" w:cs="宋体"/>
                <w:sz w:val="21"/>
                <w:szCs w:val="21"/>
              </w:rPr>
              <w:t>一级建造师证</w:t>
            </w:r>
            <w:r>
              <w:rPr>
                <w:rFonts w:hint="eastAsia" w:ascii="宋体" w:hAnsi="宋体" w:eastAsia="宋体" w:cs="宋体"/>
                <w:sz w:val="21"/>
                <w:szCs w:val="21"/>
                <w:lang w:eastAsia="zh-CN"/>
              </w:rPr>
              <w:t>，</w:t>
            </w:r>
            <w:r>
              <w:rPr>
                <w:rFonts w:hint="eastAsia" w:ascii="宋体" w:hAnsi="宋体" w:eastAsia="宋体" w:cs="宋体"/>
                <w:sz w:val="21"/>
                <w:szCs w:val="21"/>
              </w:rPr>
              <w:t>同业态同岗位工作经验5年以上</w:t>
            </w:r>
          </w:p>
        </w:tc>
        <w:tc>
          <w:tcPr>
            <w:tcW w:w="600" w:type="pct"/>
            <w:vAlign w:val="center"/>
          </w:tcPr>
          <w:p>
            <w:pPr>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开工至交付后三个月</w:t>
            </w:r>
          </w:p>
        </w:tc>
        <w:tc>
          <w:tcPr>
            <w:tcW w:w="790" w:type="pct"/>
            <w:vAlign w:val="center"/>
          </w:tcPr>
          <w:p>
            <w:pPr>
              <w:pStyle w:val="13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2026.4-2028.6</w:t>
            </w:r>
          </w:p>
        </w:tc>
        <w:tc>
          <w:tcPr>
            <w:tcW w:w="741" w:type="pct"/>
            <w:vMerge w:val="restart"/>
            <w:vAlign w:val="center"/>
          </w:tcPr>
          <w:p>
            <w:pPr>
              <w:pStyle w:val="132"/>
              <w:jc w:val="left"/>
              <w:rPr>
                <w:rFonts w:ascii="宋体" w:hAnsi="宋体" w:eastAsia="宋体" w:cs="宋体"/>
                <w:sz w:val="21"/>
                <w:szCs w:val="21"/>
              </w:rPr>
            </w:pPr>
            <w:r>
              <w:rPr>
                <w:rFonts w:hint="eastAsia" w:ascii="宋体" w:hAnsi="宋体" w:eastAsia="宋体" w:cs="宋体"/>
                <w:sz w:val="21"/>
                <w:szCs w:val="21"/>
              </w:rPr>
              <w:t>要求有</w:t>
            </w:r>
            <w:r>
              <w:rPr>
                <w:rFonts w:hint="eastAsia" w:ascii="宋体" w:hAnsi="宋体" w:eastAsia="宋体" w:cs="宋体"/>
                <w:sz w:val="21"/>
                <w:szCs w:val="21"/>
                <w:lang w:val="en-US" w:eastAsia="zh-CN"/>
              </w:rPr>
              <w:t>装配式、铝模爬架体系管理经验，且有</w:t>
            </w:r>
            <w:r>
              <w:rPr>
                <w:rFonts w:hint="eastAsia" w:ascii="宋体" w:hAnsi="宋体" w:eastAsia="宋体" w:cs="宋体"/>
                <w:sz w:val="21"/>
                <w:szCs w:val="21"/>
              </w:rPr>
              <w:t>锐捷、平大等飞检项目经验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73" w:type="pct"/>
            <w:vAlign w:val="center"/>
          </w:tcPr>
          <w:p>
            <w:pPr>
              <w:pStyle w:val="132"/>
              <w:jc w:val="center"/>
              <w:rPr>
                <w:rFonts w:ascii="宋体" w:hAnsi="宋体" w:eastAsia="宋体" w:cs="宋体"/>
                <w:sz w:val="21"/>
                <w:szCs w:val="21"/>
              </w:rPr>
            </w:pPr>
            <w:r>
              <w:rPr>
                <w:rFonts w:hint="eastAsia" w:ascii="宋体" w:hAnsi="宋体" w:eastAsia="宋体" w:cs="宋体"/>
                <w:sz w:val="21"/>
                <w:szCs w:val="21"/>
              </w:rPr>
              <w:t>2</w:t>
            </w:r>
          </w:p>
        </w:tc>
        <w:tc>
          <w:tcPr>
            <w:tcW w:w="637" w:type="pct"/>
            <w:vAlign w:val="center"/>
          </w:tcPr>
          <w:p>
            <w:pPr>
              <w:pStyle w:val="132"/>
              <w:jc w:val="center"/>
              <w:rPr>
                <w:rFonts w:ascii="宋体" w:hAnsi="宋体" w:eastAsia="宋体" w:cs="宋体"/>
                <w:sz w:val="21"/>
                <w:szCs w:val="21"/>
              </w:rPr>
            </w:pPr>
            <w:r>
              <w:rPr>
                <w:rFonts w:hint="eastAsia" w:ascii="宋体" w:hAnsi="宋体" w:eastAsia="宋体" w:cs="宋体"/>
                <w:sz w:val="21"/>
                <w:szCs w:val="21"/>
              </w:rPr>
              <w:t>生产经理</w:t>
            </w:r>
          </w:p>
        </w:tc>
        <w:tc>
          <w:tcPr>
            <w:tcW w:w="563" w:type="pct"/>
            <w:vAlign w:val="center"/>
          </w:tcPr>
          <w:p>
            <w:pPr>
              <w:pStyle w:val="132"/>
              <w:jc w:val="center"/>
              <w:rPr>
                <w:rFonts w:ascii="宋体" w:hAnsi="宋体" w:eastAsia="宋体" w:cs="宋体"/>
                <w:sz w:val="21"/>
                <w:szCs w:val="21"/>
              </w:rPr>
            </w:pPr>
            <w:r>
              <w:rPr>
                <w:rFonts w:hint="eastAsia" w:ascii="宋体" w:hAnsi="宋体" w:eastAsia="宋体" w:cs="宋体"/>
                <w:sz w:val="21"/>
                <w:szCs w:val="21"/>
              </w:rPr>
              <w:t>1人</w:t>
            </w:r>
          </w:p>
        </w:tc>
        <w:tc>
          <w:tcPr>
            <w:tcW w:w="1292" w:type="pct"/>
            <w:vAlign w:val="center"/>
          </w:tcPr>
          <w:p>
            <w:pPr>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同业态同岗位工作经验5年以上</w:t>
            </w:r>
          </w:p>
        </w:tc>
        <w:tc>
          <w:tcPr>
            <w:tcW w:w="600" w:type="pct"/>
            <w:vAlign w:val="center"/>
          </w:tcPr>
          <w:p>
            <w:pPr>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开工至竣备</w:t>
            </w:r>
          </w:p>
        </w:tc>
        <w:tc>
          <w:tcPr>
            <w:tcW w:w="790" w:type="pct"/>
            <w:vAlign w:val="center"/>
          </w:tcPr>
          <w:p>
            <w:pPr>
              <w:pStyle w:val="13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2026.4-2027.11</w:t>
            </w:r>
          </w:p>
        </w:tc>
        <w:tc>
          <w:tcPr>
            <w:tcW w:w="741" w:type="pct"/>
            <w:vMerge w:val="continue"/>
            <w:vAlign w:val="center"/>
          </w:tcPr>
          <w:p>
            <w:pPr>
              <w:pStyle w:val="132"/>
              <w:jc w:val="left"/>
              <w:rPr>
                <w:rFonts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73" w:type="pct"/>
            <w:vAlign w:val="center"/>
          </w:tcPr>
          <w:p>
            <w:pPr>
              <w:pStyle w:val="132"/>
              <w:jc w:val="center"/>
              <w:rPr>
                <w:rFonts w:ascii="宋体" w:hAnsi="宋体" w:eastAsia="宋体" w:cs="宋体"/>
                <w:sz w:val="21"/>
                <w:szCs w:val="21"/>
              </w:rPr>
            </w:pPr>
            <w:r>
              <w:rPr>
                <w:rFonts w:hint="eastAsia" w:ascii="宋体" w:hAnsi="宋体" w:eastAsia="宋体" w:cs="宋体"/>
                <w:sz w:val="21"/>
                <w:szCs w:val="21"/>
              </w:rPr>
              <w:t>3</w:t>
            </w:r>
          </w:p>
        </w:tc>
        <w:tc>
          <w:tcPr>
            <w:tcW w:w="637" w:type="pct"/>
            <w:vAlign w:val="center"/>
          </w:tcPr>
          <w:p>
            <w:pPr>
              <w:pStyle w:val="132"/>
              <w:jc w:val="center"/>
              <w:rPr>
                <w:rFonts w:hint="eastAsia" w:ascii="宋体" w:hAnsi="宋体" w:eastAsia="宋体" w:cs="宋体"/>
                <w:sz w:val="21"/>
                <w:szCs w:val="21"/>
                <w:lang w:eastAsia="zh-CN"/>
              </w:rPr>
            </w:pPr>
            <w:r>
              <w:rPr>
                <w:rFonts w:hint="eastAsia" w:ascii="宋体" w:hAnsi="宋体" w:eastAsia="宋体" w:cs="宋体"/>
                <w:sz w:val="21"/>
                <w:szCs w:val="21"/>
              </w:rPr>
              <w:t>技术</w:t>
            </w:r>
            <w:r>
              <w:rPr>
                <w:rFonts w:hint="eastAsia" w:ascii="宋体" w:hAnsi="宋体" w:eastAsia="宋体" w:cs="宋体"/>
                <w:sz w:val="21"/>
                <w:szCs w:val="21"/>
                <w:lang w:val="en-US" w:eastAsia="zh-CN"/>
              </w:rPr>
              <w:t>总工</w:t>
            </w:r>
          </w:p>
        </w:tc>
        <w:tc>
          <w:tcPr>
            <w:tcW w:w="563" w:type="pct"/>
            <w:vAlign w:val="center"/>
          </w:tcPr>
          <w:p>
            <w:pPr>
              <w:pStyle w:val="132"/>
              <w:jc w:val="center"/>
              <w:rPr>
                <w:rFonts w:ascii="宋体" w:hAnsi="宋体" w:eastAsia="宋体" w:cs="宋体"/>
                <w:sz w:val="21"/>
                <w:szCs w:val="21"/>
              </w:rPr>
            </w:pPr>
            <w:r>
              <w:rPr>
                <w:rFonts w:hint="eastAsia" w:ascii="宋体" w:hAnsi="宋体" w:eastAsia="宋体" w:cs="宋体"/>
                <w:sz w:val="21"/>
                <w:szCs w:val="21"/>
              </w:rPr>
              <w:t>1人</w:t>
            </w:r>
          </w:p>
        </w:tc>
        <w:tc>
          <w:tcPr>
            <w:tcW w:w="1292" w:type="pct"/>
            <w:vAlign w:val="center"/>
          </w:tcPr>
          <w:p>
            <w:pPr>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同业态同岗位工作经验5年以上</w:t>
            </w:r>
          </w:p>
        </w:tc>
        <w:tc>
          <w:tcPr>
            <w:tcW w:w="600" w:type="pct"/>
            <w:vAlign w:val="center"/>
          </w:tcPr>
          <w:p>
            <w:pPr>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开工至竣备</w:t>
            </w:r>
          </w:p>
        </w:tc>
        <w:tc>
          <w:tcPr>
            <w:tcW w:w="790" w:type="pct"/>
            <w:vAlign w:val="center"/>
          </w:tcPr>
          <w:p>
            <w:pPr>
              <w:pStyle w:val="132"/>
              <w:jc w:val="center"/>
              <w:rPr>
                <w:rFonts w:ascii="宋体" w:hAnsi="宋体" w:eastAsia="宋体" w:cs="宋体"/>
                <w:sz w:val="21"/>
                <w:szCs w:val="21"/>
              </w:rPr>
            </w:pPr>
            <w:r>
              <w:rPr>
                <w:rFonts w:hint="eastAsia" w:ascii="宋体" w:hAnsi="宋体" w:eastAsia="宋体" w:cs="宋体"/>
                <w:sz w:val="21"/>
                <w:szCs w:val="21"/>
                <w:lang w:val="en-US" w:eastAsia="zh-CN"/>
              </w:rPr>
              <w:t>2026.4-2027.11</w:t>
            </w:r>
          </w:p>
        </w:tc>
        <w:tc>
          <w:tcPr>
            <w:tcW w:w="741" w:type="pct"/>
            <w:vMerge w:val="continue"/>
            <w:vAlign w:val="center"/>
          </w:tcPr>
          <w:p>
            <w:pPr>
              <w:pStyle w:val="132"/>
              <w:jc w:val="left"/>
              <w:rPr>
                <w:rFonts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73" w:type="pct"/>
            <w:vAlign w:val="center"/>
          </w:tcPr>
          <w:p>
            <w:pPr>
              <w:pStyle w:val="13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637" w:type="pct"/>
            <w:vAlign w:val="center"/>
          </w:tcPr>
          <w:p>
            <w:pPr>
              <w:pStyle w:val="13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商务经理</w:t>
            </w:r>
          </w:p>
        </w:tc>
        <w:tc>
          <w:tcPr>
            <w:tcW w:w="563" w:type="pct"/>
            <w:shd w:val="clear" w:color="auto" w:fill="auto"/>
            <w:vAlign w:val="center"/>
          </w:tcPr>
          <w:p>
            <w:pPr>
              <w:pStyle w:val="132"/>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1人</w:t>
            </w:r>
          </w:p>
        </w:tc>
        <w:tc>
          <w:tcPr>
            <w:tcW w:w="1292" w:type="pct"/>
            <w:shd w:val="clear" w:color="auto" w:fill="auto"/>
            <w:vAlign w:val="center"/>
          </w:tcPr>
          <w:p>
            <w:pPr>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同业态同岗位工作经验5年以上</w:t>
            </w:r>
          </w:p>
        </w:tc>
        <w:tc>
          <w:tcPr>
            <w:tcW w:w="600" w:type="pct"/>
            <w:shd w:val="clear" w:color="auto" w:fill="auto"/>
            <w:vAlign w:val="center"/>
          </w:tcPr>
          <w:p>
            <w:pPr>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开工至结算完成</w:t>
            </w:r>
          </w:p>
        </w:tc>
        <w:tc>
          <w:tcPr>
            <w:tcW w:w="790" w:type="pct"/>
            <w:vAlign w:val="center"/>
          </w:tcPr>
          <w:p>
            <w:pPr>
              <w:pStyle w:val="132"/>
              <w:jc w:val="center"/>
              <w:rPr>
                <w:rFonts w:ascii="宋体" w:hAnsi="宋体" w:eastAsia="宋体" w:cs="宋体"/>
                <w:sz w:val="21"/>
                <w:szCs w:val="21"/>
              </w:rPr>
            </w:pPr>
            <w:r>
              <w:rPr>
                <w:rFonts w:hint="eastAsia" w:ascii="宋体" w:hAnsi="宋体" w:eastAsia="宋体" w:cs="宋体"/>
                <w:sz w:val="21"/>
                <w:szCs w:val="21"/>
                <w:lang w:val="en-US" w:eastAsia="zh-CN"/>
              </w:rPr>
              <w:t>2026.4-2028.8</w:t>
            </w:r>
          </w:p>
        </w:tc>
        <w:tc>
          <w:tcPr>
            <w:tcW w:w="741" w:type="pct"/>
            <w:vMerge w:val="continue"/>
            <w:vAlign w:val="center"/>
          </w:tcPr>
          <w:p>
            <w:pPr>
              <w:pStyle w:val="132"/>
              <w:jc w:val="left"/>
              <w:rPr>
                <w:rFonts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jc w:val="center"/>
        </w:trPr>
        <w:tc>
          <w:tcPr>
            <w:tcW w:w="373" w:type="pct"/>
            <w:vAlign w:val="center"/>
          </w:tcPr>
          <w:p>
            <w:pPr>
              <w:pStyle w:val="13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637" w:type="pct"/>
            <w:vAlign w:val="center"/>
          </w:tcPr>
          <w:p>
            <w:pPr>
              <w:pStyle w:val="13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安全总监</w:t>
            </w:r>
          </w:p>
        </w:tc>
        <w:tc>
          <w:tcPr>
            <w:tcW w:w="563" w:type="pct"/>
            <w:shd w:val="clear" w:color="auto" w:fill="auto"/>
            <w:vAlign w:val="center"/>
          </w:tcPr>
          <w:p>
            <w:pPr>
              <w:pStyle w:val="132"/>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1人</w:t>
            </w:r>
          </w:p>
        </w:tc>
        <w:tc>
          <w:tcPr>
            <w:tcW w:w="1292" w:type="pct"/>
            <w:shd w:val="clear" w:color="auto" w:fill="auto"/>
            <w:vAlign w:val="center"/>
          </w:tcPr>
          <w:p>
            <w:pPr>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同业态同岗位工作经验5年以上，具备注册安全工程师执业资格（建筑施工安全类），取得建筑施工企业项目负责人安全生产考核合格证书</w:t>
            </w:r>
          </w:p>
        </w:tc>
        <w:tc>
          <w:tcPr>
            <w:tcW w:w="600" w:type="pct"/>
            <w:shd w:val="clear" w:color="auto" w:fill="auto"/>
            <w:vAlign w:val="center"/>
          </w:tcPr>
          <w:p>
            <w:pPr>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开工至交付</w:t>
            </w:r>
          </w:p>
        </w:tc>
        <w:tc>
          <w:tcPr>
            <w:tcW w:w="790" w:type="pct"/>
            <w:vAlign w:val="center"/>
          </w:tcPr>
          <w:p>
            <w:pPr>
              <w:pStyle w:val="132"/>
              <w:jc w:val="center"/>
              <w:rPr>
                <w:rFonts w:ascii="宋体" w:hAnsi="宋体" w:eastAsia="宋体" w:cs="宋体"/>
                <w:sz w:val="21"/>
                <w:szCs w:val="21"/>
              </w:rPr>
            </w:pPr>
            <w:r>
              <w:rPr>
                <w:rFonts w:hint="eastAsia" w:ascii="宋体" w:hAnsi="宋体" w:eastAsia="宋体" w:cs="宋体"/>
                <w:sz w:val="21"/>
                <w:szCs w:val="21"/>
                <w:lang w:val="en-US" w:eastAsia="zh-CN"/>
              </w:rPr>
              <w:t>2026.4-2028.3</w:t>
            </w:r>
          </w:p>
        </w:tc>
        <w:tc>
          <w:tcPr>
            <w:tcW w:w="741" w:type="pct"/>
            <w:vMerge w:val="continue"/>
            <w:vAlign w:val="center"/>
          </w:tcPr>
          <w:p>
            <w:pPr>
              <w:pStyle w:val="132"/>
              <w:jc w:val="left"/>
              <w:rPr>
                <w:rFonts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73" w:type="pct"/>
            <w:vAlign w:val="center"/>
          </w:tcPr>
          <w:p>
            <w:pPr>
              <w:pStyle w:val="13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637" w:type="pct"/>
            <w:vAlign w:val="center"/>
          </w:tcPr>
          <w:p>
            <w:pPr>
              <w:pStyle w:val="13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机电经理</w:t>
            </w:r>
          </w:p>
        </w:tc>
        <w:tc>
          <w:tcPr>
            <w:tcW w:w="563" w:type="pct"/>
            <w:shd w:val="clear" w:color="auto" w:fill="auto"/>
            <w:vAlign w:val="center"/>
          </w:tcPr>
          <w:p>
            <w:pPr>
              <w:pStyle w:val="132"/>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1</w:t>
            </w:r>
            <w:r>
              <w:rPr>
                <w:rFonts w:hint="eastAsia" w:ascii="宋体" w:hAnsi="宋体" w:eastAsia="宋体" w:cs="宋体"/>
                <w:sz w:val="21"/>
                <w:szCs w:val="21"/>
              </w:rPr>
              <w:t>人</w:t>
            </w:r>
          </w:p>
        </w:tc>
        <w:tc>
          <w:tcPr>
            <w:tcW w:w="1292" w:type="pct"/>
            <w:shd w:val="clear" w:color="auto" w:fill="auto"/>
            <w:vAlign w:val="center"/>
          </w:tcPr>
          <w:p>
            <w:pPr>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同业态同岗位工作经验5年以上</w:t>
            </w:r>
          </w:p>
        </w:tc>
        <w:tc>
          <w:tcPr>
            <w:tcW w:w="600" w:type="pct"/>
            <w:shd w:val="clear" w:color="auto" w:fill="auto"/>
            <w:vAlign w:val="center"/>
          </w:tcPr>
          <w:p>
            <w:pPr>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开工至交付后三个月</w:t>
            </w:r>
          </w:p>
        </w:tc>
        <w:tc>
          <w:tcPr>
            <w:tcW w:w="790" w:type="pct"/>
            <w:vAlign w:val="center"/>
          </w:tcPr>
          <w:p>
            <w:pPr>
              <w:pStyle w:val="132"/>
              <w:jc w:val="center"/>
              <w:rPr>
                <w:rFonts w:hint="eastAsia" w:ascii="宋体" w:hAnsi="宋体" w:eastAsia="宋体" w:cs="宋体"/>
                <w:sz w:val="21"/>
                <w:szCs w:val="21"/>
              </w:rPr>
            </w:pPr>
            <w:r>
              <w:rPr>
                <w:rFonts w:hint="eastAsia" w:ascii="宋体" w:hAnsi="宋体" w:eastAsia="宋体" w:cs="宋体"/>
                <w:sz w:val="21"/>
                <w:szCs w:val="21"/>
                <w:lang w:val="en-US" w:eastAsia="zh-CN"/>
              </w:rPr>
              <w:t>2026.4-2028.6</w:t>
            </w:r>
          </w:p>
        </w:tc>
        <w:tc>
          <w:tcPr>
            <w:tcW w:w="741" w:type="pct"/>
            <w:vAlign w:val="center"/>
          </w:tcPr>
          <w:p>
            <w:pPr>
              <w:pStyle w:val="132"/>
              <w:jc w:val="left"/>
              <w:rPr>
                <w:rFonts w:ascii="宋体" w:hAnsi="宋体" w:eastAsia="宋体" w:cs="宋体"/>
                <w:sz w:val="21"/>
                <w:szCs w:val="21"/>
              </w:rPr>
            </w:pPr>
            <w:r>
              <w:rPr>
                <w:rFonts w:hint="eastAsia" w:ascii="宋体" w:hAnsi="宋体" w:eastAsia="宋体" w:cs="宋体"/>
                <w:sz w:val="21"/>
                <w:szCs w:val="21"/>
              </w:rPr>
              <w:t>要求有锐捷、平大等飞检项目经验占比</w:t>
            </w:r>
            <w:r>
              <w:rPr>
                <w:rFonts w:ascii="宋体" w:hAnsi="宋体" w:eastAsia="宋体" w:cs="宋体"/>
                <w:sz w:val="21"/>
                <w:szCs w:val="21"/>
              </w:rPr>
              <w:t>30</w:t>
            </w:r>
            <w:r>
              <w:rPr>
                <w:rFonts w:hint="eastAsia" w:ascii="宋体" w:hAnsi="宋体" w:eastAsia="宋体" w:cs="宋体"/>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73" w:type="pct"/>
            <w:shd w:val="clear" w:color="auto" w:fill="auto"/>
            <w:vAlign w:val="center"/>
          </w:tcPr>
          <w:p>
            <w:pPr>
              <w:pStyle w:val="132"/>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7</w:t>
            </w:r>
          </w:p>
        </w:tc>
        <w:tc>
          <w:tcPr>
            <w:tcW w:w="637" w:type="pct"/>
            <w:vAlign w:val="center"/>
          </w:tcPr>
          <w:p>
            <w:pPr>
              <w:pStyle w:val="132"/>
              <w:jc w:val="center"/>
              <w:rPr>
                <w:rFonts w:ascii="宋体" w:hAnsi="宋体" w:eastAsia="宋体" w:cs="宋体"/>
                <w:sz w:val="21"/>
                <w:szCs w:val="21"/>
              </w:rPr>
            </w:pPr>
            <w:r>
              <w:rPr>
                <w:rFonts w:hint="eastAsia" w:ascii="宋体" w:hAnsi="宋体" w:eastAsia="宋体" w:cs="宋体"/>
                <w:sz w:val="21"/>
                <w:szCs w:val="21"/>
              </w:rPr>
              <w:t>安全员</w:t>
            </w:r>
          </w:p>
        </w:tc>
        <w:tc>
          <w:tcPr>
            <w:tcW w:w="563" w:type="pct"/>
            <w:shd w:val="clear" w:color="auto" w:fill="auto"/>
            <w:vAlign w:val="center"/>
          </w:tcPr>
          <w:p>
            <w:pPr>
              <w:pStyle w:val="132"/>
              <w:jc w:val="center"/>
              <w:rPr>
                <w:rFonts w:ascii="宋体" w:hAnsi="宋体" w:eastAsia="宋体" w:cs="宋体"/>
                <w:sz w:val="21"/>
                <w:szCs w:val="21"/>
                <w:lang w:val="en-US" w:eastAsia="zh-CN" w:bidi="ar-SA"/>
              </w:rPr>
            </w:pPr>
            <w:r>
              <w:rPr>
                <w:rFonts w:hint="eastAsia" w:ascii="宋体" w:hAnsi="宋体" w:eastAsia="宋体" w:cs="宋体"/>
                <w:sz w:val="21"/>
                <w:szCs w:val="21"/>
                <w:lang w:val="en-US" w:eastAsia="zh-CN"/>
              </w:rPr>
              <w:t>3</w:t>
            </w:r>
            <w:r>
              <w:rPr>
                <w:rFonts w:hint="eastAsia" w:ascii="宋体" w:hAnsi="宋体" w:eastAsia="宋体" w:cs="宋体"/>
                <w:sz w:val="21"/>
                <w:szCs w:val="21"/>
              </w:rPr>
              <w:t>人</w:t>
            </w:r>
          </w:p>
        </w:tc>
        <w:tc>
          <w:tcPr>
            <w:tcW w:w="1292" w:type="pct"/>
            <w:vAlign w:val="center"/>
          </w:tcPr>
          <w:p>
            <w:pPr>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同业态同岗位工作经验5年以上</w:t>
            </w:r>
          </w:p>
        </w:tc>
        <w:tc>
          <w:tcPr>
            <w:tcW w:w="600" w:type="pct"/>
            <w:vAlign w:val="center"/>
          </w:tcPr>
          <w:p>
            <w:pPr>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开工至交付</w:t>
            </w:r>
          </w:p>
        </w:tc>
        <w:tc>
          <w:tcPr>
            <w:tcW w:w="790" w:type="pct"/>
            <w:vAlign w:val="center"/>
          </w:tcPr>
          <w:p>
            <w:pPr>
              <w:pStyle w:val="132"/>
              <w:jc w:val="center"/>
              <w:rPr>
                <w:rFonts w:hint="eastAsia" w:ascii="宋体" w:hAnsi="宋体" w:eastAsia="宋体" w:cs="宋体"/>
                <w:sz w:val="21"/>
                <w:szCs w:val="21"/>
              </w:rPr>
            </w:pPr>
            <w:r>
              <w:rPr>
                <w:rFonts w:hint="eastAsia" w:ascii="宋体" w:hAnsi="宋体" w:eastAsia="宋体" w:cs="宋体"/>
                <w:sz w:val="21"/>
                <w:szCs w:val="21"/>
                <w:lang w:val="en-US" w:eastAsia="zh-CN"/>
              </w:rPr>
              <w:t>2026.4-2028.3</w:t>
            </w:r>
          </w:p>
        </w:tc>
        <w:tc>
          <w:tcPr>
            <w:tcW w:w="741" w:type="pct"/>
            <w:vAlign w:val="center"/>
          </w:tcPr>
          <w:p>
            <w:pPr>
              <w:pStyle w:val="132"/>
              <w:jc w:val="left"/>
              <w:rPr>
                <w:rFonts w:ascii="宋体" w:hAnsi="宋体" w:eastAsia="宋体" w:cs="宋体"/>
                <w:sz w:val="21"/>
                <w:szCs w:val="21"/>
              </w:rPr>
            </w:pPr>
            <w:r>
              <w:rPr>
                <w:rFonts w:hint="eastAsia" w:ascii="宋体" w:hAnsi="宋体" w:eastAsia="宋体" w:cs="宋体"/>
                <w:sz w:val="21"/>
                <w:szCs w:val="21"/>
              </w:rPr>
              <w:t>要求有锐捷、平大等飞检项目经验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73" w:type="pct"/>
            <w:shd w:val="clear" w:color="auto" w:fill="auto"/>
            <w:vAlign w:val="center"/>
          </w:tcPr>
          <w:p>
            <w:pPr>
              <w:pStyle w:val="132"/>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8</w:t>
            </w:r>
          </w:p>
        </w:tc>
        <w:tc>
          <w:tcPr>
            <w:tcW w:w="637" w:type="pct"/>
            <w:vAlign w:val="center"/>
          </w:tcPr>
          <w:p>
            <w:pPr>
              <w:pStyle w:val="13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设备主管</w:t>
            </w:r>
          </w:p>
        </w:tc>
        <w:tc>
          <w:tcPr>
            <w:tcW w:w="563" w:type="pct"/>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人</w:t>
            </w:r>
          </w:p>
        </w:tc>
        <w:tc>
          <w:tcPr>
            <w:tcW w:w="1292" w:type="pct"/>
            <w:shd w:val="clear" w:color="auto" w:fill="auto"/>
            <w:vAlign w:val="center"/>
          </w:tcPr>
          <w:p>
            <w:pPr>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同业态同岗位工作经验5年以上</w:t>
            </w:r>
          </w:p>
        </w:tc>
        <w:tc>
          <w:tcPr>
            <w:tcW w:w="600" w:type="pct"/>
            <w:shd w:val="clear" w:color="auto" w:fill="auto"/>
            <w:vAlign w:val="center"/>
          </w:tcPr>
          <w:p>
            <w:pPr>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开工至竣备</w:t>
            </w:r>
          </w:p>
        </w:tc>
        <w:tc>
          <w:tcPr>
            <w:tcW w:w="790" w:type="pct"/>
            <w:shd w:val="clear" w:color="auto" w:fill="auto"/>
            <w:vAlign w:val="center"/>
          </w:tcPr>
          <w:p>
            <w:pPr>
              <w:pStyle w:val="132"/>
              <w:jc w:val="center"/>
              <w:rPr>
                <w:rFonts w:hint="eastAsia" w:ascii="宋体" w:hAnsi="宋体" w:eastAsia="宋体" w:cs="宋体"/>
                <w:sz w:val="21"/>
                <w:szCs w:val="21"/>
              </w:rPr>
            </w:pPr>
            <w:r>
              <w:rPr>
                <w:rFonts w:hint="eastAsia" w:ascii="宋体" w:hAnsi="宋体" w:eastAsia="宋体" w:cs="宋体"/>
                <w:sz w:val="21"/>
                <w:szCs w:val="21"/>
                <w:lang w:val="en-US" w:eastAsia="zh-CN"/>
              </w:rPr>
              <w:t>2026.4-2027.11</w:t>
            </w:r>
          </w:p>
        </w:tc>
        <w:tc>
          <w:tcPr>
            <w:tcW w:w="741" w:type="pct"/>
            <w:shd w:val="clear" w:color="auto" w:fill="auto"/>
            <w:vAlign w:val="center"/>
          </w:tcPr>
          <w:p>
            <w:pPr>
              <w:pStyle w:val="132"/>
              <w:jc w:val="left"/>
              <w:rPr>
                <w:rFonts w:hint="eastAsia" w:ascii="宋体" w:hAnsi="宋体" w:eastAsia="宋体" w:cs="宋体"/>
                <w:sz w:val="21"/>
                <w:szCs w:val="21"/>
                <w:lang w:val="en-US" w:eastAsia="zh-CN" w:bidi="ar-SA"/>
              </w:rPr>
            </w:pPr>
            <w:r>
              <w:rPr>
                <w:rFonts w:hint="eastAsia" w:ascii="宋体" w:hAnsi="宋体" w:eastAsia="宋体" w:cs="宋体"/>
                <w:sz w:val="21"/>
                <w:szCs w:val="21"/>
              </w:rPr>
              <w:t>要求有锐捷、平大等飞检项目经验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73" w:type="pct"/>
            <w:shd w:val="clear" w:color="auto" w:fill="auto"/>
            <w:vAlign w:val="center"/>
          </w:tcPr>
          <w:p>
            <w:pPr>
              <w:pStyle w:val="132"/>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9</w:t>
            </w:r>
          </w:p>
        </w:tc>
        <w:tc>
          <w:tcPr>
            <w:tcW w:w="637" w:type="pct"/>
            <w:vAlign w:val="center"/>
          </w:tcPr>
          <w:p>
            <w:pPr>
              <w:pStyle w:val="13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栋号长</w:t>
            </w:r>
          </w:p>
        </w:tc>
        <w:tc>
          <w:tcPr>
            <w:tcW w:w="563" w:type="pct"/>
            <w:vAlign w:val="center"/>
          </w:tcPr>
          <w:p>
            <w:pPr>
              <w:pStyle w:val="13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3人</w:t>
            </w:r>
          </w:p>
        </w:tc>
        <w:tc>
          <w:tcPr>
            <w:tcW w:w="1292" w:type="pct"/>
            <w:shd w:val="clear" w:color="auto" w:fill="auto"/>
            <w:vAlign w:val="center"/>
          </w:tcPr>
          <w:p>
            <w:pPr>
              <w:pStyle w:val="132"/>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同业态同岗位工作经验4年以上</w:t>
            </w:r>
          </w:p>
        </w:tc>
        <w:tc>
          <w:tcPr>
            <w:tcW w:w="600" w:type="pct"/>
            <w:shd w:val="clear" w:color="auto" w:fill="auto"/>
            <w:vAlign w:val="center"/>
          </w:tcPr>
          <w:p>
            <w:pPr>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开工至交付后三个月</w:t>
            </w:r>
          </w:p>
        </w:tc>
        <w:tc>
          <w:tcPr>
            <w:tcW w:w="790" w:type="pct"/>
            <w:vAlign w:val="center"/>
          </w:tcPr>
          <w:p>
            <w:pPr>
              <w:pStyle w:val="132"/>
              <w:jc w:val="center"/>
              <w:rPr>
                <w:rFonts w:hint="eastAsia" w:ascii="宋体" w:hAnsi="宋体" w:eastAsia="宋体" w:cs="宋体"/>
                <w:sz w:val="21"/>
                <w:szCs w:val="21"/>
              </w:rPr>
            </w:pPr>
            <w:r>
              <w:rPr>
                <w:rFonts w:hint="eastAsia" w:ascii="宋体" w:hAnsi="宋体" w:eastAsia="宋体" w:cs="宋体"/>
                <w:sz w:val="21"/>
                <w:szCs w:val="21"/>
                <w:lang w:val="en-US" w:eastAsia="zh-CN"/>
              </w:rPr>
              <w:t>2026.4-2028.6</w:t>
            </w:r>
          </w:p>
        </w:tc>
        <w:tc>
          <w:tcPr>
            <w:tcW w:w="741" w:type="pct"/>
            <w:vMerge w:val="restart"/>
            <w:vAlign w:val="center"/>
          </w:tcPr>
          <w:p>
            <w:pPr>
              <w:pStyle w:val="132"/>
              <w:jc w:val="left"/>
              <w:rPr>
                <w:rFonts w:ascii="宋体" w:hAnsi="宋体" w:eastAsia="宋体" w:cs="宋体"/>
                <w:sz w:val="21"/>
                <w:szCs w:val="21"/>
              </w:rPr>
            </w:pPr>
            <w:r>
              <w:rPr>
                <w:rFonts w:hint="eastAsia" w:ascii="宋体" w:hAnsi="宋体" w:eastAsia="宋体" w:cs="宋体"/>
                <w:sz w:val="21"/>
                <w:szCs w:val="21"/>
              </w:rPr>
              <w:t>要求有锐捷、平大等飞检项目经验占比5</w:t>
            </w:r>
            <w:r>
              <w:rPr>
                <w:rFonts w:ascii="宋体" w:hAnsi="宋体" w:eastAsia="宋体" w:cs="宋体"/>
                <w:sz w:val="21"/>
                <w:szCs w:val="21"/>
              </w:rPr>
              <w:t>0</w:t>
            </w:r>
            <w:r>
              <w:rPr>
                <w:rFonts w:hint="eastAsia" w:ascii="宋体" w:hAnsi="宋体" w:eastAsia="宋体" w:cs="宋体"/>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73" w:type="pct"/>
            <w:shd w:val="clear" w:color="auto" w:fill="auto"/>
            <w:vAlign w:val="center"/>
          </w:tcPr>
          <w:p>
            <w:pPr>
              <w:pStyle w:val="132"/>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10</w:t>
            </w:r>
          </w:p>
        </w:tc>
        <w:tc>
          <w:tcPr>
            <w:tcW w:w="637" w:type="pct"/>
            <w:vAlign w:val="center"/>
          </w:tcPr>
          <w:p>
            <w:pPr>
              <w:pStyle w:val="132"/>
              <w:jc w:val="center"/>
              <w:rPr>
                <w:rFonts w:ascii="宋体" w:hAnsi="宋体" w:eastAsia="宋体" w:cs="宋体"/>
                <w:sz w:val="21"/>
                <w:szCs w:val="21"/>
              </w:rPr>
            </w:pPr>
            <w:r>
              <w:rPr>
                <w:rFonts w:hint="eastAsia" w:ascii="宋体" w:hAnsi="宋体" w:eastAsia="宋体" w:cs="宋体"/>
                <w:sz w:val="21"/>
                <w:szCs w:val="21"/>
              </w:rPr>
              <w:t>施工员</w:t>
            </w:r>
          </w:p>
        </w:tc>
        <w:tc>
          <w:tcPr>
            <w:tcW w:w="563" w:type="pct"/>
            <w:vAlign w:val="center"/>
          </w:tcPr>
          <w:p>
            <w:pPr>
              <w:pStyle w:val="132"/>
              <w:jc w:val="center"/>
              <w:rPr>
                <w:rFonts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人</w:t>
            </w:r>
          </w:p>
        </w:tc>
        <w:tc>
          <w:tcPr>
            <w:tcW w:w="1292" w:type="pct"/>
            <w:vAlign w:val="center"/>
          </w:tcPr>
          <w:p>
            <w:pPr>
              <w:pStyle w:val="132"/>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同业态同岗位工作经验3年以上</w:t>
            </w:r>
          </w:p>
        </w:tc>
        <w:tc>
          <w:tcPr>
            <w:tcW w:w="600" w:type="pct"/>
            <w:vAlign w:val="center"/>
          </w:tcPr>
          <w:p>
            <w:pPr>
              <w:pStyle w:val="132"/>
              <w:jc w:val="center"/>
              <w:rPr>
                <w:rFonts w:ascii="宋体" w:hAnsi="宋体" w:eastAsia="宋体" w:cs="宋体"/>
                <w:sz w:val="21"/>
                <w:szCs w:val="21"/>
              </w:rPr>
            </w:pPr>
            <w:r>
              <w:rPr>
                <w:rFonts w:hint="eastAsia" w:ascii="宋体" w:hAnsi="宋体" w:eastAsia="宋体" w:cs="宋体"/>
                <w:sz w:val="21"/>
                <w:szCs w:val="21"/>
                <w:lang w:val="en-US" w:eastAsia="zh-CN" w:bidi="ar-SA"/>
              </w:rPr>
              <w:t>开工至竣备</w:t>
            </w:r>
          </w:p>
        </w:tc>
        <w:tc>
          <w:tcPr>
            <w:tcW w:w="790" w:type="pct"/>
            <w:vAlign w:val="center"/>
          </w:tcPr>
          <w:p>
            <w:pPr>
              <w:pStyle w:val="132"/>
              <w:jc w:val="center"/>
              <w:rPr>
                <w:rFonts w:ascii="宋体" w:hAnsi="宋体" w:eastAsia="宋体" w:cs="宋体"/>
                <w:sz w:val="21"/>
                <w:szCs w:val="21"/>
              </w:rPr>
            </w:pPr>
            <w:r>
              <w:rPr>
                <w:rFonts w:hint="eastAsia" w:ascii="宋体" w:hAnsi="宋体" w:eastAsia="宋体" w:cs="宋体"/>
                <w:sz w:val="21"/>
                <w:szCs w:val="21"/>
                <w:lang w:val="en-US" w:eastAsia="zh-CN"/>
              </w:rPr>
              <w:t>2026.4-2027.11</w:t>
            </w:r>
          </w:p>
        </w:tc>
        <w:tc>
          <w:tcPr>
            <w:tcW w:w="741" w:type="pct"/>
            <w:vMerge w:val="continue"/>
            <w:vAlign w:val="center"/>
          </w:tcPr>
          <w:p>
            <w:pPr>
              <w:pStyle w:val="132"/>
              <w:jc w:val="left"/>
              <w:rPr>
                <w:rFonts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73" w:type="pct"/>
            <w:shd w:val="clear" w:color="auto" w:fill="auto"/>
            <w:vAlign w:val="center"/>
          </w:tcPr>
          <w:p>
            <w:pPr>
              <w:pStyle w:val="132"/>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11</w:t>
            </w:r>
          </w:p>
        </w:tc>
        <w:tc>
          <w:tcPr>
            <w:tcW w:w="637" w:type="pct"/>
            <w:shd w:val="clear" w:color="auto" w:fill="auto"/>
            <w:vAlign w:val="center"/>
          </w:tcPr>
          <w:p>
            <w:pPr>
              <w:pStyle w:val="132"/>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资料</w:t>
            </w:r>
            <w:r>
              <w:rPr>
                <w:rFonts w:hint="eastAsia" w:ascii="宋体" w:hAnsi="宋体" w:eastAsia="宋体" w:cs="宋体"/>
                <w:sz w:val="21"/>
                <w:szCs w:val="21"/>
                <w:lang w:val="en-US" w:eastAsia="zh-CN"/>
              </w:rPr>
              <w:t>主管</w:t>
            </w:r>
          </w:p>
        </w:tc>
        <w:tc>
          <w:tcPr>
            <w:tcW w:w="563" w:type="pct"/>
            <w:shd w:val="clear" w:color="auto" w:fill="auto"/>
            <w:vAlign w:val="center"/>
          </w:tcPr>
          <w:p>
            <w:pPr>
              <w:pStyle w:val="132"/>
              <w:jc w:val="center"/>
              <w:rPr>
                <w:rFonts w:ascii="宋体" w:hAnsi="宋体" w:eastAsia="宋体" w:cs="宋体"/>
                <w:sz w:val="21"/>
                <w:szCs w:val="21"/>
                <w:lang w:val="en-US" w:eastAsia="zh-CN" w:bidi="ar-SA"/>
              </w:rPr>
            </w:pPr>
            <w:r>
              <w:rPr>
                <w:rFonts w:hint="eastAsia" w:ascii="宋体" w:hAnsi="宋体" w:eastAsia="宋体" w:cs="宋体"/>
                <w:sz w:val="21"/>
                <w:szCs w:val="21"/>
              </w:rPr>
              <w:t>1人</w:t>
            </w:r>
          </w:p>
        </w:tc>
        <w:tc>
          <w:tcPr>
            <w:tcW w:w="1292" w:type="pct"/>
            <w:shd w:val="clear" w:color="auto" w:fill="auto"/>
            <w:vAlign w:val="center"/>
          </w:tcPr>
          <w:p>
            <w:pPr>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同业态同岗位工作经验4年以上</w:t>
            </w:r>
          </w:p>
        </w:tc>
        <w:tc>
          <w:tcPr>
            <w:tcW w:w="600" w:type="pct"/>
            <w:shd w:val="clear" w:color="auto" w:fill="auto"/>
            <w:vAlign w:val="center"/>
          </w:tcPr>
          <w:p>
            <w:pPr>
              <w:pStyle w:val="132"/>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开工至交付后三个月</w:t>
            </w:r>
          </w:p>
        </w:tc>
        <w:tc>
          <w:tcPr>
            <w:tcW w:w="790" w:type="pct"/>
            <w:shd w:val="clear" w:color="auto" w:fill="auto"/>
            <w:vAlign w:val="center"/>
          </w:tcPr>
          <w:p>
            <w:pPr>
              <w:pStyle w:val="132"/>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2026.4-2028.6</w:t>
            </w:r>
          </w:p>
        </w:tc>
        <w:tc>
          <w:tcPr>
            <w:tcW w:w="741" w:type="pct"/>
            <w:shd w:val="clear" w:color="auto" w:fill="auto"/>
            <w:vAlign w:val="center"/>
          </w:tcPr>
          <w:p>
            <w:pPr>
              <w:pStyle w:val="132"/>
              <w:jc w:val="left"/>
              <w:rPr>
                <w:rFonts w:hint="eastAsia" w:ascii="宋体" w:hAnsi="宋体" w:eastAsia="宋体" w:cs="宋体"/>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373" w:type="pct"/>
            <w:shd w:val="clear" w:color="auto" w:fill="auto"/>
            <w:vAlign w:val="center"/>
          </w:tcPr>
          <w:p>
            <w:pPr>
              <w:pStyle w:val="132"/>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12</w:t>
            </w:r>
          </w:p>
        </w:tc>
        <w:tc>
          <w:tcPr>
            <w:tcW w:w="637" w:type="pct"/>
            <w:shd w:val="clear" w:color="auto" w:fill="auto"/>
            <w:vAlign w:val="center"/>
          </w:tcPr>
          <w:p>
            <w:pPr>
              <w:pStyle w:val="132"/>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测量员</w:t>
            </w:r>
          </w:p>
        </w:tc>
        <w:tc>
          <w:tcPr>
            <w:tcW w:w="563" w:type="pct"/>
            <w:shd w:val="clear" w:color="auto" w:fill="auto"/>
            <w:vAlign w:val="center"/>
          </w:tcPr>
          <w:p>
            <w:pPr>
              <w:pStyle w:val="132"/>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2</w:t>
            </w:r>
            <w:r>
              <w:rPr>
                <w:rFonts w:hint="eastAsia" w:ascii="宋体" w:hAnsi="宋体" w:eastAsia="宋体" w:cs="宋体"/>
                <w:sz w:val="21"/>
                <w:szCs w:val="21"/>
              </w:rPr>
              <w:t>人</w:t>
            </w:r>
          </w:p>
        </w:tc>
        <w:tc>
          <w:tcPr>
            <w:tcW w:w="1292" w:type="pct"/>
            <w:shd w:val="clear" w:color="auto" w:fill="auto"/>
            <w:vAlign w:val="center"/>
          </w:tcPr>
          <w:p>
            <w:pPr>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同业态同岗位工作经验4年以上</w:t>
            </w:r>
          </w:p>
        </w:tc>
        <w:tc>
          <w:tcPr>
            <w:tcW w:w="600" w:type="pct"/>
            <w:shd w:val="clear" w:color="auto" w:fill="auto"/>
            <w:vAlign w:val="center"/>
          </w:tcPr>
          <w:p>
            <w:pPr>
              <w:pStyle w:val="132"/>
              <w:jc w:val="center"/>
              <w:rPr>
                <w:rFonts w:ascii="宋体" w:hAnsi="宋体" w:eastAsia="宋体" w:cs="宋体"/>
                <w:sz w:val="21"/>
                <w:szCs w:val="21"/>
                <w:lang w:val="en-US" w:eastAsia="zh-CN" w:bidi="ar-SA"/>
              </w:rPr>
            </w:pPr>
            <w:r>
              <w:rPr>
                <w:rFonts w:hint="eastAsia" w:ascii="宋体" w:hAnsi="宋体" w:eastAsia="宋体" w:cs="宋体"/>
                <w:sz w:val="21"/>
                <w:szCs w:val="21"/>
                <w:lang w:val="en-US" w:eastAsia="zh-CN" w:bidi="ar-SA"/>
              </w:rPr>
              <w:t>主体施工到场地移交结束</w:t>
            </w:r>
          </w:p>
        </w:tc>
        <w:tc>
          <w:tcPr>
            <w:tcW w:w="790" w:type="pct"/>
            <w:shd w:val="clear" w:color="auto" w:fill="auto"/>
            <w:vAlign w:val="center"/>
          </w:tcPr>
          <w:p>
            <w:pPr>
              <w:pStyle w:val="13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2026.10-2027.5</w:t>
            </w:r>
          </w:p>
        </w:tc>
        <w:tc>
          <w:tcPr>
            <w:tcW w:w="741" w:type="pct"/>
            <w:shd w:val="clear" w:color="auto" w:fill="auto"/>
            <w:vAlign w:val="center"/>
          </w:tcPr>
          <w:p>
            <w:pPr>
              <w:pStyle w:val="132"/>
              <w:jc w:val="left"/>
              <w:rPr>
                <w:rFonts w:ascii="宋体" w:hAnsi="宋体" w:eastAsia="宋体" w:cs="宋体"/>
                <w:sz w:val="21"/>
                <w:szCs w:val="21"/>
                <w:lang w:val="en-US" w:eastAsia="zh-CN" w:bidi="ar-SA"/>
              </w:rPr>
            </w:pPr>
            <w:r>
              <w:rPr>
                <w:rFonts w:hint="eastAsia" w:ascii="宋体" w:hAnsi="宋体" w:eastAsia="宋体" w:cs="宋体"/>
                <w:sz w:val="21"/>
                <w:szCs w:val="21"/>
              </w:rPr>
              <w:t>要求有锐捷、平大等飞检项目经验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73" w:type="pct"/>
            <w:shd w:val="clear" w:color="auto" w:fill="auto"/>
            <w:vAlign w:val="center"/>
          </w:tcPr>
          <w:p>
            <w:pPr>
              <w:pStyle w:val="132"/>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13</w:t>
            </w:r>
          </w:p>
        </w:tc>
        <w:tc>
          <w:tcPr>
            <w:tcW w:w="637" w:type="pct"/>
            <w:shd w:val="clear" w:color="auto" w:fill="auto"/>
            <w:vAlign w:val="center"/>
          </w:tcPr>
          <w:p>
            <w:pPr>
              <w:pStyle w:val="13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技术员</w:t>
            </w:r>
          </w:p>
        </w:tc>
        <w:tc>
          <w:tcPr>
            <w:tcW w:w="563" w:type="pct"/>
            <w:shd w:val="clear" w:color="auto" w:fill="auto"/>
            <w:vAlign w:val="center"/>
          </w:tcPr>
          <w:p>
            <w:pPr>
              <w:pStyle w:val="13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1人</w:t>
            </w:r>
          </w:p>
        </w:tc>
        <w:tc>
          <w:tcPr>
            <w:tcW w:w="1292" w:type="pct"/>
            <w:shd w:val="clear" w:color="auto" w:fill="auto"/>
            <w:vAlign w:val="center"/>
          </w:tcPr>
          <w:p>
            <w:pPr>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同业态同岗位工作经验4年以上</w:t>
            </w:r>
          </w:p>
        </w:tc>
        <w:tc>
          <w:tcPr>
            <w:tcW w:w="600" w:type="pct"/>
            <w:shd w:val="clear" w:color="auto" w:fill="auto"/>
            <w:vAlign w:val="center"/>
          </w:tcPr>
          <w:p>
            <w:pPr>
              <w:pStyle w:val="132"/>
              <w:jc w:val="center"/>
              <w:rPr>
                <w:rFonts w:hint="eastAsia" w:ascii="宋体" w:hAnsi="宋体" w:eastAsia="宋体" w:cs="宋体"/>
                <w:sz w:val="21"/>
                <w:szCs w:val="21"/>
              </w:rPr>
            </w:pPr>
            <w:r>
              <w:rPr>
                <w:rFonts w:hint="eastAsia" w:ascii="宋体" w:hAnsi="宋体" w:eastAsia="宋体" w:cs="宋体"/>
                <w:sz w:val="21"/>
                <w:szCs w:val="21"/>
                <w:lang w:val="en-US" w:eastAsia="zh-CN" w:bidi="ar-SA"/>
              </w:rPr>
              <w:t>开工至竣备</w:t>
            </w:r>
          </w:p>
        </w:tc>
        <w:tc>
          <w:tcPr>
            <w:tcW w:w="790" w:type="pct"/>
            <w:shd w:val="clear" w:color="auto" w:fill="auto"/>
            <w:vAlign w:val="center"/>
          </w:tcPr>
          <w:p>
            <w:pPr>
              <w:pStyle w:val="132"/>
              <w:jc w:val="center"/>
              <w:rPr>
                <w:rFonts w:ascii="宋体" w:hAnsi="宋体" w:eastAsia="宋体" w:cs="宋体"/>
                <w:sz w:val="21"/>
                <w:szCs w:val="21"/>
                <w:lang w:val="en-US" w:eastAsia="zh-CN" w:bidi="ar-SA"/>
              </w:rPr>
            </w:pPr>
            <w:r>
              <w:rPr>
                <w:rFonts w:hint="eastAsia" w:ascii="宋体" w:hAnsi="宋体" w:eastAsia="宋体" w:cs="宋体"/>
                <w:sz w:val="21"/>
                <w:szCs w:val="21"/>
                <w:lang w:val="en-US" w:eastAsia="zh-CN"/>
              </w:rPr>
              <w:t>2026.4-2027.11</w:t>
            </w:r>
          </w:p>
        </w:tc>
        <w:tc>
          <w:tcPr>
            <w:tcW w:w="741" w:type="pct"/>
            <w:shd w:val="clear" w:color="auto" w:fill="auto"/>
            <w:vAlign w:val="center"/>
          </w:tcPr>
          <w:p>
            <w:pPr>
              <w:pStyle w:val="132"/>
              <w:jc w:val="left"/>
              <w:rPr>
                <w:rFonts w:ascii="宋体" w:hAnsi="宋体" w:eastAsia="宋体" w:cs="宋体"/>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73" w:type="pct"/>
            <w:vAlign w:val="center"/>
          </w:tcPr>
          <w:p>
            <w:pPr>
              <w:pStyle w:val="13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637" w:type="pct"/>
            <w:shd w:val="clear" w:color="auto" w:fill="auto"/>
            <w:vAlign w:val="center"/>
          </w:tcPr>
          <w:p>
            <w:pPr>
              <w:pStyle w:val="132"/>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质量</w:t>
            </w:r>
            <w:r>
              <w:rPr>
                <w:rFonts w:hint="eastAsia" w:ascii="宋体" w:hAnsi="宋体" w:eastAsia="宋体" w:cs="宋体"/>
                <w:sz w:val="21"/>
                <w:szCs w:val="21"/>
                <w:lang w:val="en-US" w:eastAsia="zh-CN"/>
              </w:rPr>
              <w:t>员</w:t>
            </w:r>
          </w:p>
        </w:tc>
        <w:tc>
          <w:tcPr>
            <w:tcW w:w="563" w:type="pct"/>
            <w:shd w:val="clear" w:color="auto" w:fill="auto"/>
            <w:vAlign w:val="center"/>
          </w:tcPr>
          <w:p>
            <w:pPr>
              <w:pStyle w:val="132"/>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1</w:t>
            </w:r>
            <w:r>
              <w:rPr>
                <w:rFonts w:hint="eastAsia" w:ascii="宋体" w:hAnsi="宋体" w:eastAsia="宋体" w:cs="宋体"/>
                <w:sz w:val="21"/>
                <w:szCs w:val="21"/>
              </w:rPr>
              <w:t>人</w:t>
            </w:r>
          </w:p>
        </w:tc>
        <w:tc>
          <w:tcPr>
            <w:tcW w:w="1292" w:type="pct"/>
            <w:shd w:val="clear" w:color="auto" w:fill="auto"/>
            <w:vAlign w:val="center"/>
          </w:tcPr>
          <w:p>
            <w:pPr>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同业态同岗位工作经验4年以上</w:t>
            </w:r>
          </w:p>
        </w:tc>
        <w:tc>
          <w:tcPr>
            <w:tcW w:w="600" w:type="pct"/>
            <w:shd w:val="clear" w:color="auto" w:fill="auto"/>
            <w:vAlign w:val="center"/>
          </w:tcPr>
          <w:p>
            <w:pPr>
              <w:pStyle w:val="132"/>
              <w:jc w:val="center"/>
              <w:rPr>
                <w:rFonts w:hint="eastAsia" w:ascii="宋体" w:hAnsi="宋体" w:eastAsia="宋体" w:cs="宋体"/>
                <w:sz w:val="21"/>
                <w:szCs w:val="21"/>
              </w:rPr>
            </w:pPr>
            <w:r>
              <w:rPr>
                <w:rFonts w:hint="eastAsia" w:ascii="宋体" w:hAnsi="宋体" w:eastAsia="宋体" w:cs="宋体"/>
                <w:sz w:val="21"/>
                <w:szCs w:val="21"/>
                <w:lang w:val="en-US" w:eastAsia="zh-CN" w:bidi="ar-SA"/>
              </w:rPr>
              <w:t>开工至竣备</w:t>
            </w:r>
          </w:p>
        </w:tc>
        <w:tc>
          <w:tcPr>
            <w:tcW w:w="790" w:type="pct"/>
            <w:shd w:val="clear" w:color="auto" w:fill="auto"/>
            <w:vAlign w:val="center"/>
          </w:tcPr>
          <w:p>
            <w:pPr>
              <w:pStyle w:val="132"/>
              <w:jc w:val="center"/>
              <w:rPr>
                <w:rFonts w:ascii="宋体" w:hAnsi="宋体" w:eastAsia="宋体" w:cs="宋体"/>
                <w:sz w:val="21"/>
                <w:szCs w:val="21"/>
                <w:lang w:val="en-US" w:eastAsia="zh-CN" w:bidi="ar-SA"/>
              </w:rPr>
            </w:pPr>
            <w:r>
              <w:rPr>
                <w:rFonts w:hint="eastAsia" w:ascii="宋体" w:hAnsi="宋体" w:eastAsia="宋体" w:cs="宋体"/>
                <w:sz w:val="21"/>
                <w:szCs w:val="21"/>
                <w:lang w:val="en-US" w:eastAsia="zh-CN"/>
              </w:rPr>
              <w:t>2026.4-2027.11</w:t>
            </w:r>
          </w:p>
        </w:tc>
        <w:tc>
          <w:tcPr>
            <w:tcW w:w="741" w:type="pct"/>
            <w:shd w:val="clear" w:color="auto" w:fill="auto"/>
            <w:vAlign w:val="center"/>
          </w:tcPr>
          <w:p>
            <w:pPr>
              <w:pStyle w:val="132"/>
              <w:jc w:val="left"/>
              <w:rPr>
                <w:rFonts w:ascii="宋体" w:hAnsi="宋体" w:eastAsia="宋体" w:cs="宋体"/>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73" w:type="pct"/>
            <w:vAlign w:val="center"/>
          </w:tcPr>
          <w:p>
            <w:pPr>
              <w:pStyle w:val="13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637" w:type="pct"/>
            <w:shd w:val="clear" w:color="auto" w:fill="auto"/>
            <w:vAlign w:val="center"/>
          </w:tcPr>
          <w:p>
            <w:pPr>
              <w:pStyle w:val="13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预算员</w:t>
            </w:r>
          </w:p>
        </w:tc>
        <w:tc>
          <w:tcPr>
            <w:tcW w:w="563" w:type="pct"/>
            <w:shd w:val="clear" w:color="auto" w:fill="auto"/>
            <w:vAlign w:val="center"/>
          </w:tcPr>
          <w:p>
            <w:pPr>
              <w:pStyle w:val="13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1人</w:t>
            </w:r>
          </w:p>
        </w:tc>
        <w:tc>
          <w:tcPr>
            <w:tcW w:w="1292" w:type="pct"/>
            <w:shd w:val="clear" w:color="auto" w:fill="auto"/>
            <w:vAlign w:val="center"/>
          </w:tcPr>
          <w:p>
            <w:pPr>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同业态同岗位工作经验4年以上</w:t>
            </w:r>
          </w:p>
        </w:tc>
        <w:tc>
          <w:tcPr>
            <w:tcW w:w="600" w:type="pct"/>
            <w:shd w:val="clear" w:color="auto" w:fill="auto"/>
            <w:vAlign w:val="center"/>
          </w:tcPr>
          <w:p>
            <w:pPr>
              <w:pStyle w:val="132"/>
              <w:jc w:val="center"/>
              <w:rPr>
                <w:rFonts w:hint="eastAsia" w:ascii="宋体" w:hAnsi="宋体" w:eastAsia="宋体" w:cs="宋体"/>
                <w:sz w:val="21"/>
                <w:szCs w:val="21"/>
              </w:rPr>
            </w:pPr>
            <w:r>
              <w:rPr>
                <w:rFonts w:hint="eastAsia" w:ascii="宋体" w:hAnsi="宋体" w:eastAsia="宋体" w:cs="宋体"/>
                <w:sz w:val="21"/>
                <w:szCs w:val="21"/>
                <w:lang w:val="en-US" w:eastAsia="zh-CN" w:bidi="ar-SA"/>
              </w:rPr>
              <w:t>开工至结算完成</w:t>
            </w:r>
          </w:p>
        </w:tc>
        <w:tc>
          <w:tcPr>
            <w:tcW w:w="790" w:type="pct"/>
            <w:shd w:val="clear" w:color="auto" w:fill="auto"/>
            <w:vAlign w:val="center"/>
          </w:tcPr>
          <w:p>
            <w:pPr>
              <w:pStyle w:val="132"/>
              <w:jc w:val="center"/>
              <w:rPr>
                <w:rFonts w:ascii="宋体" w:hAnsi="宋体" w:eastAsia="宋体" w:cs="宋体"/>
                <w:sz w:val="21"/>
                <w:szCs w:val="21"/>
                <w:lang w:val="en-US" w:eastAsia="zh-CN" w:bidi="ar-SA"/>
              </w:rPr>
            </w:pPr>
            <w:r>
              <w:rPr>
                <w:rFonts w:hint="eastAsia" w:ascii="宋体" w:hAnsi="宋体" w:eastAsia="宋体" w:cs="宋体"/>
                <w:sz w:val="21"/>
                <w:szCs w:val="21"/>
                <w:lang w:val="en-US" w:eastAsia="zh-CN"/>
              </w:rPr>
              <w:t>2026.4-2028.8</w:t>
            </w:r>
          </w:p>
        </w:tc>
        <w:tc>
          <w:tcPr>
            <w:tcW w:w="741" w:type="pct"/>
            <w:shd w:val="clear" w:color="auto" w:fill="auto"/>
            <w:vAlign w:val="center"/>
          </w:tcPr>
          <w:p>
            <w:pPr>
              <w:pStyle w:val="132"/>
              <w:jc w:val="left"/>
              <w:rPr>
                <w:rFonts w:ascii="宋体" w:hAnsi="宋体" w:eastAsia="宋体" w:cs="宋体"/>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73" w:type="pct"/>
            <w:shd w:val="clear" w:color="auto" w:fill="auto"/>
            <w:vAlign w:val="center"/>
          </w:tcPr>
          <w:p>
            <w:pPr>
              <w:pStyle w:val="132"/>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16</w:t>
            </w:r>
          </w:p>
        </w:tc>
        <w:tc>
          <w:tcPr>
            <w:tcW w:w="637" w:type="pct"/>
            <w:shd w:val="clear" w:color="auto" w:fill="auto"/>
            <w:vAlign w:val="center"/>
          </w:tcPr>
          <w:p>
            <w:pPr>
              <w:pStyle w:val="13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试验员</w:t>
            </w:r>
          </w:p>
        </w:tc>
        <w:tc>
          <w:tcPr>
            <w:tcW w:w="563" w:type="pct"/>
            <w:shd w:val="clear" w:color="auto" w:fill="auto"/>
            <w:vAlign w:val="center"/>
          </w:tcPr>
          <w:p>
            <w:pPr>
              <w:pStyle w:val="132"/>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1人</w:t>
            </w:r>
          </w:p>
        </w:tc>
        <w:tc>
          <w:tcPr>
            <w:tcW w:w="1292" w:type="pct"/>
            <w:shd w:val="clear" w:color="auto" w:fill="auto"/>
            <w:vAlign w:val="center"/>
          </w:tcPr>
          <w:p>
            <w:pPr>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同业态同岗位工作经验4年以上</w:t>
            </w:r>
          </w:p>
        </w:tc>
        <w:tc>
          <w:tcPr>
            <w:tcW w:w="600" w:type="pct"/>
            <w:shd w:val="clear" w:color="auto" w:fill="auto"/>
            <w:vAlign w:val="center"/>
          </w:tcPr>
          <w:p>
            <w:pPr>
              <w:pStyle w:val="132"/>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开工至竣备</w:t>
            </w:r>
          </w:p>
        </w:tc>
        <w:tc>
          <w:tcPr>
            <w:tcW w:w="790" w:type="pct"/>
            <w:shd w:val="clear" w:color="auto" w:fill="auto"/>
            <w:vAlign w:val="center"/>
          </w:tcPr>
          <w:p>
            <w:pPr>
              <w:pStyle w:val="132"/>
              <w:jc w:val="center"/>
              <w:rPr>
                <w:rFonts w:ascii="宋体" w:hAnsi="宋体" w:eastAsia="宋体" w:cs="宋体"/>
                <w:sz w:val="21"/>
                <w:szCs w:val="21"/>
                <w:lang w:val="en-US" w:eastAsia="zh-CN" w:bidi="ar-SA"/>
              </w:rPr>
            </w:pPr>
            <w:r>
              <w:rPr>
                <w:rFonts w:hint="eastAsia" w:ascii="宋体" w:hAnsi="宋体" w:eastAsia="宋体" w:cs="宋体"/>
                <w:sz w:val="21"/>
                <w:szCs w:val="21"/>
                <w:lang w:val="en-US" w:eastAsia="zh-CN"/>
              </w:rPr>
              <w:t>2026.4-2027.11</w:t>
            </w:r>
          </w:p>
        </w:tc>
        <w:tc>
          <w:tcPr>
            <w:tcW w:w="741" w:type="pct"/>
            <w:shd w:val="clear" w:color="auto" w:fill="auto"/>
            <w:vAlign w:val="center"/>
          </w:tcPr>
          <w:p>
            <w:pPr>
              <w:pStyle w:val="132"/>
              <w:jc w:val="left"/>
              <w:rPr>
                <w:rFonts w:ascii="宋体" w:hAnsi="宋体" w:eastAsia="宋体" w:cs="宋体"/>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73" w:type="pct"/>
            <w:shd w:val="clear" w:color="auto" w:fill="auto"/>
            <w:vAlign w:val="center"/>
          </w:tcPr>
          <w:p>
            <w:pPr>
              <w:pStyle w:val="132"/>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17</w:t>
            </w:r>
          </w:p>
        </w:tc>
        <w:tc>
          <w:tcPr>
            <w:tcW w:w="637" w:type="pct"/>
            <w:shd w:val="clear" w:color="auto" w:fill="auto"/>
            <w:vAlign w:val="center"/>
          </w:tcPr>
          <w:p>
            <w:pPr>
              <w:pStyle w:val="132"/>
              <w:jc w:val="center"/>
              <w:rPr>
                <w:rFonts w:ascii="宋体" w:hAnsi="宋体" w:eastAsia="宋体" w:cs="宋体"/>
                <w:sz w:val="21"/>
                <w:szCs w:val="21"/>
                <w:lang w:val="en-US" w:eastAsia="zh-CN" w:bidi="ar-SA"/>
              </w:rPr>
            </w:pPr>
            <w:r>
              <w:rPr>
                <w:rFonts w:hint="eastAsia" w:ascii="宋体" w:hAnsi="宋体" w:eastAsia="宋体" w:cs="宋体"/>
                <w:sz w:val="21"/>
                <w:szCs w:val="21"/>
              </w:rPr>
              <w:t>材料员</w:t>
            </w:r>
          </w:p>
        </w:tc>
        <w:tc>
          <w:tcPr>
            <w:tcW w:w="563" w:type="pct"/>
            <w:shd w:val="clear" w:color="auto" w:fill="auto"/>
            <w:vAlign w:val="center"/>
          </w:tcPr>
          <w:p>
            <w:pPr>
              <w:pStyle w:val="132"/>
              <w:jc w:val="center"/>
              <w:rPr>
                <w:rFonts w:ascii="宋体" w:hAnsi="宋体" w:eastAsia="宋体" w:cs="宋体"/>
                <w:sz w:val="21"/>
                <w:szCs w:val="21"/>
                <w:lang w:val="en-US" w:eastAsia="zh-CN" w:bidi="ar-SA"/>
              </w:rPr>
            </w:pPr>
            <w:r>
              <w:rPr>
                <w:rFonts w:hint="eastAsia" w:ascii="宋体" w:hAnsi="宋体" w:eastAsia="宋体" w:cs="宋体"/>
                <w:sz w:val="21"/>
                <w:szCs w:val="21"/>
                <w:lang w:val="en-US" w:eastAsia="zh-CN"/>
              </w:rPr>
              <w:t>1</w:t>
            </w:r>
            <w:r>
              <w:rPr>
                <w:rFonts w:hint="eastAsia" w:ascii="宋体" w:hAnsi="宋体" w:eastAsia="宋体" w:cs="宋体"/>
                <w:sz w:val="21"/>
                <w:szCs w:val="21"/>
              </w:rPr>
              <w:t>人</w:t>
            </w:r>
          </w:p>
        </w:tc>
        <w:tc>
          <w:tcPr>
            <w:tcW w:w="1292" w:type="pct"/>
            <w:shd w:val="clear" w:color="auto" w:fill="auto"/>
            <w:vAlign w:val="center"/>
          </w:tcPr>
          <w:p>
            <w:pPr>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同业态同岗位工作经验4年以上</w:t>
            </w:r>
          </w:p>
        </w:tc>
        <w:tc>
          <w:tcPr>
            <w:tcW w:w="600" w:type="pct"/>
            <w:shd w:val="clear" w:color="auto" w:fill="auto"/>
            <w:vAlign w:val="center"/>
          </w:tcPr>
          <w:p>
            <w:pPr>
              <w:pStyle w:val="132"/>
              <w:jc w:val="center"/>
              <w:rPr>
                <w:rFonts w:ascii="宋体" w:hAnsi="宋体" w:eastAsia="宋体" w:cs="宋体"/>
                <w:sz w:val="21"/>
                <w:szCs w:val="21"/>
                <w:lang w:val="en-US" w:eastAsia="zh-CN" w:bidi="ar-SA"/>
              </w:rPr>
            </w:pPr>
            <w:r>
              <w:rPr>
                <w:rFonts w:hint="eastAsia" w:ascii="宋体" w:hAnsi="宋体" w:eastAsia="宋体" w:cs="宋体"/>
                <w:sz w:val="21"/>
                <w:szCs w:val="21"/>
                <w:lang w:val="en-US" w:eastAsia="zh-CN" w:bidi="ar-SA"/>
              </w:rPr>
              <w:t>开工至竣备</w:t>
            </w:r>
          </w:p>
        </w:tc>
        <w:tc>
          <w:tcPr>
            <w:tcW w:w="790" w:type="pct"/>
            <w:shd w:val="clear" w:color="auto" w:fill="auto"/>
            <w:vAlign w:val="center"/>
          </w:tcPr>
          <w:p>
            <w:pPr>
              <w:pStyle w:val="132"/>
              <w:jc w:val="center"/>
              <w:rPr>
                <w:rFonts w:ascii="宋体" w:hAnsi="宋体" w:eastAsia="宋体" w:cs="宋体"/>
                <w:sz w:val="21"/>
                <w:szCs w:val="21"/>
                <w:lang w:val="en-US" w:eastAsia="zh-CN" w:bidi="ar-SA"/>
              </w:rPr>
            </w:pPr>
            <w:r>
              <w:rPr>
                <w:rFonts w:hint="eastAsia" w:ascii="宋体" w:hAnsi="宋体" w:eastAsia="宋体" w:cs="宋体"/>
                <w:sz w:val="21"/>
                <w:szCs w:val="21"/>
                <w:lang w:val="en-US" w:eastAsia="zh-CN"/>
              </w:rPr>
              <w:t>2026.4-2027.11</w:t>
            </w:r>
          </w:p>
        </w:tc>
        <w:tc>
          <w:tcPr>
            <w:tcW w:w="741" w:type="pct"/>
            <w:shd w:val="clear" w:color="auto" w:fill="auto"/>
            <w:vAlign w:val="center"/>
          </w:tcPr>
          <w:p>
            <w:pPr>
              <w:pStyle w:val="132"/>
              <w:jc w:val="left"/>
              <w:rPr>
                <w:rFonts w:ascii="宋体" w:hAnsi="宋体" w:eastAsia="宋体" w:cs="宋体"/>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1010" w:type="pct"/>
            <w:gridSpan w:val="2"/>
            <w:vAlign w:val="center"/>
          </w:tcPr>
          <w:p>
            <w:pPr>
              <w:pStyle w:val="132"/>
              <w:jc w:val="center"/>
              <w:rPr>
                <w:rFonts w:ascii="宋体" w:hAnsi="宋体" w:eastAsia="宋体" w:cs="宋体"/>
                <w:sz w:val="21"/>
                <w:szCs w:val="21"/>
              </w:rPr>
            </w:pPr>
            <w:r>
              <w:rPr>
                <w:rFonts w:hint="eastAsia" w:ascii="宋体" w:hAnsi="宋体" w:eastAsia="宋体" w:cs="宋体"/>
                <w:sz w:val="21"/>
                <w:szCs w:val="21"/>
              </w:rPr>
              <w:t>合计</w:t>
            </w:r>
          </w:p>
        </w:tc>
        <w:tc>
          <w:tcPr>
            <w:tcW w:w="563" w:type="pct"/>
            <w:vAlign w:val="center"/>
          </w:tcPr>
          <w:p>
            <w:pPr>
              <w:pStyle w:val="132"/>
              <w:jc w:val="center"/>
              <w:rPr>
                <w:rFonts w:ascii="宋体" w:hAnsi="宋体" w:eastAsia="宋体" w:cs="宋体"/>
                <w:sz w:val="21"/>
                <w:szCs w:val="21"/>
              </w:rPr>
            </w:pPr>
            <w:r>
              <w:rPr>
                <w:rFonts w:hint="eastAsia" w:ascii="宋体" w:hAnsi="宋体" w:eastAsia="宋体" w:cs="宋体"/>
                <w:sz w:val="21"/>
                <w:szCs w:val="21"/>
                <w:lang w:val="en-US" w:eastAsia="zh-CN"/>
              </w:rPr>
              <w:t>27</w:t>
            </w:r>
            <w:r>
              <w:rPr>
                <w:rFonts w:hint="eastAsia" w:ascii="宋体" w:hAnsi="宋体" w:eastAsia="宋体" w:cs="宋体"/>
                <w:sz w:val="21"/>
                <w:szCs w:val="21"/>
              </w:rPr>
              <w:t>人</w:t>
            </w:r>
          </w:p>
        </w:tc>
        <w:tc>
          <w:tcPr>
            <w:tcW w:w="1292" w:type="pct"/>
            <w:vAlign w:val="center"/>
          </w:tcPr>
          <w:p>
            <w:pPr>
              <w:pStyle w:val="132"/>
              <w:jc w:val="center"/>
              <w:rPr>
                <w:rFonts w:hint="eastAsia" w:ascii="宋体" w:hAnsi="宋体" w:eastAsia="宋体" w:cs="宋体"/>
                <w:sz w:val="21"/>
                <w:szCs w:val="21"/>
              </w:rPr>
            </w:pPr>
          </w:p>
        </w:tc>
        <w:tc>
          <w:tcPr>
            <w:tcW w:w="2132" w:type="pct"/>
            <w:gridSpan w:val="3"/>
            <w:vAlign w:val="center"/>
          </w:tcPr>
          <w:p>
            <w:pPr>
              <w:pStyle w:val="132"/>
              <w:jc w:val="left"/>
              <w:rPr>
                <w:rFonts w:hint="eastAsia" w:ascii="宋体" w:hAnsi="宋体" w:eastAsia="宋体" w:cs="宋体"/>
                <w:sz w:val="21"/>
                <w:szCs w:val="21"/>
                <w:lang w:val="en-US" w:eastAsia="zh-CN"/>
              </w:rPr>
            </w:pPr>
            <w:r>
              <w:rPr>
                <w:rFonts w:hint="eastAsia" w:ascii="宋体" w:hAnsi="宋体" w:eastAsia="宋体" w:cs="宋体"/>
                <w:sz w:val="21"/>
                <w:szCs w:val="21"/>
              </w:rPr>
              <w:t>注：以上为人员配置基本要求，同时须满足当地建设要求。</w:t>
            </w:r>
            <w:r>
              <w:rPr>
                <w:rFonts w:hint="eastAsia" w:ascii="宋体" w:hAnsi="宋体" w:eastAsia="宋体" w:cs="宋体"/>
                <w:sz w:val="21"/>
                <w:szCs w:val="21"/>
                <w:lang w:val="en-US" w:eastAsia="zh-CN"/>
              </w:rPr>
              <w:t>驻场时间为实际施工需求为准。</w:t>
            </w:r>
          </w:p>
        </w:tc>
      </w:tr>
    </w:tbl>
    <w:p>
      <w:pPr>
        <w:jc w:val="left"/>
        <w:rPr>
          <w:rFonts w:hint="eastAsia" w:ascii="宋体" w:hAnsi="宋体" w:cs="宋体"/>
          <w:szCs w:val="21"/>
        </w:rPr>
      </w:pPr>
    </w:p>
    <w:tbl>
      <w:tblPr>
        <w:tblStyle w:val="42"/>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894"/>
        <w:gridCol w:w="4183"/>
        <w:gridCol w:w="884"/>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601" w:type="dxa"/>
            <w:gridSpan w:val="5"/>
            <w:vAlign w:val="center"/>
          </w:tcPr>
          <w:p>
            <w:pPr>
              <w:jc w:val="center"/>
              <w:rPr>
                <w:rFonts w:hint="eastAsia" w:ascii="宋体" w:hAnsi="宋体" w:eastAsia="宋体" w:cs="宋体"/>
                <w:szCs w:val="21"/>
                <w:lang w:val="en-US" w:eastAsia="zh-CN"/>
              </w:rPr>
            </w:pPr>
            <w:r>
              <w:rPr>
                <w:rFonts w:hint="eastAsia" w:ascii="宋体" w:hAnsi="宋体" w:cs="宋体"/>
                <w:b/>
                <w:bCs/>
              </w:rPr>
              <w:t>设计团队</w:t>
            </w:r>
            <w:r>
              <w:rPr>
                <w:rFonts w:hint="eastAsia" w:ascii="宋体" w:hAnsi="宋体" w:cs="宋体"/>
                <w:b/>
                <w:bCs/>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14" w:type="dxa"/>
            <w:vAlign w:val="center"/>
          </w:tcPr>
          <w:p>
            <w:pPr>
              <w:jc w:val="center"/>
              <w:rPr>
                <w:rFonts w:hint="eastAsia" w:ascii="宋体" w:hAnsi="宋体" w:eastAsia="宋体" w:cs="宋体"/>
                <w:kern w:val="2"/>
                <w:sz w:val="21"/>
                <w:szCs w:val="22"/>
                <w:lang w:val="en-US" w:eastAsia="zh-CN" w:bidi="ar-SA"/>
              </w:rPr>
            </w:pPr>
            <w:r>
              <w:rPr>
                <w:rFonts w:hint="eastAsia" w:ascii="宋体" w:hAnsi="宋体" w:cs="宋体"/>
              </w:rPr>
              <w:t>序号</w:t>
            </w:r>
          </w:p>
        </w:tc>
        <w:tc>
          <w:tcPr>
            <w:tcW w:w="1894" w:type="dxa"/>
            <w:vAlign w:val="center"/>
          </w:tcPr>
          <w:p>
            <w:pPr>
              <w:jc w:val="center"/>
              <w:rPr>
                <w:rFonts w:hint="eastAsia" w:ascii="宋体" w:hAnsi="宋体" w:eastAsia="宋体" w:cs="宋体"/>
                <w:kern w:val="2"/>
                <w:sz w:val="21"/>
                <w:szCs w:val="22"/>
                <w:lang w:val="en-US" w:eastAsia="zh-CN" w:bidi="ar-SA"/>
              </w:rPr>
            </w:pPr>
            <w:r>
              <w:rPr>
                <w:rFonts w:hint="eastAsia" w:ascii="宋体" w:hAnsi="宋体" w:cs="宋体"/>
              </w:rPr>
              <w:t>拟在本项目担任的职务</w:t>
            </w:r>
          </w:p>
        </w:tc>
        <w:tc>
          <w:tcPr>
            <w:tcW w:w="4183" w:type="dxa"/>
            <w:vAlign w:val="center"/>
          </w:tcPr>
          <w:p>
            <w:pPr>
              <w:jc w:val="center"/>
              <w:rPr>
                <w:rFonts w:hint="eastAsia" w:ascii="宋体" w:hAnsi="宋体" w:eastAsia="宋体" w:cs="宋体"/>
                <w:kern w:val="2"/>
                <w:sz w:val="21"/>
                <w:szCs w:val="22"/>
                <w:lang w:val="en-US" w:eastAsia="zh-CN" w:bidi="ar-SA"/>
              </w:rPr>
            </w:pPr>
            <w:r>
              <w:rPr>
                <w:rFonts w:hint="eastAsia" w:ascii="宋体" w:hAnsi="宋体" w:cs="宋体"/>
              </w:rPr>
              <w:t>职业资格或专业技术职称</w:t>
            </w:r>
          </w:p>
        </w:tc>
        <w:tc>
          <w:tcPr>
            <w:tcW w:w="884" w:type="dxa"/>
            <w:vAlign w:val="center"/>
          </w:tcPr>
          <w:p>
            <w:pPr>
              <w:jc w:val="center"/>
              <w:rPr>
                <w:rFonts w:hint="eastAsia" w:ascii="宋体" w:hAnsi="宋体" w:eastAsia="宋体" w:cs="宋体"/>
                <w:kern w:val="2"/>
                <w:sz w:val="21"/>
                <w:szCs w:val="22"/>
                <w:lang w:val="en-US" w:eastAsia="zh-CN" w:bidi="ar-SA"/>
              </w:rPr>
            </w:pPr>
            <w:r>
              <w:rPr>
                <w:rFonts w:hint="eastAsia" w:ascii="宋体" w:hAnsi="宋体" w:cs="宋体"/>
              </w:rPr>
              <w:t>人数</w:t>
            </w:r>
          </w:p>
        </w:tc>
        <w:tc>
          <w:tcPr>
            <w:tcW w:w="2026" w:type="dxa"/>
            <w:vAlign w:val="center"/>
          </w:tcPr>
          <w:p>
            <w:pPr>
              <w:jc w:val="center"/>
              <w:rPr>
                <w:rFonts w:hint="eastAsia" w:ascii="宋体" w:hAnsi="宋体" w:eastAsia="宋体" w:cs="宋体"/>
                <w:kern w:val="2"/>
                <w:sz w:val="21"/>
                <w:szCs w:val="22"/>
                <w:lang w:val="en-US" w:eastAsia="zh-CN" w:bidi="ar-SA"/>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14" w:type="dxa"/>
            <w:vAlign w:val="center"/>
          </w:tcPr>
          <w:p>
            <w:pPr>
              <w:jc w:val="center"/>
              <w:rPr>
                <w:rFonts w:hint="eastAsia" w:ascii="宋体" w:hAnsi="宋体" w:cs="宋体"/>
              </w:rPr>
            </w:pPr>
            <w:r>
              <w:rPr>
                <w:rFonts w:hint="eastAsia" w:ascii="宋体" w:hAnsi="宋体" w:cs="宋体"/>
              </w:rPr>
              <w:t>1</w:t>
            </w:r>
          </w:p>
        </w:tc>
        <w:tc>
          <w:tcPr>
            <w:tcW w:w="1894" w:type="dxa"/>
            <w:vAlign w:val="center"/>
          </w:tcPr>
          <w:p>
            <w:pPr>
              <w:widowControl/>
              <w:adjustRightInd w:val="0"/>
              <w:snapToGrid w:val="0"/>
              <w:jc w:val="center"/>
              <w:rPr>
                <w:rFonts w:hint="eastAsia" w:ascii="宋体" w:hAnsi="宋体" w:cs="宋体"/>
                <w:sz w:val="22"/>
                <w:lang w:bidi="ar"/>
              </w:rPr>
            </w:pPr>
            <w:r>
              <w:rPr>
                <w:rFonts w:hint="eastAsia" w:ascii="宋体" w:hAnsi="宋体" w:cs="宋体"/>
                <w:sz w:val="22"/>
                <w:lang w:bidi="ar"/>
              </w:rPr>
              <w:t>设计负责人</w:t>
            </w:r>
          </w:p>
        </w:tc>
        <w:tc>
          <w:tcPr>
            <w:tcW w:w="4183" w:type="dxa"/>
            <w:vAlign w:val="center"/>
          </w:tcPr>
          <w:p>
            <w:pPr>
              <w:widowControl/>
              <w:adjustRightInd w:val="0"/>
              <w:snapToGrid w:val="0"/>
              <w:jc w:val="center"/>
              <w:rPr>
                <w:rFonts w:hint="eastAsia" w:ascii="宋体" w:hAnsi="宋体" w:cs="宋体"/>
                <w:sz w:val="22"/>
                <w:lang w:bidi="ar"/>
              </w:rPr>
            </w:pPr>
            <w:r>
              <w:rPr>
                <w:rFonts w:hint="eastAsia" w:ascii="宋体" w:hAnsi="宋体" w:cs="宋体"/>
                <w:sz w:val="22"/>
                <w:lang w:bidi="ar"/>
              </w:rPr>
              <w:t>按招标公告要求</w:t>
            </w:r>
          </w:p>
        </w:tc>
        <w:tc>
          <w:tcPr>
            <w:tcW w:w="884" w:type="dxa"/>
            <w:vAlign w:val="center"/>
          </w:tcPr>
          <w:p>
            <w:pPr>
              <w:adjustRightInd w:val="0"/>
              <w:snapToGrid w:val="0"/>
              <w:jc w:val="center"/>
              <w:rPr>
                <w:rFonts w:hint="eastAsia" w:ascii="宋体" w:hAnsi="宋体" w:cs="宋体"/>
                <w:sz w:val="22"/>
              </w:rPr>
            </w:pPr>
            <w:r>
              <w:rPr>
                <w:rFonts w:hint="eastAsia" w:ascii="宋体" w:hAnsi="宋体" w:cs="宋体"/>
                <w:sz w:val="22"/>
                <w:lang w:bidi="ar"/>
              </w:rPr>
              <w:t>1</w:t>
            </w:r>
          </w:p>
        </w:tc>
        <w:tc>
          <w:tcPr>
            <w:tcW w:w="2026"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14" w:type="dxa"/>
            <w:vAlign w:val="center"/>
          </w:tcPr>
          <w:p>
            <w:pPr>
              <w:jc w:val="center"/>
              <w:rPr>
                <w:rFonts w:hint="eastAsia" w:ascii="宋体" w:hAnsi="宋体" w:cs="宋体"/>
              </w:rPr>
            </w:pPr>
            <w:r>
              <w:rPr>
                <w:rFonts w:hint="eastAsia" w:ascii="宋体" w:hAnsi="宋体" w:cs="宋体"/>
              </w:rPr>
              <w:t>2</w:t>
            </w:r>
          </w:p>
        </w:tc>
        <w:tc>
          <w:tcPr>
            <w:tcW w:w="1894" w:type="dxa"/>
            <w:vAlign w:val="center"/>
          </w:tcPr>
          <w:p>
            <w:pPr>
              <w:widowControl/>
              <w:adjustRightInd w:val="0"/>
              <w:snapToGrid w:val="0"/>
              <w:jc w:val="center"/>
              <w:rPr>
                <w:rFonts w:hint="eastAsia" w:ascii="宋体" w:hAnsi="宋体" w:cs="宋体"/>
                <w:sz w:val="22"/>
                <w:lang w:bidi="ar"/>
              </w:rPr>
            </w:pPr>
            <w:r>
              <w:rPr>
                <w:rFonts w:hint="eastAsia" w:ascii="宋体" w:hAnsi="宋体" w:cs="宋体"/>
                <w:sz w:val="22"/>
                <w:lang w:bidi="ar"/>
              </w:rPr>
              <w:t>结构设计专业负责人</w:t>
            </w:r>
          </w:p>
        </w:tc>
        <w:tc>
          <w:tcPr>
            <w:tcW w:w="4183" w:type="dxa"/>
            <w:vAlign w:val="center"/>
          </w:tcPr>
          <w:p>
            <w:pPr>
              <w:widowControl/>
              <w:adjustRightInd w:val="0"/>
              <w:snapToGrid w:val="0"/>
              <w:jc w:val="center"/>
              <w:rPr>
                <w:rFonts w:hint="eastAsia" w:ascii="宋体" w:hAnsi="宋体" w:cs="宋体"/>
                <w:sz w:val="22"/>
                <w:lang w:bidi="ar"/>
              </w:rPr>
            </w:pPr>
            <w:r>
              <w:rPr>
                <w:rFonts w:hint="eastAsia" w:ascii="宋体" w:hAnsi="宋体" w:cs="宋体"/>
                <w:sz w:val="22"/>
                <w:lang w:bidi="ar"/>
              </w:rPr>
              <w:t>具有结构专业中级或以上级别技术职称、一级注册结构师执业资格证书</w:t>
            </w:r>
          </w:p>
        </w:tc>
        <w:tc>
          <w:tcPr>
            <w:tcW w:w="884" w:type="dxa"/>
            <w:vAlign w:val="center"/>
          </w:tcPr>
          <w:p>
            <w:pPr>
              <w:adjustRightInd w:val="0"/>
              <w:snapToGrid w:val="0"/>
              <w:jc w:val="center"/>
              <w:rPr>
                <w:rFonts w:hint="eastAsia" w:ascii="宋体" w:hAnsi="宋体" w:cs="宋体"/>
                <w:sz w:val="22"/>
                <w:lang w:bidi="ar"/>
              </w:rPr>
            </w:pPr>
            <w:r>
              <w:rPr>
                <w:rFonts w:hint="eastAsia" w:ascii="宋体" w:hAnsi="宋体" w:cs="宋体"/>
                <w:sz w:val="22"/>
                <w:lang w:bidi="ar"/>
              </w:rPr>
              <w:t>1</w:t>
            </w:r>
          </w:p>
        </w:tc>
        <w:tc>
          <w:tcPr>
            <w:tcW w:w="2026"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14" w:type="dxa"/>
            <w:vAlign w:val="center"/>
          </w:tcPr>
          <w:p>
            <w:pPr>
              <w:jc w:val="center"/>
              <w:rPr>
                <w:rFonts w:hint="eastAsia" w:ascii="宋体" w:hAnsi="宋体" w:cs="宋体"/>
              </w:rPr>
            </w:pPr>
            <w:r>
              <w:rPr>
                <w:rFonts w:hint="eastAsia" w:ascii="宋体" w:hAnsi="宋体" w:cs="宋体"/>
              </w:rPr>
              <w:t>3</w:t>
            </w:r>
          </w:p>
        </w:tc>
        <w:tc>
          <w:tcPr>
            <w:tcW w:w="1894" w:type="dxa"/>
            <w:vAlign w:val="center"/>
          </w:tcPr>
          <w:p>
            <w:pPr>
              <w:widowControl/>
              <w:adjustRightInd w:val="0"/>
              <w:snapToGrid w:val="0"/>
              <w:jc w:val="center"/>
              <w:rPr>
                <w:rFonts w:hint="eastAsia" w:ascii="宋体" w:hAnsi="宋体" w:cs="宋体"/>
                <w:sz w:val="22"/>
                <w:lang w:bidi="ar"/>
              </w:rPr>
            </w:pPr>
            <w:r>
              <w:rPr>
                <w:rFonts w:hint="eastAsia" w:ascii="宋体" w:hAnsi="宋体" w:cs="宋体"/>
                <w:sz w:val="22"/>
                <w:lang w:bidi="ar"/>
              </w:rPr>
              <w:t>给排水设计专业负责人</w:t>
            </w:r>
          </w:p>
        </w:tc>
        <w:tc>
          <w:tcPr>
            <w:tcW w:w="4183" w:type="dxa"/>
            <w:vAlign w:val="center"/>
          </w:tcPr>
          <w:p>
            <w:pPr>
              <w:widowControl/>
              <w:adjustRightInd w:val="0"/>
              <w:snapToGrid w:val="0"/>
              <w:jc w:val="center"/>
              <w:rPr>
                <w:rFonts w:hint="eastAsia" w:ascii="宋体" w:hAnsi="宋体" w:cs="宋体"/>
                <w:sz w:val="22"/>
                <w:lang w:bidi="ar"/>
              </w:rPr>
            </w:pPr>
            <w:r>
              <w:rPr>
                <w:rFonts w:hint="eastAsia" w:ascii="宋体" w:hAnsi="宋体" w:cs="宋体"/>
                <w:sz w:val="22"/>
                <w:lang w:bidi="ar"/>
              </w:rPr>
              <w:t>具有给排水专业中级或以上级别技术职称</w:t>
            </w:r>
          </w:p>
        </w:tc>
        <w:tc>
          <w:tcPr>
            <w:tcW w:w="884" w:type="dxa"/>
            <w:vAlign w:val="center"/>
          </w:tcPr>
          <w:p>
            <w:pPr>
              <w:adjustRightInd w:val="0"/>
              <w:snapToGrid w:val="0"/>
              <w:jc w:val="center"/>
              <w:rPr>
                <w:rFonts w:hint="eastAsia" w:ascii="宋体" w:hAnsi="宋体" w:cs="宋体"/>
                <w:sz w:val="22"/>
              </w:rPr>
            </w:pPr>
            <w:r>
              <w:rPr>
                <w:rFonts w:hint="eastAsia" w:ascii="宋体" w:hAnsi="宋体" w:cs="宋体"/>
                <w:sz w:val="22"/>
                <w:lang w:bidi="ar"/>
              </w:rPr>
              <w:t>1</w:t>
            </w:r>
          </w:p>
        </w:tc>
        <w:tc>
          <w:tcPr>
            <w:tcW w:w="2026"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14" w:type="dxa"/>
            <w:vAlign w:val="center"/>
          </w:tcPr>
          <w:p>
            <w:pPr>
              <w:jc w:val="center"/>
              <w:rPr>
                <w:rFonts w:hint="eastAsia" w:ascii="宋体" w:hAnsi="宋体" w:cs="宋体"/>
              </w:rPr>
            </w:pPr>
            <w:r>
              <w:rPr>
                <w:rFonts w:hint="eastAsia" w:ascii="宋体" w:hAnsi="宋体" w:cs="宋体"/>
              </w:rPr>
              <w:t>4</w:t>
            </w:r>
          </w:p>
        </w:tc>
        <w:tc>
          <w:tcPr>
            <w:tcW w:w="1894" w:type="dxa"/>
            <w:vAlign w:val="center"/>
          </w:tcPr>
          <w:p>
            <w:pPr>
              <w:widowControl/>
              <w:adjustRightInd w:val="0"/>
              <w:snapToGrid w:val="0"/>
              <w:jc w:val="center"/>
              <w:rPr>
                <w:rFonts w:hint="eastAsia" w:ascii="宋体" w:hAnsi="宋体" w:cs="宋体"/>
                <w:sz w:val="22"/>
                <w:lang w:bidi="ar"/>
              </w:rPr>
            </w:pPr>
            <w:r>
              <w:rPr>
                <w:rFonts w:hint="eastAsia" w:ascii="宋体" w:hAnsi="宋体" w:cs="宋体"/>
                <w:sz w:val="22"/>
                <w:lang w:bidi="ar"/>
              </w:rPr>
              <w:t>电气设计专业负责人</w:t>
            </w:r>
          </w:p>
        </w:tc>
        <w:tc>
          <w:tcPr>
            <w:tcW w:w="4183" w:type="dxa"/>
            <w:vAlign w:val="center"/>
          </w:tcPr>
          <w:p>
            <w:pPr>
              <w:widowControl/>
              <w:adjustRightInd w:val="0"/>
              <w:snapToGrid w:val="0"/>
              <w:jc w:val="center"/>
              <w:rPr>
                <w:rFonts w:hint="eastAsia" w:ascii="宋体" w:hAnsi="宋体" w:cs="宋体"/>
                <w:sz w:val="22"/>
                <w:lang w:bidi="ar"/>
              </w:rPr>
            </w:pPr>
            <w:r>
              <w:rPr>
                <w:rFonts w:hint="eastAsia" w:ascii="宋体" w:hAnsi="宋体" w:cs="宋体"/>
                <w:sz w:val="22"/>
                <w:lang w:bidi="ar"/>
              </w:rPr>
              <w:t>具有电气专业中级或以上级别技术职称</w:t>
            </w:r>
          </w:p>
        </w:tc>
        <w:tc>
          <w:tcPr>
            <w:tcW w:w="884" w:type="dxa"/>
            <w:vAlign w:val="center"/>
          </w:tcPr>
          <w:p>
            <w:pPr>
              <w:adjustRightInd w:val="0"/>
              <w:snapToGrid w:val="0"/>
              <w:jc w:val="center"/>
              <w:rPr>
                <w:rFonts w:hint="eastAsia" w:ascii="宋体" w:hAnsi="宋体" w:cs="宋体"/>
                <w:sz w:val="22"/>
              </w:rPr>
            </w:pPr>
            <w:r>
              <w:rPr>
                <w:rFonts w:hint="eastAsia" w:ascii="宋体" w:hAnsi="宋体" w:cs="宋体"/>
                <w:sz w:val="22"/>
                <w:lang w:bidi="ar"/>
              </w:rPr>
              <w:t>1</w:t>
            </w:r>
          </w:p>
        </w:tc>
        <w:tc>
          <w:tcPr>
            <w:tcW w:w="2026"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14" w:type="dxa"/>
            <w:vAlign w:val="center"/>
          </w:tcPr>
          <w:p>
            <w:pPr>
              <w:jc w:val="center"/>
              <w:rPr>
                <w:rFonts w:hint="eastAsia" w:ascii="宋体" w:hAnsi="宋体" w:cs="宋体"/>
              </w:rPr>
            </w:pPr>
            <w:r>
              <w:rPr>
                <w:rFonts w:hint="eastAsia" w:ascii="宋体" w:hAnsi="宋体" w:cs="宋体"/>
              </w:rPr>
              <w:t>5</w:t>
            </w:r>
          </w:p>
        </w:tc>
        <w:tc>
          <w:tcPr>
            <w:tcW w:w="1894" w:type="dxa"/>
            <w:vAlign w:val="center"/>
          </w:tcPr>
          <w:p>
            <w:pPr>
              <w:widowControl/>
              <w:adjustRightInd w:val="0"/>
              <w:snapToGrid w:val="0"/>
              <w:jc w:val="center"/>
              <w:rPr>
                <w:rFonts w:hint="eastAsia" w:ascii="宋体" w:hAnsi="宋体" w:cs="宋体"/>
                <w:sz w:val="22"/>
                <w:lang w:bidi="ar"/>
              </w:rPr>
            </w:pPr>
            <w:r>
              <w:rPr>
                <w:rFonts w:hint="eastAsia" w:ascii="宋体" w:hAnsi="宋体" w:cs="宋体"/>
                <w:sz w:val="22"/>
                <w:lang w:bidi="ar"/>
              </w:rPr>
              <w:t>暖通设计专业负责人</w:t>
            </w:r>
          </w:p>
        </w:tc>
        <w:tc>
          <w:tcPr>
            <w:tcW w:w="4183" w:type="dxa"/>
            <w:vAlign w:val="center"/>
          </w:tcPr>
          <w:p>
            <w:pPr>
              <w:widowControl/>
              <w:adjustRightInd w:val="0"/>
              <w:snapToGrid w:val="0"/>
              <w:jc w:val="center"/>
              <w:rPr>
                <w:rFonts w:hint="eastAsia" w:ascii="宋体" w:hAnsi="宋体" w:cs="宋体"/>
                <w:sz w:val="22"/>
                <w:lang w:bidi="ar"/>
              </w:rPr>
            </w:pPr>
            <w:r>
              <w:rPr>
                <w:rFonts w:hint="eastAsia" w:ascii="宋体" w:hAnsi="宋体" w:cs="宋体"/>
                <w:sz w:val="22"/>
                <w:lang w:bidi="ar"/>
              </w:rPr>
              <w:t>具有暖通专业中级或以上级别技术职称</w:t>
            </w:r>
          </w:p>
        </w:tc>
        <w:tc>
          <w:tcPr>
            <w:tcW w:w="884" w:type="dxa"/>
            <w:vAlign w:val="center"/>
          </w:tcPr>
          <w:p>
            <w:pPr>
              <w:adjustRightInd w:val="0"/>
              <w:snapToGrid w:val="0"/>
              <w:jc w:val="center"/>
              <w:rPr>
                <w:rFonts w:hint="eastAsia" w:ascii="宋体" w:hAnsi="宋体" w:cs="宋体"/>
                <w:sz w:val="22"/>
              </w:rPr>
            </w:pPr>
            <w:r>
              <w:rPr>
                <w:rFonts w:hint="eastAsia" w:ascii="宋体" w:hAnsi="宋体" w:cs="宋体"/>
                <w:sz w:val="22"/>
                <w:lang w:bidi="ar"/>
              </w:rPr>
              <w:t>1</w:t>
            </w:r>
          </w:p>
        </w:tc>
        <w:tc>
          <w:tcPr>
            <w:tcW w:w="2026"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14" w:type="dxa"/>
            <w:vAlign w:val="center"/>
          </w:tcPr>
          <w:p>
            <w:pPr>
              <w:jc w:val="center"/>
              <w:rPr>
                <w:rFonts w:hint="eastAsia" w:ascii="宋体" w:hAnsi="宋体" w:cs="宋体"/>
              </w:rPr>
            </w:pPr>
            <w:r>
              <w:rPr>
                <w:rFonts w:hint="eastAsia" w:ascii="宋体" w:hAnsi="宋体" w:cs="宋体"/>
              </w:rPr>
              <w:t>6</w:t>
            </w:r>
          </w:p>
        </w:tc>
        <w:tc>
          <w:tcPr>
            <w:tcW w:w="1894" w:type="dxa"/>
            <w:vAlign w:val="center"/>
          </w:tcPr>
          <w:p>
            <w:pPr>
              <w:widowControl/>
              <w:adjustRightInd w:val="0"/>
              <w:snapToGrid w:val="0"/>
              <w:jc w:val="center"/>
              <w:rPr>
                <w:rFonts w:hint="eastAsia" w:ascii="宋体" w:hAnsi="宋体" w:cs="宋体"/>
                <w:sz w:val="22"/>
                <w:lang w:bidi="ar"/>
              </w:rPr>
            </w:pPr>
            <w:r>
              <w:rPr>
                <w:rFonts w:hint="eastAsia" w:ascii="宋体" w:hAnsi="宋体" w:cs="宋体"/>
                <w:sz w:val="22"/>
                <w:lang w:bidi="ar"/>
              </w:rPr>
              <w:t>园林设计专业负责人</w:t>
            </w:r>
          </w:p>
        </w:tc>
        <w:tc>
          <w:tcPr>
            <w:tcW w:w="4183" w:type="dxa"/>
            <w:vAlign w:val="center"/>
          </w:tcPr>
          <w:p>
            <w:pPr>
              <w:widowControl/>
              <w:adjustRightInd w:val="0"/>
              <w:snapToGrid w:val="0"/>
              <w:jc w:val="center"/>
              <w:rPr>
                <w:rFonts w:hint="eastAsia" w:ascii="宋体" w:hAnsi="宋体" w:cs="宋体"/>
                <w:sz w:val="22"/>
                <w:lang w:bidi="ar"/>
              </w:rPr>
            </w:pPr>
            <w:r>
              <w:rPr>
                <w:rFonts w:hint="eastAsia" w:ascii="宋体" w:hAnsi="宋体" w:cs="宋体"/>
                <w:sz w:val="22"/>
                <w:lang w:bidi="ar"/>
              </w:rPr>
              <w:t>具有园林专业中级或以上级别技术职称</w:t>
            </w:r>
          </w:p>
        </w:tc>
        <w:tc>
          <w:tcPr>
            <w:tcW w:w="884" w:type="dxa"/>
            <w:vAlign w:val="center"/>
          </w:tcPr>
          <w:p>
            <w:pPr>
              <w:adjustRightInd w:val="0"/>
              <w:snapToGrid w:val="0"/>
              <w:jc w:val="center"/>
              <w:rPr>
                <w:rFonts w:hint="eastAsia" w:ascii="宋体" w:hAnsi="宋体" w:cs="宋体"/>
                <w:sz w:val="22"/>
              </w:rPr>
            </w:pPr>
            <w:r>
              <w:rPr>
                <w:rFonts w:hint="eastAsia" w:ascii="宋体" w:hAnsi="宋体" w:cs="宋体"/>
                <w:sz w:val="22"/>
                <w:lang w:bidi="ar"/>
              </w:rPr>
              <w:t>1</w:t>
            </w:r>
          </w:p>
        </w:tc>
        <w:tc>
          <w:tcPr>
            <w:tcW w:w="2026"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14" w:type="dxa"/>
            <w:vAlign w:val="center"/>
          </w:tcPr>
          <w:p>
            <w:pPr>
              <w:jc w:val="center"/>
              <w:rPr>
                <w:rFonts w:hint="eastAsia" w:ascii="宋体" w:hAnsi="宋体" w:cs="宋体"/>
              </w:rPr>
            </w:pPr>
            <w:r>
              <w:rPr>
                <w:rFonts w:hint="eastAsia" w:ascii="宋体" w:hAnsi="宋体" w:cs="宋体"/>
              </w:rPr>
              <w:t>7</w:t>
            </w:r>
          </w:p>
        </w:tc>
        <w:tc>
          <w:tcPr>
            <w:tcW w:w="1894" w:type="dxa"/>
            <w:vAlign w:val="center"/>
          </w:tcPr>
          <w:p>
            <w:pPr>
              <w:widowControl/>
              <w:adjustRightInd w:val="0"/>
              <w:snapToGrid w:val="0"/>
              <w:jc w:val="center"/>
              <w:rPr>
                <w:rFonts w:hint="eastAsia" w:ascii="宋体" w:hAnsi="宋体" w:cs="宋体"/>
                <w:sz w:val="22"/>
                <w:lang w:bidi="ar"/>
              </w:rPr>
            </w:pPr>
            <w:r>
              <w:rPr>
                <w:rFonts w:hint="eastAsia" w:ascii="宋体" w:hAnsi="宋体" w:cs="宋体"/>
                <w:sz w:val="22"/>
                <w:lang w:bidi="ar"/>
              </w:rPr>
              <w:t>装修设计专业负责人</w:t>
            </w:r>
          </w:p>
        </w:tc>
        <w:tc>
          <w:tcPr>
            <w:tcW w:w="4183" w:type="dxa"/>
            <w:vAlign w:val="center"/>
          </w:tcPr>
          <w:p>
            <w:pPr>
              <w:widowControl/>
              <w:adjustRightInd w:val="0"/>
              <w:snapToGrid w:val="0"/>
              <w:jc w:val="center"/>
              <w:rPr>
                <w:rFonts w:hint="eastAsia" w:ascii="宋体" w:hAnsi="宋体" w:cs="宋体"/>
                <w:sz w:val="22"/>
                <w:lang w:bidi="ar"/>
              </w:rPr>
            </w:pPr>
            <w:r>
              <w:rPr>
                <w:rFonts w:hint="eastAsia" w:ascii="宋体" w:hAnsi="宋体" w:cs="宋体"/>
                <w:sz w:val="22"/>
                <w:lang w:bidi="ar"/>
              </w:rPr>
              <w:t>具有装修专业中级或以上级别技术职称</w:t>
            </w:r>
          </w:p>
        </w:tc>
        <w:tc>
          <w:tcPr>
            <w:tcW w:w="884" w:type="dxa"/>
            <w:vAlign w:val="center"/>
          </w:tcPr>
          <w:p>
            <w:pPr>
              <w:adjustRightInd w:val="0"/>
              <w:snapToGrid w:val="0"/>
              <w:jc w:val="center"/>
              <w:rPr>
                <w:rFonts w:hint="eastAsia" w:ascii="宋体" w:hAnsi="宋体" w:cs="宋体"/>
                <w:sz w:val="22"/>
              </w:rPr>
            </w:pPr>
            <w:r>
              <w:rPr>
                <w:rFonts w:hint="eastAsia" w:ascii="宋体" w:hAnsi="宋体" w:cs="宋体"/>
                <w:sz w:val="22"/>
                <w:lang w:bidi="ar"/>
              </w:rPr>
              <w:t>1</w:t>
            </w:r>
          </w:p>
        </w:tc>
        <w:tc>
          <w:tcPr>
            <w:tcW w:w="2026" w:type="dxa"/>
            <w:vAlign w:val="center"/>
          </w:tcPr>
          <w:p>
            <w:pPr>
              <w:jc w:val="center"/>
              <w:rPr>
                <w:rFonts w:hint="eastAsia" w:ascii="宋体" w:hAnsi="宋体" w:cs="宋体"/>
                <w:szCs w:val="21"/>
              </w:rPr>
            </w:pPr>
          </w:p>
        </w:tc>
      </w:tr>
    </w:tbl>
    <w:p>
      <w:pPr>
        <w:jc w:val="left"/>
        <w:rPr>
          <w:rFonts w:hint="eastAsia" w:ascii="宋体" w:hAnsi="宋体" w:cs="宋体"/>
          <w:szCs w:val="21"/>
        </w:rPr>
      </w:pPr>
    </w:p>
    <w:p>
      <w:pPr>
        <w:jc w:val="left"/>
        <w:rPr>
          <w:rFonts w:hint="eastAsia" w:ascii="宋体" w:hAnsi="宋体" w:cs="宋体"/>
          <w:szCs w:val="21"/>
        </w:rPr>
      </w:pPr>
      <w:r>
        <w:rPr>
          <w:rFonts w:hint="eastAsia" w:ascii="宋体" w:hAnsi="宋体" w:cs="宋体"/>
          <w:szCs w:val="21"/>
        </w:rPr>
        <w:t>注：1、本表所涉及的人员需提供2025年1</w:t>
      </w:r>
      <w:r>
        <w:rPr>
          <w:rFonts w:hint="eastAsia" w:ascii="宋体" w:hAnsi="宋体" w:cs="宋体"/>
          <w:szCs w:val="21"/>
          <w:lang w:val="en-US" w:eastAsia="zh-CN"/>
        </w:rPr>
        <w:t>0</w:t>
      </w:r>
      <w:r>
        <w:rPr>
          <w:rFonts w:hint="eastAsia" w:ascii="宋体" w:hAnsi="宋体" w:cs="宋体"/>
          <w:szCs w:val="21"/>
        </w:rPr>
        <w:t>月的社保证明文件及其他相关证明文件扫描件。除特别约定外，各岗位人员不得相互兼职。</w:t>
      </w:r>
    </w:p>
    <w:p>
      <w:pPr>
        <w:jc w:val="left"/>
        <w:rPr>
          <w:rFonts w:hint="eastAsia"/>
        </w:rPr>
      </w:pPr>
      <w:r>
        <w:rPr>
          <w:rFonts w:hint="eastAsia" w:ascii="宋体" w:hAnsi="宋体" w:cs="宋体"/>
          <w:szCs w:val="21"/>
        </w:rPr>
        <w:t>2、一级注册造价工程师，实施分级前的注册造价工程师自动划分为一级注册造价工程师，详见住房和城乡建设部关于修改《工程造价咨询企业管理办法》《注册造价工程师管理办法》的决定（中华人民共和国住房和城乡建设部令第50号）。实施分级前的注册造价工程师，需同时提供相关网站的查询网页信息截图打印件，注册单位需是本单位，且状态为“正常”或在有效期内。</w:t>
      </w:r>
    </w:p>
    <w:p>
      <w:pPr>
        <w:jc w:val="left"/>
        <w:rPr>
          <w:rFonts w:hint="eastAsia"/>
        </w:rPr>
        <w:sectPr>
          <w:pgSz w:w="11905" w:h="16838"/>
          <w:pgMar w:top="1247" w:right="1247" w:bottom="1247" w:left="1247" w:header="567" w:footer="850" w:gutter="0"/>
          <w:cols w:space="720" w:num="1"/>
          <w:docGrid w:type="lines" w:linePitch="312" w:charSpace="0"/>
        </w:sectPr>
      </w:pPr>
    </w:p>
    <w:p>
      <w:pPr>
        <w:jc w:val="left"/>
        <w:rPr>
          <w:rFonts w:hint="eastAsia" w:ascii="宋体" w:hAnsi="宋体" w:cs="宋体"/>
          <w:b/>
          <w:bCs/>
        </w:rPr>
      </w:pPr>
      <w:r>
        <w:rPr>
          <w:rFonts w:hint="eastAsia" w:ascii="宋体" w:hAnsi="宋体" w:cs="宋体"/>
          <w:b/>
          <w:bCs/>
          <w:sz w:val="24"/>
          <w:szCs w:val="24"/>
        </w:rPr>
        <w:t>附表五</w:t>
      </w:r>
    </w:p>
    <w:p>
      <w:pPr>
        <w:jc w:val="center"/>
        <w:rPr>
          <w:rFonts w:hint="eastAsia" w:ascii="仿宋_GB2312" w:hAnsi="宋体" w:eastAsia="仿宋_GB2312"/>
          <w:sz w:val="24"/>
          <w:szCs w:val="24"/>
        </w:rPr>
      </w:pPr>
      <w:r>
        <w:rPr>
          <w:rFonts w:hint="eastAsia" w:ascii="仿宋_GB2312" w:hAnsi="宋体" w:eastAsia="仿宋_GB2312"/>
          <w:b/>
          <w:bCs/>
          <w:sz w:val="32"/>
          <w:szCs w:val="24"/>
        </w:rPr>
        <w:t>定标阶段各中标候选人评语</w:t>
      </w:r>
    </w:p>
    <w:p>
      <w:pPr>
        <w:rPr>
          <w:rFonts w:ascii="宋体" w:hAnsi="宋体"/>
          <w:szCs w:val="24"/>
        </w:rPr>
      </w:pPr>
      <w:r>
        <w:rPr>
          <w:rFonts w:hint="eastAsia" w:ascii="宋体" w:hAnsi="宋体"/>
          <w:szCs w:val="24"/>
        </w:rPr>
        <w:t>工程名称：</w:t>
      </w: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9"/>
        <w:gridCol w:w="4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45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4"/>
              </w:rPr>
            </w:pPr>
            <w:r>
              <w:rPr>
                <w:rFonts w:hint="eastAsia" w:ascii="宋体" w:hAnsi="宋体"/>
                <w:b/>
                <w:szCs w:val="24"/>
              </w:rPr>
              <w:t>中标候选人</w:t>
            </w:r>
            <w:r>
              <w:rPr>
                <w:rFonts w:ascii="宋体" w:hAnsi="宋体"/>
                <w:b/>
                <w:szCs w:val="24"/>
              </w:rPr>
              <w:t>名称</w:t>
            </w:r>
          </w:p>
        </w:tc>
        <w:tc>
          <w:tcPr>
            <w:tcW w:w="254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4"/>
              </w:rPr>
            </w:pPr>
            <w:r>
              <w:rPr>
                <w:rFonts w:hint="eastAsia" w:ascii="宋体" w:hAnsi="宋体"/>
                <w:b/>
                <w:szCs w:val="24"/>
              </w:rPr>
              <w:t>评    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45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4"/>
                <w:u w:val="single"/>
              </w:rPr>
            </w:pPr>
          </w:p>
        </w:tc>
        <w:tc>
          <w:tcPr>
            <w:tcW w:w="2543"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45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4"/>
                <w:u w:val="single"/>
              </w:rPr>
            </w:pPr>
          </w:p>
        </w:tc>
        <w:tc>
          <w:tcPr>
            <w:tcW w:w="2543"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45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4"/>
                <w:u w:val="single"/>
              </w:rPr>
            </w:pPr>
          </w:p>
        </w:tc>
        <w:tc>
          <w:tcPr>
            <w:tcW w:w="2543"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45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4"/>
                <w:u w:val="single"/>
              </w:rPr>
            </w:pPr>
          </w:p>
        </w:tc>
        <w:tc>
          <w:tcPr>
            <w:tcW w:w="2543"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45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4"/>
                <w:u w:val="single"/>
              </w:rPr>
            </w:pPr>
          </w:p>
        </w:tc>
        <w:tc>
          <w:tcPr>
            <w:tcW w:w="2543"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45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4"/>
                <w:u w:val="single"/>
              </w:rPr>
            </w:pPr>
          </w:p>
        </w:tc>
        <w:tc>
          <w:tcPr>
            <w:tcW w:w="2543"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45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4"/>
                <w:u w:val="single"/>
              </w:rPr>
            </w:pPr>
          </w:p>
        </w:tc>
        <w:tc>
          <w:tcPr>
            <w:tcW w:w="2543"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45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4"/>
                <w:u w:val="single"/>
              </w:rPr>
            </w:pPr>
          </w:p>
        </w:tc>
        <w:tc>
          <w:tcPr>
            <w:tcW w:w="2543"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4"/>
                <w:u w:val="single"/>
              </w:rPr>
            </w:pPr>
          </w:p>
        </w:tc>
      </w:tr>
    </w:tbl>
    <w:p>
      <w:pPr>
        <w:adjustRightInd w:val="0"/>
        <w:snapToGrid w:val="0"/>
        <w:spacing w:line="360" w:lineRule="auto"/>
        <w:ind w:right="624" w:rightChars="297" w:firstLine="420" w:firstLineChars="200"/>
        <w:jc w:val="left"/>
        <w:rPr>
          <w:rFonts w:ascii="宋体" w:hAnsi="宋体" w:cs="宋体"/>
          <w:b/>
          <w:bCs/>
          <w:kern w:val="0"/>
          <w:sz w:val="28"/>
          <w:szCs w:val="28"/>
        </w:rPr>
      </w:pPr>
      <w:r>
        <w:rPr>
          <w:rFonts w:hint="eastAsia" w:ascii="宋体" w:hAnsi="宋体"/>
          <w:szCs w:val="24"/>
        </w:rPr>
        <w:t>定标委员签名：                               日期：    年  月  日</w:t>
      </w:r>
    </w:p>
    <w:p>
      <w:pPr>
        <w:adjustRightInd w:val="0"/>
        <w:snapToGrid w:val="0"/>
        <w:spacing w:line="360" w:lineRule="auto"/>
        <w:ind w:right="-84" w:rightChars="-40"/>
        <w:jc w:val="left"/>
        <w:rPr>
          <w:rFonts w:ascii="宋体" w:hAnsi="宋体" w:cs="宋体"/>
          <w:b/>
          <w:kern w:val="0"/>
          <w:szCs w:val="24"/>
          <w:u w:val="single"/>
        </w:rPr>
      </w:pPr>
    </w:p>
    <w:p>
      <w:pPr>
        <w:pStyle w:val="24"/>
        <w:jc w:val="left"/>
        <w:rPr>
          <w:rFonts w:hint="eastAsia" w:hAnsi="宋体"/>
          <w:b/>
          <w:sz w:val="32"/>
          <w:szCs w:val="32"/>
        </w:rPr>
      </w:pPr>
      <w:r>
        <w:rPr>
          <w:rFonts w:hint="eastAsia" w:cs="宋体"/>
          <w:b/>
          <w:kern w:val="0"/>
          <w:u w:val="single"/>
        </w:rPr>
        <w:t>注：由定标委员会各成员依据</w:t>
      </w:r>
      <w:r>
        <w:rPr>
          <w:rFonts w:cs="宋体"/>
          <w:b/>
          <w:kern w:val="0"/>
          <w:u w:val="single"/>
        </w:rPr>
        <w:t>招标文件中列出的各定标因素，</w:t>
      </w:r>
      <w:r>
        <w:rPr>
          <w:rFonts w:hint="eastAsia" w:cs="宋体"/>
          <w:b/>
          <w:kern w:val="0"/>
          <w:u w:val="single"/>
        </w:rPr>
        <w:t>给予进入定标环节的各中标候选人客观</w:t>
      </w:r>
      <w:r>
        <w:rPr>
          <w:rFonts w:cs="宋体"/>
          <w:b/>
          <w:kern w:val="0"/>
          <w:u w:val="single"/>
        </w:rPr>
        <w:t>实际的评语</w:t>
      </w:r>
      <w:r>
        <w:rPr>
          <w:rFonts w:hint="eastAsia" w:cs="宋体"/>
          <w:b/>
          <w:kern w:val="0"/>
          <w:u w:val="single"/>
        </w:rPr>
        <w:t>，</w:t>
      </w:r>
      <w:r>
        <w:rPr>
          <w:rFonts w:cs="宋体"/>
          <w:b/>
          <w:kern w:val="0"/>
          <w:u w:val="single"/>
        </w:rPr>
        <w:t>并作为投票依据。</w:t>
      </w:r>
    </w:p>
    <w:p>
      <w:pPr>
        <w:jc w:val="left"/>
        <w:rPr>
          <w:rFonts w:hint="eastAsia" w:ascii="宋体" w:hAnsi="宋体" w:cs="宋体"/>
          <w:b/>
          <w:bCs/>
        </w:rPr>
      </w:pPr>
      <w:r>
        <w:rPr>
          <w:rFonts w:hint="eastAsia" w:hAnsi="宋体"/>
          <w:b/>
          <w:sz w:val="32"/>
          <w:szCs w:val="32"/>
        </w:rPr>
        <w:br w:type="page"/>
      </w:r>
      <w:r>
        <w:rPr>
          <w:rFonts w:hint="eastAsia" w:ascii="宋体" w:hAnsi="宋体" w:cs="宋体"/>
          <w:b/>
          <w:bCs/>
          <w:sz w:val="24"/>
          <w:szCs w:val="24"/>
        </w:rPr>
        <w:t>附表六</w:t>
      </w:r>
    </w:p>
    <w:p>
      <w:pPr>
        <w:pStyle w:val="24"/>
        <w:jc w:val="center"/>
        <w:rPr>
          <w:rFonts w:hAnsi="宋体"/>
          <w:b/>
          <w:sz w:val="28"/>
          <w:szCs w:val="28"/>
        </w:rPr>
      </w:pPr>
      <w:r>
        <w:rPr>
          <w:rFonts w:hint="eastAsia" w:hAnsi="宋体"/>
          <w:b/>
          <w:sz w:val="28"/>
          <w:szCs w:val="28"/>
        </w:rPr>
        <w:t>投票表格（定标阶段）</w:t>
      </w:r>
    </w:p>
    <w:p>
      <w:pPr>
        <w:rPr>
          <w:rFonts w:ascii="宋体" w:hAnsi="宋体"/>
          <w:szCs w:val="21"/>
        </w:rPr>
      </w:pPr>
    </w:p>
    <w:p>
      <w:pPr>
        <w:spacing w:line="360" w:lineRule="auto"/>
        <w:rPr>
          <w:rFonts w:ascii="宋体" w:hAnsi="宋体"/>
          <w:szCs w:val="21"/>
        </w:rPr>
      </w:pPr>
      <w:r>
        <w:rPr>
          <w:rFonts w:hint="eastAsia" w:ascii="宋体" w:hAnsi="宋体"/>
          <w:szCs w:val="21"/>
        </w:rPr>
        <w:t>项目名称：</w:t>
      </w:r>
    </w:p>
    <w:p>
      <w:pPr>
        <w:spacing w:line="360" w:lineRule="auto"/>
        <w:rPr>
          <w:rFonts w:ascii="宋体" w:hAnsi="宋体"/>
          <w:szCs w:val="21"/>
        </w:rPr>
      </w:pP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7"/>
        <w:gridCol w:w="4459"/>
        <w:gridCol w:w="3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037" w:type="pct"/>
            <w:tcBorders>
              <w:top w:val="single" w:color="auto" w:sz="4" w:space="0"/>
              <w:left w:val="single" w:color="auto" w:sz="4" w:space="0"/>
              <w:bottom w:val="single" w:color="auto" w:sz="4" w:space="0"/>
              <w:right w:val="single" w:color="auto" w:sz="4" w:space="0"/>
              <w:tl2br w:val="single" w:color="auto" w:sz="4" w:space="0"/>
            </w:tcBorders>
            <w:vAlign w:val="center"/>
          </w:tcPr>
          <w:p>
            <w:pPr>
              <w:jc w:val="center"/>
              <w:rPr>
                <w:rFonts w:ascii="宋体" w:hAnsi="宋体"/>
                <w:szCs w:val="21"/>
              </w:rPr>
            </w:pPr>
            <w:r>
              <w:rPr>
                <w:rFonts w:hint="eastAsia" w:ascii="宋体" w:hAnsi="宋体"/>
                <w:szCs w:val="21"/>
              </w:rPr>
              <w:t>项目</w:t>
            </w:r>
          </w:p>
          <w:p>
            <w:pPr>
              <w:rPr>
                <w:rFonts w:ascii="宋体" w:hAnsi="宋体"/>
                <w:szCs w:val="21"/>
              </w:rPr>
            </w:pPr>
            <w:r>
              <w:rPr>
                <w:rFonts w:hint="eastAsia" w:ascii="宋体" w:hAnsi="宋体"/>
                <w:szCs w:val="21"/>
              </w:rPr>
              <w:t>轮次</w:t>
            </w:r>
          </w:p>
        </w:tc>
        <w:tc>
          <w:tcPr>
            <w:tcW w:w="2315" w:type="pct"/>
            <w:tcBorders>
              <w:top w:val="single" w:color="auto" w:sz="4" w:space="0"/>
              <w:bottom w:val="single" w:color="auto" w:sz="4" w:space="0"/>
            </w:tcBorders>
            <w:vAlign w:val="center"/>
          </w:tcPr>
          <w:p>
            <w:pPr>
              <w:jc w:val="center"/>
              <w:rPr>
                <w:rFonts w:ascii="宋体" w:hAnsi="宋体"/>
                <w:szCs w:val="21"/>
              </w:rPr>
            </w:pPr>
            <w:r>
              <w:rPr>
                <w:rFonts w:hint="eastAsia" w:ascii="宋体" w:hAnsi="宋体"/>
                <w:szCs w:val="21"/>
              </w:rPr>
              <w:t>支持的投标人名称</w:t>
            </w:r>
          </w:p>
        </w:tc>
        <w:tc>
          <w:tcPr>
            <w:tcW w:w="1646" w:type="pct"/>
            <w:tcBorders>
              <w:top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支持理由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103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第  轮</w:t>
            </w:r>
          </w:p>
        </w:tc>
        <w:tc>
          <w:tcPr>
            <w:tcW w:w="2315" w:type="pct"/>
            <w:tcBorders>
              <w:top w:val="single" w:color="auto" w:sz="4" w:space="0"/>
              <w:bottom w:val="single" w:color="auto" w:sz="4" w:space="0"/>
            </w:tcBorders>
            <w:vAlign w:val="center"/>
          </w:tcPr>
          <w:p>
            <w:pPr>
              <w:jc w:val="center"/>
              <w:rPr>
                <w:rFonts w:ascii="宋体" w:hAnsi="宋体"/>
                <w:szCs w:val="21"/>
              </w:rPr>
            </w:pPr>
          </w:p>
        </w:tc>
        <w:tc>
          <w:tcPr>
            <w:tcW w:w="1646" w:type="pct"/>
            <w:tcBorders>
              <w:top w:val="single" w:color="auto" w:sz="4" w:space="0"/>
              <w:bottom w:val="single" w:color="auto" w:sz="4" w:space="0"/>
              <w:right w:val="single" w:color="auto" w:sz="4" w:space="0"/>
            </w:tcBorders>
            <w:vAlign w:val="center"/>
          </w:tcPr>
          <w:p>
            <w:pPr>
              <w:jc w:val="center"/>
              <w:rPr>
                <w:rFonts w:ascii="宋体" w:hAnsi="宋体"/>
                <w:szCs w:val="21"/>
              </w:rPr>
            </w:pPr>
          </w:p>
        </w:tc>
      </w:tr>
    </w:tbl>
    <w:p>
      <w:pPr>
        <w:spacing w:line="360" w:lineRule="auto"/>
        <w:rPr>
          <w:rFonts w:ascii="宋体" w:hAnsi="宋体"/>
          <w:szCs w:val="21"/>
        </w:rPr>
      </w:pPr>
      <w:r>
        <w:rPr>
          <w:rFonts w:hint="eastAsia" w:ascii="宋体" w:hAnsi="宋体"/>
          <w:szCs w:val="21"/>
        </w:rPr>
        <w:t>正式投票规则：</w:t>
      </w:r>
    </w:p>
    <w:p>
      <w:pPr>
        <w:spacing w:line="360" w:lineRule="auto"/>
        <w:ind w:firstLine="420" w:firstLineChars="200"/>
        <w:rPr>
          <w:rFonts w:ascii="宋体" w:hAnsi="宋体"/>
          <w:szCs w:val="21"/>
        </w:rPr>
      </w:pPr>
      <w:r>
        <w:rPr>
          <w:rFonts w:hint="eastAsia" w:ascii="宋体" w:hAnsi="宋体"/>
          <w:szCs w:val="21"/>
        </w:rPr>
        <w:t>（1）以上表格用于正式投票，投票时须注明支持的投标人及支持理由。</w:t>
      </w:r>
    </w:p>
    <w:p>
      <w:pPr>
        <w:spacing w:line="360" w:lineRule="auto"/>
        <w:ind w:firstLine="420" w:firstLineChars="200"/>
        <w:rPr>
          <w:rFonts w:ascii="宋体" w:hAnsi="宋体"/>
          <w:szCs w:val="21"/>
        </w:rPr>
      </w:pPr>
      <w:r>
        <w:rPr>
          <w:rFonts w:hint="eastAsia" w:ascii="宋体" w:hAnsi="宋体"/>
          <w:szCs w:val="21"/>
        </w:rPr>
        <w:t>（2）</w:t>
      </w:r>
      <w:r>
        <w:rPr>
          <w:rFonts w:hint="eastAsia" w:ascii="宋体" w:hAnsi="宋体" w:cs="Arial"/>
          <w:szCs w:val="21"/>
        </w:rPr>
        <w:t>投票结束后，</w:t>
      </w:r>
      <w:r>
        <w:rPr>
          <w:rFonts w:hint="eastAsia" w:ascii="宋体" w:hAnsi="宋体"/>
          <w:szCs w:val="21"/>
        </w:rPr>
        <w:t>点票人员</w:t>
      </w:r>
      <w:r>
        <w:rPr>
          <w:rFonts w:hint="eastAsia" w:ascii="宋体" w:hAnsi="宋体" w:cs="Arial"/>
          <w:szCs w:val="21"/>
        </w:rPr>
        <w:t>对投票人数、票数和每票应选方案总数加以核对和统计，作废的选票不得统计，并向</w:t>
      </w:r>
      <w:r>
        <w:rPr>
          <w:rFonts w:hint="eastAsia" w:ascii="宋体" w:hAnsi="宋体"/>
          <w:szCs w:val="21"/>
        </w:rPr>
        <w:t>定标委员会</w:t>
      </w:r>
      <w:r>
        <w:rPr>
          <w:rFonts w:hint="eastAsia" w:ascii="宋体" w:hAnsi="宋体" w:cs="Arial"/>
          <w:szCs w:val="21"/>
        </w:rPr>
        <w:t>报告。</w:t>
      </w:r>
    </w:p>
    <w:p>
      <w:pPr>
        <w:spacing w:line="360" w:lineRule="auto"/>
        <w:ind w:firstLine="480"/>
        <w:rPr>
          <w:rFonts w:ascii="宋体" w:hAnsi="宋体"/>
          <w:szCs w:val="21"/>
        </w:rPr>
      </w:pPr>
      <w:r>
        <w:rPr>
          <w:rFonts w:hint="eastAsia" w:ascii="宋体" w:hAnsi="宋体"/>
          <w:szCs w:val="21"/>
        </w:rPr>
        <w:t>（3）定标委员会成员应当独立投票，自投票开始至最终排名统计结果公布期间，任何人不得非法干预、影响投票过程，不得透露、协商、改变投票结果，不得使用通信联络工具。</w:t>
      </w:r>
    </w:p>
    <w:p>
      <w:pPr>
        <w:spacing w:line="360" w:lineRule="auto"/>
        <w:ind w:firstLine="480"/>
        <w:rPr>
          <w:rFonts w:ascii="宋体" w:hAnsi="宋体"/>
          <w:szCs w:val="21"/>
        </w:rPr>
      </w:pPr>
    </w:p>
    <w:p>
      <w:pPr>
        <w:spacing w:line="360" w:lineRule="auto"/>
        <w:rPr>
          <w:rFonts w:ascii="宋体" w:hAnsi="宋体"/>
          <w:szCs w:val="21"/>
        </w:rPr>
      </w:pPr>
      <w:r>
        <w:rPr>
          <w:rFonts w:hint="eastAsia" w:ascii="宋体" w:hAnsi="宋体"/>
          <w:szCs w:val="21"/>
        </w:rPr>
        <w:t>定标委员签字：                                 日期：     年    月    日</w:t>
      </w:r>
    </w:p>
    <w:p>
      <w:pPr>
        <w:adjustRightInd w:val="0"/>
        <w:snapToGrid w:val="0"/>
        <w:spacing w:line="360" w:lineRule="auto"/>
        <w:ind w:firstLine="482" w:firstLineChars="200"/>
        <w:jc w:val="left"/>
        <w:rPr>
          <w:rFonts w:ascii="宋体" w:hAnsi="宋体"/>
          <w:b/>
          <w:bCs/>
          <w:sz w:val="24"/>
          <w:szCs w:val="24"/>
        </w:rPr>
      </w:pPr>
    </w:p>
    <w:p>
      <w:pPr>
        <w:pStyle w:val="167"/>
        <w:rPr>
          <w:rFonts w:hint="eastAsia" w:ascii="宋体" w:hAnsi="宋体" w:cs="宋体"/>
          <w:b/>
          <w:bCs/>
          <w:sz w:val="24"/>
          <w:szCs w:val="24"/>
        </w:rPr>
      </w:pPr>
      <w:r>
        <w:rPr>
          <w:rFonts w:ascii="宋体" w:hAnsi="宋体"/>
          <w:b/>
          <w:sz w:val="24"/>
          <w:szCs w:val="24"/>
          <w:shd w:val="clear" w:color="auto" w:fill="FFFFFF"/>
        </w:rPr>
        <w:br w:type="page"/>
      </w:r>
      <w:r>
        <w:rPr>
          <w:rFonts w:hint="eastAsia" w:ascii="宋体" w:hAnsi="宋体" w:cs="宋体"/>
          <w:b/>
          <w:bCs/>
          <w:sz w:val="24"/>
          <w:szCs w:val="24"/>
        </w:rPr>
        <w:t>附表七</w:t>
      </w:r>
    </w:p>
    <w:p>
      <w:pPr>
        <w:pStyle w:val="167"/>
        <w:rPr>
          <w:rFonts w:hint="eastAsia" w:ascii="宋体" w:hAnsi="宋体" w:cs="宋体"/>
          <w:b/>
          <w:bCs/>
          <w:sz w:val="24"/>
          <w:szCs w:val="24"/>
        </w:rPr>
      </w:pPr>
    </w:p>
    <w:p>
      <w:pPr>
        <w:jc w:val="center"/>
        <w:rPr>
          <w:rFonts w:hint="eastAsia" w:ascii="宋体" w:hAnsi="宋体"/>
          <w:b/>
          <w:sz w:val="28"/>
          <w:szCs w:val="28"/>
        </w:rPr>
      </w:pPr>
      <w:r>
        <w:rPr>
          <w:rFonts w:hint="eastAsia" w:ascii="宋体" w:hAnsi="宋体"/>
          <w:b/>
          <w:sz w:val="28"/>
          <w:szCs w:val="28"/>
        </w:rPr>
        <w:t>投票汇总表格（定标阶段）</w:t>
      </w:r>
    </w:p>
    <w:p>
      <w:pPr>
        <w:jc w:val="left"/>
        <w:rPr>
          <w:rFonts w:hint="eastAsia" w:ascii="宋体" w:hAnsi="宋体"/>
          <w:szCs w:val="21"/>
        </w:rPr>
      </w:pPr>
      <w:r>
        <w:rPr>
          <w:rFonts w:hint="eastAsia" w:ascii="宋体" w:hAnsi="宋体"/>
          <w:szCs w:val="21"/>
        </w:rPr>
        <w:t>项目名称：</w:t>
      </w:r>
    </w:p>
    <w:p>
      <w:pPr>
        <w:jc w:val="left"/>
        <w:rPr>
          <w:rFonts w:hint="eastAsia" w:ascii="宋体" w:hAnsi="宋体"/>
          <w:szCs w:val="21"/>
        </w:rPr>
      </w:pPr>
      <w:r>
        <w:rPr>
          <w:rFonts w:hint="eastAsia" w:ascii="宋体" w:hAnsi="宋体"/>
          <w:szCs w:val="21"/>
        </w:rPr>
        <w:t xml:space="preserve">日 </w:t>
      </w:r>
      <w:r>
        <w:rPr>
          <w:rFonts w:ascii="宋体" w:hAnsi="宋体"/>
          <w:szCs w:val="21"/>
        </w:rPr>
        <w:t xml:space="preserve">   </w:t>
      </w:r>
      <w:r>
        <w:rPr>
          <w:rFonts w:hint="eastAsia" w:ascii="宋体" w:hAnsi="宋体"/>
          <w:szCs w:val="21"/>
        </w:rPr>
        <w:t>期：       年    月    日</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4758"/>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28"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2471" w:type="pct"/>
            <w:vMerge w:val="restart"/>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投标人名称</w:t>
            </w:r>
          </w:p>
        </w:tc>
        <w:tc>
          <w:tcPr>
            <w:tcW w:w="1601"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得票数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28"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2471" w:type="pct"/>
            <w:vMerge w:val="continue"/>
            <w:tcBorders>
              <w:left w:val="single" w:color="auto" w:sz="4" w:space="0"/>
              <w:bottom w:val="single" w:color="auto" w:sz="4" w:space="0"/>
              <w:right w:val="single" w:color="auto" w:sz="4" w:space="0"/>
            </w:tcBorders>
          </w:tcPr>
          <w:p>
            <w:pPr>
              <w:widowControl/>
              <w:jc w:val="center"/>
              <w:rPr>
                <w:rFonts w:ascii="宋体" w:hAnsi="宋体"/>
                <w:szCs w:val="21"/>
              </w:rPr>
            </w:pPr>
          </w:p>
        </w:tc>
        <w:tc>
          <w:tcPr>
            <w:tcW w:w="1601"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2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2471" w:type="pct"/>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6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2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2471" w:type="pct"/>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6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2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2471" w:type="pct"/>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6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2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p>
        </w:tc>
        <w:tc>
          <w:tcPr>
            <w:tcW w:w="2471" w:type="pct"/>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6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2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w:t>
            </w:r>
          </w:p>
        </w:tc>
        <w:tc>
          <w:tcPr>
            <w:tcW w:w="2471" w:type="pct"/>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6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2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6</w:t>
            </w:r>
          </w:p>
        </w:tc>
        <w:tc>
          <w:tcPr>
            <w:tcW w:w="2471" w:type="pct"/>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6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2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w:t>
            </w:r>
          </w:p>
        </w:tc>
        <w:tc>
          <w:tcPr>
            <w:tcW w:w="2471" w:type="pct"/>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6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bl>
    <w:p>
      <w:pPr>
        <w:rPr>
          <w:rFonts w:hint="eastAsia" w:ascii="宋体" w:hAnsi="宋体"/>
          <w:szCs w:val="21"/>
        </w:rPr>
      </w:pPr>
    </w:p>
    <w:p>
      <w:pPr>
        <w:rPr>
          <w:rFonts w:hint="eastAsia" w:ascii="宋体" w:hAnsi="宋体" w:cs="宋体"/>
          <w:b/>
          <w:bCs/>
        </w:rPr>
      </w:pPr>
      <w:r>
        <w:rPr>
          <w:rFonts w:hint="eastAsia" w:ascii="宋体" w:hAnsi="宋体"/>
          <w:szCs w:val="21"/>
        </w:rPr>
        <w:t>定标委员会全体成员签字：</w:t>
      </w:r>
    </w:p>
    <w:p>
      <w:pPr>
        <w:pStyle w:val="167"/>
        <w:rPr>
          <w:rFonts w:hint="eastAsia" w:ascii="宋体" w:hAnsi="宋体" w:cs="宋体"/>
          <w:b/>
          <w:bCs/>
        </w:rPr>
      </w:pPr>
    </w:p>
    <w:p>
      <w:pPr>
        <w:pStyle w:val="31"/>
        <w:rPr>
          <w:rFonts w:hint="eastAsia"/>
        </w:rPr>
      </w:pPr>
      <w:r>
        <w:rPr>
          <w:rFonts w:ascii="宋体" w:hAnsi="宋体" w:cs="宋体"/>
          <w:b w:val="0"/>
          <w:bCs w:val="0"/>
        </w:rPr>
        <w:br w:type="page"/>
      </w:r>
    </w:p>
    <w:p>
      <w:pPr>
        <w:pStyle w:val="3"/>
        <w:jc w:val="center"/>
        <w:rPr>
          <w:rFonts w:hint="eastAsia"/>
          <w:sz w:val="28"/>
          <w:szCs w:val="28"/>
        </w:rPr>
      </w:pPr>
      <w:bookmarkStart w:id="1166" w:name="_Toc26600"/>
      <w:bookmarkStart w:id="1167" w:name="_Toc15305"/>
      <w:bookmarkStart w:id="1168" w:name="_Toc485211107"/>
      <w:bookmarkStart w:id="1169" w:name="_Toc21185"/>
      <w:bookmarkStart w:id="1170" w:name="_Toc356306516"/>
      <w:bookmarkStart w:id="1171" w:name="_Toc25006"/>
      <w:bookmarkStart w:id="1172" w:name="_Toc27985"/>
      <w:bookmarkStart w:id="1173" w:name="_Toc17999"/>
      <w:bookmarkStart w:id="1174" w:name="_Toc20372"/>
      <w:r>
        <w:rPr>
          <w:rFonts w:hint="eastAsia"/>
          <w:sz w:val="28"/>
          <w:szCs w:val="28"/>
        </w:rPr>
        <w:t>第三章 合同条款</w:t>
      </w:r>
      <w:bookmarkEnd w:id="1166"/>
      <w:bookmarkEnd w:id="1167"/>
      <w:bookmarkEnd w:id="1168"/>
      <w:bookmarkEnd w:id="1169"/>
      <w:bookmarkEnd w:id="1170"/>
      <w:bookmarkEnd w:id="1171"/>
      <w:bookmarkEnd w:id="1172"/>
      <w:bookmarkEnd w:id="1173"/>
      <w:r>
        <w:rPr>
          <w:rFonts w:hint="eastAsia"/>
          <w:sz w:val="28"/>
          <w:szCs w:val="28"/>
        </w:rPr>
        <w:t>及格式</w:t>
      </w:r>
      <w:bookmarkEnd w:id="1174"/>
    </w:p>
    <w:p>
      <w:pPr>
        <w:jc w:val="center"/>
        <w:rPr>
          <w:rFonts w:hint="eastAsia" w:ascii="宋体" w:hAnsi="宋体" w:cs="宋体"/>
          <w:b/>
          <w:sz w:val="24"/>
          <w:szCs w:val="24"/>
        </w:rPr>
      </w:pPr>
      <w:r>
        <w:rPr>
          <w:rFonts w:hint="eastAsia" w:ascii="宋体" w:hAnsi="宋体" w:cs="宋体"/>
          <w:b/>
          <w:sz w:val="24"/>
          <w:szCs w:val="24"/>
        </w:rPr>
        <w:t>（另册）</w:t>
      </w:r>
    </w:p>
    <w:p>
      <w:pPr>
        <w:snapToGrid w:val="0"/>
        <w:spacing w:line="440" w:lineRule="exact"/>
        <w:rPr>
          <w:rFonts w:hint="eastAsia" w:ascii="宋体" w:hAnsi="宋体" w:cs="宋体"/>
          <w:sz w:val="28"/>
          <w:szCs w:val="28"/>
        </w:rPr>
      </w:pPr>
      <w:bookmarkStart w:id="1175" w:name="_Toc447805978"/>
      <w:bookmarkEnd w:id="1175"/>
      <w:bookmarkStart w:id="1176" w:name="_Toc426741334"/>
      <w:bookmarkEnd w:id="1176"/>
    </w:p>
    <w:p>
      <w:pPr>
        <w:snapToGrid w:val="0"/>
        <w:spacing w:line="440" w:lineRule="exact"/>
        <w:rPr>
          <w:rFonts w:hint="eastAsia" w:ascii="宋体" w:hAnsi="宋体" w:cs="宋体"/>
          <w:sz w:val="28"/>
          <w:szCs w:val="28"/>
        </w:rPr>
      </w:pPr>
      <w:r>
        <w:rPr>
          <w:rFonts w:hint="eastAsia" w:ascii="宋体" w:hAnsi="宋体" w:cs="宋体"/>
          <w:sz w:val="28"/>
          <w:szCs w:val="28"/>
        </w:rPr>
        <w:br w:type="page"/>
      </w:r>
    </w:p>
    <w:p>
      <w:pPr>
        <w:pStyle w:val="3"/>
        <w:numPr>
          <w:ilvl w:val="0"/>
          <w:numId w:val="3"/>
        </w:numPr>
        <w:jc w:val="center"/>
        <w:rPr>
          <w:rFonts w:hint="eastAsia"/>
          <w:sz w:val="28"/>
          <w:szCs w:val="28"/>
        </w:rPr>
      </w:pPr>
      <w:bookmarkStart w:id="1177" w:name="_Toc23508"/>
      <w:bookmarkStart w:id="1178" w:name="_Toc8204"/>
      <w:bookmarkStart w:id="1179" w:name="_Toc8354"/>
      <w:bookmarkStart w:id="1180" w:name="_Toc31278"/>
      <w:bookmarkStart w:id="1181" w:name="_Toc485211108"/>
      <w:bookmarkStart w:id="1182" w:name="_Toc16503"/>
      <w:bookmarkStart w:id="1183" w:name="_Toc20279"/>
      <w:bookmarkStart w:id="1184" w:name="_Toc13085"/>
      <w:r>
        <w:rPr>
          <w:rFonts w:hint="eastAsia"/>
          <w:sz w:val="28"/>
          <w:szCs w:val="28"/>
        </w:rPr>
        <w:t>发包人要求</w:t>
      </w:r>
      <w:bookmarkEnd w:id="1177"/>
      <w:bookmarkEnd w:id="1178"/>
      <w:bookmarkEnd w:id="1179"/>
      <w:bookmarkEnd w:id="1180"/>
      <w:bookmarkEnd w:id="1181"/>
      <w:bookmarkEnd w:id="1182"/>
      <w:bookmarkEnd w:id="1183"/>
      <w:bookmarkEnd w:id="1184"/>
    </w:p>
    <w:p>
      <w:pPr>
        <w:jc w:val="center"/>
        <w:rPr>
          <w:rFonts w:hint="eastAsia" w:ascii="宋体" w:hAnsi="宋体" w:cs="宋体"/>
          <w:b/>
          <w:sz w:val="24"/>
          <w:szCs w:val="24"/>
        </w:rPr>
      </w:pPr>
      <w:bookmarkStart w:id="1185" w:name="_Toc4169"/>
      <w:r>
        <w:rPr>
          <w:rFonts w:hint="eastAsia" w:ascii="宋体" w:hAnsi="宋体" w:cs="宋体"/>
          <w:b/>
          <w:sz w:val="24"/>
          <w:szCs w:val="24"/>
        </w:rPr>
        <w:t>设计任务书：</w:t>
      </w:r>
      <w:bookmarkEnd w:id="1185"/>
      <w:r>
        <w:rPr>
          <w:rFonts w:hint="eastAsia" w:ascii="宋体" w:hAnsi="宋体" w:cs="宋体"/>
          <w:b/>
          <w:sz w:val="24"/>
          <w:szCs w:val="24"/>
        </w:rPr>
        <w:t>另册；</w:t>
      </w:r>
    </w:p>
    <w:p>
      <w:pPr>
        <w:pStyle w:val="24"/>
        <w:rPr>
          <w:rFonts w:hint="eastAsia" w:hAnsi="宋体" w:cs="宋体"/>
          <w:b/>
          <w:sz w:val="24"/>
          <w:szCs w:val="24"/>
        </w:rPr>
      </w:pPr>
    </w:p>
    <w:p>
      <w:pPr>
        <w:pStyle w:val="24"/>
      </w:pPr>
    </w:p>
    <w:p>
      <w:pPr>
        <w:kinsoku w:val="0"/>
        <w:overflowPunct w:val="0"/>
        <w:snapToGrid w:val="0"/>
        <w:spacing w:after="120"/>
        <w:rPr>
          <w:rFonts w:hint="eastAsia" w:ascii="宋体" w:hAnsi="宋体" w:cs="宋体"/>
          <w:sz w:val="20"/>
          <w:szCs w:val="24"/>
        </w:rPr>
      </w:pPr>
      <w:r>
        <w:rPr>
          <w:rFonts w:hint="eastAsia" w:ascii="宋体" w:hAnsi="宋体" w:cs="宋体"/>
          <w:sz w:val="24"/>
          <w:szCs w:val="24"/>
        </w:rPr>
        <w:br w:type="page"/>
      </w:r>
      <w:bookmarkStart w:id="1186" w:name="_Toc32652"/>
      <w:bookmarkStart w:id="1187" w:name="_Toc20047"/>
      <w:bookmarkStart w:id="1188" w:name="_Toc485211110"/>
      <w:bookmarkStart w:id="1189" w:name="_Toc300835206"/>
      <w:bookmarkStart w:id="1190" w:name="_Toc32638"/>
      <w:bookmarkStart w:id="1191" w:name="_Toc4263"/>
      <w:bookmarkStart w:id="1192" w:name="_Toc3793"/>
      <w:bookmarkStart w:id="1193" w:name="_Toc22440"/>
    </w:p>
    <w:bookmarkEnd w:id="1186"/>
    <w:bookmarkEnd w:id="1187"/>
    <w:bookmarkEnd w:id="1188"/>
    <w:bookmarkEnd w:id="1189"/>
    <w:bookmarkEnd w:id="1190"/>
    <w:bookmarkEnd w:id="1191"/>
    <w:bookmarkEnd w:id="1192"/>
    <w:bookmarkEnd w:id="1193"/>
    <w:p>
      <w:pPr>
        <w:pStyle w:val="3"/>
        <w:jc w:val="center"/>
        <w:rPr>
          <w:rFonts w:hint="eastAsia"/>
          <w:sz w:val="28"/>
          <w:szCs w:val="28"/>
        </w:rPr>
      </w:pPr>
      <w:bookmarkStart w:id="1194" w:name="_Toc3543"/>
      <w:bookmarkStart w:id="1195" w:name="_Toc7842"/>
      <w:bookmarkStart w:id="1196" w:name="_Toc416358022"/>
      <w:bookmarkStart w:id="1197" w:name="_Toc26938"/>
      <w:bookmarkStart w:id="1198" w:name="_Toc32560"/>
      <w:bookmarkStart w:id="1199" w:name="_Toc420050330"/>
      <w:bookmarkStart w:id="1200" w:name="_Toc15671"/>
      <w:r>
        <w:rPr>
          <w:rFonts w:hint="eastAsia"/>
          <w:sz w:val="28"/>
          <w:szCs w:val="28"/>
        </w:rPr>
        <w:t xml:space="preserve">第五章 </w:t>
      </w:r>
      <w:bookmarkEnd w:id="1194"/>
      <w:bookmarkEnd w:id="1195"/>
      <w:bookmarkEnd w:id="1196"/>
      <w:bookmarkEnd w:id="1197"/>
      <w:bookmarkEnd w:id="1198"/>
      <w:bookmarkEnd w:id="1199"/>
      <w:bookmarkEnd w:id="1200"/>
      <w:r>
        <w:rPr>
          <w:rFonts w:hint="eastAsia"/>
          <w:sz w:val="28"/>
          <w:szCs w:val="28"/>
        </w:rPr>
        <w:t>招标人提供的资料</w:t>
      </w:r>
    </w:p>
    <w:p>
      <w:pPr>
        <w:jc w:val="center"/>
        <w:rPr>
          <w:rFonts w:hint="eastAsia" w:ascii="宋体" w:hAnsi="宋体" w:cs="宋体"/>
          <w:b/>
          <w:sz w:val="24"/>
          <w:szCs w:val="24"/>
        </w:rPr>
      </w:pPr>
      <w:bookmarkStart w:id="1201" w:name="RANGE_A1_G14"/>
      <w:bookmarkEnd w:id="1201"/>
      <w:r>
        <w:rPr>
          <w:rFonts w:hint="eastAsia" w:ascii="宋体" w:hAnsi="宋体" w:cs="宋体"/>
          <w:b/>
          <w:sz w:val="24"/>
          <w:szCs w:val="24"/>
        </w:rPr>
        <w:t>（另册）</w:t>
      </w:r>
    </w:p>
    <w:p>
      <w:pPr>
        <w:jc w:val="center"/>
        <w:rPr>
          <w:rFonts w:hint="eastAsia" w:ascii="宋体" w:hAnsi="宋体" w:cs="宋体"/>
          <w:b/>
          <w:spacing w:val="-6"/>
          <w:sz w:val="24"/>
          <w:szCs w:val="24"/>
        </w:rPr>
      </w:pPr>
    </w:p>
    <w:p>
      <w:pPr>
        <w:spacing w:line="400" w:lineRule="exact"/>
        <w:rPr>
          <w:rFonts w:hint="eastAsia" w:ascii="宋体" w:hAnsi="宋体" w:cs="宋体"/>
          <w:szCs w:val="24"/>
        </w:rPr>
      </w:pPr>
      <w:bookmarkStart w:id="1202" w:name="_Toc420050331"/>
      <w:bookmarkStart w:id="1203" w:name="_Toc3424"/>
      <w:bookmarkStart w:id="1204" w:name="_Toc14113"/>
      <w:bookmarkStart w:id="1205" w:name="_Toc416358023"/>
      <w:bookmarkStart w:id="1206" w:name="_Toc6393"/>
      <w:bookmarkStart w:id="1207" w:name="_Toc5789"/>
    </w:p>
    <w:p>
      <w:pPr>
        <w:spacing w:line="400" w:lineRule="exact"/>
        <w:rPr>
          <w:rFonts w:hint="eastAsia" w:ascii="宋体" w:hAnsi="宋体" w:cs="宋体"/>
          <w:szCs w:val="24"/>
        </w:rPr>
      </w:pPr>
    </w:p>
    <w:p>
      <w:pPr>
        <w:spacing w:line="400" w:lineRule="exact"/>
        <w:rPr>
          <w:rFonts w:hint="eastAsia" w:ascii="宋体" w:hAnsi="宋体" w:cs="宋体"/>
          <w:szCs w:val="24"/>
        </w:rPr>
      </w:pPr>
      <w:r>
        <w:rPr>
          <w:rFonts w:hint="eastAsia" w:ascii="宋体" w:hAnsi="宋体" w:cs="宋体"/>
          <w:szCs w:val="24"/>
        </w:rPr>
        <w:br w:type="page"/>
      </w:r>
    </w:p>
    <w:bookmarkEnd w:id="1202"/>
    <w:bookmarkEnd w:id="1203"/>
    <w:bookmarkEnd w:id="1204"/>
    <w:bookmarkEnd w:id="1205"/>
    <w:bookmarkEnd w:id="1206"/>
    <w:bookmarkEnd w:id="1207"/>
    <w:p>
      <w:pPr>
        <w:pStyle w:val="3"/>
        <w:jc w:val="center"/>
        <w:rPr>
          <w:rFonts w:hint="eastAsia"/>
          <w:sz w:val="28"/>
          <w:szCs w:val="28"/>
        </w:rPr>
      </w:pPr>
      <w:bookmarkStart w:id="1208" w:name="_Toc16057"/>
      <w:bookmarkStart w:id="1209" w:name="_Toc1869"/>
      <w:bookmarkStart w:id="1210" w:name="_Toc152045786"/>
      <w:bookmarkStart w:id="1211" w:name="_Toc152042575"/>
      <w:bookmarkStart w:id="1212" w:name="_Toc28106"/>
      <w:bookmarkStart w:id="1213" w:name="_Toc247514245"/>
      <w:bookmarkStart w:id="1214" w:name="_Toc247527826"/>
      <w:bookmarkStart w:id="1215" w:name="_Toc4298"/>
      <w:bookmarkStart w:id="1216" w:name="_Toc485211111"/>
      <w:bookmarkStart w:id="1217" w:name="_Toc24744"/>
      <w:bookmarkStart w:id="1218" w:name="_Toc27623"/>
      <w:bookmarkStart w:id="1219" w:name="_Toc144974855"/>
      <w:bookmarkStart w:id="1220" w:name="_Toc14218"/>
      <w:r>
        <w:rPr>
          <w:rFonts w:hint="eastAsia"/>
          <w:sz w:val="28"/>
          <w:szCs w:val="28"/>
        </w:rPr>
        <w:t>第六章 投标文件格式</w:t>
      </w:r>
      <w:bookmarkEnd w:id="1208"/>
      <w:bookmarkEnd w:id="1209"/>
      <w:bookmarkEnd w:id="1210"/>
      <w:bookmarkEnd w:id="1211"/>
      <w:bookmarkEnd w:id="1212"/>
      <w:bookmarkEnd w:id="1213"/>
      <w:bookmarkEnd w:id="1214"/>
      <w:bookmarkEnd w:id="1215"/>
      <w:bookmarkEnd w:id="1216"/>
      <w:bookmarkEnd w:id="1217"/>
      <w:bookmarkEnd w:id="1218"/>
      <w:bookmarkEnd w:id="1219"/>
      <w:bookmarkEnd w:id="1220"/>
    </w:p>
    <w:p>
      <w:pPr>
        <w:spacing w:line="400" w:lineRule="exact"/>
        <w:rPr>
          <w:rFonts w:hint="eastAsia" w:ascii="宋体" w:hAnsi="宋体" w:cs="宋体"/>
          <w:szCs w:val="24"/>
        </w:rPr>
      </w:pPr>
    </w:p>
    <w:p>
      <w:pPr>
        <w:spacing w:line="360" w:lineRule="auto"/>
        <w:jc w:val="left"/>
        <w:rPr>
          <w:rFonts w:hint="eastAsia" w:ascii="宋体" w:hAnsi="宋体" w:cs="宋体"/>
          <w:b/>
          <w:kern w:val="0"/>
          <w:sz w:val="20"/>
          <w:szCs w:val="21"/>
        </w:rPr>
        <w:sectPr>
          <w:pgSz w:w="11905" w:h="16838"/>
          <w:pgMar w:top="1247" w:right="1247" w:bottom="1247" w:left="1247" w:header="567" w:footer="850" w:gutter="0"/>
          <w:cols w:space="720" w:num="1"/>
          <w:docGrid w:type="lines" w:linePitch="312" w:charSpace="0"/>
        </w:sectPr>
      </w:pPr>
      <w:bookmarkStart w:id="1221" w:name="_Toc212523900"/>
      <w:bookmarkEnd w:id="1221"/>
      <w:bookmarkStart w:id="1222" w:name="_Toc212523921"/>
      <w:bookmarkEnd w:id="1222"/>
      <w:bookmarkStart w:id="1223" w:name="_Toc212523901"/>
      <w:bookmarkEnd w:id="1223"/>
      <w:bookmarkStart w:id="1224" w:name="_Toc212525152"/>
      <w:bookmarkEnd w:id="1224"/>
      <w:bookmarkStart w:id="1225" w:name="_Toc212523922"/>
      <w:bookmarkEnd w:id="1225"/>
      <w:bookmarkStart w:id="1226" w:name="_Toc212523897"/>
      <w:bookmarkEnd w:id="1226"/>
      <w:bookmarkStart w:id="1227" w:name="_Toc212523902"/>
      <w:bookmarkEnd w:id="1227"/>
      <w:bookmarkStart w:id="1228" w:name="_Toc212523895"/>
      <w:bookmarkEnd w:id="1228"/>
      <w:bookmarkStart w:id="1229" w:name="_Toc314127443"/>
      <w:bookmarkStart w:id="1230" w:name="_Toc332183369"/>
      <w:bookmarkStart w:id="1231" w:name="_Toc314128460"/>
      <w:bookmarkStart w:id="1232" w:name="_Toc248650369"/>
      <w:bookmarkStart w:id="1233" w:name="_Toc254961554"/>
      <w:bookmarkStart w:id="1234" w:name="_Toc314127292"/>
      <w:bookmarkStart w:id="1235" w:name="_Toc314127361"/>
      <w:bookmarkStart w:id="1236" w:name="_Toc226209002"/>
      <w:bookmarkStart w:id="1237" w:name="_Toc314129316"/>
      <w:bookmarkStart w:id="1238" w:name="_Toc297120233"/>
      <w:bookmarkStart w:id="1239" w:name="_Toc268935231"/>
      <w:bookmarkStart w:id="1240" w:name="_Toc296593028"/>
    </w:p>
    <w:p>
      <w:pPr>
        <w:pStyle w:val="142"/>
        <w:spacing w:beforeLines="0" w:afterLines="0" w:line="360" w:lineRule="auto"/>
        <w:rPr>
          <w:rFonts w:hint="eastAsia" w:ascii="宋体" w:eastAsia="宋体" w:cs="宋体"/>
        </w:rPr>
      </w:pPr>
      <w:bookmarkStart w:id="1254" w:name="_GoBack"/>
      <w:bookmarkEnd w:id="1254"/>
      <w:bookmarkStart w:id="1241" w:name="_Toc31849"/>
      <w:bookmarkStart w:id="1242" w:name="_Toc17995"/>
      <w:bookmarkStart w:id="1243" w:name="_Toc235615834"/>
      <w:bookmarkStart w:id="1244" w:name="_Toc236215897"/>
      <w:bookmarkStart w:id="1245" w:name="_Toc235616116"/>
      <w:r>
        <w:rPr>
          <w:rFonts w:hint="eastAsia" w:ascii="宋体" w:eastAsia="宋体" w:cs="宋体"/>
        </w:rPr>
        <w:t>格式一：工程总承包实施方案（含资格审查文件）投标文件封面</w:t>
      </w:r>
      <w:bookmarkEnd w:id="1241"/>
      <w:bookmarkEnd w:id="1242"/>
    </w:p>
    <w:p>
      <w:pPr>
        <w:pStyle w:val="112"/>
        <w:ind w:firstLine="496"/>
        <w:rPr>
          <w:rFonts w:hint="eastAsia" w:ascii="宋体" w:hAnsi="宋体" w:cs="宋体"/>
        </w:rPr>
      </w:pPr>
    </w:p>
    <w:p>
      <w:pPr>
        <w:pStyle w:val="112"/>
        <w:ind w:firstLine="496"/>
        <w:rPr>
          <w:rFonts w:hint="eastAsia" w:ascii="宋体" w:hAnsi="宋体" w:cs="宋体"/>
        </w:rPr>
      </w:pPr>
    </w:p>
    <w:p>
      <w:pPr>
        <w:pStyle w:val="112"/>
        <w:ind w:firstLine="496"/>
        <w:rPr>
          <w:rFonts w:hint="eastAsia" w:ascii="宋体" w:hAnsi="宋体" w:cs="宋体"/>
        </w:rPr>
      </w:pPr>
    </w:p>
    <w:p>
      <w:pPr>
        <w:pStyle w:val="115"/>
        <w:rPr>
          <w:rFonts w:hint="eastAsia" w:ascii="宋体" w:hAnsi="宋体" w:eastAsia="宋体" w:cs="宋体"/>
          <w:b w:val="0"/>
          <w:sz w:val="52"/>
          <w:szCs w:val="52"/>
          <w:u w:val="single"/>
        </w:rPr>
      </w:pPr>
      <w:r>
        <w:rPr>
          <w:rFonts w:hint="eastAsia" w:ascii="宋体" w:hAnsi="宋体" w:eastAsia="宋体" w:cs="宋体"/>
          <w:b w:val="0"/>
          <w:sz w:val="52"/>
          <w:szCs w:val="52"/>
          <w:u w:val="single"/>
        </w:rPr>
        <w:t xml:space="preserve">[工程名称] </w:t>
      </w:r>
    </w:p>
    <w:p>
      <w:pPr>
        <w:pStyle w:val="112"/>
        <w:ind w:firstLine="496"/>
        <w:rPr>
          <w:rFonts w:hint="eastAsia" w:ascii="宋体" w:hAnsi="宋体" w:cs="宋体"/>
        </w:rPr>
      </w:pPr>
    </w:p>
    <w:p>
      <w:pPr>
        <w:pStyle w:val="112"/>
        <w:ind w:firstLine="496"/>
        <w:rPr>
          <w:rFonts w:hint="eastAsia" w:ascii="宋体" w:hAnsi="宋体" w:cs="宋体"/>
        </w:rPr>
      </w:pPr>
    </w:p>
    <w:p>
      <w:pPr>
        <w:pStyle w:val="112"/>
        <w:ind w:firstLine="496"/>
        <w:rPr>
          <w:rFonts w:hint="eastAsia" w:ascii="宋体" w:hAnsi="宋体" w:cs="宋体"/>
        </w:rPr>
      </w:pPr>
    </w:p>
    <w:p>
      <w:pPr>
        <w:pStyle w:val="112"/>
        <w:ind w:firstLine="496"/>
        <w:rPr>
          <w:rFonts w:hint="eastAsia" w:ascii="宋体" w:hAnsi="宋体" w:cs="宋体"/>
        </w:rPr>
      </w:pPr>
    </w:p>
    <w:p>
      <w:pPr>
        <w:pStyle w:val="164"/>
        <w:rPr>
          <w:rFonts w:hint="eastAsia" w:ascii="宋体" w:hAnsi="宋体" w:eastAsia="宋体" w:cs="宋体"/>
          <w:b w:val="0"/>
        </w:rPr>
      </w:pPr>
      <w:r>
        <w:rPr>
          <w:rFonts w:hint="eastAsia" w:ascii="宋体" w:hAnsi="宋体" w:eastAsia="宋体" w:cs="宋体"/>
          <w:b w:val="0"/>
        </w:rPr>
        <w:t>投标文件</w:t>
      </w:r>
    </w:p>
    <w:p>
      <w:pPr>
        <w:pStyle w:val="112"/>
        <w:ind w:firstLine="656"/>
        <w:jc w:val="center"/>
        <w:rPr>
          <w:rFonts w:hint="eastAsia" w:ascii="宋体" w:hAnsi="宋体" w:cs="宋体"/>
          <w:sz w:val="32"/>
          <w:szCs w:val="32"/>
        </w:rPr>
      </w:pPr>
      <w:r>
        <w:rPr>
          <w:rFonts w:hint="eastAsia" w:ascii="宋体" w:hAnsi="宋体" w:cs="宋体"/>
          <w:sz w:val="32"/>
          <w:szCs w:val="32"/>
        </w:rPr>
        <w:t>工程总承包实施方案（含资格审查文件）</w:t>
      </w:r>
    </w:p>
    <w:p>
      <w:pPr>
        <w:pStyle w:val="112"/>
        <w:ind w:firstLine="496"/>
        <w:rPr>
          <w:rFonts w:hint="eastAsia" w:ascii="宋体" w:hAnsi="宋体" w:cs="宋体"/>
        </w:rPr>
      </w:pPr>
    </w:p>
    <w:p>
      <w:pPr>
        <w:pStyle w:val="112"/>
        <w:ind w:firstLine="496"/>
        <w:rPr>
          <w:rFonts w:hint="eastAsia" w:ascii="宋体" w:hAnsi="宋体" w:cs="宋体"/>
        </w:rPr>
      </w:pPr>
    </w:p>
    <w:p>
      <w:pPr>
        <w:pStyle w:val="112"/>
        <w:ind w:firstLine="496"/>
        <w:rPr>
          <w:rFonts w:hint="eastAsia" w:ascii="宋体" w:hAnsi="宋体" w:cs="宋体"/>
        </w:rPr>
      </w:pPr>
    </w:p>
    <w:p>
      <w:pPr>
        <w:pStyle w:val="159"/>
        <w:ind w:firstLine="656"/>
        <w:rPr>
          <w:rFonts w:hint="eastAsia" w:ascii="宋体" w:hAnsi="宋体" w:eastAsia="宋体" w:cs="宋体"/>
          <w:sz w:val="32"/>
          <w:szCs w:val="32"/>
        </w:rPr>
      </w:pPr>
      <w:r>
        <w:rPr>
          <w:rFonts w:hint="eastAsia" w:ascii="宋体" w:hAnsi="宋体" w:eastAsia="宋体" w:cs="宋体"/>
          <w:sz w:val="32"/>
          <w:szCs w:val="32"/>
        </w:rPr>
        <w:t>投标人：</w:t>
      </w:r>
      <w:r>
        <w:rPr>
          <w:rFonts w:hint="eastAsia" w:ascii="宋体" w:hAnsi="宋体" w:eastAsia="宋体" w:cs="宋体"/>
          <w:sz w:val="32"/>
          <w:szCs w:val="32"/>
          <w:u w:val="single"/>
        </w:rPr>
        <w:t xml:space="preserve">    （填写投标人单位名称）    （盖章）</w:t>
      </w:r>
    </w:p>
    <w:p>
      <w:pPr>
        <w:pStyle w:val="159"/>
        <w:ind w:firstLine="656"/>
        <w:rPr>
          <w:rFonts w:hint="eastAsia" w:ascii="宋体" w:hAnsi="宋体" w:eastAsia="宋体" w:cs="宋体"/>
          <w:sz w:val="32"/>
          <w:szCs w:val="32"/>
        </w:rPr>
      </w:pPr>
      <w:r>
        <w:rPr>
          <w:rFonts w:hint="eastAsia" w:ascii="宋体" w:hAnsi="宋体" w:eastAsia="宋体" w:cs="宋体"/>
          <w:sz w:val="32"/>
          <w:szCs w:val="32"/>
        </w:rPr>
        <w:t>法定代表人或</w:t>
      </w:r>
    </w:p>
    <w:p>
      <w:pPr>
        <w:pStyle w:val="159"/>
        <w:ind w:firstLine="656"/>
        <w:rPr>
          <w:rFonts w:hint="eastAsia" w:ascii="宋体" w:hAnsi="宋体" w:eastAsia="宋体" w:cs="宋体"/>
          <w:sz w:val="32"/>
          <w:szCs w:val="32"/>
        </w:rPr>
      </w:pPr>
      <w:r>
        <w:rPr>
          <w:rFonts w:hint="eastAsia" w:ascii="宋体" w:hAnsi="宋体" w:eastAsia="宋体" w:cs="宋体"/>
          <w:sz w:val="32"/>
          <w:szCs w:val="32"/>
        </w:rPr>
        <w:t>其委托代理人：</w:t>
      </w:r>
      <w:r>
        <w:rPr>
          <w:rFonts w:hint="eastAsia" w:ascii="宋体" w:hAnsi="宋体" w:eastAsia="宋体" w:cs="宋体"/>
          <w:sz w:val="32"/>
          <w:szCs w:val="32"/>
          <w:u w:val="single"/>
        </w:rPr>
        <w:t xml:space="preserve">                  （签字或盖章）</w:t>
      </w:r>
    </w:p>
    <w:p>
      <w:pPr>
        <w:pStyle w:val="159"/>
        <w:ind w:firstLine="656"/>
        <w:rPr>
          <w:rFonts w:hint="eastAsia" w:ascii="宋体" w:hAnsi="宋体" w:eastAsia="宋体" w:cs="宋体"/>
          <w:sz w:val="32"/>
          <w:szCs w:val="32"/>
        </w:rPr>
      </w:pPr>
      <w:r>
        <w:rPr>
          <w:rFonts w:hint="eastAsia" w:ascii="宋体" w:hAnsi="宋体" w:eastAsia="宋体" w:cs="宋体"/>
          <w:sz w:val="32"/>
          <w:szCs w:val="32"/>
        </w:rPr>
        <w:t xml:space="preserve">日  期：                                       </w:t>
      </w:r>
    </w:p>
    <w:p>
      <w:pPr>
        <w:pStyle w:val="112"/>
        <w:ind w:firstLine="496"/>
        <w:rPr>
          <w:rFonts w:hint="eastAsia" w:ascii="宋体" w:hAnsi="宋体" w:cs="宋体"/>
        </w:rPr>
      </w:pPr>
    </w:p>
    <w:p>
      <w:pPr>
        <w:outlineLvl w:val="2"/>
        <w:rPr>
          <w:rFonts w:hint="eastAsia" w:ascii="宋体" w:hAnsi="宋体" w:cs="宋体"/>
          <w:szCs w:val="21"/>
        </w:rPr>
      </w:pPr>
      <w:r>
        <w:rPr>
          <w:rFonts w:hint="eastAsia" w:ascii="宋体" w:hAnsi="宋体" w:cs="宋体"/>
        </w:rPr>
        <w:br w:type="page"/>
      </w:r>
      <w:bookmarkStart w:id="1246" w:name="_Toc31330"/>
      <w:bookmarkStart w:id="1247" w:name="_Toc23424913"/>
      <w:bookmarkStart w:id="1248" w:name="_Toc19683"/>
      <w:r>
        <w:rPr>
          <w:rFonts w:hint="eastAsia" w:ascii="宋体" w:hAnsi="宋体" w:cs="宋体"/>
          <w:b/>
          <w:bCs/>
          <w:sz w:val="24"/>
          <w:szCs w:val="28"/>
        </w:rPr>
        <w:t>格式二：</w:t>
      </w:r>
      <w:bookmarkEnd w:id="1246"/>
      <w:bookmarkEnd w:id="1247"/>
      <w:bookmarkEnd w:id="1248"/>
      <w:r>
        <w:rPr>
          <w:rFonts w:hint="eastAsia" w:ascii="宋体" w:hAnsi="宋体" w:cs="宋体"/>
          <w:b/>
          <w:bCs/>
          <w:sz w:val="24"/>
          <w:szCs w:val="28"/>
        </w:rPr>
        <w:t>投标承诺书</w:t>
      </w:r>
    </w:p>
    <w:p>
      <w:pPr>
        <w:autoSpaceDE w:val="0"/>
        <w:autoSpaceDN w:val="0"/>
        <w:adjustRightInd w:val="0"/>
        <w:spacing w:line="360" w:lineRule="auto"/>
        <w:jc w:val="center"/>
        <w:rPr>
          <w:rFonts w:hint="eastAsia" w:ascii="宋体" w:hAnsi="宋体" w:cs="宋体"/>
          <w:b/>
          <w:bCs/>
          <w:sz w:val="28"/>
          <w:szCs w:val="28"/>
          <w:lang w:val="zh-CN"/>
        </w:rPr>
      </w:pPr>
      <w:r>
        <w:rPr>
          <w:rFonts w:hint="eastAsia" w:ascii="宋体" w:hAnsi="宋体" w:cs="宋体"/>
          <w:b/>
          <w:bCs/>
          <w:sz w:val="28"/>
          <w:szCs w:val="28"/>
        </w:rPr>
        <w:t>投标承诺书</w:t>
      </w:r>
    </w:p>
    <w:p>
      <w:pPr>
        <w:spacing w:line="360" w:lineRule="auto"/>
        <w:jc w:val="center"/>
        <w:rPr>
          <w:rFonts w:hint="eastAsia" w:ascii="宋体" w:hAnsi="宋体" w:cs="宋体"/>
          <w:b/>
          <w:sz w:val="24"/>
          <w:szCs w:val="24"/>
        </w:rPr>
      </w:pPr>
    </w:p>
    <w:p>
      <w:pPr>
        <w:spacing w:line="360" w:lineRule="auto"/>
        <w:rPr>
          <w:rFonts w:hint="eastAsia" w:ascii="宋体" w:hAnsi="宋体" w:cs="宋体"/>
          <w:kern w:val="0"/>
          <w:sz w:val="24"/>
          <w:szCs w:val="24"/>
        </w:rPr>
      </w:pPr>
      <w:r>
        <w:rPr>
          <w:rFonts w:hint="eastAsia" w:ascii="宋体" w:hAnsi="宋体" w:cs="宋体"/>
          <w:kern w:val="0"/>
          <w:sz w:val="24"/>
          <w:szCs w:val="24"/>
          <w:u w:val="single"/>
        </w:rPr>
        <w:t xml:space="preserve">致：                               </w:t>
      </w:r>
      <w:r>
        <w:rPr>
          <w:rFonts w:hint="eastAsia" w:ascii="宋体" w:hAnsi="宋体" w:cs="宋体"/>
          <w:kern w:val="0"/>
          <w:sz w:val="24"/>
          <w:szCs w:val="24"/>
        </w:rPr>
        <w:t>（招标人名称）</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我方确认收到贵方提供的</w:t>
      </w:r>
      <w:r>
        <w:rPr>
          <w:rFonts w:hint="eastAsia" w:ascii="宋体" w:hAnsi="宋体" w:cs="宋体"/>
          <w:sz w:val="24"/>
          <w:szCs w:val="24"/>
          <w:u w:val="single"/>
        </w:rPr>
        <w:t xml:space="preserve">      (工程名称)           </w:t>
      </w:r>
      <w:r>
        <w:rPr>
          <w:rFonts w:hint="eastAsia" w:ascii="宋体" w:hAnsi="宋体" w:cs="宋体"/>
          <w:sz w:val="24"/>
          <w:szCs w:val="24"/>
        </w:rPr>
        <w:t>招标文件的全部内容，我方：</w:t>
      </w:r>
      <w:r>
        <w:rPr>
          <w:rFonts w:hint="eastAsia" w:ascii="宋体" w:hAnsi="宋体" w:cs="宋体"/>
          <w:sz w:val="24"/>
          <w:szCs w:val="24"/>
          <w:u w:val="single"/>
        </w:rPr>
        <w:t xml:space="preserve">       (投标人名称)      </w:t>
      </w:r>
      <w:r>
        <w:rPr>
          <w:rFonts w:hint="eastAsia" w:ascii="宋体" w:hAnsi="宋体" w:cs="宋体"/>
          <w:sz w:val="24"/>
          <w:szCs w:val="24"/>
        </w:rPr>
        <w:t>已作为投标人正式授权</w:t>
      </w:r>
      <w:r>
        <w:rPr>
          <w:rFonts w:hint="eastAsia" w:ascii="宋体" w:hAnsi="宋体" w:cs="宋体"/>
          <w:sz w:val="24"/>
          <w:szCs w:val="24"/>
          <w:u w:val="single"/>
        </w:rPr>
        <w:t xml:space="preserve">       (授权代表全名，职务)    </w:t>
      </w:r>
      <w:r>
        <w:rPr>
          <w:rFonts w:hint="eastAsia" w:ascii="宋体" w:hAnsi="宋体" w:cs="宋体"/>
          <w:sz w:val="24"/>
          <w:szCs w:val="24"/>
        </w:rPr>
        <w:t>代表我方进行有关本投标的一切事宜。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我方已完全明白和接受招标文件的所有条款要求，并重申以下几点：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我方已详细研究并理解招标人提供的所有资料内容，同意招标文件的内容，对招标文件内容和约束无异议，充分了解了现场条件对可能存在的所有风险都已充分考虑，我方放弃在此方面提出含糊意见或误解的一切权力，承认招标文件的所有条款，按招标文件规定条款完成本次招标项目的内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2．我方已充分阅读了本项目招标文件并充分了解有关报价方式及变更、结算方式，我方完全响应招标文件的规定。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3．本投标文件的有效期为投标截止日后120天内有效；</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4．我方承诺投标文件中的一切资料、数据是真实的，并承担由此引起的一切责任。</w:t>
      </w:r>
    </w:p>
    <w:p>
      <w:pPr>
        <w:spacing w:line="360" w:lineRule="auto"/>
        <w:ind w:firstLine="480" w:firstLineChars="200"/>
        <w:rPr>
          <w:rFonts w:hint="eastAsia" w:ascii="宋体" w:hAnsi="宋体" w:cs="宋体"/>
          <w:strike/>
          <w:sz w:val="24"/>
          <w:szCs w:val="24"/>
        </w:rPr>
      </w:pPr>
      <w:r>
        <w:rPr>
          <w:rFonts w:hint="eastAsia" w:ascii="宋体" w:hAnsi="宋体" w:cs="宋体"/>
          <w:strike/>
          <w:sz w:val="24"/>
          <w:szCs w:val="24"/>
        </w:rPr>
        <w:t>5．我方明白并愿意若在规定的投标截止时间之后至投标有效期之内撤回投标，则投标保证金将被贵司没收。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6．我方同意按照贵司可能提出的要求而提供与投标有关的任何其它数据或信息。</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7．我方如果中标，我方保证：</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7.1保证履行招标文件以及招标文件修改书(如有)中的全部责任和义务，在中标通知书规定的时间内签订合同，并严格按国家有关法规履行我方的全部责任，按质、按量、按期完成合同约定的全部任务。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7.3保证所完成的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7.4保证尽一切力量确保投标承诺的竣工日期，若我方未能按投标承诺的工期完成本项目，除承担合同约定的违约责任外，发包人有权解除合同，我方承担由于违约解除合同退场造成的对发包人的一切损失。</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7.5保证投标所报的项目负责人、设计负责人在本项目合同签订后7日内到职，全过程服务于本项目，在过程中非不可抗力或发包人要求不得更换。我方违反以上承诺的，同意按合同条款的规定承担违约责任。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7.6保证按照招标文件的要求确保安全生产及文明施工，如有违反，我方愿意按合同约定承担违约责任，并为此负相关的法律责任。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7.7保证按国家的有关规定制订保证民工工资支付的方案及保证措施，否则，我方愿按合同条款规定承担违约责任并赔偿发包人的全部损失。</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7.8如我司有幸中标，承诺所投入本项目的设计及施工人员、主要材料、设备质量符合或优于招标人要求，所投入本项目的辅助设备、材料与主主要材料、设备质量一致并有良好的配套性，若我方投入本项目的设计及施工人员、主要材料、设备未能达到发包人要求的，我方将无条件根据要求进行调整，直至得到发包人的认可为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7.9如我司有幸中标，承诺将根据本项目内容编制详细的设计投标文件及施工组织设计，并报经发包人审批后实施。</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投标人：    （盖章）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法定代表人或其授权代理人(签字或盖章)：</w:t>
      </w:r>
    </w:p>
    <w:p>
      <w:pPr>
        <w:spacing w:line="360" w:lineRule="auto"/>
        <w:ind w:firstLine="480" w:firstLineChars="200"/>
        <w:rPr>
          <w:rFonts w:ascii="宋体" w:hAnsi="宋体" w:cs="宋体"/>
          <w:sz w:val="24"/>
          <w:szCs w:val="24"/>
        </w:rPr>
      </w:pPr>
      <w:r>
        <w:rPr>
          <w:rFonts w:hint="eastAsia" w:ascii="宋体" w:hAnsi="宋体" w:cs="宋体"/>
          <w:sz w:val="24"/>
          <w:szCs w:val="24"/>
        </w:rPr>
        <w:t>日   期：    年    月    日</w:t>
      </w:r>
    </w:p>
    <w:p>
      <w:pPr>
        <w:spacing w:line="360" w:lineRule="auto"/>
        <w:rPr>
          <w:rFonts w:hint="eastAsia" w:ascii="宋体" w:hAnsi="宋体" w:cs="宋体"/>
          <w:b/>
          <w:kern w:val="0"/>
          <w:sz w:val="24"/>
          <w:szCs w:val="24"/>
        </w:rPr>
      </w:pPr>
    </w:p>
    <w:p>
      <w:pPr>
        <w:ind w:left="422" w:hanging="422" w:hangingChars="200"/>
        <w:rPr>
          <w:rFonts w:hint="eastAsia" w:ascii="宋体" w:hAnsi="宋体" w:cs="宋体"/>
          <w:b/>
          <w:szCs w:val="21"/>
        </w:rPr>
      </w:pPr>
      <w:r>
        <w:rPr>
          <w:rFonts w:hint="eastAsia" w:ascii="宋体" w:hAnsi="宋体" w:cs="宋体"/>
          <w:b/>
          <w:szCs w:val="21"/>
        </w:rPr>
        <w:t>注：联合体投标的，“投标人”一栏需书写所有联合体成员的单位全称，可由主办方签署、盖章。</w:t>
      </w:r>
    </w:p>
    <w:p>
      <w:pPr>
        <w:autoSpaceDE w:val="0"/>
        <w:autoSpaceDN w:val="0"/>
        <w:adjustRightInd w:val="0"/>
        <w:rPr>
          <w:rFonts w:hint="eastAsia" w:ascii="宋体" w:hAnsi="宋体" w:cs="宋体"/>
          <w:szCs w:val="21"/>
        </w:rPr>
      </w:pPr>
    </w:p>
    <w:p>
      <w:pPr>
        <w:rPr>
          <w:rFonts w:hint="eastAsia" w:ascii="宋体" w:hAnsi="宋体" w:cs="宋体"/>
          <w:snapToGrid w:val="0"/>
          <w:spacing w:val="4"/>
          <w:kern w:val="0"/>
          <w:sz w:val="24"/>
          <w:szCs w:val="24"/>
        </w:rPr>
      </w:pPr>
    </w:p>
    <w:p>
      <w:pPr>
        <w:autoSpaceDE w:val="0"/>
        <w:autoSpaceDN w:val="0"/>
        <w:adjustRightInd w:val="0"/>
        <w:outlineLvl w:val="2"/>
        <w:rPr>
          <w:rFonts w:ascii="宋体" w:hAnsi="宋体" w:cs="宋体"/>
          <w:b/>
          <w:bCs/>
          <w:sz w:val="24"/>
          <w:szCs w:val="28"/>
        </w:rPr>
      </w:pPr>
      <w:r>
        <w:rPr>
          <w:rFonts w:hint="eastAsia" w:ascii="宋体" w:hAnsi="宋体" w:cs="宋体"/>
          <w:szCs w:val="21"/>
        </w:rPr>
        <w:br w:type="page"/>
      </w:r>
      <w:bookmarkStart w:id="1249" w:name="_Toc10379"/>
      <w:bookmarkStart w:id="1250" w:name="_Toc15967"/>
      <w:bookmarkStart w:id="1251" w:name="_Toc13324"/>
      <w:r>
        <w:rPr>
          <w:rFonts w:hint="eastAsia" w:ascii="宋体" w:hAnsi="宋体" w:cs="宋体"/>
          <w:b/>
          <w:bCs/>
          <w:sz w:val="24"/>
          <w:szCs w:val="28"/>
        </w:rPr>
        <w:t>格式三：投标书</w:t>
      </w:r>
      <w:bookmarkEnd w:id="1249"/>
      <w:bookmarkEnd w:id="1250"/>
      <w:r>
        <w:rPr>
          <w:rFonts w:hint="eastAsia" w:ascii="宋体" w:hAnsi="宋体" w:cs="宋体"/>
          <w:b/>
          <w:bCs/>
          <w:sz w:val="24"/>
          <w:szCs w:val="28"/>
        </w:rPr>
        <w:t>及报价清单</w:t>
      </w:r>
    </w:p>
    <w:p>
      <w:pPr>
        <w:autoSpaceDE w:val="0"/>
        <w:autoSpaceDN w:val="0"/>
        <w:adjustRightInd w:val="0"/>
        <w:jc w:val="center"/>
        <w:rPr>
          <w:rFonts w:hint="eastAsia" w:ascii="宋体" w:hAnsi="宋体" w:cs="宋体"/>
          <w:b/>
          <w:bCs/>
          <w:sz w:val="24"/>
          <w:szCs w:val="24"/>
        </w:rPr>
      </w:pPr>
      <w:r>
        <w:rPr>
          <w:rFonts w:hint="eastAsia" w:ascii="宋体" w:hAnsi="宋体" w:cs="宋体"/>
          <w:b/>
          <w:bCs/>
          <w:sz w:val="28"/>
          <w:szCs w:val="28"/>
          <w:lang w:val="zh-CN"/>
        </w:rPr>
        <w:t>（</w:t>
      </w:r>
      <w:r>
        <w:rPr>
          <w:rFonts w:hint="eastAsia" w:ascii="宋体" w:hAnsi="宋体" w:cs="宋体"/>
          <w:b/>
          <w:bCs/>
          <w:sz w:val="28"/>
          <w:szCs w:val="28"/>
        </w:rPr>
        <w:t>一</w:t>
      </w:r>
      <w:r>
        <w:rPr>
          <w:rFonts w:hint="eastAsia" w:ascii="宋体" w:hAnsi="宋体" w:cs="宋体"/>
          <w:b/>
          <w:bCs/>
          <w:sz w:val="28"/>
          <w:szCs w:val="28"/>
          <w:lang w:val="zh-CN"/>
        </w:rPr>
        <w:t>）投标书</w:t>
      </w:r>
    </w:p>
    <w:tbl>
      <w:tblPr>
        <w:tblStyle w:val="42"/>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1337"/>
        <w:gridCol w:w="4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532"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bCs/>
                <w:szCs w:val="21"/>
                <w:lang w:val="zh-CN"/>
              </w:rPr>
            </w:pPr>
            <w:r>
              <w:rPr>
                <w:rFonts w:hint="eastAsia" w:ascii="宋体" w:hAnsi="宋体" w:cs="宋体"/>
                <w:b/>
                <w:szCs w:val="21"/>
                <w:lang w:val="zh-CN"/>
              </w:rPr>
              <w:t>工</w:t>
            </w:r>
            <w:r>
              <w:rPr>
                <w:rFonts w:ascii="宋体" w:hAnsi="宋体" w:cs="宋体"/>
                <w:b/>
                <w:szCs w:val="21"/>
                <w:lang w:val="zh-CN"/>
              </w:rPr>
              <w:t xml:space="preserve"> </w:t>
            </w:r>
            <w:r>
              <w:rPr>
                <w:rFonts w:hint="eastAsia" w:ascii="宋体" w:hAnsi="宋体" w:cs="宋体"/>
                <w:b/>
                <w:szCs w:val="21"/>
                <w:lang w:val="zh-CN"/>
              </w:rPr>
              <w:t>程</w:t>
            </w:r>
            <w:r>
              <w:rPr>
                <w:rFonts w:ascii="宋体" w:hAnsi="宋体" w:cs="宋体"/>
                <w:b/>
                <w:szCs w:val="21"/>
                <w:lang w:val="zh-CN"/>
              </w:rPr>
              <w:t xml:space="preserve"> </w:t>
            </w:r>
            <w:r>
              <w:rPr>
                <w:rFonts w:hint="eastAsia" w:ascii="宋体" w:hAnsi="宋体" w:cs="宋体"/>
                <w:b/>
                <w:szCs w:val="21"/>
                <w:lang w:val="zh-CN"/>
              </w:rPr>
              <w:t>名</w:t>
            </w:r>
            <w:r>
              <w:rPr>
                <w:rFonts w:ascii="宋体" w:hAnsi="宋体" w:cs="宋体"/>
                <w:b/>
                <w:szCs w:val="21"/>
                <w:lang w:val="zh-CN"/>
              </w:rPr>
              <w:t xml:space="preserve"> </w:t>
            </w:r>
            <w:r>
              <w:rPr>
                <w:rFonts w:hint="eastAsia" w:ascii="宋体" w:hAnsi="宋体" w:cs="宋体"/>
                <w:b/>
                <w:szCs w:val="21"/>
                <w:lang w:val="zh-CN"/>
              </w:rPr>
              <w:t>称</w:t>
            </w:r>
          </w:p>
        </w:tc>
        <w:tc>
          <w:tcPr>
            <w:tcW w:w="3333" w:type="pct"/>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ascii="宋体" w:hAnsi="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53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szCs w:val="21"/>
                <w:lang w:val="zh-CN"/>
              </w:rPr>
            </w:pPr>
            <w:r>
              <w:rPr>
                <w:rFonts w:hint="eastAsia" w:ascii="宋体" w:hAnsi="宋体" w:cs="宋体"/>
                <w:b/>
                <w:szCs w:val="21"/>
                <w:lang w:val="zh-CN"/>
              </w:rPr>
              <w:t>投</w:t>
            </w:r>
            <w:r>
              <w:rPr>
                <w:rFonts w:ascii="宋体" w:hAnsi="宋体" w:cs="宋体"/>
                <w:b/>
                <w:szCs w:val="21"/>
                <w:lang w:val="zh-CN"/>
              </w:rPr>
              <w:t xml:space="preserve"> </w:t>
            </w:r>
            <w:r>
              <w:rPr>
                <w:rFonts w:hint="eastAsia" w:ascii="宋体" w:hAnsi="宋体" w:cs="宋体"/>
                <w:b/>
                <w:szCs w:val="21"/>
                <w:lang w:val="zh-CN"/>
              </w:rPr>
              <w:t>标</w:t>
            </w:r>
            <w:r>
              <w:rPr>
                <w:rFonts w:ascii="宋体" w:hAnsi="宋体" w:cs="宋体"/>
                <w:b/>
                <w:szCs w:val="21"/>
                <w:lang w:val="zh-CN"/>
              </w:rPr>
              <w:t xml:space="preserve"> </w:t>
            </w:r>
            <w:r>
              <w:rPr>
                <w:rFonts w:hint="eastAsia" w:ascii="宋体" w:hAnsi="宋体" w:cs="宋体"/>
                <w:b/>
                <w:szCs w:val="21"/>
                <w:lang w:val="zh-CN"/>
              </w:rPr>
              <w:t>总</w:t>
            </w:r>
            <w:r>
              <w:rPr>
                <w:rFonts w:ascii="宋体" w:hAnsi="宋体" w:cs="宋体"/>
                <w:b/>
                <w:szCs w:val="21"/>
                <w:lang w:val="zh-CN"/>
              </w:rPr>
              <w:t xml:space="preserve"> </w:t>
            </w:r>
            <w:r>
              <w:rPr>
                <w:rFonts w:hint="eastAsia" w:ascii="宋体" w:hAnsi="宋体" w:cs="宋体"/>
                <w:b/>
                <w:szCs w:val="21"/>
                <w:lang w:val="zh-CN"/>
              </w:rPr>
              <w:t>工</w:t>
            </w:r>
            <w:r>
              <w:rPr>
                <w:rFonts w:ascii="宋体" w:hAnsi="宋体" w:cs="宋体"/>
                <w:b/>
                <w:szCs w:val="21"/>
                <w:lang w:val="zh-CN"/>
              </w:rPr>
              <w:t xml:space="preserve"> </w:t>
            </w:r>
            <w:r>
              <w:rPr>
                <w:rFonts w:hint="eastAsia" w:ascii="宋体" w:hAnsi="宋体" w:cs="宋体"/>
                <w:b/>
                <w:szCs w:val="21"/>
                <w:lang w:val="zh-CN"/>
              </w:rPr>
              <w:t>期</w:t>
            </w:r>
          </w:p>
        </w:tc>
        <w:tc>
          <w:tcPr>
            <w:tcW w:w="3333" w:type="pct"/>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207" w:hanging="207" w:hangingChars="98"/>
              <w:jc w:val="left"/>
              <w:rPr>
                <w:rFonts w:ascii="宋体" w:hAnsi="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32" w:type="pct"/>
            <w:tcBorders>
              <w:left w:val="single" w:color="auto" w:sz="4" w:space="0"/>
              <w:bottom w:val="single" w:color="auto" w:sz="4" w:space="0"/>
              <w:right w:val="single" w:color="auto" w:sz="4" w:space="0"/>
            </w:tcBorders>
            <w:noWrap w:val="0"/>
            <w:vAlign w:val="center"/>
          </w:tcPr>
          <w:p>
            <w:pPr>
              <w:jc w:val="center"/>
              <w:rPr>
                <w:rFonts w:ascii="宋体" w:hAnsi="宋体" w:cs="宋体"/>
                <w:b/>
                <w:szCs w:val="21"/>
                <w:lang w:val="zh-CN"/>
              </w:rPr>
            </w:pPr>
            <w:r>
              <w:rPr>
                <w:rFonts w:hint="eastAsia" w:ascii="宋体" w:hAnsi="宋体" w:cs="宋体"/>
                <w:b/>
                <w:bCs/>
                <w:szCs w:val="21"/>
                <w:lang w:val="zh-CN"/>
              </w:rPr>
              <w:t>质量标准</w:t>
            </w:r>
          </w:p>
        </w:tc>
        <w:tc>
          <w:tcPr>
            <w:tcW w:w="3333" w:type="pct"/>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ascii="宋体" w:hAnsi="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532"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szCs w:val="21"/>
                <w:lang w:val="zh-CN"/>
              </w:rPr>
            </w:pPr>
            <w:r>
              <w:rPr>
                <w:rFonts w:hint="eastAsia" w:ascii="宋体" w:hAnsi="宋体" w:cs="宋体"/>
                <w:b/>
                <w:szCs w:val="21"/>
                <w:lang w:val="zh-CN"/>
              </w:rPr>
              <w:t>保修期限</w:t>
            </w:r>
          </w:p>
        </w:tc>
        <w:tc>
          <w:tcPr>
            <w:tcW w:w="3333" w:type="pct"/>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ascii="宋体" w:hAnsi="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532" w:type="pct"/>
            <w:tcBorders>
              <w:left w:val="single" w:color="auto" w:sz="4" w:space="0"/>
              <w:right w:val="single" w:color="auto" w:sz="4" w:space="0"/>
            </w:tcBorders>
            <w:noWrap w:val="0"/>
            <w:vAlign w:val="center"/>
          </w:tcPr>
          <w:p>
            <w:pPr>
              <w:spacing w:line="300" w:lineRule="exact"/>
              <w:jc w:val="center"/>
              <w:rPr>
                <w:rFonts w:ascii="宋体" w:hAnsi="宋体" w:cs="宋体"/>
                <w:b/>
                <w:bCs/>
                <w:szCs w:val="21"/>
                <w:lang w:val="zh-CN"/>
              </w:rPr>
            </w:pPr>
            <w:r>
              <w:rPr>
                <w:rFonts w:hint="eastAsia" w:ascii="宋体" w:hAnsi="宋体" w:cs="宋体"/>
                <w:b/>
                <w:bCs/>
                <w:szCs w:val="21"/>
                <w:lang w:val="zh-CN"/>
              </w:rPr>
              <w:t>投标总报价（元）</w:t>
            </w:r>
          </w:p>
        </w:tc>
        <w:tc>
          <w:tcPr>
            <w:tcW w:w="3333" w:type="pct"/>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cs="宋体"/>
                <w:b/>
                <w:bCs/>
                <w:szCs w:val="21"/>
                <w:lang w:val="zh-CN"/>
              </w:rPr>
            </w:pPr>
            <w:r>
              <w:rPr>
                <w:rFonts w:hint="eastAsia" w:ascii="宋体" w:hAnsi="宋体" w:cs="宋体"/>
                <w:b/>
                <w:bCs/>
                <w:szCs w:val="21"/>
                <w:lang w:val="zh-CN"/>
              </w:rPr>
              <w:t>大写：</w:t>
            </w:r>
          </w:p>
          <w:p>
            <w:pPr>
              <w:autoSpaceDE w:val="0"/>
              <w:autoSpaceDN w:val="0"/>
              <w:adjustRightInd w:val="0"/>
              <w:jc w:val="left"/>
              <w:rPr>
                <w:rFonts w:hint="eastAsia" w:ascii="宋体" w:hAnsi="宋体" w:cs="宋体"/>
                <w:b/>
                <w:bCs/>
                <w:szCs w:val="21"/>
                <w:lang w:val="zh-CN"/>
              </w:rPr>
            </w:pPr>
            <w:r>
              <w:rPr>
                <w:rFonts w:hint="eastAsia" w:ascii="宋体" w:hAnsi="宋体" w:cs="宋体"/>
                <w:b/>
                <w:bCs/>
                <w:szCs w:val="21"/>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2" w:hRule="atLeast"/>
          <w:jc w:val="center"/>
        </w:trPr>
        <w:tc>
          <w:tcPr>
            <w:tcW w:w="1532" w:type="pct"/>
            <w:tcBorders>
              <w:left w:val="single" w:color="auto" w:sz="4" w:space="0"/>
              <w:right w:val="single" w:color="auto" w:sz="4" w:space="0"/>
            </w:tcBorders>
            <w:noWrap w:val="0"/>
            <w:vAlign w:val="center"/>
          </w:tcPr>
          <w:p>
            <w:pPr>
              <w:spacing w:line="300" w:lineRule="exact"/>
              <w:jc w:val="center"/>
            </w:pPr>
            <w:r>
              <w:rPr>
                <w:rFonts w:hint="eastAsia" w:ascii="宋体" w:hAnsi="宋体" w:cs="宋体"/>
                <w:b/>
                <w:bCs/>
                <w:szCs w:val="21"/>
              </w:rPr>
              <w:t>其中：</w:t>
            </w:r>
            <w:r>
              <w:rPr>
                <w:rFonts w:hint="eastAsia" w:ascii="宋体" w:hAnsi="宋体" w:cs="宋体"/>
                <w:b/>
                <w:bCs/>
                <w:szCs w:val="21"/>
                <w:lang w:val="zh-CN"/>
              </w:rPr>
              <w:t>设计费总报价（元）</w:t>
            </w:r>
          </w:p>
        </w:tc>
        <w:tc>
          <w:tcPr>
            <w:tcW w:w="3333" w:type="pct"/>
            <w:gridSpan w:val="2"/>
            <w:tcBorders>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cs="宋体"/>
                <w:b/>
                <w:bCs/>
                <w:szCs w:val="21"/>
                <w:lang w:val="zh-CN"/>
              </w:rPr>
            </w:pPr>
            <w:r>
              <w:rPr>
                <w:rFonts w:hint="eastAsia" w:ascii="宋体" w:hAnsi="宋体" w:cs="宋体"/>
                <w:b/>
                <w:bCs/>
                <w:szCs w:val="21"/>
                <w:lang w:val="zh-CN"/>
              </w:rPr>
              <w:t>大写：</w:t>
            </w:r>
          </w:p>
          <w:p>
            <w:pPr>
              <w:autoSpaceDE w:val="0"/>
              <w:autoSpaceDN w:val="0"/>
              <w:adjustRightInd w:val="0"/>
              <w:jc w:val="left"/>
              <w:rPr>
                <w:rFonts w:hint="eastAsia" w:ascii="宋体" w:hAnsi="宋体" w:cs="宋体"/>
                <w:b/>
                <w:bCs/>
                <w:szCs w:val="21"/>
                <w:lang w:val="zh-CN"/>
              </w:rPr>
            </w:pPr>
            <w:r>
              <w:rPr>
                <w:rFonts w:hint="eastAsia" w:ascii="宋体" w:hAnsi="宋体" w:cs="宋体"/>
                <w:b/>
                <w:bCs/>
                <w:szCs w:val="21"/>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2" w:hRule="atLeast"/>
          <w:jc w:val="center"/>
        </w:trPr>
        <w:tc>
          <w:tcPr>
            <w:tcW w:w="1532" w:type="pct"/>
            <w:vMerge w:val="restart"/>
            <w:tcBorders>
              <w:left w:val="single" w:color="auto" w:sz="4" w:space="0"/>
              <w:right w:val="single" w:color="auto" w:sz="4" w:space="0"/>
            </w:tcBorders>
            <w:noWrap w:val="0"/>
            <w:vAlign w:val="center"/>
          </w:tcPr>
          <w:p>
            <w:pPr>
              <w:spacing w:line="300" w:lineRule="exact"/>
              <w:rPr>
                <w:rFonts w:hint="eastAsia" w:ascii="宋体" w:hAnsi="宋体" w:cs="宋体"/>
                <w:b/>
                <w:bCs/>
                <w:szCs w:val="21"/>
                <w:lang w:val="zh-CN"/>
              </w:rPr>
            </w:pPr>
            <w:r>
              <w:rPr>
                <w:rFonts w:hint="eastAsia" w:ascii="宋体" w:hAnsi="宋体" w:cs="宋体"/>
                <w:b/>
                <w:bCs/>
                <w:szCs w:val="21"/>
                <w:lang w:val="zh-CN"/>
              </w:rPr>
              <w:t>其中：建安工程费总报价</w:t>
            </w:r>
          </w:p>
          <w:p>
            <w:pPr>
              <w:spacing w:line="300" w:lineRule="exact"/>
              <w:jc w:val="center"/>
              <w:rPr>
                <w:rFonts w:hint="eastAsia" w:ascii="宋体" w:hAnsi="宋体" w:cs="宋体"/>
                <w:b/>
                <w:bCs/>
                <w:szCs w:val="21"/>
                <w:lang w:val="zh-CN"/>
              </w:rPr>
            </w:pPr>
            <w:r>
              <w:rPr>
                <w:rFonts w:hint="eastAsia" w:ascii="宋体" w:hAnsi="宋体" w:cs="宋体"/>
                <w:b/>
                <w:bCs/>
                <w:szCs w:val="21"/>
                <w:lang w:val="zh-CN"/>
              </w:rPr>
              <w:t>（元）</w:t>
            </w:r>
          </w:p>
          <w:p>
            <w:pPr>
              <w:spacing w:line="300" w:lineRule="exact"/>
              <w:jc w:val="center"/>
              <w:rPr>
                <w:rFonts w:ascii="宋体" w:hAnsi="宋体" w:cs="宋体"/>
                <w:b/>
                <w:bCs/>
                <w:szCs w:val="21"/>
                <w:lang w:val="zh-CN"/>
              </w:rPr>
            </w:pPr>
          </w:p>
        </w:tc>
        <w:tc>
          <w:tcPr>
            <w:tcW w:w="3333" w:type="pct"/>
            <w:gridSpan w:val="2"/>
            <w:tcBorders>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cs="宋体"/>
                <w:b/>
                <w:bCs/>
                <w:szCs w:val="21"/>
                <w:lang w:val="zh-CN"/>
              </w:rPr>
            </w:pPr>
            <w:r>
              <w:rPr>
                <w:rFonts w:hint="eastAsia" w:ascii="宋体" w:hAnsi="宋体" w:cs="宋体"/>
                <w:b/>
                <w:bCs/>
                <w:szCs w:val="21"/>
                <w:lang w:val="zh-CN"/>
              </w:rPr>
              <w:t>大写：</w:t>
            </w:r>
          </w:p>
          <w:p>
            <w:pPr>
              <w:autoSpaceDE w:val="0"/>
              <w:autoSpaceDN w:val="0"/>
              <w:adjustRightInd w:val="0"/>
              <w:jc w:val="left"/>
              <w:rPr>
                <w:rFonts w:hint="eastAsia" w:ascii="宋体" w:hAnsi="宋体" w:cs="宋体"/>
                <w:b/>
                <w:bCs/>
                <w:szCs w:val="21"/>
                <w:lang w:val="zh-CN"/>
              </w:rPr>
            </w:pPr>
            <w:r>
              <w:rPr>
                <w:rFonts w:hint="eastAsia" w:ascii="宋体" w:hAnsi="宋体" w:cs="宋体"/>
                <w:b/>
                <w:bCs/>
                <w:szCs w:val="21"/>
                <w:lang w:val="zh-CN"/>
              </w:rPr>
              <w:t>小写：</w:t>
            </w:r>
          </w:p>
          <w:p>
            <w:pPr>
              <w:autoSpaceDE w:val="0"/>
              <w:autoSpaceDN w:val="0"/>
              <w:adjustRightInd w:val="0"/>
              <w:jc w:val="left"/>
              <w:rPr>
                <w:rFonts w:ascii="宋体" w:hAnsi="宋体" w:cs="宋体"/>
                <w:b/>
                <w:bCs/>
                <w:szCs w:val="21"/>
              </w:rPr>
            </w:pPr>
            <w:r>
              <w:rPr>
                <w:rFonts w:hint="eastAsia" w:ascii="宋体" w:hAnsi="宋体" w:cs="宋体"/>
                <w:szCs w:val="21"/>
              </w:rPr>
              <w:t>注：此处填写：</w:t>
            </w: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）采用模拟清单报价部分</w:t>
            </w:r>
            <w:r>
              <w:rPr>
                <w:rFonts w:hint="eastAsia" w:ascii="宋体" w:hAnsi="宋体" w:cs="宋体"/>
                <w:szCs w:val="21"/>
              </w:rPr>
              <w:t>与</w:t>
            </w: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）采用下浮率报价部分</w:t>
            </w:r>
            <w:r>
              <w:rPr>
                <w:rFonts w:hint="eastAsia" w:ascii="宋体" w:hAnsi="宋体" w:cs="宋体"/>
                <w:szCs w:val="21"/>
              </w:rPr>
              <w:t>的报价合计。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1532" w:type="pct"/>
            <w:vMerge w:val="continue"/>
            <w:tcBorders>
              <w:left w:val="single" w:color="auto" w:sz="4" w:space="0"/>
              <w:right w:val="single" w:color="auto" w:sz="4" w:space="0"/>
            </w:tcBorders>
            <w:noWrap w:val="0"/>
            <w:vAlign w:val="center"/>
          </w:tcPr>
          <w:p>
            <w:pPr>
              <w:spacing w:line="300" w:lineRule="exact"/>
              <w:jc w:val="center"/>
              <w:rPr>
                <w:rFonts w:ascii="宋体" w:hAnsi="宋体" w:cs="宋体"/>
                <w:b/>
                <w:bCs/>
                <w:szCs w:val="21"/>
                <w:lang w:val="zh-CN"/>
              </w:rPr>
            </w:pPr>
          </w:p>
        </w:tc>
        <w:tc>
          <w:tcPr>
            <w:tcW w:w="723" w:type="pct"/>
            <w:tcBorders>
              <w:top w:val="single" w:color="auto" w:sz="4" w:space="0"/>
              <w:left w:val="single" w:color="auto" w:sz="4" w:space="0"/>
              <w:right w:val="single" w:color="auto" w:sz="4" w:space="0"/>
            </w:tcBorders>
            <w:noWrap w:val="0"/>
            <w:vAlign w:val="center"/>
          </w:tcPr>
          <w:p>
            <w:pPr>
              <w:autoSpaceDE w:val="0"/>
              <w:autoSpaceDN w:val="0"/>
              <w:adjustRightInd w:val="0"/>
              <w:jc w:val="center"/>
              <w:rPr>
                <w:rFonts w:hint="eastAsia" w:ascii="宋体" w:hAnsi="宋体"/>
                <w:sz w:val="24"/>
                <w:szCs w:val="24"/>
                <w:u w:val="single"/>
              </w:rPr>
            </w:pPr>
            <w:r>
              <w:rPr>
                <w:rFonts w:hint="eastAsia" w:ascii="宋体" w:hAnsi="宋体" w:cs="宋体"/>
                <w:b/>
                <w:bCs/>
                <w:szCs w:val="21"/>
                <w:lang w:val="zh-CN"/>
              </w:rPr>
              <w:t>（</w:t>
            </w:r>
            <w:r>
              <w:rPr>
                <w:rFonts w:hint="eastAsia" w:ascii="宋体" w:hAnsi="宋体" w:cs="宋体"/>
                <w:b/>
                <w:bCs/>
                <w:szCs w:val="21"/>
              </w:rPr>
              <w:t>1</w:t>
            </w:r>
            <w:r>
              <w:rPr>
                <w:rFonts w:hint="eastAsia" w:ascii="宋体" w:hAnsi="宋体" w:cs="宋体"/>
                <w:b/>
                <w:bCs/>
                <w:szCs w:val="21"/>
                <w:lang w:val="zh-CN"/>
              </w:rPr>
              <w:t>）采用模拟清单报价部分</w:t>
            </w:r>
          </w:p>
        </w:tc>
        <w:tc>
          <w:tcPr>
            <w:tcW w:w="2610" w:type="pct"/>
            <w:tcBorders>
              <w:top w:val="single" w:color="auto" w:sz="4" w:space="0"/>
              <w:left w:val="single" w:color="auto" w:sz="4" w:space="0"/>
              <w:right w:val="single" w:color="auto" w:sz="4" w:space="0"/>
            </w:tcBorders>
            <w:noWrap w:val="0"/>
            <w:vAlign w:val="center"/>
          </w:tcPr>
          <w:p>
            <w:pPr>
              <w:autoSpaceDE w:val="0"/>
              <w:autoSpaceDN w:val="0"/>
              <w:adjustRightInd w:val="0"/>
              <w:jc w:val="left"/>
              <w:rPr>
                <w:rFonts w:hint="eastAsia" w:ascii="宋体" w:hAnsi="宋体" w:cs="宋体"/>
                <w:b/>
                <w:bCs/>
                <w:szCs w:val="21"/>
                <w:lang w:val="zh-CN"/>
              </w:rPr>
            </w:pPr>
            <w:r>
              <w:rPr>
                <w:rFonts w:hint="eastAsia" w:ascii="宋体" w:hAnsi="宋体" w:cs="宋体"/>
                <w:b/>
                <w:bCs/>
                <w:szCs w:val="21"/>
                <w:lang w:val="zh-CN"/>
              </w:rPr>
              <w:t>大写：</w:t>
            </w:r>
          </w:p>
          <w:p>
            <w:pPr>
              <w:autoSpaceDE w:val="0"/>
              <w:autoSpaceDN w:val="0"/>
              <w:adjustRightInd w:val="0"/>
              <w:jc w:val="left"/>
              <w:rPr>
                <w:rFonts w:hint="eastAsia" w:ascii="宋体" w:hAnsi="宋体"/>
                <w:b/>
                <w:szCs w:val="21"/>
                <w:u w:val="single"/>
              </w:rPr>
            </w:pPr>
            <w:r>
              <w:rPr>
                <w:rFonts w:hint="eastAsia" w:ascii="宋体" w:hAnsi="宋体" w:cs="宋体"/>
                <w:b/>
                <w:bCs/>
                <w:szCs w:val="21"/>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jc w:val="center"/>
        </w:trPr>
        <w:tc>
          <w:tcPr>
            <w:tcW w:w="1532" w:type="pct"/>
            <w:vMerge w:val="continue"/>
            <w:tcBorders>
              <w:left w:val="single" w:color="auto" w:sz="4" w:space="0"/>
              <w:right w:val="single" w:color="auto" w:sz="4" w:space="0"/>
            </w:tcBorders>
            <w:noWrap w:val="0"/>
            <w:vAlign w:val="center"/>
          </w:tcPr>
          <w:p>
            <w:pPr>
              <w:spacing w:line="300" w:lineRule="exact"/>
              <w:jc w:val="center"/>
              <w:rPr>
                <w:rFonts w:ascii="宋体" w:hAnsi="宋体" w:cs="宋体"/>
                <w:b/>
                <w:bCs/>
                <w:szCs w:val="21"/>
                <w:lang w:val="zh-CN"/>
              </w:rPr>
            </w:pPr>
          </w:p>
        </w:tc>
        <w:tc>
          <w:tcPr>
            <w:tcW w:w="723" w:type="pct"/>
            <w:vMerge w:val="restart"/>
            <w:tcBorders>
              <w:top w:val="single" w:color="auto" w:sz="4" w:space="0"/>
              <w:left w:val="single" w:color="auto" w:sz="4" w:space="0"/>
              <w:right w:val="single" w:color="auto" w:sz="4" w:space="0"/>
            </w:tcBorders>
            <w:noWrap w:val="0"/>
            <w:vAlign w:val="center"/>
          </w:tcPr>
          <w:p>
            <w:pPr>
              <w:autoSpaceDE w:val="0"/>
              <w:autoSpaceDN w:val="0"/>
              <w:adjustRightInd w:val="0"/>
              <w:jc w:val="center"/>
              <w:rPr>
                <w:rFonts w:ascii="宋体" w:hAnsi="宋体"/>
                <w:b/>
                <w:szCs w:val="21"/>
                <w:u w:val="single"/>
              </w:rPr>
            </w:pPr>
            <w:r>
              <w:rPr>
                <w:rFonts w:hint="eastAsia" w:ascii="宋体" w:hAnsi="宋体" w:cs="宋体"/>
                <w:b/>
                <w:bCs/>
                <w:szCs w:val="21"/>
                <w:lang w:val="zh-CN"/>
              </w:rPr>
              <w:t>（</w:t>
            </w:r>
            <w:r>
              <w:rPr>
                <w:rFonts w:hint="eastAsia" w:ascii="宋体" w:hAnsi="宋体" w:cs="宋体"/>
                <w:b/>
                <w:bCs/>
                <w:szCs w:val="21"/>
              </w:rPr>
              <w:t>2</w:t>
            </w:r>
            <w:r>
              <w:rPr>
                <w:rFonts w:hint="eastAsia" w:ascii="宋体" w:hAnsi="宋体" w:cs="宋体"/>
                <w:b/>
                <w:bCs/>
                <w:szCs w:val="21"/>
                <w:lang w:val="zh-CN"/>
              </w:rPr>
              <w:t>）采用下浮率报价部分</w:t>
            </w:r>
          </w:p>
        </w:tc>
        <w:tc>
          <w:tcPr>
            <w:tcW w:w="261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cs="宋体"/>
                <w:b/>
                <w:bCs/>
                <w:szCs w:val="21"/>
                <w:lang w:val="zh-CN"/>
              </w:rPr>
            </w:pPr>
            <w:r>
              <w:rPr>
                <w:rFonts w:hint="eastAsia" w:ascii="宋体" w:hAnsi="宋体" w:cs="宋体"/>
                <w:b/>
                <w:bCs/>
                <w:szCs w:val="21"/>
                <w:lang w:val="zh-CN"/>
              </w:rPr>
              <w:t>大写：</w:t>
            </w:r>
          </w:p>
          <w:p>
            <w:pPr>
              <w:autoSpaceDE w:val="0"/>
              <w:autoSpaceDN w:val="0"/>
              <w:adjustRightInd w:val="0"/>
              <w:jc w:val="left"/>
              <w:rPr>
                <w:rFonts w:ascii="宋体" w:hAnsi="宋体"/>
                <w:b/>
                <w:szCs w:val="21"/>
                <w:u w:val="single"/>
              </w:rPr>
            </w:pPr>
            <w:r>
              <w:rPr>
                <w:rFonts w:hint="eastAsia" w:ascii="宋体" w:hAnsi="宋体" w:cs="宋体"/>
                <w:b/>
                <w:bCs/>
                <w:szCs w:val="21"/>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jc w:val="center"/>
        </w:trPr>
        <w:tc>
          <w:tcPr>
            <w:tcW w:w="1532" w:type="pct"/>
            <w:vMerge w:val="continue"/>
            <w:tcBorders>
              <w:left w:val="single" w:color="auto" w:sz="4" w:space="0"/>
              <w:right w:val="single" w:color="auto" w:sz="4" w:space="0"/>
            </w:tcBorders>
            <w:noWrap w:val="0"/>
            <w:vAlign w:val="center"/>
          </w:tcPr>
          <w:p>
            <w:pPr>
              <w:autoSpaceDE w:val="0"/>
              <w:autoSpaceDN w:val="0"/>
              <w:adjustRightInd w:val="0"/>
              <w:jc w:val="left"/>
            </w:pPr>
          </w:p>
        </w:tc>
        <w:tc>
          <w:tcPr>
            <w:tcW w:w="723" w:type="pct"/>
            <w:vMerge w:val="continue"/>
            <w:tcBorders>
              <w:left w:val="single" w:color="auto" w:sz="4" w:space="0"/>
              <w:right w:val="single" w:color="auto" w:sz="4" w:space="0"/>
            </w:tcBorders>
            <w:noWrap w:val="0"/>
            <w:vAlign w:val="center"/>
          </w:tcPr>
          <w:p>
            <w:pPr>
              <w:autoSpaceDE w:val="0"/>
              <w:autoSpaceDN w:val="0"/>
              <w:adjustRightInd w:val="0"/>
              <w:jc w:val="left"/>
            </w:pPr>
          </w:p>
        </w:tc>
        <w:tc>
          <w:tcPr>
            <w:tcW w:w="261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ascii="宋体" w:hAnsi="宋体"/>
                <w:b/>
                <w:szCs w:val="21"/>
                <w:u w:val="single"/>
              </w:rPr>
            </w:pPr>
            <w:r>
              <w:rPr>
                <w:rFonts w:hint="eastAsia" w:ascii="宋体" w:hAnsi="宋体"/>
                <w:b/>
                <w:szCs w:val="21"/>
                <w:u w:val="single"/>
              </w:rPr>
              <w:t>下浮率：       %</w:t>
            </w:r>
          </w:p>
          <w:p>
            <w:pPr>
              <w:autoSpaceDE w:val="0"/>
              <w:autoSpaceDN w:val="0"/>
              <w:adjustRightInd w:val="0"/>
              <w:jc w:val="left"/>
              <w:rPr>
                <w:rFonts w:ascii="宋体" w:hAnsi="宋体"/>
                <w:b/>
                <w:szCs w:val="21"/>
                <w:u w:val="single"/>
              </w:rPr>
            </w:pPr>
            <w:r>
              <w:rPr>
                <w:rFonts w:hint="eastAsia" w:ascii="宋体" w:hAnsi="宋体"/>
                <w:bCs/>
                <w:szCs w:val="21"/>
                <w:u w:val="single"/>
              </w:rPr>
              <w:t>注：下浮率=（最高限价-投标报价）/最高限价*100%，并保留2位小数。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532" w:type="pct"/>
            <w:vMerge w:val="restart"/>
            <w:tcBorders>
              <w:left w:val="single" w:color="auto" w:sz="4" w:space="0"/>
              <w:right w:val="single" w:color="auto" w:sz="4" w:space="0"/>
            </w:tcBorders>
            <w:noWrap w:val="0"/>
            <w:vAlign w:val="center"/>
          </w:tcPr>
          <w:p>
            <w:pPr>
              <w:spacing w:line="300" w:lineRule="exact"/>
              <w:jc w:val="center"/>
              <w:rPr>
                <w:rFonts w:hint="eastAsia" w:ascii="宋体" w:hAnsi="宋体" w:cs="宋体"/>
                <w:b/>
                <w:bCs/>
                <w:szCs w:val="21"/>
                <w:lang w:val="zh-CN"/>
              </w:rPr>
            </w:pPr>
            <w:r>
              <w:rPr>
                <w:rFonts w:hint="eastAsia" w:ascii="宋体" w:hAnsi="宋体" w:cs="宋体"/>
                <w:b/>
                <w:szCs w:val="21"/>
                <w:lang w:val="zh-CN"/>
              </w:rPr>
              <w:t>委派的项目负责人</w:t>
            </w:r>
          </w:p>
        </w:tc>
        <w:tc>
          <w:tcPr>
            <w:tcW w:w="723"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b/>
                <w:szCs w:val="21"/>
                <w:u w:val="single"/>
              </w:rPr>
            </w:pPr>
            <w:r>
              <w:rPr>
                <w:rFonts w:hint="eastAsia" w:ascii="宋体" w:hAnsi="宋体" w:cs="宋体"/>
                <w:b/>
                <w:szCs w:val="21"/>
                <w:lang w:val="zh-CN"/>
              </w:rPr>
              <w:t>姓    名</w:t>
            </w:r>
          </w:p>
        </w:tc>
        <w:tc>
          <w:tcPr>
            <w:tcW w:w="261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32" w:type="pct"/>
            <w:vMerge w:val="continue"/>
            <w:tcBorders>
              <w:left w:val="single" w:color="auto" w:sz="4" w:space="0"/>
              <w:right w:val="single" w:color="auto" w:sz="4" w:space="0"/>
            </w:tcBorders>
            <w:noWrap w:val="0"/>
            <w:vAlign w:val="center"/>
          </w:tcPr>
          <w:p>
            <w:pPr>
              <w:spacing w:line="300" w:lineRule="exact"/>
              <w:jc w:val="center"/>
              <w:rPr>
                <w:rFonts w:hint="eastAsia" w:ascii="宋体" w:hAnsi="宋体" w:cs="宋体"/>
                <w:b/>
                <w:szCs w:val="21"/>
                <w:lang w:val="zh-CN"/>
              </w:rPr>
            </w:pPr>
          </w:p>
        </w:tc>
        <w:tc>
          <w:tcPr>
            <w:tcW w:w="723"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cs="宋体"/>
                <w:b/>
                <w:szCs w:val="21"/>
                <w:lang w:val="zh-CN"/>
              </w:rPr>
            </w:pPr>
            <w:r>
              <w:rPr>
                <w:rFonts w:hint="eastAsia" w:ascii="宋体" w:hAnsi="宋体" w:cs="宋体"/>
                <w:b/>
                <w:szCs w:val="21"/>
                <w:lang w:val="zh-CN"/>
              </w:rPr>
              <w:t>证    号</w:t>
            </w:r>
          </w:p>
        </w:tc>
        <w:tc>
          <w:tcPr>
            <w:tcW w:w="261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jc w:val="center"/>
        </w:trPr>
        <w:tc>
          <w:tcPr>
            <w:tcW w:w="1532" w:type="pct"/>
            <w:vMerge w:val="restart"/>
            <w:tcBorders>
              <w:left w:val="single" w:color="auto" w:sz="4" w:space="0"/>
              <w:right w:val="single" w:color="auto" w:sz="4" w:space="0"/>
            </w:tcBorders>
            <w:noWrap w:val="0"/>
            <w:vAlign w:val="center"/>
          </w:tcPr>
          <w:p>
            <w:pPr>
              <w:spacing w:line="300" w:lineRule="exact"/>
              <w:jc w:val="center"/>
              <w:rPr>
                <w:rFonts w:ascii="宋体" w:hAnsi="宋体" w:cs="宋体"/>
                <w:b/>
                <w:bCs/>
                <w:szCs w:val="21"/>
              </w:rPr>
            </w:pPr>
            <w:r>
              <w:rPr>
                <w:rFonts w:hint="eastAsia" w:ascii="宋体" w:hAnsi="宋体" w:cs="宋体"/>
                <w:b/>
                <w:szCs w:val="21"/>
                <w:lang w:val="zh-CN"/>
              </w:rPr>
              <w:t>委派的</w:t>
            </w:r>
            <w:r>
              <w:rPr>
                <w:rFonts w:hint="eastAsia" w:ascii="宋体" w:hAnsi="宋体" w:cs="宋体"/>
                <w:b/>
                <w:szCs w:val="21"/>
              </w:rPr>
              <w:t>施工负责人</w:t>
            </w:r>
          </w:p>
        </w:tc>
        <w:tc>
          <w:tcPr>
            <w:tcW w:w="723"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b/>
                <w:szCs w:val="21"/>
                <w:u w:val="single"/>
              </w:rPr>
            </w:pPr>
            <w:r>
              <w:rPr>
                <w:rFonts w:hint="eastAsia" w:ascii="宋体" w:hAnsi="宋体" w:cs="宋体"/>
                <w:b/>
                <w:szCs w:val="21"/>
                <w:lang w:val="zh-CN"/>
              </w:rPr>
              <w:t>姓    名</w:t>
            </w:r>
          </w:p>
        </w:tc>
        <w:tc>
          <w:tcPr>
            <w:tcW w:w="261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32" w:type="pct"/>
            <w:vMerge w:val="continue"/>
            <w:tcBorders>
              <w:left w:val="single" w:color="auto" w:sz="4" w:space="0"/>
              <w:right w:val="single" w:color="auto" w:sz="4" w:space="0"/>
            </w:tcBorders>
            <w:noWrap w:val="0"/>
            <w:vAlign w:val="center"/>
          </w:tcPr>
          <w:p>
            <w:pPr>
              <w:spacing w:line="300" w:lineRule="exact"/>
              <w:jc w:val="center"/>
              <w:rPr>
                <w:rFonts w:hint="eastAsia" w:ascii="宋体" w:hAnsi="宋体" w:cs="宋体"/>
                <w:b/>
                <w:szCs w:val="21"/>
                <w:lang w:val="zh-CN"/>
              </w:rPr>
            </w:pPr>
          </w:p>
        </w:tc>
        <w:tc>
          <w:tcPr>
            <w:tcW w:w="723"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cs="宋体"/>
                <w:b/>
                <w:szCs w:val="21"/>
                <w:lang w:val="zh-CN"/>
              </w:rPr>
            </w:pPr>
            <w:r>
              <w:rPr>
                <w:rFonts w:hint="eastAsia" w:ascii="宋体" w:hAnsi="宋体" w:cs="宋体"/>
                <w:b/>
                <w:szCs w:val="21"/>
                <w:lang w:val="zh-CN"/>
              </w:rPr>
              <w:t>证    号</w:t>
            </w:r>
          </w:p>
        </w:tc>
        <w:tc>
          <w:tcPr>
            <w:tcW w:w="261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jc w:val="center"/>
        </w:trPr>
        <w:tc>
          <w:tcPr>
            <w:tcW w:w="1532" w:type="pct"/>
            <w:vMerge w:val="restart"/>
            <w:tcBorders>
              <w:left w:val="single" w:color="auto" w:sz="4" w:space="0"/>
              <w:right w:val="single" w:color="auto" w:sz="4" w:space="0"/>
            </w:tcBorders>
            <w:noWrap w:val="0"/>
            <w:vAlign w:val="center"/>
          </w:tcPr>
          <w:p>
            <w:pPr>
              <w:spacing w:line="300" w:lineRule="exact"/>
              <w:jc w:val="center"/>
              <w:rPr>
                <w:rFonts w:hint="eastAsia" w:ascii="宋体" w:hAnsi="宋体" w:cs="宋体"/>
                <w:b/>
                <w:szCs w:val="21"/>
                <w:lang w:val="zh-CN"/>
              </w:rPr>
            </w:pPr>
            <w:r>
              <w:rPr>
                <w:rFonts w:hint="eastAsia" w:ascii="宋体" w:hAnsi="宋体" w:cs="宋体"/>
                <w:b/>
                <w:szCs w:val="21"/>
                <w:lang w:val="zh-CN"/>
              </w:rPr>
              <w:t>委派的专职安全员</w:t>
            </w:r>
          </w:p>
        </w:tc>
        <w:tc>
          <w:tcPr>
            <w:tcW w:w="723"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cs="宋体"/>
                <w:b/>
                <w:szCs w:val="21"/>
                <w:lang w:val="zh-CN"/>
              </w:rPr>
            </w:pPr>
            <w:r>
              <w:rPr>
                <w:rFonts w:hint="eastAsia" w:ascii="宋体" w:hAnsi="宋体" w:cs="宋体"/>
                <w:b/>
                <w:szCs w:val="21"/>
                <w:lang w:val="zh-CN"/>
              </w:rPr>
              <w:t>姓    名</w:t>
            </w:r>
          </w:p>
        </w:tc>
        <w:tc>
          <w:tcPr>
            <w:tcW w:w="261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32" w:type="pct"/>
            <w:vMerge w:val="continue"/>
            <w:tcBorders>
              <w:left w:val="single" w:color="auto" w:sz="4" w:space="0"/>
              <w:right w:val="single" w:color="auto" w:sz="4" w:space="0"/>
            </w:tcBorders>
            <w:noWrap w:val="0"/>
            <w:vAlign w:val="center"/>
          </w:tcPr>
          <w:p>
            <w:pPr>
              <w:spacing w:line="300" w:lineRule="exact"/>
              <w:jc w:val="center"/>
              <w:rPr>
                <w:rFonts w:hint="eastAsia" w:ascii="宋体" w:hAnsi="宋体" w:cs="宋体"/>
                <w:b/>
                <w:szCs w:val="21"/>
                <w:lang w:val="zh-CN"/>
              </w:rPr>
            </w:pPr>
          </w:p>
        </w:tc>
        <w:tc>
          <w:tcPr>
            <w:tcW w:w="723"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cs="宋体"/>
                <w:b/>
                <w:szCs w:val="21"/>
                <w:lang w:val="zh-CN"/>
              </w:rPr>
            </w:pPr>
            <w:r>
              <w:rPr>
                <w:rFonts w:hint="eastAsia" w:ascii="宋体" w:hAnsi="宋体" w:cs="宋体"/>
                <w:b/>
                <w:szCs w:val="21"/>
                <w:lang w:val="zh-CN"/>
              </w:rPr>
              <w:t>证    号</w:t>
            </w:r>
          </w:p>
        </w:tc>
        <w:tc>
          <w:tcPr>
            <w:tcW w:w="261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32" w:type="pct"/>
            <w:vMerge w:val="restart"/>
            <w:tcBorders>
              <w:left w:val="single" w:color="auto" w:sz="4" w:space="0"/>
              <w:right w:val="single" w:color="auto" w:sz="4" w:space="0"/>
            </w:tcBorders>
            <w:noWrap w:val="0"/>
            <w:vAlign w:val="center"/>
          </w:tcPr>
          <w:p>
            <w:pPr>
              <w:spacing w:line="300" w:lineRule="exact"/>
              <w:jc w:val="center"/>
              <w:rPr>
                <w:rFonts w:hint="eastAsia" w:ascii="宋体" w:hAnsi="宋体" w:cs="宋体"/>
                <w:b/>
                <w:bCs/>
                <w:szCs w:val="21"/>
                <w:lang w:val="zh-CN"/>
              </w:rPr>
            </w:pPr>
            <w:r>
              <w:rPr>
                <w:rFonts w:hint="eastAsia" w:ascii="宋体" w:hAnsi="宋体" w:cs="宋体"/>
                <w:b/>
                <w:szCs w:val="21"/>
                <w:lang w:val="zh-CN"/>
              </w:rPr>
              <w:t>委派的设计负责人</w:t>
            </w:r>
          </w:p>
        </w:tc>
        <w:tc>
          <w:tcPr>
            <w:tcW w:w="723"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b/>
                <w:szCs w:val="21"/>
                <w:u w:val="single"/>
              </w:rPr>
            </w:pPr>
            <w:r>
              <w:rPr>
                <w:rFonts w:hint="eastAsia" w:ascii="宋体" w:hAnsi="宋体" w:cs="宋体"/>
                <w:b/>
                <w:szCs w:val="21"/>
                <w:lang w:val="zh-CN"/>
              </w:rPr>
              <w:t>姓    名</w:t>
            </w:r>
          </w:p>
        </w:tc>
        <w:tc>
          <w:tcPr>
            <w:tcW w:w="261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32" w:type="pct"/>
            <w:vMerge w:val="continue"/>
            <w:tcBorders>
              <w:left w:val="single" w:color="auto" w:sz="4" w:space="0"/>
              <w:right w:val="single" w:color="auto" w:sz="4" w:space="0"/>
            </w:tcBorders>
            <w:noWrap w:val="0"/>
            <w:vAlign w:val="center"/>
          </w:tcPr>
          <w:p>
            <w:pPr>
              <w:spacing w:line="300" w:lineRule="exact"/>
              <w:jc w:val="center"/>
              <w:rPr>
                <w:rFonts w:hint="eastAsia" w:ascii="宋体" w:hAnsi="宋体" w:cs="宋体"/>
                <w:b/>
                <w:szCs w:val="21"/>
                <w:lang w:val="zh-CN"/>
              </w:rPr>
            </w:pPr>
          </w:p>
        </w:tc>
        <w:tc>
          <w:tcPr>
            <w:tcW w:w="723"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cs="宋体"/>
                <w:b/>
                <w:szCs w:val="21"/>
                <w:lang w:val="zh-CN"/>
              </w:rPr>
            </w:pPr>
            <w:r>
              <w:rPr>
                <w:rFonts w:hint="eastAsia" w:ascii="宋体" w:hAnsi="宋体" w:cs="宋体"/>
                <w:b/>
                <w:szCs w:val="21"/>
                <w:lang w:val="zh-CN"/>
              </w:rPr>
              <w:t>证    号</w:t>
            </w:r>
          </w:p>
        </w:tc>
        <w:tc>
          <w:tcPr>
            <w:tcW w:w="261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32" w:type="pct"/>
            <w:vMerge w:val="restart"/>
            <w:tcBorders>
              <w:left w:val="single" w:color="auto" w:sz="4" w:space="0"/>
              <w:right w:val="single" w:color="auto" w:sz="4" w:space="0"/>
            </w:tcBorders>
            <w:noWrap w:val="0"/>
            <w:vAlign w:val="center"/>
          </w:tcPr>
          <w:p>
            <w:pPr>
              <w:spacing w:line="300" w:lineRule="exact"/>
              <w:jc w:val="center"/>
              <w:rPr>
                <w:rFonts w:hint="eastAsia" w:ascii="宋体" w:hAnsi="宋体" w:cs="宋体"/>
                <w:b/>
                <w:szCs w:val="21"/>
                <w:lang w:val="zh-CN"/>
              </w:rPr>
            </w:pPr>
            <w:r>
              <w:rPr>
                <w:rFonts w:hint="eastAsia" w:ascii="宋体" w:hAnsi="宋体" w:cs="宋体"/>
                <w:b/>
                <w:szCs w:val="21"/>
                <w:lang w:val="zh-CN"/>
              </w:rPr>
              <w:t>委派的</w:t>
            </w:r>
            <w:r>
              <w:rPr>
                <w:rFonts w:hint="eastAsia" w:ascii="宋体" w:hAnsi="宋体" w:cs="宋体"/>
                <w:b/>
                <w:szCs w:val="21"/>
              </w:rPr>
              <w:t>施工</w:t>
            </w:r>
            <w:r>
              <w:rPr>
                <w:rFonts w:hint="eastAsia" w:ascii="宋体" w:hAnsi="宋体" w:cs="宋体"/>
                <w:b/>
                <w:szCs w:val="21"/>
                <w:lang w:val="zh-CN"/>
              </w:rPr>
              <w:t>技术负责人</w:t>
            </w:r>
          </w:p>
        </w:tc>
        <w:tc>
          <w:tcPr>
            <w:tcW w:w="723"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cs="宋体"/>
                <w:b/>
                <w:szCs w:val="21"/>
                <w:lang w:val="zh-CN"/>
              </w:rPr>
            </w:pPr>
            <w:r>
              <w:rPr>
                <w:rFonts w:hint="eastAsia" w:ascii="宋体" w:hAnsi="宋体" w:cs="宋体"/>
                <w:b/>
                <w:szCs w:val="21"/>
                <w:lang w:val="zh-CN"/>
              </w:rPr>
              <w:t>姓    名</w:t>
            </w:r>
          </w:p>
        </w:tc>
        <w:tc>
          <w:tcPr>
            <w:tcW w:w="261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32" w:type="pct"/>
            <w:vMerge w:val="continue"/>
            <w:tcBorders>
              <w:left w:val="single" w:color="auto" w:sz="4" w:space="0"/>
              <w:right w:val="single" w:color="auto" w:sz="4" w:space="0"/>
            </w:tcBorders>
            <w:noWrap w:val="0"/>
            <w:vAlign w:val="center"/>
          </w:tcPr>
          <w:p>
            <w:pPr>
              <w:spacing w:line="300" w:lineRule="exact"/>
              <w:jc w:val="center"/>
              <w:rPr>
                <w:rFonts w:hint="eastAsia" w:ascii="宋体" w:hAnsi="宋体" w:cs="宋体"/>
                <w:b/>
                <w:szCs w:val="21"/>
                <w:lang w:val="zh-CN"/>
              </w:rPr>
            </w:pPr>
          </w:p>
        </w:tc>
        <w:tc>
          <w:tcPr>
            <w:tcW w:w="723"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cs="宋体"/>
                <w:b/>
                <w:szCs w:val="21"/>
                <w:lang w:val="zh-CN"/>
              </w:rPr>
            </w:pPr>
            <w:r>
              <w:rPr>
                <w:rFonts w:hint="eastAsia" w:ascii="宋体" w:hAnsi="宋体" w:cs="宋体"/>
                <w:b/>
                <w:szCs w:val="21"/>
                <w:lang w:val="zh-CN"/>
              </w:rPr>
              <w:t>证    号</w:t>
            </w:r>
          </w:p>
        </w:tc>
        <w:tc>
          <w:tcPr>
            <w:tcW w:w="261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32" w:type="pct"/>
            <w:tcBorders>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b/>
                <w:bCs/>
                <w:szCs w:val="21"/>
                <w:lang w:val="zh-CN"/>
              </w:rPr>
            </w:pPr>
            <w:r>
              <w:rPr>
                <w:rFonts w:hint="eastAsia" w:ascii="宋体" w:hAnsi="宋体"/>
                <w:b/>
                <w:szCs w:val="21"/>
              </w:rPr>
              <w:t>法定代表人或其委托代理人（签字或盖章）</w:t>
            </w:r>
          </w:p>
        </w:tc>
        <w:tc>
          <w:tcPr>
            <w:tcW w:w="3333" w:type="pct"/>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32" w:type="pct"/>
            <w:tcBorders>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b/>
                <w:bCs/>
                <w:szCs w:val="21"/>
                <w:lang w:val="zh-CN"/>
              </w:rPr>
            </w:pPr>
            <w:r>
              <w:rPr>
                <w:rFonts w:hint="eastAsia" w:ascii="宋体" w:hAnsi="宋体" w:cs="宋体"/>
                <w:b/>
                <w:szCs w:val="21"/>
                <w:lang w:val="zh-CN"/>
              </w:rPr>
              <w:t>投标单位（盖章）</w:t>
            </w:r>
          </w:p>
        </w:tc>
        <w:tc>
          <w:tcPr>
            <w:tcW w:w="3333" w:type="pct"/>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cs="宋体"/>
                <w:b/>
                <w:szCs w:val="21"/>
                <w:lang w:val="zh-CN"/>
              </w:rPr>
            </w:pPr>
          </w:p>
        </w:tc>
      </w:tr>
    </w:tbl>
    <w:p>
      <w:pPr>
        <w:rPr>
          <w:rFonts w:hint="eastAsia" w:ascii="宋体" w:hAnsi="宋体" w:cs="宋体"/>
          <w:b/>
          <w:kern w:val="0"/>
          <w:sz w:val="20"/>
          <w:szCs w:val="20"/>
        </w:rPr>
      </w:pPr>
      <w:r>
        <w:rPr>
          <w:rFonts w:hint="eastAsia" w:ascii="宋体" w:hAnsi="宋体" w:cs="宋体"/>
          <w:b/>
          <w:kern w:val="0"/>
          <w:sz w:val="20"/>
          <w:szCs w:val="20"/>
        </w:rPr>
        <w:t>注：</w:t>
      </w:r>
    </w:p>
    <w:p>
      <w:pPr>
        <w:rPr>
          <w:rFonts w:hint="eastAsia" w:ascii="宋体" w:hAnsi="宋体" w:cs="宋体"/>
          <w:b/>
          <w:kern w:val="0"/>
          <w:sz w:val="20"/>
          <w:szCs w:val="20"/>
        </w:rPr>
      </w:pPr>
      <w:r>
        <w:rPr>
          <w:rFonts w:hint="eastAsia" w:ascii="宋体" w:hAnsi="宋体" w:cs="宋体"/>
          <w:b/>
          <w:kern w:val="0"/>
          <w:sz w:val="20"/>
          <w:szCs w:val="20"/>
        </w:rPr>
        <w:t>（1）投标报价为人民币报价，保留小数点后两位数。</w:t>
      </w:r>
    </w:p>
    <w:p>
      <w:pPr>
        <w:rPr>
          <w:rFonts w:hint="eastAsia" w:ascii="宋体" w:hAnsi="宋体" w:cs="宋体"/>
          <w:b/>
          <w:kern w:val="0"/>
          <w:sz w:val="20"/>
          <w:szCs w:val="20"/>
        </w:rPr>
      </w:pPr>
      <w:r>
        <w:rPr>
          <w:rFonts w:hint="eastAsia" w:ascii="宋体" w:hAnsi="宋体" w:cs="宋体"/>
          <w:b/>
          <w:kern w:val="0"/>
          <w:sz w:val="20"/>
          <w:szCs w:val="20"/>
        </w:rPr>
        <w:t>（2）联合体投标的，“投标单位”一栏需书写所有联合体成员的单位全称，可由联合体主办方签署、盖章。法定代表人、授权委托人只需其中一个签字或盖章即可。</w:t>
      </w:r>
    </w:p>
    <w:p>
      <w:pPr>
        <w:rPr>
          <w:rFonts w:hint="eastAsia" w:ascii="宋体" w:hAnsi="宋体" w:cs="宋体"/>
          <w:b/>
          <w:kern w:val="0"/>
          <w:sz w:val="20"/>
          <w:szCs w:val="20"/>
        </w:rPr>
      </w:pPr>
      <w:r>
        <w:rPr>
          <w:rFonts w:hint="eastAsia" w:ascii="宋体" w:hAnsi="宋体" w:cs="宋体"/>
          <w:b/>
          <w:kern w:val="0"/>
          <w:sz w:val="20"/>
          <w:szCs w:val="20"/>
        </w:rPr>
        <w:t>（3）投标总报价的大写金额和小写金额不一致的，以大写金额为准，投标报价精确到小数点后两位。</w:t>
      </w:r>
    </w:p>
    <w:p>
      <w:pPr>
        <w:outlineLvl w:val="2"/>
        <w:rPr>
          <w:rFonts w:ascii="宋体" w:hAnsi="宋体" w:cs="宋体"/>
          <w:b/>
          <w:sz w:val="24"/>
          <w:szCs w:val="24"/>
        </w:rPr>
        <w:sectPr>
          <w:headerReference r:id="rId9" w:type="default"/>
          <w:footerReference r:id="rId10" w:type="default"/>
          <w:pgSz w:w="11905" w:h="16838"/>
          <w:pgMar w:top="1440" w:right="1440" w:bottom="1440" w:left="1440" w:header="850" w:footer="850" w:gutter="0"/>
          <w:cols w:space="720" w:num="1"/>
          <w:docGrid w:type="lines" w:linePitch="312" w:charSpace="0"/>
        </w:sectPr>
      </w:pPr>
    </w:p>
    <w:p>
      <w:pPr>
        <w:jc w:val="center"/>
        <w:outlineLvl w:val="2"/>
      </w:pPr>
      <w:r>
        <w:rPr>
          <w:rFonts w:hint="eastAsia" w:ascii="宋体" w:hAnsi="宋体" w:cs="宋体"/>
          <w:b/>
          <w:kern w:val="0"/>
          <w:sz w:val="24"/>
          <w:szCs w:val="24"/>
        </w:rPr>
        <w:t>报价明细表</w:t>
      </w:r>
    </w:p>
    <w:p>
      <w:pPr>
        <w:pStyle w:val="2"/>
      </w:pPr>
    </w:p>
    <w:p>
      <w:pPr>
        <w:jc w:val="center"/>
        <w:rPr>
          <w:rFonts w:hint="eastAsia" w:ascii="宋体" w:hAnsi="宋体" w:cs="宋体"/>
          <w:b/>
          <w:kern w:val="0"/>
          <w:sz w:val="24"/>
          <w:szCs w:val="24"/>
        </w:rPr>
      </w:pPr>
      <w:r>
        <w:rPr>
          <w:rFonts w:hint="eastAsia" w:ascii="宋体" w:hAnsi="宋体" w:cs="宋体"/>
          <w:b/>
          <w:kern w:val="0"/>
          <w:sz w:val="24"/>
          <w:szCs w:val="24"/>
        </w:rPr>
        <w:t>（详见招标清单）</w:t>
      </w:r>
    </w:p>
    <w:p>
      <w:pPr>
        <w:pStyle w:val="2"/>
        <w:sectPr>
          <w:pgSz w:w="11905" w:h="16838"/>
          <w:pgMar w:top="1440" w:right="1440" w:bottom="1440" w:left="1440" w:header="850" w:footer="850" w:gutter="0"/>
          <w:cols w:space="720" w:num="1"/>
          <w:docGrid w:type="lines" w:linePitch="312" w:charSpace="0"/>
        </w:sectPr>
      </w:pPr>
    </w:p>
    <w:p>
      <w:pPr>
        <w:outlineLvl w:val="2"/>
        <w:rPr>
          <w:rFonts w:hint="eastAsia" w:ascii="宋体" w:hAnsi="宋体" w:cs="宋体"/>
          <w:b/>
          <w:sz w:val="24"/>
          <w:szCs w:val="24"/>
          <w:lang w:val="zh-CN"/>
        </w:rPr>
      </w:pPr>
      <w:bookmarkStart w:id="1252" w:name="_Toc28061"/>
      <w:r>
        <w:rPr>
          <w:rFonts w:hint="eastAsia" w:ascii="宋体" w:hAnsi="宋体" w:cs="宋体"/>
          <w:b/>
          <w:sz w:val="24"/>
          <w:szCs w:val="24"/>
        </w:rPr>
        <w:t>格式四：</w:t>
      </w:r>
      <w:r>
        <w:rPr>
          <w:rFonts w:hint="eastAsia" w:ascii="宋体" w:hAnsi="宋体" w:cs="宋体"/>
          <w:b/>
          <w:sz w:val="24"/>
          <w:szCs w:val="24"/>
          <w:lang w:val="zh-CN"/>
        </w:rPr>
        <w:t>参与编制</w:t>
      </w:r>
      <w:r>
        <w:rPr>
          <w:rFonts w:hint="eastAsia" w:ascii="宋体" w:hAnsi="宋体" w:cs="宋体"/>
          <w:b/>
          <w:sz w:val="24"/>
          <w:szCs w:val="24"/>
        </w:rPr>
        <w:t>工程总承包实施方案</w:t>
      </w:r>
      <w:r>
        <w:rPr>
          <w:rFonts w:hint="eastAsia" w:ascii="宋体" w:hAnsi="宋体" w:cs="宋体"/>
          <w:b/>
          <w:sz w:val="24"/>
          <w:szCs w:val="24"/>
          <w:lang w:val="zh-CN"/>
        </w:rPr>
        <w:t>（含资格审查文件）投标文件人员名单</w:t>
      </w:r>
      <w:bookmarkEnd w:id="1251"/>
      <w:bookmarkEnd w:id="1252"/>
    </w:p>
    <w:p>
      <w:pPr>
        <w:rPr>
          <w:rFonts w:hint="eastAsia" w:ascii="宋体" w:hAnsi="宋体" w:cs="宋体"/>
          <w:b/>
          <w:sz w:val="24"/>
          <w:szCs w:val="24"/>
          <w:lang w:val="zh-CN"/>
        </w:rPr>
      </w:pPr>
    </w:p>
    <w:p>
      <w:pPr>
        <w:autoSpaceDE w:val="0"/>
        <w:autoSpaceDN w:val="0"/>
        <w:adjustRightInd w:val="0"/>
        <w:spacing w:line="360" w:lineRule="auto"/>
        <w:jc w:val="center"/>
        <w:rPr>
          <w:rFonts w:hint="eastAsia" w:ascii="宋体" w:hAnsi="宋体" w:cs="宋体"/>
          <w:b/>
          <w:bCs/>
          <w:sz w:val="28"/>
          <w:szCs w:val="28"/>
          <w:lang w:val="zh-CN"/>
        </w:rPr>
      </w:pPr>
      <w:r>
        <w:rPr>
          <w:rFonts w:hint="eastAsia" w:ascii="宋体" w:hAnsi="宋体" w:cs="宋体"/>
          <w:b/>
          <w:bCs/>
          <w:sz w:val="28"/>
          <w:szCs w:val="28"/>
          <w:lang w:val="zh-CN"/>
        </w:rPr>
        <w:t>参与编制</w:t>
      </w:r>
      <w:r>
        <w:rPr>
          <w:rFonts w:hint="eastAsia" w:ascii="宋体" w:hAnsi="宋体" w:cs="宋体"/>
          <w:b/>
          <w:bCs/>
          <w:sz w:val="28"/>
          <w:szCs w:val="28"/>
        </w:rPr>
        <w:t>工程总承包实施方案（含资格审查文件）</w:t>
      </w:r>
      <w:r>
        <w:rPr>
          <w:rFonts w:hint="eastAsia" w:ascii="宋体" w:hAnsi="宋体" w:cs="宋体"/>
          <w:b/>
          <w:bCs/>
          <w:sz w:val="28"/>
          <w:szCs w:val="28"/>
          <w:lang w:val="zh-CN"/>
        </w:rPr>
        <w:t>投标文件人员名单</w:t>
      </w:r>
    </w:p>
    <w:p>
      <w:pPr>
        <w:tabs>
          <w:tab w:val="left" w:pos="720"/>
        </w:tabs>
        <w:snapToGrid w:val="0"/>
        <w:spacing w:line="360" w:lineRule="auto"/>
        <w:rPr>
          <w:rFonts w:hint="eastAsia" w:ascii="宋体" w:hAnsi="宋体" w:cs="宋体"/>
          <w:caps/>
          <w:sz w:val="24"/>
          <w:szCs w:val="24"/>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41"/>
        <w:gridCol w:w="1372"/>
        <w:gridCol w:w="2429"/>
        <w:gridCol w:w="2563"/>
        <w:gridCol w:w="15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341" w:type="dxa"/>
            <w:vAlign w:val="center"/>
          </w:tcPr>
          <w:p>
            <w:pPr>
              <w:tabs>
                <w:tab w:val="left" w:pos="0"/>
                <w:tab w:val="left" w:pos="720"/>
              </w:tabs>
              <w:adjustRightInd w:val="0"/>
              <w:snapToGrid w:val="0"/>
              <w:jc w:val="center"/>
              <w:rPr>
                <w:rFonts w:hint="eastAsia" w:ascii="宋体" w:hAnsi="宋体" w:cs="宋体"/>
                <w:szCs w:val="21"/>
              </w:rPr>
            </w:pPr>
            <w:r>
              <w:rPr>
                <w:rFonts w:hint="eastAsia" w:ascii="宋体" w:hAnsi="宋体" w:cs="宋体"/>
                <w:szCs w:val="21"/>
              </w:rPr>
              <w:t>姓名</w:t>
            </w:r>
          </w:p>
        </w:tc>
        <w:tc>
          <w:tcPr>
            <w:tcW w:w="1372" w:type="dxa"/>
            <w:vAlign w:val="center"/>
          </w:tcPr>
          <w:p>
            <w:pPr>
              <w:tabs>
                <w:tab w:val="left" w:pos="0"/>
                <w:tab w:val="left" w:pos="720"/>
              </w:tabs>
              <w:adjustRightInd w:val="0"/>
              <w:snapToGrid w:val="0"/>
              <w:jc w:val="center"/>
              <w:rPr>
                <w:rFonts w:hint="eastAsia" w:ascii="宋体" w:hAnsi="宋体" w:cs="宋体"/>
                <w:szCs w:val="21"/>
              </w:rPr>
            </w:pPr>
            <w:r>
              <w:rPr>
                <w:rFonts w:hint="eastAsia" w:ascii="宋体" w:hAnsi="宋体" w:cs="宋体"/>
                <w:szCs w:val="21"/>
              </w:rPr>
              <w:t>职务</w:t>
            </w:r>
          </w:p>
        </w:tc>
        <w:tc>
          <w:tcPr>
            <w:tcW w:w="2429" w:type="dxa"/>
            <w:vAlign w:val="center"/>
          </w:tcPr>
          <w:p>
            <w:pPr>
              <w:tabs>
                <w:tab w:val="left" w:pos="0"/>
                <w:tab w:val="left" w:pos="720"/>
              </w:tabs>
              <w:adjustRightInd w:val="0"/>
              <w:snapToGrid w:val="0"/>
              <w:jc w:val="center"/>
              <w:rPr>
                <w:rFonts w:hint="eastAsia" w:ascii="宋体" w:hAnsi="宋体" w:cs="宋体"/>
                <w:szCs w:val="21"/>
              </w:rPr>
            </w:pPr>
            <w:r>
              <w:rPr>
                <w:rFonts w:hint="eastAsia" w:ascii="宋体" w:hAnsi="宋体" w:cs="宋体"/>
                <w:szCs w:val="21"/>
              </w:rPr>
              <w:t>所承担工作</w:t>
            </w:r>
          </w:p>
        </w:tc>
        <w:tc>
          <w:tcPr>
            <w:tcW w:w="2563" w:type="dxa"/>
            <w:vAlign w:val="center"/>
          </w:tcPr>
          <w:p>
            <w:pPr>
              <w:tabs>
                <w:tab w:val="left" w:pos="0"/>
                <w:tab w:val="left" w:pos="720"/>
              </w:tabs>
              <w:adjustRightInd w:val="0"/>
              <w:snapToGrid w:val="0"/>
              <w:jc w:val="center"/>
              <w:rPr>
                <w:rFonts w:hint="eastAsia" w:ascii="宋体" w:hAnsi="宋体" w:cs="宋体"/>
                <w:szCs w:val="21"/>
              </w:rPr>
            </w:pPr>
            <w:r>
              <w:rPr>
                <w:rFonts w:hint="eastAsia" w:ascii="宋体" w:hAnsi="宋体" w:cs="宋体"/>
                <w:szCs w:val="21"/>
              </w:rPr>
              <w:t>身份证号码</w:t>
            </w:r>
          </w:p>
        </w:tc>
        <w:tc>
          <w:tcPr>
            <w:tcW w:w="1536" w:type="dxa"/>
            <w:vAlign w:val="center"/>
          </w:tcPr>
          <w:p>
            <w:pPr>
              <w:tabs>
                <w:tab w:val="left" w:pos="0"/>
                <w:tab w:val="left" w:pos="720"/>
              </w:tabs>
              <w:adjustRightInd w:val="0"/>
              <w:snapToGrid w:val="0"/>
              <w:rPr>
                <w:rFonts w:hint="eastAsia" w:ascii="宋体" w:hAnsi="宋体" w:cs="宋体"/>
                <w:szCs w:val="21"/>
              </w:rPr>
            </w:pPr>
            <w:r>
              <w:rPr>
                <w:rFonts w:hint="eastAsia" w:ascii="宋体" w:hAnsi="宋体" w:cs="宋体"/>
                <w:szCs w:val="21"/>
              </w:rPr>
              <w:t>本人签字栏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341" w:type="dxa"/>
            <w:vAlign w:val="center"/>
          </w:tcPr>
          <w:p>
            <w:pPr>
              <w:tabs>
                <w:tab w:val="left" w:pos="0"/>
                <w:tab w:val="left" w:pos="720"/>
              </w:tabs>
              <w:adjustRightInd w:val="0"/>
              <w:snapToGrid w:val="0"/>
              <w:jc w:val="center"/>
              <w:rPr>
                <w:rFonts w:hint="eastAsia" w:ascii="宋体" w:hAnsi="宋体" w:cs="宋体"/>
                <w:szCs w:val="21"/>
              </w:rPr>
            </w:pPr>
          </w:p>
        </w:tc>
        <w:tc>
          <w:tcPr>
            <w:tcW w:w="1372" w:type="dxa"/>
            <w:vAlign w:val="center"/>
          </w:tcPr>
          <w:p>
            <w:pPr>
              <w:tabs>
                <w:tab w:val="left" w:pos="0"/>
                <w:tab w:val="left" w:pos="720"/>
              </w:tabs>
              <w:adjustRightInd w:val="0"/>
              <w:snapToGrid w:val="0"/>
              <w:jc w:val="center"/>
              <w:rPr>
                <w:rFonts w:hint="eastAsia" w:ascii="宋体" w:hAnsi="宋体" w:cs="宋体"/>
                <w:szCs w:val="21"/>
              </w:rPr>
            </w:pPr>
          </w:p>
        </w:tc>
        <w:tc>
          <w:tcPr>
            <w:tcW w:w="2429" w:type="dxa"/>
            <w:vAlign w:val="center"/>
          </w:tcPr>
          <w:p>
            <w:pPr>
              <w:tabs>
                <w:tab w:val="left" w:pos="0"/>
                <w:tab w:val="left" w:pos="720"/>
              </w:tabs>
              <w:adjustRightInd w:val="0"/>
              <w:snapToGrid w:val="0"/>
              <w:jc w:val="center"/>
              <w:rPr>
                <w:rFonts w:hint="eastAsia" w:ascii="宋体" w:hAnsi="宋体" w:cs="宋体"/>
                <w:szCs w:val="21"/>
              </w:rPr>
            </w:pPr>
          </w:p>
        </w:tc>
        <w:tc>
          <w:tcPr>
            <w:tcW w:w="2563" w:type="dxa"/>
            <w:vAlign w:val="center"/>
          </w:tcPr>
          <w:p>
            <w:pPr>
              <w:tabs>
                <w:tab w:val="left" w:pos="0"/>
                <w:tab w:val="left" w:pos="720"/>
              </w:tabs>
              <w:adjustRightInd w:val="0"/>
              <w:snapToGrid w:val="0"/>
              <w:jc w:val="center"/>
              <w:rPr>
                <w:rFonts w:hint="eastAsia" w:ascii="宋体" w:hAnsi="宋体" w:cs="宋体"/>
                <w:szCs w:val="21"/>
              </w:rPr>
            </w:pPr>
          </w:p>
        </w:tc>
        <w:tc>
          <w:tcPr>
            <w:tcW w:w="1536" w:type="dxa"/>
            <w:vAlign w:val="center"/>
          </w:tcPr>
          <w:p>
            <w:pPr>
              <w:tabs>
                <w:tab w:val="left" w:pos="0"/>
                <w:tab w:val="left" w:pos="720"/>
              </w:tabs>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vAlign w:val="center"/>
          </w:tcPr>
          <w:p>
            <w:pPr>
              <w:tabs>
                <w:tab w:val="left" w:pos="0"/>
                <w:tab w:val="left" w:pos="720"/>
              </w:tabs>
              <w:adjustRightInd w:val="0"/>
              <w:snapToGrid w:val="0"/>
              <w:jc w:val="center"/>
              <w:rPr>
                <w:rFonts w:hint="eastAsia" w:ascii="宋体" w:hAnsi="宋体" w:cs="宋体"/>
                <w:szCs w:val="21"/>
              </w:rPr>
            </w:pPr>
          </w:p>
        </w:tc>
        <w:tc>
          <w:tcPr>
            <w:tcW w:w="1372" w:type="dxa"/>
            <w:vAlign w:val="center"/>
          </w:tcPr>
          <w:p>
            <w:pPr>
              <w:tabs>
                <w:tab w:val="left" w:pos="0"/>
                <w:tab w:val="left" w:pos="720"/>
              </w:tabs>
              <w:adjustRightInd w:val="0"/>
              <w:snapToGrid w:val="0"/>
              <w:jc w:val="center"/>
              <w:rPr>
                <w:rFonts w:hint="eastAsia" w:ascii="宋体" w:hAnsi="宋体" w:cs="宋体"/>
                <w:szCs w:val="21"/>
              </w:rPr>
            </w:pPr>
          </w:p>
        </w:tc>
        <w:tc>
          <w:tcPr>
            <w:tcW w:w="2429" w:type="dxa"/>
            <w:vAlign w:val="center"/>
          </w:tcPr>
          <w:p>
            <w:pPr>
              <w:tabs>
                <w:tab w:val="left" w:pos="0"/>
                <w:tab w:val="left" w:pos="720"/>
              </w:tabs>
              <w:adjustRightInd w:val="0"/>
              <w:snapToGrid w:val="0"/>
              <w:jc w:val="center"/>
              <w:rPr>
                <w:rFonts w:hint="eastAsia" w:ascii="宋体" w:hAnsi="宋体" w:cs="宋体"/>
                <w:szCs w:val="21"/>
              </w:rPr>
            </w:pPr>
          </w:p>
        </w:tc>
        <w:tc>
          <w:tcPr>
            <w:tcW w:w="2563" w:type="dxa"/>
            <w:vAlign w:val="center"/>
          </w:tcPr>
          <w:p>
            <w:pPr>
              <w:tabs>
                <w:tab w:val="left" w:pos="0"/>
                <w:tab w:val="left" w:pos="720"/>
              </w:tabs>
              <w:adjustRightInd w:val="0"/>
              <w:snapToGrid w:val="0"/>
              <w:jc w:val="center"/>
              <w:rPr>
                <w:rFonts w:hint="eastAsia" w:ascii="宋体" w:hAnsi="宋体" w:cs="宋体"/>
                <w:szCs w:val="21"/>
              </w:rPr>
            </w:pPr>
          </w:p>
        </w:tc>
        <w:tc>
          <w:tcPr>
            <w:tcW w:w="1536" w:type="dxa"/>
            <w:vAlign w:val="center"/>
          </w:tcPr>
          <w:p>
            <w:pPr>
              <w:tabs>
                <w:tab w:val="left" w:pos="0"/>
                <w:tab w:val="left" w:pos="720"/>
              </w:tabs>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vAlign w:val="center"/>
          </w:tcPr>
          <w:p>
            <w:pPr>
              <w:tabs>
                <w:tab w:val="left" w:pos="0"/>
                <w:tab w:val="left" w:pos="720"/>
              </w:tabs>
              <w:adjustRightInd w:val="0"/>
              <w:snapToGrid w:val="0"/>
              <w:jc w:val="center"/>
              <w:rPr>
                <w:rFonts w:hint="eastAsia" w:ascii="宋体" w:hAnsi="宋体" w:cs="宋体"/>
                <w:szCs w:val="21"/>
              </w:rPr>
            </w:pPr>
          </w:p>
        </w:tc>
        <w:tc>
          <w:tcPr>
            <w:tcW w:w="1372" w:type="dxa"/>
            <w:vAlign w:val="center"/>
          </w:tcPr>
          <w:p>
            <w:pPr>
              <w:tabs>
                <w:tab w:val="left" w:pos="0"/>
                <w:tab w:val="left" w:pos="720"/>
              </w:tabs>
              <w:adjustRightInd w:val="0"/>
              <w:snapToGrid w:val="0"/>
              <w:jc w:val="center"/>
              <w:rPr>
                <w:rFonts w:hint="eastAsia" w:ascii="宋体" w:hAnsi="宋体" w:cs="宋体"/>
                <w:szCs w:val="21"/>
              </w:rPr>
            </w:pPr>
          </w:p>
        </w:tc>
        <w:tc>
          <w:tcPr>
            <w:tcW w:w="2429" w:type="dxa"/>
            <w:vAlign w:val="center"/>
          </w:tcPr>
          <w:p>
            <w:pPr>
              <w:tabs>
                <w:tab w:val="left" w:pos="0"/>
                <w:tab w:val="left" w:pos="720"/>
              </w:tabs>
              <w:adjustRightInd w:val="0"/>
              <w:snapToGrid w:val="0"/>
              <w:jc w:val="center"/>
              <w:rPr>
                <w:rFonts w:hint="eastAsia" w:ascii="宋体" w:hAnsi="宋体" w:cs="宋体"/>
                <w:szCs w:val="21"/>
              </w:rPr>
            </w:pPr>
          </w:p>
        </w:tc>
        <w:tc>
          <w:tcPr>
            <w:tcW w:w="2563" w:type="dxa"/>
            <w:vAlign w:val="center"/>
          </w:tcPr>
          <w:p>
            <w:pPr>
              <w:tabs>
                <w:tab w:val="left" w:pos="0"/>
                <w:tab w:val="left" w:pos="720"/>
              </w:tabs>
              <w:adjustRightInd w:val="0"/>
              <w:snapToGrid w:val="0"/>
              <w:jc w:val="center"/>
              <w:rPr>
                <w:rFonts w:hint="eastAsia" w:ascii="宋体" w:hAnsi="宋体" w:cs="宋体"/>
                <w:szCs w:val="21"/>
              </w:rPr>
            </w:pPr>
          </w:p>
        </w:tc>
        <w:tc>
          <w:tcPr>
            <w:tcW w:w="1536" w:type="dxa"/>
            <w:vAlign w:val="center"/>
          </w:tcPr>
          <w:p>
            <w:pPr>
              <w:tabs>
                <w:tab w:val="left" w:pos="0"/>
                <w:tab w:val="left" w:pos="720"/>
              </w:tabs>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vAlign w:val="center"/>
          </w:tcPr>
          <w:p>
            <w:pPr>
              <w:tabs>
                <w:tab w:val="left" w:pos="0"/>
                <w:tab w:val="left" w:pos="720"/>
              </w:tabs>
              <w:adjustRightInd w:val="0"/>
              <w:snapToGrid w:val="0"/>
              <w:jc w:val="center"/>
              <w:rPr>
                <w:rFonts w:hint="eastAsia" w:ascii="宋体" w:hAnsi="宋体" w:cs="宋体"/>
                <w:szCs w:val="21"/>
              </w:rPr>
            </w:pPr>
          </w:p>
        </w:tc>
        <w:tc>
          <w:tcPr>
            <w:tcW w:w="1372" w:type="dxa"/>
            <w:vAlign w:val="center"/>
          </w:tcPr>
          <w:p>
            <w:pPr>
              <w:tabs>
                <w:tab w:val="left" w:pos="0"/>
                <w:tab w:val="left" w:pos="720"/>
              </w:tabs>
              <w:adjustRightInd w:val="0"/>
              <w:snapToGrid w:val="0"/>
              <w:jc w:val="center"/>
              <w:rPr>
                <w:rFonts w:hint="eastAsia" w:ascii="宋体" w:hAnsi="宋体" w:cs="宋体"/>
                <w:szCs w:val="21"/>
              </w:rPr>
            </w:pPr>
          </w:p>
        </w:tc>
        <w:tc>
          <w:tcPr>
            <w:tcW w:w="2429" w:type="dxa"/>
            <w:vAlign w:val="center"/>
          </w:tcPr>
          <w:p>
            <w:pPr>
              <w:tabs>
                <w:tab w:val="left" w:pos="0"/>
                <w:tab w:val="left" w:pos="720"/>
              </w:tabs>
              <w:adjustRightInd w:val="0"/>
              <w:snapToGrid w:val="0"/>
              <w:jc w:val="center"/>
              <w:rPr>
                <w:rFonts w:hint="eastAsia" w:ascii="宋体" w:hAnsi="宋体" w:cs="宋体"/>
                <w:szCs w:val="21"/>
              </w:rPr>
            </w:pPr>
          </w:p>
        </w:tc>
        <w:tc>
          <w:tcPr>
            <w:tcW w:w="2563" w:type="dxa"/>
            <w:vAlign w:val="center"/>
          </w:tcPr>
          <w:p>
            <w:pPr>
              <w:tabs>
                <w:tab w:val="left" w:pos="0"/>
                <w:tab w:val="left" w:pos="720"/>
              </w:tabs>
              <w:adjustRightInd w:val="0"/>
              <w:snapToGrid w:val="0"/>
              <w:jc w:val="center"/>
              <w:rPr>
                <w:rFonts w:hint="eastAsia" w:ascii="宋体" w:hAnsi="宋体" w:cs="宋体"/>
                <w:szCs w:val="21"/>
              </w:rPr>
            </w:pPr>
          </w:p>
        </w:tc>
        <w:tc>
          <w:tcPr>
            <w:tcW w:w="1536" w:type="dxa"/>
            <w:vAlign w:val="center"/>
          </w:tcPr>
          <w:p>
            <w:pPr>
              <w:tabs>
                <w:tab w:val="left" w:pos="0"/>
                <w:tab w:val="left" w:pos="720"/>
              </w:tabs>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vAlign w:val="center"/>
          </w:tcPr>
          <w:p>
            <w:pPr>
              <w:tabs>
                <w:tab w:val="left" w:pos="0"/>
                <w:tab w:val="left" w:pos="720"/>
              </w:tabs>
              <w:adjustRightInd w:val="0"/>
              <w:snapToGrid w:val="0"/>
              <w:jc w:val="center"/>
              <w:rPr>
                <w:rFonts w:hint="eastAsia" w:ascii="宋体" w:hAnsi="宋体" w:cs="宋体"/>
                <w:szCs w:val="21"/>
              </w:rPr>
            </w:pPr>
          </w:p>
        </w:tc>
        <w:tc>
          <w:tcPr>
            <w:tcW w:w="1372" w:type="dxa"/>
            <w:vAlign w:val="center"/>
          </w:tcPr>
          <w:p>
            <w:pPr>
              <w:tabs>
                <w:tab w:val="left" w:pos="0"/>
                <w:tab w:val="left" w:pos="720"/>
              </w:tabs>
              <w:adjustRightInd w:val="0"/>
              <w:snapToGrid w:val="0"/>
              <w:jc w:val="center"/>
              <w:rPr>
                <w:rFonts w:hint="eastAsia" w:ascii="宋体" w:hAnsi="宋体" w:cs="宋体"/>
                <w:szCs w:val="21"/>
              </w:rPr>
            </w:pPr>
          </w:p>
        </w:tc>
        <w:tc>
          <w:tcPr>
            <w:tcW w:w="2429" w:type="dxa"/>
            <w:vAlign w:val="center"/>
          </w:tcPr>
          <w:p>
            <w:pPr>
              <w:tabs>
                <w:tab w:val="left" w:pos="0"/>
                <w:tab w:val="left" w:pos="720"/>
              </w:tabs>
              <w:adjustRightInd w:val="0"/>
              <w:snapToGrid w:val="0"/>
              <w:jc w:val="center"/>
              <w:rPr>
                <w:rFonts w:hint="eastAsia" w:ascii="宋体" w:hAnsi="宋体" w:cs="宋体"/>
                <w:szCs w:val="21"/>
              </w:rPr>
            </w:pPr>
          </w:p>
        </w:tc>
        <w:tc>
          <w:tcPr>
            <w:tcW w:w="2563" w:type="dxa"/>
            <w:vAlign w:val="center"/>
          </w:tcPr>
          <w:p>
            <w:pPr>
              <w:tabs>
                <w:tab w:val="left" w:pos="0"/>
                <w:tab w:val="left" w:pos="720"/>
              </w:tabs>
              <w:adjustRightInd w:val="0"/>
              <w:snapToGrid w:val="0"/>
              <w:jc w:val="center"/>
              <w:rPr>
                <w:rFonts w:hint="eastAsia" w:ascii="宋体" w:hAnsi="宋体" w:cs="宋体"/>
                <w:szCs w:val="21"/>
              </w:rPr>
            </w:pPr>
          </w:p>
        </w:tc>
        <w:tc>
          <w:tcPr>
            <w:tcW w:w="1536" w:type="dxa"/>
            <w:vAlign w:val="center"/>
          </w:tcPr>
          <w:p>
            <w:pPr>
              <w:tabs>
                <w:tab w:val="left" w:pos="0"/>
                <w:tab w:val="left" w:pos="720"/>
              </w:tabs>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vAlign w:val="center"/>
          </w:tcPr>
          <w:p>
            <w:pPr>
              <w:tabs>
                <w:tab w:val="left" w:pos="0"/>
                <w:tab w:val="left" w:pos="720"/>
              </w:tabs>
              <w:adjustRightInd w:val="0"/>
              <w:snapToGrid w:val="0"/>
              <w:jc w:val="center"/>
              <w:rPr>
                <w:rFonts w:hint="eastAsia" w:ascii="宋体" w:hAnsi="宋体" w:cs="宋体"/>
                <w:szCs w:val="21"/>
              </w:rPr>
            </w:pPr>
          </w:p>
        </w:tc>
        <w:tc>
          <w:tcPr>
            <w:tcW w:w="1372" w:type="dxa"/>
            <w:vAlign w:val="center"/>
          </w:tcPr>
          <w:p>
            <w:pPr>
              <w:tabs>
                <w:tab w:val="left" w:pos="0"/>
                <w:tab w:val="left" w:pos="720"/>
              </w:tabs>
              <w:adjustRightInd w:val="0"/>
              <w:snapToGrid w:val="0"/>
              <w:jc w:val="center"/>
              <w:rPr>
                <w:rFonts w:hint="eastAsia" w:ascii="宋体" w:hAnsi="宋体" w:cs="宋体"/>
                <w:szCs w:val="21"/>
              </w:rPr>
            </w:pPr>
          </w:p>
        </w:tc>
        <w:tc>
          <w:tcPr>
            <w:tcW w:w="2429" w:type="dxa"/>
            <w:vAlign w:val="center"/>
          </w:tcPr>
          <w:p>
            <w:pPr>
              <w:tabs>
                <w:tab w:val="left" w:pos="0"/>
                <w:tab w:val="left" w:pos="720"/>
              </w:tabs>
              <w:adjustRightInd w:val="0"/>
              <w:snapToGrid w:val="0"/>
              <w:jc w:val="center"/>
              <w:rPr>
                <w:rFonts w:hint="eastAsia" w:ascii="宋体" w:hAnsi="宋体" w:cs="宋体"/>
                <w:szCs w:val="21"/>
              </w:rPr>
            </w:pPr>
          </w:p>
        </w:tc>
        <w:tc>
          <w:tcPr>
            <w:tcW w:w="2563" w:type="dxa"/>
            <w:vAlign w:val="center"/>
          </w:tcPr>
          <w:p>
            <w:pPr>
              <w:tabs>
                <w:tab w:val="left" w:pos="0"/>
                <w:tab w:val="left" w:pos="720"/>
              </w:tabs>
              <w:adjustRightInd w:val="0"/>
              <w:snapToGrid w:val="0"/>
              <w:jc w:val="center"/>
              <w:rPr>
                <w:rFonts w:hint="eastAsia" w:ascii="宋体" w:hAnsi="宋体" w:cs="宋体"/>
                <w:szCs w:val="21"/>
              </w:rPr>
            </w:pPr>
          </w:p>
        </w:tc>
        <w:tc>
          <w:tcPr>
            <w:tcW w:w="1536" w:type="dxa"/>
            <w:vAlign w:val="center"/>
          </w:tcPr>
          <w:p>
            <w:pPr>
              <w:tabs>
                <w:tab w:val="left" w:pos="0"/>
                <w:tab w:val="left" w:pos="720"/>
              </w:tabs>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vAlign w:val="center"/>
          </w:tcPr>
          <w:p>
            <w:pPr>
              <w:tabs>
                <w:tab w:val="left" w:pos="0"/>
                <w:tab w:val="left" w:pos="720"/>
              </w:tabs>
              <w:adjustRightInd w:val="0"/>
              <w:snapToGrid w:val="0"/>
              <w:jc w:val="center"/>
              <w:rPr>
                <w:rFonts w:hint="eastAsia" w:ascii="宋体" w:hAnsi="宋体" w:cs="宋体"/>
                <w:szCs w:val="21"/>
              </w:rPr>
            </w:pPr>
          </w:p>
        </w:tc>
        <w:tc>
          <w:tcPr>
            <w:tcW w:w="1372" w:type="dxa"/>
            <w:vAlign w:val="center"/>
          </w:tcPr>
          <w:p>
            <w:pPr>
              <w:tabs>
                <w:tab w:val="left" w:pos="0"/>
                <w:tab w:val="left" w:pos="720"/>
              </w:tabs>
              <w:adjustRightInd w:val="0"/>
              <w:snapToGrid w:val="0"/>
              <w:jc w:val="center"/>
              <w:rPr>
                <w:rFonts w:hint="eastAsia" w:ascii="宋体" w:hAnsi="宋体" w:cs="宋体"/>
                <w:szCs w:val="21"/>
              </w:rPr>
            </w:pPr>
          </w:p>
        </w:tc>
        <w:tc>
          <w:tcPr>
            <w:tcW w:w="2429" w:type="dxa"/>
            <w:vAlign w:val="center"/>
          </w:tcPr>
          <w:p>
            <w:pPr>
              <w:tabs>
                <w:tab w:val="left" w:pos="0"/>
                <w:tab w:val="left" w:pos="720"/>
              </w:tabs>
              <w:adjustRightInd w:val="0"/>
              <w:snapToGrid w:val="0"/>
              <w:jc w:val="center"/>
              <w:rPr>
                <w:rFonts w:hint="eastAsia" w:ascii="宋体" w:hAnsi="宋体" w:cs="宋体"/>
                <w:szCs w:val="21"/>
              </w:rPr>
            </w:pPr>
          </w:p>
        </w:tc>
        <w:tc>
          <w:tcPr>
            <w:tcW w:w="2563" w:type="dxa"/>
            <w:vAlign w:val="center"/>
          </w:tcPr>
          <w:p>
            <w:pPr>
              <w:tabs>
                <w:tab w:val="left" w:pos="0"/>
                <w:tab w:val="left" w:pos="720"/>
              </w:tabs>
              <w:adjustRightInd w:val="0"/>
              <w:snapToGrid w:val="0"/>
              <w:jc w:val="center"/>
              <w:rPr>
                <w:rFonts w:hint="eastAsia" w:ascii="宋体" w:hAnsi="宋体" w:cs="宋体"/>
                <w:szCs w:val="21"/>
              </w:rPr>
            </w:pPr>
          </w:p>
        </w:tc>
        <w:tc>
          <w:tcPr>
            <w:tcW w:w="1536" w:type="dxa"/>
            <w:vAlign w:val="center"/>
          </w:tcPr>
          <w:p>
            <w:pPr>
              <w:tabs>
                <w:tab w:val="left" w:pos="0"/>
                <w:tab w:val="left" w:pos="720"/>
              </w:tabs>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vAlign w:val="center"/>
          </w:tcPr>
          <w:p>
            <w:pPr>
              <w:tabs>
                <w:tab w:val="left" w:pos="0"/>
                <w:tab w:val="left" w:pos="720"/>
              </w:tabs>
              <w:adjustRightInd w:val="0"/>
              <w:snapToGrid w:val="0"/>
              <w:jc w:val="center"/>
              <w:rPr>
                <w:rFonts w:hint="eastAsia" w:ascii="宋体" w:hAnsi="宋体" w:cs="宋体"/>
                <w:szCs w:val="21"/>
              </w:rPr>
            </w:pPr>
          </w:p>
        </w:tc>
        <w:tc>
          <w:tcPr>
            <w:tcW w:w="1372" w:type="dxa"/>
            <w:vAlign w:val="center"/>
          </w:tcPr>
          <w:p>
            <w:pPr>
              <w:tabs>
                <w:tab w:val="left" w:pos="0"/>
                <w:tab w:val="left" w:pos="720"/>
              </w:tabs>
              <w:adjustRightInd w:val="0"/>
              <w:snapToGrid w:val="0"/>
              <w:jc w:val="center"/>
              <w:rPr>
                <w:rFonts w:hint="eastAsia" w:ascii="宋体" w:hAnsi="宋体" w:cs="宋体"/>
                <w:szCs w:val="21"/>
              </w:rPr>
            </w:pPr>
          </w:p>
        </w:tc>
        <w:tc>
          <w:tcPr>
            <w:tcW w:w="2429" w:type="dxa"/>
            <w:vAlign w:val="center"/>
          </w:tcPr>
          <w:p>
            <w:pPr>
              <w:tabs>
                <w:tab w:val="left" w:pos="0"/>
                <w:tab w:val="left" w:pos="720"/>
              </w:tabs>
              <w:adjustRightInd w:val="0"/>
              <w:snapToGrid w:val="0"/>
              <w:jc w:val="center"/>
              <w:rPr>
                <w:rFonts w:hint="eastAsia" w:ascii="宋体" w:hAnsi="宋体" w:cs="宋体"/>
                <w:szCs w:val="21"/>
              </w:rPr>
            </w:pPr>
          </w:p>
        </w:tc>
        <w:tc>
          <w:tcPr>
            <w:tcW w:w="2563" w:type="dxa"/>
            <w:vAlign w:val="center"/>
          </w:tcPr>
          <w:p>
            <w:pPr>
              <w:tabs>
                <w:tab w:val="left" w:pos="0"/>
                <w:tab w:val="left" w:pos="720"/>
              </w:tabs>
              <w:adjustRightInd w:val="0"/>
              <w:snapToGrid w:val="0"/>
              <w:jc w:val="center"/>
              <w:rPr>
                <w:rFonts w:hint="eastAsia" w:ascii="宋体" w:hAnsi="宋体" w:cs="宋体"/>
                <w:szCs w:val="21"/>
              </w:rPr>
            </w:pPr>
          </w:p>
        </w:tc>
        <w:tc>
          <w:tcPr>
            <w:tcW w:w="1536" w:type="dxa"/>
            <w:vAlign w:val="center"/>
          </w:tcPr>
          <w:p>
            <w:pPr>
              <w:tabs>
                <w:tab w:val="left" w:pos="0"/>
                <w:tab w:val="left" w:pos="720"/>
              </w:tabs>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vAlign w:val="center"/>
          </w:tcPr>
          <w:p>
            <w:pPr>
              <w:tabs>
                <w:tab w:val="left" w:pos="0"/>
                <w:tab w:val="left" w:pos="720"/>
              </w:tabs>
              <w:adjustRightInd w:val="0"/>
              <w:snapToGrid w:val="0"/>
              <w:jc w:val="center"/>
              <w:rPr>
                <w:rFonts w:hint="eastAsia" w:ascii="宋体" w:hAnsi="宋体" w:cs="宋体"/>
                <w:szCs w:val="21"/>
              </w:rPr>
            </w:pPr>
          </w:p>
        </w:tc>
        <w:tc>
          <w:tcPr>
            <w:tcW w:w="1372" w:type="dxa"/>
            <w:vAlign w:val="center"/>
          </w:tcPr>
          <w:p>
            <w:pPr>
              <w:tabs>
                <w:tab w:val="left" w:pos="0"/>
                <w:tab w:val="left" w:pos="720"/>
              </w:tabs>
              <w:adjustRightInd w:val="0"/>
              <w:snapToGrid w:val="0"/>
              <w:jc w:val="center"/>
              <w:rPr>
                <w:rFonts w:hint="eastAsia" w:ascii="宋体" w:hAnsi="宋体" w:cs="宋体"/>
                <w:szCs w:val="21"/>
              </w:rPr>
            </w:pPr>
          </w:p>
        </w:tc>
        <w:tc>
          <w:tcPr>
            <w:tcW w:w="2429" w:type="dxa"/>
            <w:vAlign w:val="center"/>
          </w:tcPr>
          <w:p>
            <w:pPr>
              <w:tabs>
                <w:tab w:val="left" w:pos="0"/>
                <w:tab w:val="left" w:pos="720"/>
              </w:tabs>
              <w:adjustRightInd w:val="0"/>
              <w:snapToGrid w:val="0"/>
              <w:jc w:val="center"/>
              <w:rPr>
                <w:rFonts w:hint="eastAsia" w:ascii="宋体" w:hAnsi="宋体" w:cs="宋体"/>
                <w:szCs w:val="21"/>
              </w:rPr>
            </w:pPr>
          </w:p>
        </w:tc>
        <w:tc>
          <w:tcPr>
            <w:tcW w:w="2563" w:type="dxa"/>
            <w:vAlign w:val="center"/>
          </w:tcPr>
          <w:p>
            <w:pPr>
              <w:tabs>
                <w:tab w:val="left" w:pos="0"/>
                <w:tab w:val="left" w:pos="720"/>
              </w:tabs>
              <w:adjustRightInd w:val="0"/>
              <w:snapToGrid w:val="0"/>
              <w:jc w:val="center"/>
              <w:rPr>
                <w:rFonts w:hint="eastAsia" w:ascii="宋体" w:hAnsi="宋体" w:cs="宋体"/>
                <w:szCs w:val="21"/>
              </w:rPr>
            </w:pPr>
          </w:p>
        </w:tc>
        <w:tc>
          <w:tcPr>
            <w:tcW w:w="1536" w:type="dxa"/>
            <w:vAlign w:val="center"/>
          </w:tcPr>
          <w:p>
            <w:pPr>
              <w:tabs>
                <w:tab w:val="left" w:pos="0"/>
                <w:tab w:val="left" w:pos="720"/>
              </w:tabs>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vAlign w:val="center"/>
          </w:tcPr>
          <w:p>
            <w:pPr>
              <w:tabs>
                <w:tab w:val="left" w:pos="0"/>
                <w:tab w:val="left" w:pos="720"/>
              </w:tabs>
              <w:adjustRightInd w:val="0"/>
              <w:snapToGrid w:val="0"/>
              <w:jc w:val="center"/>
              <w:rPr>
                <w:rFonts w:hint="eastAsia" w:ascii="宋体" w:hAnsi="宋体" w:cs="宋体"/>
                <w:szCs w:val="21"/>
              </w:rPr>
            </w:pPr>
          </w:p>
        </w:tc>
        <w:tc>
          <w:tcPr>
            <w:tcW w:w="1372" w:type="dxa"/>
            <w:vAlign w:val="center"/>
          </w:tcPr>
          <w:p>
            <w:pPr>
              <w:tabs>
                <w:tab w:val="left" w:pos="0"/>
                <w:tab w:val="left" w:pos="720"/>
              </w:tabs>
              <w:adjustRightInd w:val="0"/>
              <w:snapToGrid w:val="0"/>
              <w:jc w:val="center"/>
              <w:rPr>
                <w:rFonts w:hint="eastAsia" w:ascii="宋体" w:hAnsi="宋体" w:cs="宋体"/>
                <w:szCs w:val="21"/>
              </w:rPr>
            </w:pPr>
          </w:p>
        </w:tc>
        <w:tc>
          <w:tcPr>
            <w:tcW w:w="2429" w:type="dxa"/>
            <w:vAlign w:val="center"/>
          </w:tcPr>
          <w:p>
            <w:pPr>
              <w:tabs>
                <w:tab w:val="left" w:pos="0"/>
                <w:tab w:val="left" w:pos="720"/>
              </w:tabs>
              <w:adjustRightInd w:val="0"/>
              <w:snapToGrid w:val="0"/>
              <w:jc w:val="center"/>
              <w:rPr>
                <w:rFonts w:hint="eastAsia" w:ascii="宋体" w:hAnsi="宋体" w:cs="宋体"/>
                <w:szCs w:val="21"/>
              </w:rPr>
            </w:pPr>
          </w:p>
        </w:tc>
        <w:tc>
          <w:tcPr>
            <w:tcW w:w="2563" w:type="dxa"/>
            <w:vAlign w:val="center"/>
          </w:tcPr>
          <w:p>
            <w:pPr>
              <w:tabs>
                <w:tab w:val="left" w:pos="0"/>
                <w:tab w:val="left" w:pos="720"/>
              </w:tabs>
              <w:adjustRightInd w:val="0"/>
              <w:snapToGrid w:val="0"/>
              <w:jc w:val="center"/>
              <w:rPr>
                <w:rFonts w:hint="eastAsia" w:ascii="宋体" w:hAnsi="宋体" w:cs="宋体"/>
                <w:szCs w:val="21"/>
              </w:rPr>
            </w:pPr>
          </w:p>
        </w:tc>
        <w:tc>
          <w:tcPr>
            <w:tcW w:w="1536" w:type="dxa"/>
            <w:vAlign w:val="center"/>
          </w:tcPr>
          <w:p>
            <w:pPr>
              <w:tabs>
                <w:tab w:val="left" w:pos="0"/>
                <w:tab w:val="left" w:pos="720"/>
              </w:tabs>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vAlign w:val="center"/>
          </w:tcPr>
          <w:p>
            <w:pPr>
              <w:tabs>
                <w:tab w:val="left" w:pos="0"/>
                <w:tab w:val="left" w:pos="720"/>
              </w:tabs>
              <w:adjustRightInd w:val="0"/>
              <w:snapToGrid w:val="0"/>
              <w:jc w:val="center"/>
              <w:rPr>
                <w:rFonts w:hint="eastAsia" w:ascii="宋体" w:hAnsi="宋体" w:cs="宋体"/>
                <w:szCs w:val="21"/>
              </w:rPr>
            </w:pPr>
          </w:p>
        </w:tc>
        <w:tc>
          <w:tcPr>
            <w:tcW w:w="1372" w:type="dxa"/>
            <w:vAlign w:val="center"/>
          </w:tcPr>
          <w:p>
            <w:pPr>
              <w:tabs>
                <w:tab w:val="left" w:pos="0"/>
                <w:tab w:val="left" w:pos="720"/>
              </w:tabs>
              <w:adjustRightInd w:val="0"/>
              <w:snapToGrid w:val="0"/>
              <w:jc w:val="center"/>
              <w:rPr>
                <w:rFonts w:hint="eastAsia" w:ascii="宋体" w:hAnsi="宋体" w:cs="宋体"/>
                <w:szCs w:val="21"/>
              </w:rPr>
            </w:pPr>
          </w:p>
        </w:tc>
        <w:tc>
          <w:tcPr>
            <w:tcW w:w="2429" w:type="dxa"/>
            <w:vAlign w:val="center"/>
          </w:tcPr>
          <w:p>
            <w:pPr>
              <w:tabs>
                <w:tab w:val="left" w:pos="0"/>
                <w:tab w:val="left" w:pos="720"/>
              </w:tabs>
              <w:adjustRightInd w:val="0"/>
              <w:snapToGrid w:val="0"/>
              <w:jc w:val="center"/>
              <w:rPr>
                <w:rFonts w:hint="eastAsia" w:ascii="宋体" w:hAnsi="宋体" w:cs="宋体"/>
                <w:szCs w:val="21"/>
              </w:rPr>
            </w:pPr>
          </w:p>
        </w:tc>
        <w:tc>
          <w:tcPr>
            <w:tcW w:w="2563" w:type="dxa"/>
            <w:vAlign w:val="center"/>
          </w:tcPr>
          <w:p>
            <w:pPr>
              <w:tabs>
                <w:tab w:val="left" w:pos="0"/>
                <w:tab w:val="left" w:pos="720"/>
              </w:tabs>
              <w:adjustRightInd w:val="0"/>
              <w:snapToGrid w:val="0"/>
              <w:jc w:val="center"/>
              <w:rPr>
                <w:rFonts w:hint="eastAsia" w:ascii="宋体" w:hAnsi="宋体" w:cs="宋体"/>
                <w:szCs w:val="21"/>
              </w:rPr>
            </w:pPr>
          </w:p>
        </w:tc>
        <w:tc>
          <w:tcPr>
            <w:tcW w:w="1536" w:type="dxa"/>
            <w:vAlign w:val="center"/>
          </w:tcPr>
          <w:p>
            <w:pPr>
              <w:tabs>
                <w:tab w:val="left" w:pos="0"/>
                <w:tab w:val="left" w:pos="720"/>
              </w:tabs>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vAlign w:val="center"/>
          </w:tcPr>
          <w:p>
            <w:pPr>
              <w:tabs>
                <w:tab w:val="left" w:pos="0"/>
                <w:tab w:val="left" w:pos="720"/>
              </w:tabs>
              <w:adjustRightInd w:val="0"/>
              <w:snapToGrid w:val="0"/>
              <w:jc w:val="center"/>
              <w:rPr>
                <w:rFonts w:hint="eastAsia" w:ascii="宋体" w:hAnsi="宋体" w:cs="宋体"/>
                <w:szCs w:val="21"/>
              </w:rPr>
            </w:pPr>
          </w:p>
        </w:tc>
        <w:tc>
          <w:tcPr>
            <w:tcW w:w="1372" w:type="dxa"/>
            <w:vAlign w:val="center"/>
          </w:tcPr>
          <w:p>
            <w:pPr>
              <w:tabs>
                <w:tab w:val="left" w:pos="0"/>
                <w:tab w:val="left" w:pos="720"/>
              </w:tabs>
              <w:adjustRightInd w:val="0"/>
              <w:snapToGrid w:val="0"/>
              <w:jc w:val="center"/>
              <w:rPr>
                <w:rFonts w:hint="eastAsia" w:ascii="宋体" w:hAnsi="宋体" w:cs="宋体"/>
                <w:szCs w:val="21"/>
              </w:rPr>
            </w:pPr>
          </w:p>
        </w:tc>
        <w:tc>
          <w:tcPr>
            <w:tcW w:w="2429" w:type="dxa"/>
            <w:vAlign w:val="center"/>
          </w:tcPr>
          <w:p>
            <w:pPr>
              <w:tabs>
                <w:tab w:val="left" w:pos="0"/>
                <w:tab w:val="left" w:pos="720"/>
              </w:tabs>
              <w:adjustRightInd w:val="0"/>
              <w:snapToGrid w:val="0"/>
              <w:jc w:val="center"/>
              <w:rPr>
                <w:rFonts w:hint="eastAsia" w:ascii="宋体" w:hAnsi="宋体" w:cs="宋体"/>
                <w:szCs w:val="21"/>
              </w:rPr>
            </w:pPr>
          </w:p>
        </w:tc>
        <w:tc>
          <w:tcPr>
            <w:tcW w:w="2563" w:type="dxa"/>
            <w:vAlign w:val="center"/>
          </w:tcPr>
          <w:p>
            <w:pPr>
              <w:tabs>
                <w:tab w:val="left" w:pos="0"/>
                <w:tab w:val="left" w:pos="720"/>
              </w:tabs>
              <w:adjustRightInd w:val="0"/>
              <w:snapToGrid w:val="0"/>
              <w:jc w:val="center"/>
              <w:rPr>
                <w:rFonts w:hint="eastAsia" w:ascii="宋体" w:hAnsi="宋体" w:cs="宋体"/>
                <w:szCs w:val="21"/>
              </w:rPr>
            </w:pPr>
          </w:p>
        </w:tc>
        <w:tc>
          <w:tcPr>
            <w:tcW w:w="1536" w:type="dxa"/>
            <w:vAlign w:val="center"/>
          </w:tcPr>
          <w:p>
            <w:pPr>
              <w:tabs>
                <w:tab w:val="left" w:pos="0"/>
                <w:tab w:val="left" w:pos="720"/>
              </w:tabs>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vAlign w:val="center"/>
          </w:tcPr>
          <w:p>
            <w:pPr>
              <w:tabs>
                <w:tab w:val="left" w:pos="0"/>
                <w:tab w:val="left" w:pos="720"/>
              </w:tabs>
              <w:adjustRightInd w:val="0"/>
              <w:snapToGrid w:val="0"/>
              <w:jc w:val="center"/>
              <w:rPr>
                <w:rFonts w:hint="eastAsia" w:ascii="宋体" w:hAnsi="宋体" w:cs="宋体"/>
                <w:szCs w:val="21"/>
              </w:rPr>
            </w:pPr>
          </w:p>
        </w:tc>
        <w:tc>
          <w:tcPr>
            <w:tcW w:w="1372" w:type="dxa"/>
            <w:vAlign w:val="center"/>
          </w:tcPr>
          <w:p>
            <w:pPr>
              <w:tabs>
                <w:tab w:val="left" w:pos="0"/>
                <w:tab w:val="left" w:pos="720"/>
              </w:tabs>
              <w:adjustRightInd w:val="0"/>
              <w:snapToGrid w:val="0"/>
              <w:jc w:val="center"/>
              <w:rPr>
                <w:rFonts w:hint="eastAsia" w:ascii="宋体" w:hAnsi="宋体" w:cs="宋体"/>
                <w:szCs w:val="21"/>
              </w:rPr>
            </w:pPr>
          </w:p>
        </w:tc>
        <w:tc>
          <w:tcPr>
            <w:tcW w:w="2429" w:type="dxa"/>
            <w:vAlign w:val="center"/>
          </w:tcPr>
          <w:p>
            <w:pPr>
              <w:tabs>
                <w:tab w:val="left" w:pos="0"/>
                <w:tab w:val="left" w:pos="720"/>
              </w:tabs>
              <w:adjustRightInd w:val="0"/>
              <w:snapToGrid w:val="0"/>
              <w:jc w:val="center"/>
              <w:rPr>
                <w:rFonts w:hint="eastAsia" w:ascii="宋体" w:hAnsi="宋体" w:cs="宋体"/>
                <w:szCs w:val="21"/>
              </w:rPr>
            </w:pPr>
          </w:p>
        </w:tc>
        <w:tc>
          <w:tcPr>
            <w:tcW w:w="2563" w:type="dxa"/>
            <w:vAlign w:val="center"/>
          </w:tcPr>
          <w:p>
            <w:pPr>
              <w:tabs>
                <w:tab w:val="left" w:pos="0"/>
                <w:tab w:val="left" w:pos="720"/>
              </w:tabs>
              <w:adjustRightInd w:val="0"/>
              <w:snapToGrid w:val="0"/>
              <w:jc w:val="center"/>
              <w:rPr>
                <w:rFonts w:hint="eastAsia" w:ascii="宋体" w:hAnsi="宋体" w:cs="宋体"/>
                <w:szCs w:val="21"/>
              </w:rPr>
            </w:pPr>
          </w:p>
        </w:tc>
        <w:tc>
          <w:tcPr>
            <w:tcW w:w="1536" w:type="dxa"/>
            <w:vAlign w:val="center"/>
          </w:tcPr>
          <w:p>
            <w:pPr>
              <w:tabs>
                <w:tab w:val="left" w:pos="0"/>
                <w:tab w:val="left" w:pos="720"/>
              </w:tabs>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vAlign w:val="center"/>
          </w:tcPr>
          <w:p>
            <w:pPr>
              <w:tabs>
                <w:tab w:val="left" w:pos="0"/>
                <w:tab w:val="left" w:pos="720"/>
              </w:tabs>
              <w:adjustRightInd w:val="0"/>
              <w:snapToGrid w:val="0"/>
              <w:jc w:val="center"/>
              <w:rPr>
                <w:rFonts w:hint="eastAsia" w:ascii="宋体" w:hAnsi="宋体" w:cs="宋体"/>
                <w:szCs w:val="21"/>
              </w:rPr>
            </w:pPr>
          </w:p>
        </w:tc>
        <w:tc>
          <w:tcPr>
            <w:tcW w:w="1372" w:type="dxa"/>
            <w:vAlign w:val="center"/>
          </w:tcPr>
          <w:p>
            <w:pPr>
              <w:tabs>
                <w:tab w:val="left" w:pos="0"/>
                <w:tab w:val="left" w:pos="720"/>
              </w:tabs>
              <w:adjustRightInd w:val="0"/>
              <w:snapToGrid w:val="0"/>
              <w:jc w:val="center"/>
              <w:rPr>
                <w:rFonts w:hint="eastAsia" w:ascii="宋体" w:hAnsi="宋体" w:cs="宋体"/>
                <w:szCs w:val="21"/>
              </w:rPr>
            </w:pPr>
          </w:p>
        </w:tc>
        <w:tc>
          <w:tcPr>
            <w:tcW w:w="2429" w:type="dxa"/>
            <w:vAlign w:val="center"/>
          </w:tcPr>
          <w:p>
            <w:pPr>
              <w:tabs>
                <w:tab w:val="left" w:pos="0"/>
                <w:tab w:val="left" w:pos="720"/>
              </w:tabs>
              <w:adjustRightInd w:val="0"/>
              <w:snapToGrid w:val="0"/>
              <w:jc w:val="center"/>
              <w:rPr>
                <w:rFonts w:hint="eastAsia" w:ascii="宋体" w:hAnsi="宋体" w:cs="宋体"/>
                <w:szCs w:val="21"/>
              </w:rPr>
            </w:pPr>
          </w:p>
        </w:tc>
        <w:tc>
          <w:tcPr>
            <w:tcW w:w="2563" w:type="dxa"/>
            <w:vAlign w:val="center"/>
          </w:tcPr>
          <w:p>
            <w:pPr>
              <w:tabs>
                <w:tab w:val="left" w:pos="0"/>
                <w:tab w:val="left" w:pos="720"/>
              </w:tabs>
              <w:adjustRightInd w:val="0"/>
              <w:snapToGrid w:val="0"/>
              <w:jc w:val="center"/>
              <w:rPr>
                <w:rFonts w:hint="eastAsia" w:ascii="宋体" w:hAnsi="宋体" w:cs="宋体"/>
                <w:szCs w:val="21"/>
              </w:rPr>
            </w:pPr>
          </w:p>
        </w:tc>
        <w:tc>
          <w:tcPr>
            <w:tcW w:w="1536" w:type="dxa"/>
            <w:vAlign w:val="center"/>
          </w:tcPr>
          <w:p>
            <w:pPr>
              <w:tabs>
                <w:tab w:val="left" w:pos="0"/>
                <w:tab w:val="left" w:pos="720"/>
              </w:tabs>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vAlign w:val="center"/>
          </w:tcPr>
          <w:p>
            <w:pPr>
              <w:tabs>
                <w:tab w:val="left" w:pos="0"/>
                <w:tab w:val="left" w:pos="720"/>
              </w:tabs>
              <w:adjustRightInd w:val="0"/>
              <w:snapToGrid w:val="0"/>
              <w:jc w:val="center"/>
              <w:rPr>
                <w:rFonts w:hint="eastAsia" w:ascii="宋体" w:hAnsi="宋体" w:cs="宋体"/>
                <w:szCs w:val="21"/>
              </w:rPr>
            </w:pPr>
          </w:p>
        </w:tc>
        <w:tc>
          <w:tcPr>
            <w:tcW w:w="1372" w:type="dxa"/>
            <w:vAlign w:val="center"/>
          </w:tcPr>
          <w:p>
            <w:pPr>
              <w:tabs>
                <w:tab w:val="left" w:pos="0"/>
                <w:tab w:val="left" w:pos="720"/>
              </w:tabs>
              <w:adjustRightInd w:val="0"/>
              <w:snapToGrid w:val="0"/>
              <w:jc w:val="center"/>
              <w:rPr>
                <w:rFonts w:hint="eastAsia" w:ascii="宋体" w:hAnsi="宋体" w:cs="宋体"/>
                <w:szCs w:val="21"/>
              </w:rPr>
            </w:pPr>
          </w:p>
        </w:tc>
        <w:tc>
          <w:tcPr>
            <w:tcW w:w="2429" w:type="dxa"/>
            <w:vAlign w:val="center"/>
          </w:tcPr>
          <w:p>
            <w:pPr>
              <w:tabs>
                <w:tab w:val="left" w:pos="0"/>
                <w:tab w:val="left" w:pos="720"/>
              </w:tabs>
              <w:adjustRightInd w:val="0"/>
              <w:snapToGrid w:val="0"/>
              <w:jc w:val="center"/>
              <w:rPr>
                <w:rFonts w:hint="eastAsia" w:ascii="宋体" w:hAnsi="宋体" w:cs="宋体"/>
                <w:szCs w:val="21"/>
              </w:rPr>
            </w:pPr>
          </w:p>
        </w:tc>
        <w:tc>
          <w:tcPr>
            <w:tcW w:w="2563" w:type="dxa"/>
            <w:vAlign w:val="center"/>
          </w:tcPr>
          <w:p>
            <w:pPr>
              <w:tabs>
                <w:tab w:val="left" w:pos="0"/>
                <w:tab w:val="left" w:pos="720"/>
              </w:tabs>
              <w:adjustRightInd w:val="0"/>
              <w:snapToGrid w:val="0"/>
              <w:jc w:val="center"/>
              <w:rPr>
                <w:rFonts w:hint="eastAsia" w:ascii="宋体" w:hAnsi="宋体" w:cs="宋体"/>
                <w:szCs w:val="21"/>
              </w:rPr>
            </w:pPr>
          </w:p>
        </w:tc>
        <w:tc>
          <w:tcPr>
            <w:tcW w:w="1536" w:type="dxa"/>
            <w:vAlign w:val="center"/>
          </w:tcPr>
          <w:p>
            <w:pPr>
              <w:tabs>
                <w:tab w:val="left" w:pos="0"/>
                <w:tab w:val="left" w:pos="720"/>
              </w:tabs>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1341" w:type="dxa"/>
            <w:vAlign w:val="center"/>
          </w:tcPr>
          <w:p>
            <w:pPr>
              <w:tabs>
                <w:tab w:val="left" w:pos="0"/>
                <w:tab w:val="left" w:pos="720"/>
              </w:tabs>
              <w:adjustRightInd w:val="0"/>
              <w:snapToGrid w:val="0"/>
              <w:jc w:val="center"/>
              <w:rPr>
                <w:rFonts w:hint="eastAsia" w:ascii="宋体" w:hAnsi="宋体" w:cs="宋体"/>
                <w:szCs w:val="21"/>
              </w:rPr>
            </w:pPr>
          </w:p>
        </w:tc>
        <w:tc>
          <w:tcPr>
            <w:tcW w:w="1372" w:type="dxa"/>
            <w:vAlign w:val="center"/>
          </w:tcPr>
          <w:p>
            <w:pPr>
              <w:tabs>
                <w:tab w:val="left" w:pos="0"/>
                <w:tab w:val="left" w:pos="720"/>
              </w:tabs>
              <w:adjustRightInd w:val="0"/>
              <w:snapToGrid w:val="0"/>
              <w:jc w:val="center"/>
              <w:rPr>
                <w:rFonts w:hint="eastAsia" w:ascii="宋体" w:hAnsi="宋体" w:cs="宋体"/>
                <w:szCs w:val="21"/>
              </w:rPr>
            </w:pPr>
          </w:p>
        </w:tc>
        <w:tc>
          <w:tcPr>
            <w:tcW w:w="2429" w:type="dxa"/>
            <w:vAlign w:val="center"/>
          </w:tcPr>
          <w:p>
            <w:pPr>
              <w:tabs>
                <w:tab w:val="left" w:pos="0"/>
                <w:tab w:val="left" w:pos="720"/>
              </w:tabs>
              <w:adjustRightInd w:val="0"/>
              <w:snapToGrid w:val="0"/>
              <w:jc w:val="center"/>
              <w:rPr>
                <w:rFonts w:hint="eastAsia" w:ascii="宋体" w:hAnsi="宋体" w:cs="宋体"/>
                <w:szCs w:val="21"/>
              </w:rPr>
            </w:pPr>
          </w:p>
        </w:tc>
        <w:tc>
          <w:tcPr>
            <w:tcW w:w="2563" w:type="dxa"/>
            <w:vAlign w:val="center"/>
          </w:tcPr>
          <w:p>
            <w:pPr>
              <w:tabs>
                <w:tab w:val="left" w:pos="0"/>
                <w:tab w:val="left" w:pos="720"/>
              </w:tabs>
              <w:adjustRightInd w:val="0"/>
              <w:snapToGrid w:val="0"/>
              <w:jc w:val="center"/>
              <w:rPr>
                <w:rFonts w:hint="eastAsia" w:ascii="宋体" w:hAnsi="宋体" w:cs="宋体"/>
                <w:szCs w:val="21"/>
              </w:rPr>
            </w:pPr>
          </w:p>
        </w:tc>
        <w:tc>
          <w:tcPr>
            <w:tcW w:w="1536" w:type="dxa"/>
            <w:vAlign w:val="center"/>
          </w:tcPr>
          <w:p>
            <w:pPr>
              <w:tabs>
                <w:tab w:val="left" w:pos="0"/>
                <w:tab w:val="left" w:pos="720"/>
              </w:tabs>
              <w:adjustRightInd w:val="0"/>
              <w:snapToGrid w:val="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1341" w:type="dxa"/>
            <w:vAlign w:val="center"/>
          </w:tcPr>
          <w:p>
            <w:pPr>
              <w:tabs>
                <w:tab w:val="left" w:pos="0"/>
                <w:tab w:val="left" w:pos="720"/>
              </w:tabs>
              <w:adjustRightInd w:val="0"/>
              <w:snapToGrid w:val="0"/>
              <w:jc w:val="center"/>
              <w:rPr>
                <w:rFonts w:hint="eastAsia" w:ascii="宋体" w:hAnsi="宋体" w:cs="宋体"/>
                <w:szCs w:val="21"/>
              </w:rPr>
            </w:pPr>
          </w:p>
        </w:tc>
        <w:tc>
          <w:tcPr>
            <w:tcW w:w="1372" w:type="dxa"/>
            <w:vAlign w:val="center"/>
          </w:tcPr>
          <w:p>
            <w:pPr>
              <w:tabs>
                <w:tab w:val="left" w:pos="0"/>
                <w:tab w:val="left" w:pos="720"/>
              </w:tabs>
              <w:adjustRightInd w:val="0"/>
              <w:snapToGrid w:val="0"/>
              <w:jc w:val="center"/>
              <w:rPr>
                <w:rFonts w:hint="eastAsia" w:ascii="宋体" w:hAnsi="宋体" w:cs="宋体"/>
                <w:szCs w:val="21"/>
              </w:rPr>
            </w:pPr>
          </w:p>
        </w:tc>
        <w:tc>
          <w:tcPr>
            <w:tcW w:w="2429" w:type="dxa"/>
            <w:vAlign w:val="center"/>
          </w:tcPr>
          <w:p>
            <w:pPr>
              <w:tabs>
                <w:tab w:val="left" w:pos="0"/>
                <w:tab w:val="left" w:pos="720"/>
              </w:tabs>
              <w:adjustRightInd w:val="0"/>
              <w:snapToGrid w:val="0"/>
              <w:jc w:val="center"/>
              <w:rPr>
                <w:rFonts w:hint="eastAsia" w:ascii="宋体" w:hAnsi="宋体" w:cs="宋体"/>
                <w:szCs w:val="21"/>
              </w:rPr>
            </w:pPr>
          </w:p>
        </w:tc>
        <w:tc>
          <w:tcPr>
            <w:tcW w:w="2563" w:type="dxa"/>
            <w:vAlign w:val="center"/>
          </w:tcPr>
          <w:p>
            <w:pPr>
              <w:tabs>
                <w:tab w:val="left" w:pos="0"/>
                <w:tab w:val="left" w:pos="720"/>
              </w:tabs>
              <w:adjustRightInd w:val="0"/>
              <w:snapToGrid w:val="0"/>
              <w:jc w:val="center"/>
              <w:rPr>
                <w:rFonts w:hint="eastAsia" w:ascii="宋体" w:hAnsi="宋体" w:cs="宋体"/>
                <w:szCs w:val="21"/>
              </w:rPr>
            </w:pPr>
          </w:p>
        </w:tc>
        <w:tc>
          <w:tcPr>
            <w:tcW w:w="1536" w:type="dxa"/>
            <w:vAlign w:val="center"/>
          </w:tcPr>
          <w:p>
            <w:pPr>
              <w:tabs>
                <w:tab w:val="left" w:pos="0"/>
                <w:tab w:val="left" w:pos="720"/>
              </w:tabs>
              <w:adjustRightInd w:val="0"/>
              <w:snapToGrid w:val="0"/>
              <w:jc w:val="center"/>
              <w:rPr>
                <w:rFonts w:hint="eastAsia" w:ascii="宋体" w:hAnsi="宋体" w:cs="宋体"/>
                <w:szCs w:val="21"/>
              </w:rPr>
            </w:pPr>
          </w:p>
        </w:tc>
      </w:tr>
    </w:tbl>
    <w:p>
      <w:pPr>
        <w:spacing w:line="360" w:lineRule="auto"/>
        <w:ind w:left="-283" w:leftChars="-135" w:right="-191" w:rightChars="-91"/>
        <w:rPr>
          <w:rFonts w:hint="eastAsia" w:ascii="宋体" w:hAnsi="宋体" w:cs="宋体"/>
          <w:sz w:val="24"/>
          <w:szCs w:val="24"/>
        </w:rPr>
      </w:pPr>
      <w:r>
        <w:rPr>
          <w:rFonts w:hint="eastAsia" w:ascii="宋体" w:hAnsi="宋体" w:cs="宋体"/>
          <w:szCs w:val="21"/>
        </w:rPr>
        <w:t>注：填写参与编制标书所有人员名单应包括如编制工程总承包实施方案（含资格审查文件）投标文件、编制设计投标文件、负责清样校对、负责打印及复印等所有人员在内的人员名单，并加盖投标人电子印章。</w:t>
      </w:r>
    </w:p>
    <w:p>
      <w:pPr>
        <w:rPr>
          <w:rFonts w:hint="eastAsia" w:ascii="宋体" w:hAnsi="宋体" w:cs="宋体"/>
          <w:b/>
          <w:sz w:val="24"/>
          <w:szCs w:val="24"/>
          <w:lang w:val="zh-CN"/>
        </w:rPr>
      </w:pPr>
      <w:r>
        <w:rPr>
          <w:rFonts w:ascii="宋体" w:hAnsi="宋体"/>
        </w:rPr>
        <w:br w:type="page"/>
      </w:r>
      <w:r>
        <w:rPr>
          <w:rFonts w:hint="eastAsia" w:ascii="宋体" w:hAnsi="宋体" w:cs="宋体"/>
          <w:b/>
          <w:sz w:val="24"/>
          <w:szCs w:val="24"/>
          <w:lang w:val="zh-CN"/>
        </w:rPr>
        <w:t xml:space="preserve"> </w:t>
      </w:r>
    </w:p>
    <w:p>
      <w:pPr>
        <w:outlineLvl w:val="2"/>
        <w:rPr>
          <w:rFonts w:hint="eastAsia" w:ascii="宋体" w:hAnsi="宋体" w:cs="宋体"/>
          <w:b/>
          <w:sz w:val="24"/>
          <w:szCs w:val="24"/>
        </w:rPr>
      </w:pPr>
      <w:bookmarkStart w:id="1253" w:name="_Toc30662"/>
      <w:r>
        <w:rPr>
          <w:rFonts w:hint="eastAsia" w:ascii="宋体" w:hAnsi="宋体" w:cs="宋体"/>
          <w:b/>
          <w:sz w:val="24"/>
          <w:szCs w:val="24"/>
        </w:rPr>
        <w:t>格式五：危险性较大的分部分项工程清单及超过一定规模的危险性较大的分部分项工程清单</w:t>
      </w:r>
      <w:bookmarkEnd w:id="1253"/>
    </w:p>
    <w:bookmarkEnd w:id="1024"/>
    <w:bookmarkEnd w:id="1229"/>
    <w:bookmarkEnd w:id="1230"/>
    <w:bookmarkEnd w:id="1231"/>
    <w:bookmarkEnd w:id="1232"/>
    <w:bookmarkEnd w:id="1233"/>
    <w:bookmarkEnd w:id="1234"/>
    <w:bookmarkEnd w:id="1235"/>
    <w:bookmarkEnd w:id="1236"/>
    <w:bookmarkEnd w:id="1237"/>
    <w:bookmarkEnd w:id="1238"/>
    <w:bookmarkEnd w:id="1239"/>
    <w:bookmarkEnd w:id="1240"/>
    <w:bookmarkEnd w:id="1243"/>
    <w:bookmarkEnd w:id="1244"/>
    <w:bookmarkEnd w:id="1245"/>
    <w:p>
      <w:pPr>
        <w:jc w:val="center"/>
        <w:rPr>
          <w:rFonts w:hint="eastAsia" w:ascii="宋体" w:hAnsi="宋体" w:cs="宋体"/>
          <w:b/>
          <w:sz w:val="28"/>
          <w:szCs w:val="28"/>
        </w:rPr>
      </w:pPr>
      <w:r>
        <w:rPr>
          <w:rFonts w:hint="eastAsia" w:ascii="宋体" w:hAnsi="宋体" w:cs="宋体"/>
          <w:b/>
          <w:sz w:val="28"/>
          <w:szCs w:val="28"/>
        </w:rPr>
        <w:t>危险性较大的分部分项工程清单及</w:t>
      </w:r>
    </w:p>
    <w:p>
      <w:pPr>
        <w:jc w:val="center"/>
        <w:rPr>
          <w:rFonts w:hint="eastAsia" w:ascii="宋体" w:hAnsi="宋体" w:cs="宋体"/>
          <w:sz w:val="28"/>
          <w:szCs w:val="28"/>
        </w:rPr>
      </w:pPr>
      <w:r>
        <w:rPr>
          <w:rFonts w:hint="eastAsia" w:ascii="宋体" w:hAnsi="宋体" w:cs="宋体"/>
          <w:b/>
          <w:sz w:val="28"/>
          <w:szCs w:val="28"/>
        </w:rPr>
        <w:t>超过一定规模的危险性较大的分部分项工程清单</w:t>
      </w:r>
    </w:p>
    <w:p>
      <w:pPr>
        <w:numPr>
          <w:ilvl w:val="0"/>
          <w:numId w:val="4"/>
        </w:numPr>
        <w:autoSpaceDE w:val="0"/>
        <w:autoSpaceDN w:val="0"/>
        <w:adjustRightInd w:val="0"/>
        <w:spacing w:line="276" w:lineRule="auto"/>
        <w:jc w:val="left"/>
        <w:rPr>
          <w:rFonts w:ascii="宋体" w:hAnsi="宋体"/>
          <w:sz w:val="24"/>
          <w:szCs w:val="24"/>
        </w:rPr>
      </w:pPr>
      <w:r>
        <w:rPr>
          <w:rFonts w:hint="eastAsia" w:ascii="宋体" w:hAnsi="宋体" w:cs="宋体"/>
          <w:sz w:val="24"/>
          <w:szCs w:val="24"/>
        </w:rPr>
        <w:t>根</w:t>
      </w:r>
      <w:r>
        <w:rPr>
          <w:rFonts w:hint="eastAsia" w:ascii="宋体" w:hAnsi="宋体"/>
          <w:sz w:val="24"/>
          <w:szCs w:val="24"/>
        </w:rPr>
        <w:t>据中华人民共和国住房和城乡建设部令第37号《危险性较大的分部分项工程安全管理规定》（以下简称“37号文”），投标人在投标时须补充完善危大工程清单并明确相应的安全管理措施。</w:t>
      </w:r>
    </w:p>
    <w:p>
      <w:pPr>
        <w:numPr>
          <w:ilvl w:val="0"/>
          <w:numId w:val="4"/>
        </w:numPr>
        <w:autoSpaceDE w:val="0"/>
        <w:autoSpaceDN w:val="0"/>
        <w:adjustRightInd w:val="0"/>
        <w:spacing w:line="276" w:lineRule="auto"/>
        <w:jc w:val="left"/>
        <w:rPr>
          <w:rFonts w:ascii="宋体" w:hAnsi="宋体"/>
          <w:sz w:val="24"/>
          <w:szCs w:val="24"/>
        </w:rPr>
      </w:pPr>
      <w:r>
        <w:rPr>
          <w:rFonts w:hint="eastAsia" w:ascii="宋体" w:hAnsi="宋体"/>
          <w:sz w:val="24"/>
          <w:szCs w:val="24"/>
        </w:rPr>
        <w:t>招标人根据设计文件的要求及37号文的规定列出“危险性较大的分部分项工程清单及超过一定规模的危险性较大的分部分项工程清单”中与本招标项目相关的清单项，具体详第5点“打√”标识。</w:t>
      </w:r>
    </w:p>
    <w:p>
      <w:pPr>
        <w:numPr>
          <w:ilvl w:val="0"/>
          <w:numId w:val="5"/>
        </w:numPr>
        <w:autoSpaceDE w:val="0"/>
        <w:autoSpaceDN w:val="0"/>
        <w:adjustRightInd w:val="0"/>
        <w:spacing w:line="276" w:lineRule="auto"/>
        <w:jc w:val="left"/>
        <w:rPr>
          <w:rFonts w:ascii="宋体" w:hAnsi="宋体"/>
          <w:sz w:val="24"/>
          <w:szCs w:val="24"/>
        </w:rPr>
      </w:pPr>
      <w:r>
        <w:rPr>
          <w:rFonts w:hint="eastAsia" w:ascii="宋体" w:hAnsi="宋体"/>
          <w:sz w:val="24"/>
          <w:szCs w:val="24"/>
        </w:rPr>
        <w:t>投标单位同意建设单位在清单中标识的该项请在对应项打“√”标识，并与投标文件中提供相应的安全管理措施。</w:t>
      </w:r>
    </w:p>
    <w:p>
      <w:pPr>
        <w:numPr>
          <w:ilvl w:val="0"/>
          <w:numId w:val="5"/>
        </w:numPr>
        <w:autoSpaceDE w:val="0"/>
        <w:autoSpaceDN w:val="0"/>
        <w:adjustRightInd w:val="0"/>
        <w:spacing w:line="276" w:lineRule="auto"/>
        <w:jc w:val="left"/>
        <w:rPr>
          <w:rFonts w:ascii="宋体" w:hAnsi="宋体"/>
          <w:sz w:val="24"/>
          <w:szCs w:val="24"/>
        </w:rPr>
      </w:pPr>
      <w:r>
        <w:rPr>
          <w:rFonts w:hint="eastAsia" w:ascii="宋体" w:hAnsi="宋体"/>
          <w:sz w:val="24"/>
          <w:szCs w:val="24"/>
        </w:rPr>
        <w:t>投标单位对清单中认为需要补充的该项请在对应项打“√”标识，并与投标文件中提供相应的安全管理措施。</w:t>
      </w:r>
    </w:p>
    <w:p>
      <w:pPr>
        <w:numPr>
          <w:ilvl w:val="0"/>
          <w:numId w:val="5"/>
        </w:numPr>
        <w:autoSpaceDE w:val="0"/>
        <w:autoSpaceDN w:val="0"/>
        <w:adjustRightInd w:val="0"/>
        <w:spacing w:line="276" w:lineRule="auto"/>
        <w:jc w:val="left"/>
        <w:rPr>
          <w:rFonts w:ascii="宋体" w:hAnsi="宋体"/>
          <w:sz w:val="24"/>
          <w:szCs w:val="24"/>
        </w:rPr>
      </w:pPr>
      <w:r>
        <w:rPr>
          <w:rFonts w:hint="eastAsia" w:ascii="宋体" w:hAnsi="宋体"/>
          <w:sz w:val="24"/>
          <w:szCs w:val="24"/>
        </w:rPr>
        <w:t>投标单位不同意建设单位在清单中标识的该项请在对应项打“×”标识，并在备注栏填上相关说明。</w:t>
      </w:r>
    </w:p>
    <w:p>
      <w:pPr>
        <w:numPr>
          <w:ilvl w:val="0"/>
          <w:numId w:val="4"/>
        </w:numPr>
        <w:autoSpaceDE w:val="0"/>
        <w:autoSpaceDN w:val="0"/>
        <w:adjustRightInd w:val="0"/>
        <w:spacing w:line="276" w:lineRule="auto"/>
        <w:jc w:val="left"/>
        <w:rPr>
          <w:rFonts w:ascii="宋体" w:hAnsi="宋体"/>
          <w:sz w:val="24"/>
          <w:szCs w:val="24"/>
        </w:rPr>
      </w:pPr>
      <w:r>
        <w:rPr>
          <w:rFonts w:hint="eastAsia" w:ascii="宋体" w:hAnsi="宋体"/>
          <w:sz w:val="24"/>
          <w:szCs w:val="24"/>
        </w:rPr>
        <w:t>投标单位应当在投标时根据招标人提供的下述第5点清单，在投标施工组织中编制专项施工方案。</w:t>
      </w:r>
    </w:p>
    <w:p>
      <w:pPr>
        <w:numPr>
          <w:ilvl w:val="0"/>
          <w:numId w:val="4"/>
        </w:numPr>
        <w:autoSpaceDE w:val="0"/>
        <w:autoSpaceDN w:val="0"/>
        <w:adjustRightInd w:val="0"/>
        <w:spacing w:line="276" w:lineRule="auto"/>
        <w:jc w:val="left"/>
        <w:rPr>
          <w:rFonts w:ascii="宋体" w:hAnsi="宋体"/>
          <w:sz w:val="24"/>
          <w:szCs w:val="24"/>
        </w:rPr>
      </w:pPr>
      <w:r>
        <w:rPr>
          <w:rFonts w:hint="eastAsia" w:ascii="宋体" w:hAnsi="宋体"/>
          <w:sz w:val="24"/>
          <w:szCs w:val="24"/>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numPr>
          <w:ilvl w:val="0"/>
          <w:numId w:val="4"/>
        </w:numPr>
        <w:autoSpaceDE w:val="0"/>
        <w:autoSpaceDN w:val="0"/>
        <w:adjustRightInd w:val="0"/>
        <w:spacing w:line="276" w:lineRule="auto"/>
        <w:jc w:val="left"/>
        <w:rPr>
          <w:rFonts w:ascii="宋体" w:hAnsi="宋体"/>
          <w:sz w:val="24"/>
          <w:szCs w:val="24"/>
        </w:rPr>
      </w:pPr>
      <w:r>
        <w:rPr>
          <w:rFonts w:hint="eastAsia" w:ascii="宋体" w:hAnsi="宋体"/>
          <w:sz w:val="24"/>
          <w:szCs w:val="24"/>
        </w:rPr>
        <w:t>危险性较大的分部分项工程清单及超过一定规模的危险性较大的分部分项工程清单：</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4"/>
        <w:gridCol w:w="1056"/>
        <w:gridCol w:w="1146"/>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0" w:type="auto"/>
            <w:vAlign w:val="center"/>
          </w:tcPr>
          <w:p>
            <w:pPr>
              <w:jc w:val="left"/>
              <w:rPr>
                <w:rFonts w:hint="eastAsia" w:ascii="宋体" w:hAnsi="宋体" w:cs="宋体"/>
                <w:b/>
                <w:szCs w:val="21"/>
                <w:highlight w:val="none"/>
              </w:rPr>
            </w:pPr>
            <w:r>
              <w:rPr>
                <w:rFonts w:hint="eastAsia" w:ascii="宋体" w:hAnsi="宋体" w:cs="宋体"/>
                <w:b/>
                <w:szCs w:val="21"/>
                <w:highlight w:val="none"/>
              </w:rPr>
              <w:t>一、危险性较大的分部分项工程清单</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建设单位</w:t>
            </w:r>
          </w:p>
        </w:tc>
        <w:tc>
          <w:tcPr>
            <w:tcW w:w="1146" w:type="dxa"/>
            <w:vAlign w:val="center"/>
          </w:tcPr>
          <w:p>
            <w:pPr>
              <w:jc w:val="center"/>
              <w:rPr>
                <w:rFonts w:hint="eastAsia" w:ascii="宋体" w:hAnsi="宋体" w:cs="宋体"/>
                <w:szCs w:val="21"/>
                <w:highlight w:val="none"/>
              </w:rPr>
            </w:pPr>
            <w:r>
              <w:rPr>
                <w:rFonts w:hint="eastAsia" w:ascii="宋体" w:hAnsi="宋体" w:cs="宋体"/>
                <w:szCs w:val="21"/>
                <w:highlight w:val="none"/>
              </w:rPr>
              <w:t>投标单位</w:t>
            </w:r>
          </w:p>
        </w:tc>
        <w:tc>
          <w:tcPr>
            <w:tcW w:w="1725" w:type="dxa"/>
            <w:vAlign w:val="center"/>
          </w:tcPr>
          <w:p>
            <w:pPr>
              <w:jc w:val="center"/>
              <w:rPr>
                <w:rFonts w:hint="eastAsia"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一、基坑支护</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（一）开挖深度超过3m（含3m）的基坑（槽）的土方开挖、支护、降水工程。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（二）开挖深度虽未超过3m，但地质条件、周围环境和地下管线复杂，或影响毗邻建、构筑物安全的基坑（槽）的土方开挖、支护、降水工程。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二、模板工程及支撑体系</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（一）各类工具式模板工程：包括滑模、爬模、飞模、隧道模等工程。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jc w:val="left"/>
              <w:rPr>
                <w:rFonts w:hint="eastAsia" w:ascii="宋体" w:hAnsi="宋体" w:cs="宋体"/>
                <w:szCs w:val="21"/>
                <w:highlight w:val="none"/>
              </w:rPr>
            </w:pPr>
            <w:r>
              <w:rPr>
                <w:rFonts w:hint="eastAsia" w:ascii="宋体" w:hAnsi="宋体" w:cs="宋体"/>
                <w:szCs w:val="21"/>
                <w:highlight w:val="none"/>
              </w:rPr>
              <w:t>（三）承重支撑体系：用于钢结构安装等满堂支撑体系。</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jc w:val="left"/>
              <w:rPr>
                <w:rFonts w:hint="eastAsia" w:ascii="宋体" w:hAnsi="宋体" w:cs="宋体"/>
                <w:szCs w:val="21"/>
                <w:highlight w:val="none"/>
              </w:rPr>
            </w:pPr>
            <w:r>
              <w:rPr>
                <w:rFonts w:hint="eastAsia" w:ascii="宋体" w:hAnsi="宋体" w:cs="宋体"/>
                <w:szCs w:val="21"/>
                <w:highlight w:val="none"/>
              </w:rPr>
              <w:t>三、起重吊装及起重机械安装拆卸工程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jc w:val="left"/>
              <w:rPr>
                <w:rFonts w:hint="eastAsia" w:ascii="宋体" w:hAnsi="宋体" w:cs="宋体"/>
                <w:szCs w:val="21"/>
                <w:highlight w:val="none"/>
              </w:rPr>
            </w:pPr>
            <w:r>
              <w:rPr>
                <w:rFonts w:hint="eastAsia" w:ascii="宋体" w:hAnsi="宋体" w:cs="宋体"/>
                <w:szCs w:val="21"/>
                <w:highlight w:val="none"/>
              </w:rPr>
              <w:t>（一）采用非常规起重设备、方法，且单件起吊重量在10kN及以上的起重吊装工程。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（二）采用起重机械进行安装的工程。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 )</w:t>
            </w:r>
          </w:p>
        </w:tc>
        <w:tc>
          <w:tcPr>
            <w:tcW w:w="1146" w:type="dxa"/>
            <w:vAlign w:val="center"/>
          </w:tcPr>
          <w:p>
            <w:pPr>
              <w:jc w:val="center"/>
              <w:rPr>
                <w:rFonts w:hint="eastAsia" w:ascii="宋体" w:hAnsi="宋体" w:eastAsia="宋体" w:cs="宋体"/>
                <w:snapToGrid w:val="0"/>
                <w:color w:val="000000"/>
                <w:szCs w:val="21"/>
                <w:highlight w:val="none"/>
                <w:lang w:val="en-US" w:eastAsia="zh-CN"/>
              </w:rPr>
            </w:pPr>
          </w:p>
        </w:tc>
        <w:tc>
          <w:tcPr>
            <w:tcW w:w="1725" w:type="dxa"/>
            <w:vAlign w:val="center"/>
          </w:tcPr>
          <w:p>
            <w:pPr>
              <w:jc w:val="center"/>
              <w:rPr>
                <w:rFonts w:hint="eastAsia" w:ascii="宋体" w:hAnsi="宋体" w:eastAsia="宋体" w:cs="宋体"/>
                <w:snapToGrid w:val="0"/>
                <w:color w:val="000000"/>
                <w:szCs w:val="21"/>
                <w:highlight w:val="none"/>
                <w:lang w:val="en-US" w:eastAsia="zh-CN"/>
              </w:rPr>
            </w:pPr>
            <w:r>
              <w:rPr>
                <w:rFonts w:hint="eastAsia" w:ascii="宋体" w:hAnsi="宋体" w:eastAsia="宋体" w:cs="宋体"/>
                <w:snapToGrid w:val="0"/>
                <w:color w:val="000000"/>
                <w:szCs w:val="21"/>
                <w:highlight w:val="none"/>
                <w:lang w:val="en-US" w:eastAsia="zh-CN"/>
              </w:rPr>
              <w:t>商铺会所钢龙骨，铝板安装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（三）起重机械安装和拆卸工程。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  )</w:t>
            </w:r>
          </w:p>
        </w:tc>
        <w:tc>
          <w:tcPr>
            <w:tcW w:w="1146" w:type="dxa"/>
            <w:vAlign w:val="center"/>
          </w:tcPr>
          <w:p>
            <w:pPr>
              <w:jc w:val="center"/>
              <w:rPr>
                <w:rFonts w:hint="eastAsia" w:ascii="宋体" w:hAnsi="宋体" w:eastAsia="宋体" w:cs="宋体"/>
                <w:snapToGrid w:val="0"/>
                <w:color w:val="000000"/>
                <w:szCs w:val="21"/>
                <w:highlight w:val="none"/>
              </w:rPr>
            </w:pPr>
          </w:p>
        </w:tc>
        <w:tc>
          <w:tcPr>
            <w:tcW w:w="1725" w:type="dxa"/>
            <w:vAlign w:val="center"/>
          </w:tcPr>
          <w:p>
            <w:pPr>
              <w:jc w:val="center"/>
              <w:rPr>
                <w:rFonts w:hint="eastAsia" w:ascii="宋体" w:hAnsi="宋体" w:eastAsia="宋体" w:cs="宋体"/>
                <w:snapToGrid w:val="0"/>
                <w:color w:val="000000"/>
                <w:szCs w:val="21"/>
                <w:highlight w:val="none"/>
              </w:rPr>
            </w:pPr>
            <w:r>
              <w:rPr>
                <w:rFonts w:hint="eastAsia" w:ascii="宋体" w:hAnsi="宋体" w:eastAsia="宋体" w:cs="宋体"/>
                <w:snapToGrid w:val="0"/>
                <w:color w:val="000000"/>
                <w:szCs w:val="21"/>
                <w:highlight w:val="none"/>
              </w:rPr>
              <w:t>塔楼皆存在有人货梯和塔吊的安装/拆除工程。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四、脚手架工程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  )</w:t>
            </w:r>
          </w:p>
        </w:tc>
        <w:tc>
          <w:tcPr>
            <w:tcW w:w="1146" w:type="dxa"/>
            <w:vAlign w:val="center"/>
          </w:tcPr>
          <w:p>
            <w:pPr>
              <w:jc w:val="center"/>
              <w:rPr>
                <w:rFonts w:hint="eastAsia" w:ascii="宋体" w:hAnsi="宋体" w:eastAsia="宋体" w:cs="宋体"/>
                <w:snapToGrid w:val="0"/>
                <w:color w:val="000000"/>
                <w:szCs w:val="21"/>
                <w:highlight w:val="none"/>
              </w:rPr>
            </w:pPr>
          </w:p>
        </w:tc>
        <w:tc>
          <w:tcPr>
            <w:tcW w:w="1725" w:type="dxa"/>
            <w:vAlign w:val="center"/>
          </w:tcPr>
          <w:p>
            <w:pPr>
              <w:jc w:val="center"/>
              <w:rPr>
                <w:rFonts w:hint="eastAsia" w:ascii="宋体" w:hAnsi="宋体" w:eastAsia="宋体" w:cs="宋体"/>
                <w:snapToGrid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（一）搭设高度24m及以上的落地式钢管脚手架工程（包括采光井、电梯井脚手架）。</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eastAsia="宋体" w:cs="宋体"/>
                <w:snapToGrid w:val="0"/>
                <w:color w:val="000000"/>
                <w:szCs w:val="21"/>
                <w:highlight w:val="none"/>
              </w:rPr>
            </w:pPr>
          </w:p>
        </w:tc>
        <w:tc>
          <w:tcPr>
            <w:tcW w:w="1725" w:type="dxa"/>
            <w:vAlign w:val="center"/>
          </w:tcPr>
          <w:p>
            <w:pPr>
              <w:jc w:val="center"/>
              <w:rPr>
                <w:rFonts w:hint="eastAsia" w:ascii="宋体" w:hAnsi="宋体" w:eastAsia="宋体" w:cs="宋体"/>
                <w:snapToGrid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（二）附着式升降脚手架工程。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  )</w:t>
            </w:r>
          </w:p>
        </w:tc>
        <w:tc>
          <w:tcPr>
            <w:tcW w:w="1146" w:type="dxa"/>
            <w:vAlign w:val="center"/>
          </w:tcPr>
          <w:p>
            <w:pPr>
              <w:jc w:val="center"/>
              <w:rPr>
                <w:rFonts w:hint="eastAsia" w:ascii="宋体" w:hAnsi="宋体" w:eastAsia="宋体" w:cs="宋体"/>
                <w:snapToGrid w:val="0"/>
                <w:color w:val="000000"/>
                <w:szCs w:val="21"/>
                <w:highlight w:val="none"/>
              </w:rPr>
            </w:pPr>
          </w:p>
        </w:tc>
        <w:tc>
          <w:tcPr>
            <w:tcW w:w="1725" w:type="dxa"/>
            <w:vAlign w:val="center"/>
          </w:tcPr>
          <w:p>
            <w:pPr>
              <w:jc w:val="center"/>
              <w:rPr>
                <w:rFonts w:hint="eastAsia" w:ascii="宋体" w:hAnsi="宋体" w:eastAsia="宋体" w:cs="宋体"/>
                <w:snapToGrid w:val="0"/>
                <w:color w:val="000000"/>
                <w:szCs w:val="21"/>
                <w:highlight w:val="none"/>
              </w:rPr>
            </w:pPr>
            <w:r>
              <w:rPr>
                <w:rFonts w:hint="eastAsia" w:ascii="宋体" w:hAnsi="宋体" w:eastAsia="宋体" w:cs="宋体"/>
                <w:snapToGrid w:val="0"/>
                <w:color w:val="000000"/>
                <w:szCs w:val="21"/>
                <w:highlight w:val="none"/>
              </w:rPr>
              <w:t>塔楼施工使用爬架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（三）悬挑式脚手架工程。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  )</w:t>
            </w:r>
          </w:p>
        </w:tc>
        <w:tc>
          <w:tcPr>
            <w:tcW w:w="1146" w:type="dxa"/>
            <w:vAlign w:val="center"/>
          </w:tcPr>
          <w:p>
            <w:pPr>
              <w:jc w:val="center"/>
              <w:rPr>
                <w:rFonts w:hint="eastAsia" w:ascii="宋体" w:hAnsi="宋体" w:eastAsia="宋体" w:cs="宋体"/>
                <w:snapToGrid w:val="0"/>
                <w:color w:val="000000"/>
                <w:szCs w:val="21"/>
                <w:highlight w:val="none"/>
                <w:lang w:val="en-US" w:eastAsia="zh-CN"/>
              </w:rPr>
            </w:pPr>
          </w:p>
        </w:tc>
        <w:tc>
          <w:tcPr>
            <w:tcW w:w="1725" w:type="dxa"/>
            <w:vAlign w:val="center"/>
          </w:tcPr>
          <w:p>
            <w:pPr>
              <w:jc w:val="center"/>
              <w:rPr>
                <w:rFonts w:hint="eastAsia" w:ascii="宋体" w:hAnsi="宋体" w:eastAsia="宋体" w:cs="宋体"/>
                <w:snapToGrid w:val="0"/>
                <w:color w:val="000000"/>
                <w:szCs w:val="21"/>
                <w:highlight w:val="none"/>
              </w:rPr>
            </w:pPr>
            <w:r>
              <w:rPr>
                <w:rFonts w:hint="eastAsia" w:ascii="宋体" w:hAnsi="宋体" w:eastAsia="宋体" w:cs="宋体"/>
                <w:snapToGrid w:val="0"/>
                <w:color w:val="000000"/>
                <w:szCs w:val="21"/>
                <w:highlight w:val="none"/>
                <w:lang w:val="en-US" w:eastAsia="zh-CN"/>
              </w:rPr>
              <w:t>商铺会所</w:t>
            </w:r>
            <w:r>
              <w:rPr>
                <w:rFonts w:hint="eastAsia" w:ascii="宋体" w:hAnsi="宋体" w:eastAsia="宋体" w:cs="宋体"/>
                <w:snapToGrid w:val="0"/>
                <w:color w:val="000000"/>
                <w:szCs w:val="21"/>
                <w:highlight w:val="none"/>
              </w:rPr>
              <w:t>施工及屋面结构采用悬挑外架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（四）高处作业吊篮。</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  )</w:t>
            </w:r>
          </w:p>
        </w:tc>
        <w:tc>
          <w:tcPr>
            <w:tcW w:w="1146" w:type="dxa"/>
            <w:vAlign w:val="center"/>
          </w:tcPr>
          <w:p>
            <w:pPr>
              <w:jc w:val="center"/>
              <w:rPr>
                <w:rFonts w:hint="eastAsia" w:ascii="宋体" w:hAnsi="宋体" w:eastAsia="宋体" w:cs="宋体"/>
                <w:snapToGrid w:val="0"/>
                <w:color w:val="000000"/>
                <w:szCs w:val="21"/>
                <w:highlight w:val="none"/>
                <w:lang w:val="en-US" w:eastAsia="zh-CN"/>
              </w:rPr>
            </w:pPr>
          </w:p>
        </w:tc>
        <w:tc>
          <w:tcPr>
            <w:tcW w:w="1725" w:type="dxa"/>
            <w:vAlign w:val="center"/>
          </w:tcPr>
          <w:p>
            <w:pPr>
              <w:jc w:val="center"/>
              <w:rPr>
                <w:rFonts w:hint="eastAsia" w:ascii="宋体" w:hAnsi="宋体" w:eastAsia="宋体" w:cs="宋体"/>
                <w:snapToGrid w:val="0"/>
                <w:color w:val="000000"/>
                <w:szCs w:val="21"/>
                <w:highlight w:val="none"/>
              </w:rPr>
            </w:pPr>
            <w:r>
              <w:rPr>
                <w:rFonts w:hint="eastAsia" w:ascii="宋体" w:hAnsi="宋体" w:eastAsia="宋体" w:cs="宋体"/>
                <w:snapToGrid w:val="0"/>
                <w:color w:val="000000"/>
                <w:szCs w:val="21"/>
                <w:highlight w:val="none"/>
                <w:lang w:val="en-US" w:eastAsia="zh-CN"/>
              </w:rPr>
              <w:t>外立面线条施工和</w:t>
            </w:r>
            <w:r>
              <w:rPr>
                <w:rFonts w:hint="eastAsia" w:ascii="宋体" w:hAnsi="宋体" w:eastAsia="宋体" w:cs="宋体"/>
                <w:snapToGrid w:val="0"/>
                <w:color w:val="000000"/>
                <w:szCs w:val="21"/>
                <w:highlight w:val="none"/>
              </w:rPr>
              <w:t>外墙涂料施工使用吊篮，吊篮涉及非标吊篮（超危大工程）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（五）卸料平台、操作平台工程。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eastAsia="宋体" w:cs="宋体"/>
                <w:snapToGrid w:val="0"/>
                <w:color w:val="000000"/>
                <w:szCs w:val="21"/>
                <w:highlight w:val="none"/>
              </w:rPr>
            </w:pPr>
          </w:p>
        </w:tc>
        <w:tc>
          <w:tcPr>
            <w:tcW w:w="1725" w:type="dxa"/>
            <w:vAlign w:val="center"/>
          </w:tcPr>
          <w:p>
            <w:pPr>
              <w:jc w:val="center"/>
              <w:rPr>
                <w:rFonts w:hint="eastAsia" w:ascii="宋体" w:hAnsi="宋体" w:eastAsia="宋体" w:cs="宋体"/>
                <w:snapToGrid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（六）异型脚手架工程。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eastAsia="宋体" w:cs="宋体"/>
                <w:snapToGrid w:val="0"/>
                <w:color w:val="000000"/>
                <w:szCs w:val="21"/>
                <w:highlight w:val="none"/>
              </w:rPr>
            </w:pPr>
          </w:p>
        </w:tc>
        <w:tc>
          <w:tcPr>
            <w:tcW w:w="1725" w:type="dxa"/>
            <w:vAlign w:val="center"/>
          </w:tcPr>
          <w:p>
            <w:pPr>
              <w:jc w:val="center"/>
              <w:rPr>
                <w:rFonts w:hint="eastAsia" w:ascii="宋体" w:hAnsi="宋体" w:eastAsia="宋体" w:cs="宋体"/>
                <w:snapToGrid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五、拆除工程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  )</w:t>
            </w:r>
          </w:p>
        </w:tc>
        <w:tc>
          <w:tcPr>
            <w:tcW w:w="1146" w:type="dxa"/>
            <w:vAlign w:val="center"/>
          </w:tcPr>
          <w:p>
            <w:pPr>
              <w:jc w:val="center"/>
              <w:rPr>
                <w:rFonts w:hint="eastAsia" w:ascii="宋体" w:hAnsi="宋体" w:eastAsia="宋体" w:cs="宋体"/>
                <w:snapToGrid w:val="0"/>
                <w:color w:val="000000"/>
                <w:szCs w:val="21"/>
                <w:highlight w:val="none"/>
              </w:rPr>
            </w:pPr>
          </w:p>
        </w:tc>
        <w:tc>
          <w:tcPr>
            <w:tcW w:w="1725" w:type="dxa"/>
            <w:vAlign w:val="center"/>
          </w:tcPr>
          <w:p>
            <w:pPr>
              <w:jc w:val="center"/>
              <w:rPr>
                <w:rFonts w:hint="eastAsia" w:ascii="宋体" w:hAnsi="宋体" w:eastAsia="宋体" w:cs="宋体"/>
                <w:snapToGrid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可能影响行人、交通、电力设施、通讯设施或其它建、构筑物安全的拆除工程。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  )</w:t>
            </w:r>
          </w:p>
        </w:tc>
        <w:tc>
          <w:tcPr>
            <w:tcW w:w="1146" w:type="dxa"/>
            <w:vAlign w:val="center"/>
          </w:tcPr>
          <w:p>
            <w:pPr>
              <w:jc w:val="center"/>
              <w:rPr>
                <w:rFonts w:hint="eastAsia" w:ascii="宋体" w:hAnsi="宋体" w:eastAsia="宋体" w:cs="宋体"/>
                <w:snapToGrid w:val="0"/>
                <w:color w:val="000000"/>
                <w:szCs w:val="21"/>
                <w:highlight w:val="none"/>
              </w:rPr>
            </w:pPr>
          </w:p>
        </w:tc>
        <w:tc>
          <w:tcPr>
            <w:tcW w:w="1725" w:type="dxa"/>
            <w:vAlign w:val="center"/>
          </w:tcPr>
          <w:p>
            <w:pPr>
              <w:jc w:val="center"/>
              <w:rPr>
                <w:rFonts w:hint="eastAsia" w:ascii="宋体" w:hAnsi="宋体" w:eastAsia="宋体" w:cs="宋体"/>
                <w:snapToGrid w:val="0"/>
                <w:color w:val="000000"/>
                <w:szCs w:val="21"/>
                <w:highlight w:val="none"/>
              </w:rPr>
            </w:pPr>
            <w:r>
              <w:rPr>
                <w:rFonts w:hint="eastAsia" w:ascii="宋体" w:hAnsi="宋体" w:eastAsia="宋体" w:cs="宋体"/>
                <w:snapToGrid w:val="0"/>
                <w:color w:val="000000"/>
                <w:szCs w:val="21"/>
                <w:highlight w:val="none"/>
              </w:rPr>
              <w:t>地块内存在公变、专变及队属物业拆除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六、暗挖工程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eastAsia="宋体" w:cs="宋体"/>
                <w:snapToGrid w:val="0"/>
                <w:color w:val="000000"/>
                <w:szCs w:val="21"/>
                <w:highlight w:val="none"/>
              </w:rPr>
            </w:pPr>
          </w:p>
        </w:tc>
        <w:tc>
          <w:tcPr>
            <w:tcW w:w="1725" w:type="dxa"/>
            <w:vAlign w:val="center"/>
          </w:tcPr>
          <w:p>
            <w:pPr>
              <w:jc w:val="center"/>
              <w:rPr>
                <w:rFonts w:hint="eastAsia" w:ascii="宋体" w:hAnsi="宋体" w:eastAsia="宋体" w:cs="宋体"/>
                <w:snapToGrid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采用矿山法、盾构法、顶管法施工的隧道、洞室工程。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eastAsia="宋体" w:cs="宋体"/>
                <w:snapToGrid w:val="0"/>
                <w:color w:val="000000"/>
                <w:szCs w:val="21"/>
                <w:highlight w:val="none"/>
              </w:rPr>
            </w:pPr>
          </w:p>
        </w:tc>
        <w:tc>
          <w:tcPr>
            <w:tcW w:w="1725" w:type="dxa"/>
            <w:vAlign w:val="center"/>
          </w:tcPr>
          <w:p>
            <w:pPr>
              <w:jc w:val="center"/>
              <w:rPr>
                <w:rFonts w:hint="eastAsia" w:ascii="宋体" w:hAnsi="宋体" w:eastAsia="宋体" w:cs="宋体"/>
                <w:snapToGrid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七、其它</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 )</w:t>
            </w:r>
          </w:p>
        </w:tc>
        <w:tc>
          <w:tcPr>
            <w:tcW w:w="1146" w:type="dxa"/>
            <w:vAlign w:val="center"/>
          </w:tcPr>
          <w:p>
            <w:pPr>
              <w:jc w:val="center"/>
              <w:rPr>
                <w:rFonts w:hint="eastAsia" w:ascii="宋体" w:hAnsi="宋体" w:eastAsia="宋体" w:cs="宋体"/>
                <w:snapToGrid w:val="0"/>
                <w:color w:val="000000"/>
                <w:szCs w:val="21"/>
                <w:highlight w:val="none"/>
              </w:rPr>
            </w:pPr>
          </w:p>
        </w:tc>
        <w:tc>
          <w:tcPr>
            <w:tcW w:w="1725" w:type="dxa"/>
            <w:vAlign w:val="center"/>
          </w:tcPr>
          <w:p>
            <w:pPr>
              <w:jc w:val="center"/>
              <w:rPr>
                <w:rFonts w:hint="eastAsia" w:ascii="宋体" w:hAnsi="宋体" w:eastAsia="宋体" w:cs="宋体"/>
                <w:snapToGrid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（一）建筑幕墙安装工程。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eastAsia="宋体" w:cs="宋体"/>
                <w:snapToGrid w:val="0"/>
                <w:color w:val="000000"/>
                <w:szCs w:val="21"/>
                <w:highlight w:val="none"/>
              </w:rPr>
            </w:pPr>
          </w:p>
        </w:tc>
        <w:tc>
          <w:tcPr>
            <w:tcW w:w="1725" w:type="dxa"/>
            <w:vAlign w:val="center"/>
          </w:tcPr>
          <w:p>
            <w:pPr>
              <w:jc w:val="center"/>
              <w:rPr>
                <w:rFonts w:hint="eastAsia" w:ascii="宋体" w:hAnsi="宋体" w:eastAsia="宋体" w:cs="宋体"/>
                <w:snapToGrid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（二）钢结构、网架和索膜结构安装工程。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  )</w:t>
            </w:r>
          </w:p>
        </w:tc>
        <w:tc>
          <w:tcPr>
            <w:tcW w:w="1146" w:type="dxa"/>
            <w:vAlign w:val="center"/>
          </w:tcPr>
          <w:p>
            <w:pPr>
              <w:jc w:val="center"/>
              <w:rPr>
                <w:rFonts w:hint="eastAsia" w:ascii="宋体" w:hAnsi="宋体" w:eastAsia="宋体" w:cs="宋体"/>
                <w:snapToGrid w:val="0"/>
                <w:color w:val="000000"/>
                <w:szCs w:val="21"/>
                <w:highlight w:val="none"/>
              </w:rPr>
            </w:pPr>
          </w:p>
        </w:tc>
        <w:tc>
          <w:tcPr>
            <w:tcW w:w="1725" w:type="dxa"/>
            <w:vAlign w:val="center"/>
          </w:tcPr>
          <w:p>
            <w:pPr>
              <w:jc w:val="center"/>
              <w:rPr>
                <w:rFonts w:hint="eastAsia" w:ascii="宋体" w:hAnsi="宋体" w:eastAsia="宋体" w:cs="宋体"/>
                <w:snapToGrid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（三）人工挖孔桩工程。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eastAsia="宋体" w:cs="宋体"/>
                <w:snapToGrid w:val="0"/>
                <w:color w:val="000000"/>
                <w:szCs w:val="21"/>
                <w:highlight w:val="none"/>
              </w:rPr>
            </w:pPr>
          </w:p>
        </w:tc>
        <w:tc>
          <w:tcPr>
            <w:tcW w:w="1725" w:type="dxa"/>
            <w:vAlign w:val="center"/>
          </w:tcPr>
          <w:p>
            <w:pPr>
              <w:jc w:val="center"/>
              <w:rPr>
                <w:rFonts w:hint="eastAsia" w:ascii="宋体" w:hAnsi="宋体" w:eastAsia="宋体" w:cs="宋体"/>
                <w:snapToGrid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（四）水下作业工程。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eastAsia="宋体" w:cs="宋体"/>
                <w:snapToGrid w:val="0"/>
                <w:color w:val="000000"/>
                <w:szCs w:val="21"/>
                <w:highlight w:val="none"/>
              </w:rPr>
            </w:pPr>
          </w:p>
        </w:tc>
        <w:tc>
          <w:tcPr>
            <w:tcW w:w="1725" w:type="dxa"/>
            <w:vAlign w:val="center"/>
          </w:tcPr>
          <w:p>
            <w:pPr>
              <w:jc w:val="center"/>
              <w:rPr>
                <w:rFonts w:hint="eastAsia" w:ascii="宋体" w:hAnsi="宋体" w:eastAsia="宋体" w:cs="宋体"/>
                <w:snapToGrid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（五）装配式建筑混凝土预制构件安装工程。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  )</w:t>
            </w:r>
          </w:p>
        </w:tc>
        <w:tc>
          <w:tcPr>
            <w:tcW w:w="1146" w:type="dxa"/>
            <w:vAlign w:val="center"/>
          </w:tcPr>
          <w:p>
            <w:pPr>
              <w:jc w:val="center"/>
              <w:rPr>
                <w:rFonts w:hint="eastAsia" w:ascii="宋体" w:hAnsi="宋体" w:eastAsia="宋体" w:cs="宋体"/>
                <w:snapToGrid w:val="0"/>
                <w:color w:val="000000"/>
                <w:szCs w:val="21"/>
                <w:highlight w:val="none"/>
              </w:rPr>
            </w:pPr>
          </w:p>
        </w:tc>
        <w:tc>
          <w:tcPr>
            <w:tcW w:w="1725" w:type="dxa"/>
            <w:vAlign w:val="center"/>
          </w:tcPr>
          <w:p>
            <w:pPr>
              <w:jc w:val="center"/>
              <w:rPr>
                <w:rFonts w:hint="eastAsia" w:ascii="宋体" w:hAnsi="宋体" w:eastAsia="宋体" w:cs="宋体"/>
                <w:snapToGrid w:val="0"/>
                <w:color w:val="000000"/>
                <w:szCs w:val="21"/>
                <w:highlight w:val="none"/>
              </w:rPr>
            </w:pPr>
            <w:r>
              <w:rPr>
                <w:rFonts w:hint="eastAsia" w:ascii="宋体" w:hAnsi="宋体" w:eastAsia="宋体" w:cs="宋体"/>
                <w:snapToGrid w:val="0"/>
                <w:color w:val="000000"/>
                <w:szCs w:val="21"/>
                <w:highlight w:val="none"/>
              </w:rPr>
              <w:t>装配式建筑混凝土预制构件安装工程。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（六）采用新技术、新工艺、新材料、新设备可能影响工程施工安全，尚无国家、行业及地方技术标准的分部分项工程。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eastAsia="宋体" w:cs="宋体"/>
                <w:snapToGrid w:val="0"/>
                <w:color w:val="000000"/>
                <w:szCs w:val="21"/>
                <w:highlight w:val="none"/>
              </w:rPr>
            </w:pPr>
          </w:p>
        </w:tc>
        <w:tc>
          <w:tcPr>
            <w:tcW w:w="1725" w:type="dxa"/>
            <w:vAlign w:val="center"/>
          </w:tcPr>
          <w:p>
            <w:pPr>
              <w:jc w:val="center"/>
              <w:rPr>
                <w:rFonts w:hint="eastAsia" w:ascii="宋体" w:hAnsi="宋体" w:eastAsia="宋体" w:cs="宋体"/>
                <w:snapToGrid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jc w:val="left"/>
              <w:rPr>
                <w:rFonts w:hint="eastAsia" w:ascii="宋体" w:hAnsi="宋体" w:cs="宋体"/>
                <w:b/>
                <w:szCs w:val="21"/>
                <w:highlight w:val="none"/>
              </w:rPr>
            </w:pPr>
            <w:r>
              <w:rPr>
                <w:rFonts w:hint="eastAsia" w:ascii="宋体" w:hAnsi="宋体" w:cs="宋体"/>
                <w:b/>
                <w:bCs/>
                <w:szCs w:val="21"/>
                <w:highlight w:val="none"/>
              </w:rPr>
              <w:t>二、超过一定规模的危险性较大的分部分项工程清单</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eastAsia="宋体" w:cs="宋体"/>
                <w:snapToGrid w:val="0"/>
                <w:color w:val="000000"/>
                <w:szCs w:val="21"/>
                <w:highlight w:val="none"/>
              </w:rPr>
            </w:pPr>
          </w:p>
        </w:tc>
        <w:tc>
          <w:tcPr>
            <w:tcW w:w="1725" w:type="dxa"/>
            <w:vAlign w:val="center"/>
          </w:tcPr>
          <w:p>
            <w:pPr>
              <w:jc w:val="center"/>
              <w:rPr>
                <w:rFonts w:hint="eastAsia" w:ascii="宋体" w:hAnsi="宋体" w:eastAsia="宋体" w:cs="宋体"/>
                <w:snapToGrid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一、深基坑工程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  )</w:t>
            </w:r>
          </w:p>
        </w:tc>
        <w:tc>
          <w:tcPr>
            <w:tcW w:w="1146" w:type="dxa"/>
            <w:vAlign w:val="center"/>
          </w:tcPr>
          <w:p>
            <w:pPr>
              <w:jc w:val="center"/>
              <w:rPr>
                <w:rFonts w:hint="eastAsia" w:ascii="宋体" w:hAnsi="宋体" w:eastAsia="宋体" w:cs="宋体"/>
                <w:snapToGrid w:val="0"/>
                <w:color w:val="000000"/>
                <w:szCs w:val="21"/>
                <w:highlight w:val="none"/>
              </w:rPr>
            </w:pPr>
          </w:p>
        </w:tc>
        <w:tc>
          <w:tcPr>
            <w:tcW w:w="1725" w:type="dxa"/>
            <w:vAlign w:val="center"/>
          </w:tcPr>
          <w:p>
            <w:pPr>
              <w:jc w:val="center"/>
              <w:rPr>
                <w:rFonts w:hint="eastAsia" w:ascii="宋体" w:hAnsi="宋体" w:eastAsia="宋体" w:cs="宋体"/>
                <w:snapToGrid w:val="0"/>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ind w:firstLine="0"/>
              <w:jc w:val="left"/>
              <w:rPr>
                <w:rFonts w:hint="eastAsia" w:ascii="宋体" w:hAnsi="宋体" w:cs="宋体"/>
                <w:szCs w:val="21"/>
                <w:highlight w:val="none"/>
              </w:rPr>
            </w:pPr>
            <w:r>
              <w:rPr>
                <w:rFonts w:hint="eastAsia" w:ascii="宋体" w:hAnsi="宋体" w:cs="宋体"/>
                <w:szCs w:val="21"/>
                <w:highlight w:val="none"/>
              </w:rPr>
              <w:t>开挖深度超过5m（含5m）的基坑（槽）的土方开挖、支护、降水工程。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  )</w:t>
            </w:r>
          </w:p>
        </w:tc>
        <w:tc>
          <w:tcPr>
            <w:tcW w:w="1146" w:type="dxa"/>
            <w:vAlign w:val="center"/>
          </w:tcPr>
          <w:p>
            <w:pPr>
              <w:jc w:val="center"/>
              <w:rPr>
                <w:rFonts w:hint="eastAsia" w:ascii="宋体" w:hAnsi="宋体" w:eastAsia="宋体" w:cs="宋体"/>
                <w:snapToGrid w:val="0"/>
                <w:color w:val="000000"/>
                <w:szCs w:val="21"/>
                <w:highlight w:val="none"/>
              </w:rPr>
            </w:pPr>
          </w:p>
        </w:tc>
        <w:tc>
          <w:tcPr>
            <w:tcW w:w="1725" w:type="dxa"/>
            <w:vAlign w:val="center"/>
          </w:tcPr>
          <w:p>
            <w:pPr>
              <w:jc w:val="center"/>
              <w:rPr>
                <w:rFonts w:hint="eastAsia" w:ascii="宋体" w:hAnsi="宋体" w:eastAsia="宋体" w:cs="宋体"/>
                <w:snapToGrid w:val="0"/>
                <w:color w:val="000000"/>
                <w:szCs w:val="21"/>
                <w:highlight w:val="none"/>
              </w:rPr>
            </w:pPr>
            <w:r>
              <w:rPr>
                <w:rFonts w:hint="eastAsia" w:ascii="宋体" w:hAnsi="宋体" w:eastAsia="宋体" w:cs="宋体"/>
                <w:snapToGrid w:val="0"/>
                <w:color w:val="000000"/>
                <w:szCs w:val="21"/>
                <w:highlight w:val="none"/>
              </w:rPr>
              <w:t>基坑深度约4-11米，采用放坡+支护桩+内撑+锚索施工方案。地下室水位较浅，支护后开挖及降水措施是安全管控重点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二、模板工程及支撑体系</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（一）各类工具式模板工程：包括滑模、爬模、飞模、隧道模等工程。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（二）混凝土模板支撑工程：搭设高度8m及以上，或搭设跨度18m及以上，或施工总荷载（设计值）15kN/m2及以上，或集中线荷载（设计值）20kN/m及以上。</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  )</w:t>
            </w:r>
          </w:p>
        </w:tc>
        <w:tc>
          <w:tcPr>
            <w:tcW w:w="1146" w:type="dxa"/>
            <w:vAlign w:val="center"/>
          </w:tcPr>
          <w:p>
            <w:pPr>
              <w:jc w:val="center"/>
              <w:rPr>
                <w:rFonts w:hint="eastAsia" w:ascii="宋体" w:hAnsi="宋体" w:eastAsia="宋体" w:cs="宋体"/>
                <w:snapToGrid w:val="0"/>
                <w:color w:val="000000"/>
                <w:szCs w:val="21"/>
                <w:highlight w:val="none"/>
              </w:rPr>
            </w:pPr>
          </w:p>
        </w:tc>
        <w:tc>
          <w:tcPr>
            <w:tcW w:w="1725" w:type="dxa"/>
            <w:vAlign w:val="center"/>
          </w:tcPr>
          <w:p>
            <w:pPr>
              <w:jc w:val="center"/>
              <w:rPr>
                <w:rFonts w:hint="eastAsia" w:ascii="宋体" w:hAnsi="宋体" w:cs="宋体"/>
                <w:szCs w:val="21"/>
                <w:highlight w:val="none"/>
              </w:rPr>
            </w:pPr>
            <w:r>
              <w:rPr>
                <w:rFonts w:hint="eastAsia" w:ascii="宋体" w:hAnsi="宋体" w:eastAsia="宋体" w:cs="宋体"/>
                <w:snapToGrid w:val="0"/>
                <w:color w:val="000000"/>
                <w:szCs w:val="21"/>
                <w:highlight w:val="none"/>
              </w:rPr>
              <w:t>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（三）承重支撑体系：用于钢结构安装等满堂支撑体系，承受单点集中荷载7kN及以上。</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三、起重吊装及起重机械安装拆卸工程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（一）采用非常规起重设备、方法，且单件起吊重量在100kN及以上的起重吊装工程。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（二）起重量300kN及以上，或搭设总高度200m及以上，或搭设基础标高在200m及以上的起重机械安装和拆卸工程。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四、脚手架工程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（一）搭设高度50m及以上的落地式钢管脚手架工程。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（二）提升高度在150m及以上的附着式升降脚手架工程或附着式升降操作平台工程。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（三）分段架体搭设高度20m及以上的悬挑式脚手架工程。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五、拆除工程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（一）码头、桥梁、高架、烟囱、水塔或拆除中容易引起有毒有害气（液）体或粉尘扩散、易燃易爆事故发生的特殊建、构筑物的拆除工程。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（二）文物保护建筑、优秀历史建筑或历史文化风貌区影响范围内的拆除工程。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六、暗挖工程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采用矿山法、盾构法、顶管法施工的隧道、洞室工程。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七、其它</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（一）施工高度50m及以上的建筑幕墙安装工程。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（二）跨度36m及以上的钢结构安装工程，或跨度60m及以上的网架和索膜结构安装工程。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（三）开挖深度16m及以上的人工挖孔桩工程。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（四）水下作业工程。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（五）重量1000kN及以上的大型结构整体顶升、平移、转体等施工工艺。</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left"/>
              <w:rPr>
                <w:rFonts w:hint="eastAsia" w:ascii="宋体" w:hAnsi="宋体" w:cs="宋体"/>
                <w:szCs w:val="21"/>
                <w:highlight w:val="none"/>
              </w:rPr>
            </w:pPr>
            <w:r>
              <w:rPr>
                <w:rFonts w:hint="eastAsia" w:ascii="宋体" w:hAnsi="宋体" w:cs="宋体"/>
                <w:szCs w:val="21"/>
                <w:highlight w:val="none"/>
              </w:rPr>
              <w:t>（六）采用新技术、新工艺、新材料、新设备可能影响工程施工安全，尚无国家、行业及地方技术标准的分部分项工程。</w:t>
            </w:r>
          </w:p>
        </w:tc>
        <w:tc>
          <w:tcPr>
            <w:tcW w:w="0" w:type="auto"/>
            <w:vAlign w:val="center"/>
          </w:tcPr>
          <w:p>
            <w:pPr>
              <w:jc w:val="center"/>
              <w:rPr>
                <w:rFonts w:hint="eastAsia" w:ascii="宋体" w:hAnsi="宋体" w:cs="宋体"/>
                <w:szCs w:val="21"/>
                <w:highlight w:val="none"/>
              </w:rPr>
            </w:pPr>
            <w:r>
              <w:rPr>
                <w:rFonts w:hint="eastAsia" w:ascii="宋体" w:hAnsi="宋体" w:cs="宋体"/>
                <w:szCs w:val="21"/>
                <w:highlight w:val="none"/>
              </w:rPr>
              <w:t>(    )</w:t>
            </w:r>
          </w:p>
        </w:tc>
        <w:tc>
          <w:tcPr>
            <w:tcW w:w="1146" w:type="dxa"/>
            <w:vAlign w:val="center"/>
          </w:tcPr>
          <w:p>
            <w:pPr>
              <w:jc w:val="center"/>
              <w:rPr>
                <w:rFonts w:hint="eastAsia" w:ascii="宋体" w:hAnsi="宋体" w:cs="宋体"/>
                <w:szCs w:val="21"/>
                <w:highlight w:val="none"/>
              </w:rPr>
            </w:pPr>
          </w:p>
        </w:tc>
        <w:tc>
          <w:tcPr>
            <w:tcW w:w="1725" w:type="dxa"/>
            <w:vAlign w:val="center"/>
          </w:tcPr>
          <w:p>
            <w:pPr>
              <w:jc w:val="center"/>
              <w:rPr>
                <w:rFonts w:hint="eastAsia" w:ascii="宋体" w:hAnsi="宋体" w:cs="宋体"/>
                <w:szCs w:val="21"/>
                <w:highlight w:val="none"/>
              </w:rPr>
            </w:pPr>
          </w:p>
        </w:tc>
      </w:tr>
    </w:tbl>
    <w:p>
      <w:pPr>
        <w:rPr>
          <w:rFonts w:hint="eastAsia"/>
        </w:rPr>
      </w:pPr>
    </w:p>
    <w:p>
      <w:pPr>
        <w:autoSpaceDE w:val="0"/>
        <w:autoSpaceDN w:val="0"/>
        <w:adjustRightInd w:val="0"/>
        <w:ind w:firstLine="420"/>
        <w:jc w:val="left"/>
        <w:rPr>
          <w:rFonts w:hint="eastAsia" w:ascii="宋体" w:hAnsi="宋体" w:cs="宋体"/>
          <w:szCs w:val="21"/>
        </w:rPr>
      </w:pPr>
    </w:p>
    <w:p>
      <w:pPr>
        <w:spacing w:line="360" w:lineRule="auto"/>
        <w:ind w:firstLine="2880" w:firstLineChars="1200"/>
        <w:jc w:val="left"/>
        <w:rPr>
          <w:rFonts w:hint="eastAsia" w:ascii="宋体" w:hAnsi="宋体" w:cs="宋体"/>
          <w:sz w:val="24"/>
          <w:szCs w:val="24"/>
        </w:rPr>
      </w:pPr>
      <w:r>
        <w:rPr>
          <w:rFonts w:hint="eastAsia" w:ascii="宋体" w:hAnsi="宋体" w:cs="宋体"/>
          <w:sz w:val="24"/>
          <w:szCs w:val="24"/>
        </w:rPr>
        <w:t>投标人：    （盖章）</w:t>
      </w:r>
    </w:p>
    <w:p>
      <w:pPr>
        <w:spacing w:line="360" w:lineRule="auto"/>
        <w:ind w:firstLine="2880" w:firstLineChars="1200"/>
        <w:jc w:val="left"/>
        <w:rPr>
          <w:rFonts w:hint="eastAsia" w:ascii="宋体" w:hAnsi="宋体" w:cs="宋体"/>
          <w:sz w:val="24"/>
          <w:szCs w:val="24"/>
        </w:rPr>
      </w:pPr>
      <w:r>
        <w:rPr>
          <w:rFonts w:hint="eastAsia" w:ascii="宋体" w:hAnsi="宋体" w:cs="宋体"/>
          <w:sz w:val="24"/>
          <w:szCs w:val="24"/>
        </w:rPr>
        <w:t>法定代表人或其授权代理人(签字或盖章)：</w:t>
      </w:r>
    </w:p>
    <w:p>
      <w:pPr>
        <w:spacing w:line="360" w:lineRule="auto"/>
        <w:ind w:firstLine="2880" w:firstLineChars="1200"/>
        <w:jc w:val="left"/>
        <w:rPr>
          <w:rFonts w:ascii="宋体" w:hAnsi="宋体" w:cs="宋体"/>
          <w:sz w:val="24"/>
          <w:szCs w:val="24"/>
        </w:rPr>
      </w:pPr>
      <w:r>
        <w:rPr>
          <w:rFonts w:hint="eastAsia" w:ascii="宋体" w:hAnsi="宋体" w:cs="宋体"/>
          <w:sz w:val="24"/>
          <w:szCs w:val="24"/>
        </w:rPr>
        <w:t>日   期：    年    月    日</w:t>
      </w:r>
    </w:p>
    <w:p>
      <w:pPr>
        <w:pStyle w:val="31"/>
        <w:rPr>
          <w:rFonts w:hint="eastAsia" w:ascii="宋体" w:hAnsi="宋体" w:cs="宋体"/>
          <w:sz w:val="24"/>
          <w:szCs w:val="24"/>
        </w:rPr>
      </w:pPr>
      <w:r>
        <w:br w:type="page"/>
      </w:r>
      <w:r>
        <w:rPr>
          <w:rFonts w:hint="eastAsia" w:ascii="宋体" w:hAnsi="宋体" w:cs="宋体"/>
          <w:sz w:val="24"/>
          <w:szCs w:val="24"/>
        </w:rPr>
        <w:t>格式六：工程总承包项目管理团队人员信息表</w:t>
      </w:r>
    </w:p>
    <w:p>
      <w:pPr>
        <w:spacing w:line="360" w:lineRule="auto"/>
        <w:jc w:val="center"/>
        <w:rPr>
          <w:rFonts w:ascii="宋体" w:hAnsi="宋体" w:cs="宋体"/>
          <w:b/>
          <w:bCs/>
          <w:sz w:val="28"/>
          <w:szCs w:val="28"/>
          <w:lang w:val="zh-CN"/>
        </w:rPr>
      </w:pPr>
      <w:r>
        <w:rPr>
          <w:rFonts w:hint="eastAsia" w:ascii="宋体" w:hAnsi="宋体" w:cs="宋体"/>
          <w:b/>
          <w:bCs/>
          <w:sz w:val="28"/>
          <w:szCs w:val="28"/>
          <w:lang w:val="zh-CN"/>
        </w:rPr>
        <w:t>工程总承包项目管理团队人员信息表</w:t>
      </w:r>
    </w:p>
    <w:tbl>
      <w:tblPr>
        <w:tblStyle w:val="42"/>
        <w:tblW w:w="0" w:type="auto"/>
        <w:tblInd w:w="0" w:type="dxa"/>
        <w:tblLayout w:type="fixed"/>
        <w:tblCellMar>
          <w:top w:w="0" w:type="dxa"/>
          <w:left w:w="0" w:type="dxa"/>
          <w:bottom w:w="0" w:type="dxa"/>
          <w:right w:w="0" w:type="dxa"/>
        </w:tblCellMar>
      </w:tblPr>
      <w:tblGrid>
        <w:gridCol w:w="886"/>
        <w:gridCol w:w="1114"/>
        <w:gridCol w:w="2977"/>
        <w:gridCol w:w="992"/>
        <w:gridCol w:w="3086"/>
      </w:tblGrid>
      <w:tr>
        <w:tblPrEx>
          <w:tblCellMar>
            <w:top w:w="0" w:type="dxa"/>
            <w:left w:w="0" w:type="dxa"/>
            <w:bottom w:w="0" w:type="dxa"/>
            <w:right w:w="0" w:type="dxa"/>
          </w:tblCellMar>
        </w:tblPrEx>
        <w:trPr>
          <w:trHeight w:val="487" w:hRule="atLeast"/>
        </w:trPr>
        <w:tc>
          <w:tcPr>
            <w:tcW w:w="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cs="宋体"/>
                <w:b/>
                <w:szCs w:val="21"/>
              </w:rPr>
            </w:pPr>
            <w:r>
              <w:rPr>
                <w:rFonts w:hint="eastAsia" w:ascii="宋体" w:hAnsi="宋体" w:cs="宋体"/>
                <w:b/>
                <w:kern w:val="0"/>
                <w:szCs w:val="21"/>
                <w:lang w:bidi="ar"/>
              </w:rPr>
              <w:t>序号</w:t>
            </w:r>
          </w:p>
        </w:tc>
        <w:tc>
          <w:tcPr>
            <w:tcW w:w="1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cs="宋体"/>
                <w:b/>
                <w:szCs w:val="21"/>
              </w:rPr>
            </w:pPr>
            <w:r>
              <w:rPr>
                <w:rFonts w:hint="eastAsia" w:ascii="宋体" w:hAnsi="宋体" w:cs="宋体"/>
                <w:b/>
                <w:kern w:val="0"/>
                <w:szCs w:val="21"/>
                <w:lang w:bidi="ar"/>
              </w:rPr>
              <w:t>姓名</w:t>
            </w:r>
          </w:p>
        </w:tc>
        <w:tc>
          <w:tcPr>
            <w:tcW w:w="2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cs="宋体"/>
                <w:b/>
                <w:szCs w:val="21"/>
              </w:rPr>
            </w:pPr>
            <w:r>
              <w:rPr>
                <w:rFonts w:hint="eastAsia" w:ascii="宋体" w:hAnsi="宋体" w:cs="宋体"/>
                <w:b/>
                <w:kern w:val="0"/>
                <w:szCs w:val="21"/>
                <w:lang w:bidi="ar"/>
              </w:rPr>
              <w:t>岗位</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cs="宋体"/>
                <w:b/>
                <w:szCs w:val="21"/>
              </w:rPr>
            </w:pPr>
            <w:r>
              <w:rPr>
                <w:rFonts w:hint="eastAsia" w:ascii="宋体" w:hAnsi="宋体" w:cs="宋体"/>
                <w:b/>
                <w:kern w:val="0"/>
                <w:szCs w:val="21"/>
                <w:lang w:bidi="ar"/>
              </w:rPr>
              <w:t>职称</w:t>
            </w:r>
          </w:p>
        </w:tc>
        <w:tc>
          <w:tcPr>
            <w:tcW w:w="3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宋体" w:hAnsi="宋体" w:cs="宋体"/>
                <w:b/>
                <w:szCs w:val="21"/>
              </w:rPr>
            </w:pPr>
            <w:r>
              <w:rPr>
                <w:rFonts w:hint="eastAsia" w:ascii="宋体" w:hAnsi="宋体" w:cs="宋体"/>
                <w:b/>
                <w:kern w:val="0"/>
                <w:szCs w:val="21"/>
                <w:lang w:bidi="ar"/>
              </w:rPr>
              <w:t>职称证书或资格证书编号</w:t>
            </w:r>
          </w:p>
        </w:tc>
      </w:tr>
      <w:tr>
        <w:tblPrEx>
          <w:tblCellMar>
            <w:top w:w="0" w:type="dxa"/>
            <w:left w:w="0" w:type="dxa"/>
            <w:bottom w:w="0" w:type="dxa"/>
            <w:right w:w="0" w:type="dxa"/>
          </w:tblCellMar>
        </w:tblPrEx>
        <w:trPr>
          <w:trHeight w:val="487" w:hRule="atLeast"/>
        </w:trPr>
        <w:tc>
          <w:tcPr>
            <w:tcW w:w="8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eastAsia" w:ascii="宋体" w:hAnsi="宋体" w:cs="宋体"/>
                <w:bCs/>
                <w:kern w:val="0"/>
                <w:szCs w:val="21"/>
                <w:lang w:bidi="ar"/>
              </w:rPr>
            </w:pPr>
            <w:r>
              <w:rPr>
                <w:rFonts w:hint="eastAsia" w:ascii="宋体" w:hAnsi="宋体" w:cs="宋体"/>
                <w:bCs/>
                <w:kern w:val="0"/>
                <w:szCs w:val="21"/>
                <w:lang w:bidi="ar"/>
              </w:rPr>
              <w:t>1</w:t>
            </w:r>
          </w:p>
        </w:tc>
        <w:tc>
          <w:tcPr>
            <w:tcW w:w="1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eastAsia" w:ascii="宋体" w:hAnsi="宋体" w:cs="宋体"/>
                <w:bCs/>
                <w:kern w:val="0"/>
                <w:szCs w:val="21"/>
                <w:lang w:bidi="ar"/>
              </w:rPr>
            </w:pPr>
          </w:p>
        </w:tc>
        <w:tc>
          <w:tcPr>
            <w:tcW w:w="2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eastAsia" w:ascii="宋体" w:hAnsi="宋体" w:cs="宋体"/>
                <w:b/>
                <w:kern w:val="0"/>
                <w:szCs w:val="21"/>
                <w:lang w:bidi="ar"/>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eastAsia" w:ascii="宋体" w:hAnsi="宋体" w:cs="宋体"/>
                <w:b/>
                <w:kern w:val="0"/>
                <w:szCs w:val="21"/>
                <w:lang w:bidi="ar"/>
              </w:rPr>
            </w:pPr>
          </w:p>
        </w:tc>
        <w:tc>
          <w:tcPr>
            <w:tcW w:w="3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eastAsia" w:ascii="宋体" w:hAnsi="宋体" w:cs="宋体"/>
                <w:b/>
                <w:kern w:val="0"/>
                <w:szCs w:val="21"/>
                <w:lang w:bidi="ar"/>
              </w:rPr>
            </w:pPr>
          </w:p>
        </w:tc>
      </w:tr>
      <w:tr>
        <w:tblPrEx>
          <w:tblCellMar>
            <w:top w:w="0" w:type="dxa"/>
            <w:left w:w="0" w:type="dxa"/>
            <w:bottom w:w="0" w:type="dxa"/>
            <w:right w:w="0" w:type="dxa"/>
          </w:tblCellMar>
        </w:tblPrEx>
        <w:trPr>
          <w:trHeight w:val="555" w:hRule="atLeast"/>
        </w:trPr>
        <w:tc>
          <w:tcPr>
            <w:tcW w:w="8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eastAsia" w:ascii="宋体" w:hAnsi="宋体" w:cs="宋体"/>
                <w:szCs w:val="21"/>
              </w:rPr>
            </w:pPr>
            <w:r>
              <w:rPr>
                <w:rFonts w:hint="eastAsia" w:ascii="宋体" w:hAnsi="宋体" w:cs="宋体"/>
                <w:szCs w:val="21"/>
              </w:rPr>
              <w:t>2</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8"/>
              <w:spacing w:line="240" w:lineRule="exact"/>
              <w:jc w:val="center"/>
              <w:rPr>
                <w:rFonts w:hint="eastAsia" w:ascii="宋体" w:hAnsi="宋体" w:cs="宋体"/>
                <w:kern w:val="0"/>
                <w:sz w:val="21"/>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c>
          <w:tcPr>
            <w:tcW w:w="3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r>
      <w:tr>
        <w:tblPrEx>
          <w:tblCellMar>
            <w:top w:w="0" w:type="dxa"/>
            <w:left w:w="0" w:type="dxa"/>
            <w:bottom w:w="0" w:type="dxa"/>
            <w:right w:w="0" w:type="dxa"/>
          </w:tblCellMar>
        </w:tblPrEx>
        <w:trPr>
          <w:trHeight w:val="555" w:hRule="atLeast"/>
        </w:trPr>
        <w:tc>
          <w:tcPr>
            <w:tcW w:w="8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eastAsia" w:ascii="宋体" w:hAnsi="宋体" w:cs="宋体"/>
                <w:szCs w:val="21"/>
              </w:rPr>
            </w:pPr>
            <w:r>
              <w:rPr>
                <w:rFonts w:hint="eastAsia" w:ascii="宋体" w:hAnsi="宋体" w:cs="宋体"/>
                <w:szCs w:val="21"/>
              </w:rPr>
              <w:t>3</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8"/>
              <w:spacing w:line="240" w:lineRule="exact"/>
              <w:jc w:val="center"/>
              <w:rPr>
                <w:rFonts w:hint="eastAsia" w:ascii="宋体" w:hAnsi="宋体" w:cs="宋体"/>
                <w:kern w:val="0"/>
                <w:sz w:val="21"/>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c>
          <w:tcPr>
            <w:tcW w:w="3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r>
      <w:tr>
        <w:tblPrEx>
          <w:tblCellMar>
            <w:top w:w="0" w:type="dxa"/>
            <w:left w:w="0" w:type="dxa"/>
            <w:bottom w:w="0" w:type="dxa"/>
            <w:right w:w="0" w:type="dxa"/>
          </w:tblCellMar>
        </w:tblPrEx>
        <w:trPr>
          <w:trHeight w:val="555" w:hRule="atLeast"/>
        </w:trPr>
        <w:tc>
          <w:tcPr>
            <w:tcW w:w="8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eastAsia" w:ascii="宋体" w:hAnsi="宋体" w:cs="宋体"/>
                <w:szCs w:val="21"/>
              </w:rPr>
            </w:pPr>
            <w:r>
              <w:rPr>
                <w:rFonts w:hint="eastAsia" w:ascii="宋体" w:hAnsi="宋体" w:cs="宋体"/>
                <w:szCs w:val="21"/>
              </w:rPr>
              <w:t>4</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8"/>
              <w:spacing w:line="240" w:lineRule="exact"/>
              <w:jc w:val="center"/>
              <w:rPr>
                <w:rFonts w:hint="eastAsia" w:ascii="宋体" w:hAnsi="宋体" w:cs="宋体"/>
                <w:kern w:val="0"/>
                <w:sz w:val="21"/>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c>
          <w:tcPr>
            <w:tcW w:w="3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r>
      <w:tr>
        <w:tblPrEx>
          <w:tblCellMar>
            <w:top w:w="0" w:type="dxa"/>
            <w:left w:w="0" w:type="dxa"/>
            <w:bottom w:w="0" w:type="dxa"/>
            <w:right w:w="0" w:type="dxa"/>
          </w:tblCellMar>
        </w:tblPrEx>
        <w:trPr>
          <w:trHeight w:val="555" w:hRule="atLeast"/>
        </w:trPr>
        <w:tc>
          <w:tcPr>
            <w:tcW w:w="8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eastAsia" w:ascii="宋体" w:hAnsi="宋体" w:cs="宋体"/>
                <w:szCs w:val="21"/>
              </w:rPr>
            </w:pPr>
            <w:r>
              <w:rPr>
                <w:rFonts w:hint="eastAsia" w:ascii="宋体" w:hAnsi="宋体" w:cs="宋体"/>
                <w:szCs w:val="21"/>
              </w:rPr>
              <w:t>5</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8"/>
              <w:spacing w:line="240" w:lineRule="exact"/>
              <w:jc w:val="center"/>
              <w:rPr>
                <w:rFonts w:hint="eastAsia" w:ascii="宋体" w:hAnsi="宋体" w:cs="宋体"/>
                <w:kern w:val="0"/>
                <w:sz w:val="21"/>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c>
          <w:tcPr>
            <w:tcW w:w="3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r>
      <w:tr>
        <w:tblPrEx>
          <w:tblCellMar>
            <w:top w:w="0" w:type="dxa"/>
            <w:left w:w="0" w:type="dxa"/>
            <w:bottom w:w="0" w:type="dxa"/>
            <w:right w:w="0" w:type="dxa"/>
          </w:tblCellMar>
        </w:tblPrEx>
        <w:trPr>
          <w:trHeight w:val="555" w:hRule="atLeast"/>
        </w:trPr>
        <w:tc>
          <w:tcPr>
            <w:tcW w:w="8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eastAsia" w:ascii="宋体" w:hAnsi="宋体" w:cs="宋体"/>
                <w:szCs w:val="21"/>
              </w:rPr>
            </w:pPr>
            <w:r>
              <w:rPr>
                <w:rFonts w:hint="eastAsia" w:ascii="宋体" w:hAnsi="宋体" w:cs="宋体"/>
                <w:szCs w:val="21"/>
              </w:rPr>
              <w:t>6</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8"/>
              <w:spacing w:line="240" w:lineRule="exact"/>
              <w:jc w:val="center"/>
              <w:rPr>
                <w:rFonts w:hint="eastAsia" w:ascii="宋体" w:hAnsi="宋体" w:cs="宋体"/>
                <w:kern w:val="0"/>
                <w:sz w:val="21"/>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c>
          <w:tcPr>
            <w:tcW w:w="3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r>
      <w:tr>
        <w:tblPrEx>
          <w:tblCellMar>
            <w:top w:w="0" w:type="dxa"/>
            <w:left w:w="0" w:type="dxa"/>
            <w:bottom w:w="0" w:type="dxa"/>
            <w:right w:w="0" w:type="dxa"/>
          </w:tblCellMar>
        </w:tblPrEx>
        <w:trPr>
          <w:trHeight w:val="555" w:hRule="atLeast"/>
        </w:trPr>
        <w:tc>
          <w:tcPr>
            <w:tcW w:w="8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eastAsia" w:ascii="宋体" w:hAnsi="宋体" w:cs="宋体"/>
                <w:szCs w:val="21"/>
              </w:rPr>
            </w:pPr>
            <w:r>
              <w:rPr>
                <w:rFonts w:hint="eastAsia" w:ascii="宋体" w:hAnsi="宋体" w:cs="宋体"/>
                <w:szCs w:val="21"/>
              </w:rPr>
              <w:t>7</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8"/>
              <w:spacing w:line="240" w:lineRule="exact"/>
              <w:jc w:val="center"/>
              <w:rPr>
                <w:rFonts w:hint="eastAsia" w:ascii="宋体" w:hAnsi="宋体" w:cs="宋体"/>
                <w:kern w:val="0"/>
                <w:sz w:val="21"/>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c>
          <w:tcPr>
            <w:tcW w:w="3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r>
      <w:tr>
        <w:tblPrEx>
          <w:tblCellMar>
            <w:top w:w="0" w:type="dxa"/>
            <w:left w:w="0" w:type="dxa"/>
            <w:bottom w:w="0" w:type="dxa"/>
            <w:right w:w="0" w:type="dxa"/>
          </w:tblCellMar>
        </w:tblPrEx>
        <w:trPr>
          <w:trHeight w:val="555" w:hRule="atLeast"/>
        </w:trPr>
        <w:tc>
          <w:tcPr>
            <w:tcW w:w="8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eastAsia" w:ascii="宋体" w:hAnsi="宋体" w:cs="宋体"/>
                <w:szCs w:val="21"/>
              </w:rPr>
            </w:pPr>
            <w:r>
              <w:rPr>
                <w:rFonts w:hint="eastAsia" w:ascii="宋体" w:hAnsi="宋体" w:cs="宋体"/>
                <w:szCs w:val="21"/>
              </w:rPr>
              <w:t>8</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8"/>
              <w:spacing w:line="240" w:lineRule="exact"/>
              <w:jc w:val="center"/>
              <w:rPr>
                <w:rFonts w:hint="eastAsia" w:ascii="宋体" w:hAnsi="宋体" w:cs="宋体"/>
                <w:sz w:val="21"/>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c>
          <w:tcPr>
            <w:tcW w:w="3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r>
      <w:tr>
        <w:tblPrEx>
          <w:tblCellMar>
            <w:top w:w="0" w:type="dxa"/>
            <w:left w:w="0" w:type="dxa"/>
            <w:bottom w:w="0" w:type="dxa"/>
            <w:right w:w="0" w:type="dxa"/>
          </w:tblCellMar>
        </w:tblPrEx>
        <w:trPr>
          <w:trHeight w:val="555" w:hRule="atLeast"/>
        </w:trPr>
        <w:tc>
          <w:tcPr>
            <w:tcW w:w="8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eastAsia" w:ascii="宋体" w:hAnsi="宋体" w:cs="宋体"/>
                <w:szCs w:val="21"/>
              </w:rPr>
            </w:pPr>
            <w:r>
              <w:rPr>
                <w:rFonts w:hint="eastAsia" w:ascii="宋体" w:hAnsi="宋体" w:cs="宋体"/>
                <w:szCs w:val="21"/>
              </w:rPr>
              <w:t>9</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8"/>
              <w:spacing w:line="240" w:lineRule="exact"/>
              <w:jc w:val="center"/>
              <w:rPr>
                <w:rFonts w:hint="eastAsia" w:ascii="宋体" w:hAnsi="宋体" w:cs="宋体"/>
                <w:kern w:val="0"/>
                <w:sz w:val="21"/>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c>
          <w:tcPr>
            <w:tcW w:w="3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r>
      <w:tr>
        <w:tblPrEx>
          <w:tblCellMar>
            <w:top w:w="0" w:type="dxa"/>
            <w:left w:w="0" w:type="dxa"/>
            <w:bottom w:w="0" w:type="dxa"/>
            <w:right w:w="0" w:type="dxa"/>
          </w:tblCellMar>
        </w:tblPrEx>
        <w:trPr>
          <w:trHeight w:val="555" w:hRule="atLeast"/>
        </w:trPr>
        <w:tc>
          <w:tcPr>
            <w:tcW w:w="8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宋体" w:hAnsi="宋体" w:cs="宋体"/>
                <w:szCs w:val="21"/>
              </w:rPr>
            </w:pPr>
            <w:r>
              <w:rPr>
                <w:rFonts w:hint="eastAsia" w:ascii="宋体" w:hAnsi="宋体" w:cs="宋体"/>
                <w:szCs w:val="21"/>
              </w:rPr>
              <w:t>10</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8"/>
              <w:spacing w:line="240" w:lineRule="exact"/>
              <w:jc w:val="center"/>
              <w:rPr>
                <w:rFonts w:hint="eastAsia" w:ascii="宋体" w:hAnsi="宋体" w:cs="宋体"/>
                <w:kern w:val="0"/>
                <w:sz w:val="21"/>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c>
          <w:tcPr>
            <w:tcW w:w="3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r>
      <w:tr>
        <w:tblPrEx>
          <w:tblCellMar>
            <w:top w:w="0" w:type="dxa"/>
            <w:left w:w="0" w:type="dxa"/>
            <w:bottom w:w="0" w:type="dxa"/>
            <w:right w:w="0" w:type="dxa"/>
          </w:tblCellMar>
        </w:tblPrEx>
        <w:trPr>
          <w:trHeight w:val="555" w:hRule="atLeast"/>
        </w:trPr>
        <w:tc>
          <w:tcPr>
            <w:tcW w:w="8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宋体" w:hAnsi="宋体" w:cs="宋体"/>
                <w:szCs w:val="21"/>
              </w:rPr>
            </w:pPr>
            <w:r>
              <w:rPr>
                <w:rFonts w:hint="eastAsia" w:ascii="宋体" w:hAnsi="宋体" w:cs="宋体"/>
                <w:szCs w:val="21"/>
              </w:rPr>
              <w:t>11</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8"/>
              <w:spacing w:line="240" w:lineRule="exact"/>
              <w:jc w:val="center"/>
              <w:rPr>
                <w:rFonts w:hint="eastAsia" w:ascii="宋体" w:hAnsi="宋体" w:cs="宋体"/>
                <w:sz w:val="21"/>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c>
          <w:tcPr>
            <w:tcW w:w="3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r>
      <w:tr>
        <w:tblPrEx>
          <w:tblCellMar>
            <w:top w:w="0" w:type="dxa"/>
            <w:left w:w="0" w:type="dxa"/>
            <w:bottom w:w="0" w:type="dxa"/>
            <w:right w:w="0" w:type="dxa"/>
          </w:tblCellMar>
        </w:tblPrEx>
        <w:trPr>
          <w:trHeight w:val="555" w:hRule="atLeast"/>
        </w:trPr>
        <w:tc>
          <w:tcPr>
            <w:tcW w:w="8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ascii="宋体" w:hAnsi="宋体" w:cs="宋体"/>
                <w:szCs w:val="21"/>
              </w:rPr>
            </w:pPr>
            <w:r>
              <w:rPr>
                <w:rFonts w:hint="eastAsia" w:ascii="宋体" w:hAnsi="宋体" w:cs="宋体"/>
                <w:szCs w:val="21"/>
              </w:rPr>
              <w:t>12</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8"/>
              <w:spacing w:line="240" w:lineRule="exact"/>
              <w:jc w:val="center"/>
              <w:rPr>
                <w:rFonts w:hint="eastAsia" w:ascii="宋体" w:hAnsi="宋体" w:cs="宋体"/>
                <w:kern w:val="0"/>
                <w:sz w:val="21"/>
                <w:szCs w:val="21"/>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c>
          <w:tcPr>
            <w:tcW w:w="3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r>
      <w:tr>
        <w:tblPrEx>
          <w:tblCellMar>
            <w:top w:w="0" w:type="dxa"/>
            <w:left w:w="0" w:type="dxa"/>
            <w:bottom w:w="0" w:type="dxa"/>
            <w:right w:w="0" w:type="dxa"/>
          </w:tblCellMar>
        </w:tblPrEx>
        <w:trPr>
          <w:trHeight w:val="90" w:hRule="atLeast"/>
        </w:trPr>
        <w:tc>
          <w:tcPr>
            <w:tcW w:w="8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hint="eastAsia" w:ascii="宋体" w:hAnsi="宋体" w:cs="宋体"/>
                <w:szCs w:val="21"/>
              </w:rPr>
            </w:pPr>
            <w:r>
              <w:rPr>
                <w:rFonts w:hint="eastAsia" w:ascii="宋体" w:hAnsi="宋体" w:cs="宋体"/>
                <w:kern w:val="0"/>
                <w:szCs w:val="21"/>
                <w:lang w:bidi="ar"/>
              </w:rPr>
              <w:t>……</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r>
              <w:rPr>
                <w:rFonts w:hint="eastAsia" w:ascii="宋体" w:hAnsi="宋体" w:cs="宋体"/>
                <w:szCs w:val="21"/>
              </w:rPr>
              <w:t>（投标人需结合项目要求及自身情况进行填报）</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c>
          <w:tcPr>
            <w:tcW w:w="3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eastAsia" w:ascii="宋体" w:hAnsi="宋体" w:cs="宋体"/>
                <w:szCs w:val="21"/>
              </w:rPr>
            </w:pPr>
          </w:p>
        </w:tc>
      </w:tr>
      <w:tr>
        <w:tblPrEx>
          <w:tblCellMar>
            <w:top w:w="0" w:type="dxa"/>
            <w:left w:w="0" w:type="dxa"/>
            <w:bottom w:w="0" w:type="dxa"/>
            <w:right w:w="0" w:type="dxa"/>
          </w:tblCellMar>
        </w:tblPrEx>
        <w:trPr>
          <w:trHeight w:val="4024" w:hRule="atLeast"/>
        </w:trPr>
        <w:tc>
          <w:tcPr>
            <w:tcW w:w="905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424" w:firstLineChars="202"/>
              <w:jc w:val="left"/>
              <w:textAlignment w:val="center"/>
              <w:rPr>
                <w:rFonts w:hint="eastAsia" w:ascii="宋体" w:hAnsi="宋体" w:cs="宋体"/>
                <w:szCs w:val="21"/>
                <w:lang w:bidi="ar"/>
              </w:rPr>
            </w:pPr>
            <w:r>
              <w:rPr>
                <w:rFonts w:hint="eastAsia" w:ascii="宋体" w:hAnsi="宋体" w:cs="宋体"/>
                <w:szCs w:val="21"/>
                <w:lang w:bidi="ar"/>
              </w:rPr>
              <w:t>备注：</w:t>
            </w:r>
          </w:p>
          <w:p>
            <w:pPr>
              <w:ind w:firstLine="424" w:firstLineChars="202"/>
              <w:jc w:val="left"/>
              <w:textAlignment w:val="center"/>
              <w:rPr>
                <w:rFonts w:hint="eastAsia" w:ascii="宋体" w:hAnsi="宋体" w:cs="宋体"/>
                <w:szCs w:val="21"/>
                <w:lang w:bidi="ar"/>
              </w:rPr>
            </w:pPr>
            <w:r>
              <w:rPr>
                <w:rFonts w:hint="eastAsia" w:ascii="宋体" w:hAnsi="宋体" w:cs="宋体"/>
                <w:szCs w:val="21"/>
                <w:lang w:bidi="ar"/>
              </w:rPr>
              <w:t>1、“岗位”要求</w:t>
            </w:r>
            <w:r>
              <w:rPr>
                <w:rFonts w:hint="eastAsia" w:ascii="宋体" w:hAnsi="宋体" w:cs="宋体"/>
                <w:b/>
                <w:szCs w:val="21"/>
                <w:lang w:bidi="ar"/>
              </w:rPr>
              <w:t>（除项目负责人、施工负责人、施工技术负责人、设计负责人和专职安全员外）</w:t>
            </w:r>
            <w:r>
              <w:rPr>
                <w:rFonts w:hint="eastAsia" w:ascii="宋体" w:hAnsi="宋体" w:cs="宋体"/>
                <w:szCs w:val="21"/>
                <w:lang w:bidi="ar"/>
              </w:rPr>
              <w:t>由投标人根据项目管理需要填报，以上项目管理团队人员信息将由交易系统提取后供各相关单位在履约时比对、查核。</w:t>
            </w:r>
          </w:p>
          <w:p>
            <w:pPr>
              <w:ind w:firstLine="424" w:firstLineChars="202"/>
              <w:jc w:val="left"/>
              <w:textAlignment w:val="center"/>
              <w:rPr>
                <w:rFonts w:hint="eastAsia" w:ascii="宋体" w:hAnsi="宋体" w:cs="宋体"/>
                <w:szCs w:val="21"/>
                <w:lang w:bidi="ar"/>
              </w:rPr>
            </w:pPr>
            <w:r>
              <w:rPr>
                <w:rFonts w:hint="eastAsia" w:ascii="宋体" w:hAnsi="宋体" w:cs="宋体"/>
                <w:szCs w:val="21"/>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方可递交投标文件。</w:t>
            </w:r>
          </w:p>
          <w:p>
            <w:pPr>
              <w:ind w:firstLine="424" w:firstLineChars="202"/>
              <w:jc w:val="left"/>
              <w:textAlignment w:val="center"/>
              <w:rPr>
                <w:rFonts w:hint="eastAsia" w:ascii="宋体" w:hAnsi="宋体" w:cs="宋体"/>
                <w:szCs w:val="21"/>
              </w:rPr>
            </w:pPr>
            <w:r>
              <w:rPr>
                <w:rFonts w:hint="eastAsia" w:ascii="宋体" w:hAnsi="宋体" w:cs="宋体"/>
                <w:szCs w:val="21"/>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
      <w:pPr>
        <w:pStyle w:val="24"/>
        <w:rPr>
          <w:rFonts w:hint="eastAsia" w:hAnsi="宋体" w:cs="宋体"/>
          <w:b/>
          <w:snapToGrid w:val="0"/>
          <w:spacing w:val="4"/>
          <w:kern w:val="0"/>
          <w:sz w:val="24"/>
          <w:szCs w:val="24"/>
        </w:rPr>
      </w:pPr>
      <w:r>
        <w:br w:type="page"/>
      </w:r>
      <w:r>
        <w:rPr>
          <w:rFonts w:hint="eastAsia" w:hAnsi="宋体" w:cs="宋体"/>
          <w:b/>
          <w:snapToGrid w:val="0"/>
          <w:spacing w:val="4"/>
          <w:kern w:val="0"/>
          <w:sz w:val="24"/>
          <w:szCs w:val="24"/>
        </w:rPr>
        <w:t>格式</w:t>
      </w:r>
      <w:r>
        <w:rPr>
          <w:rFonts w:hAnsi="宋体" w:cs="宋体"/>
          <w:b/>
          <w:snapToGrid w:val="0"/>
          <w:spacing w:val="4"/>
          <w:kern w:val="0"/>
          <w:sz w:val="24"/>
          <w:szCs w:val="24"/>
        </w:rPr>
        <w:t>七</w:t>
      </w:r>
      <w:r>
        <w:rPr>
          <w:rFonts w:hint="eastAsia" w:hAnsi="宋体" w:cs="宋体"/>
          <w:b/>
          <w:snapToGrid w:val="0"/>
          <w:spacing w:val="4"/>
          <w:kern w:val="0"/>
          <w:sz w:val="24"/>
          <w:szCs w:val="24"/>
        </w:rPr>
        <w:t>：法定代表人证明书和法定代表人授权书</w:t>
      </w:r>
    </w:p>
    <w:p>
      <w:pPr>
        <w:spacing w:line="360" w:lineRule="auto"/>
        <w:jc w:val="center"/>
        <w:rPr>
          <w:rFonts w:hint="eastAsia" w:ascii="宋体" w:hAnsi="宋体" w:cs="宋体"/>
          <w:b/>
          <w:kern w:val="1"/>
          <w:sz w:val="28"/>
        </w:rPr>
      </w:pPr>
      <w:r>
        <w:rPr>
          <w:rFonts w:hint="eastAsia" w:ascii="宋体" w:hAnsi="宋体" w:cs="宋体"/>
          <w:b/>
          <w:kern w:val="1"/>
          <w:sz w:val="28"/>
        </w:rPr>
        <w:t>法定代表人（负责人）证明书</w:t>
      </w:r>
    </w:p>
    <w:p>
      <w:pPr>
        <w:spacing w:line="360" w:lineRule="auto"/>
        <w:jc w:val="right"/>
        <w:rPr>
          <w:rFonts w:hint="eastAsia" w:ascii="宋体" w:hAnsi="宋体" w:cs="宋体"/>
          <w:kern w:val="1"/>
          <w:sz w:val="24"/>
        </w:rPr>
      </w:pPr>
      <w:r>
        <w:rPr>
          <w:rFonts w:hint="eastAsia" w:ascii="宋体" w:hAnsi="宋体" w:cs="宋体"/>
          <w:kern w:val="1"/>
        </w:rPr>
        <w:t>（　 ）第　号</w:t>
      </w:r>
    </w:p>
    <w:tbl>
      <w:tblPr>
        <w:tblStyle w:val="42"/>
        <w:tblW w:w="5000" w:type="pct"/>
        <w:tblInd w:w="0" w:type="dxa"/>
        <w:tblLayout w:type="autofit"/>
        <w:tblCellMar>
          <w:top w:w="0" w:type="dxa"/>
          <w:left w:w="108" w:type="dxa"/>
          <w:bottom w:w="0" w:type="dxa"/>
          <w:right w:w="108" w:type="dxa"/>
        </w:tblCellMar>
      </w:tblPr>
      <w:tblGrid>
        <w:gridCol w:w="9241"/>
      </w:tblGrid>
      <w:tr>
        <w:tblPrEx>
          <w:tblCellMar>
            <w:top w:w="0" w:type="dxa"/>
            <w:left w:w="108" w:type="dxa"/>
            <w:bottom w:w="0" w:type="dxa"/>
            <w:right w:w="108" w:type="dxa"/>
          </w:tblCellMar>
        </w:tblPrEx>
        <w:tc>
          <w:tcPr>
            <w:tcW w:w="5000" w:type="pct"/>
            <w:tcBorders>
              <w:top w:val="single" w:color="000000" w:sz="4" w:space="0"/>
              <w:left w:val="single" w:color="000000" w:sz="4" w:space="0"/>
              <w:bottom w:val="single" w:color="000000" w:sz="4" w:space="0"/>
              <w:right w:val="single" w:color="000000" w:sz="4" w:space="0"/>
            </w:tcBorders>
          </w:tcPr>
          <w:p>
            <w:pPr>
              <w:spacing w:line="360" w:lineRule="auto"/>
              <w:rPr>
                <w:rFonts w:hint="eastAsia" w:ascii="宋体" w:hAnsi="宋体" w:cs="宋体"/>
                <w:kern w:val="1"/>
                <w:sz w:val="24"/>
                <w:u w:val="single"/>
              </w:rPr>
            </w:pPr>
          </w:p>
          <w:p>
            <w:pPr>
              <w:spacing w:line="360" w:lineRule="auto"/>
              <w:rPr>
                <w:rFonts w:hint="eastAsia" w:ascii="宋体" w:hAnsi="宋体" w:cs="宋体"/>
                <w:kern w:val="1"/>
                <w:sz w:val="24"/>
              </w:rPr>
            </w:pPr>
            <w:r>
              <w:rPr>
                <w:rFonts w:hint="eastAsia" w:ascii="宋体" w:hAnsi="宋体" w:cs="宋体"/>
                <w:kern w:val="1"/>
                <w:sz w:val="24"/>
              </w:rPr>
              <w:t xml:space="preserve"> 　　</w:t>
            </w:r>
            <w:r>
              <w:rPr>
                <w:rFonts w:hint="eastAsia" w:ascii="宋体" w:hAnsi="宋体" w:cs="宋体"/>
                <w:kern w:val="1"/>
                <w:sz w:val="24"/>
                <w:u w:val="single"/>
              </w:rPr>
              <w:t>　　　　</w:t>
            </w:r>
            <w:r>
              <w:rPr>
                <w:rFonts w:hint="eastAsia" w:ascii="宋体" w:hAnsi="宋体" w:cs="宋体"/>
                <w:kern w:val="1"/>
                <w:sz w:val="24"/>
              </w:rPr>
              <w:t>现任我单位</w:t>
            </w:r>
            <w:r>
              <w:rPr>
                <w:rFonts w:hint="eastAsia" w:ascii="宋体" w:hAnsi="宋体" w:cs="宋体"/>
                <w:kern w:val="1"/>
                <w:sz w:val="24"/>
                <w:u w:val="single"/>
              </w:rPr>
              <w:t>　　　　　</w:t>
            </w:r>
            <w:r>
              <w:rPr>
                <w:rFonts w:hint="eastAsia" w:ascii="宋体" w:hAnsi="宋体" w:cs="宋体"/>
                <w:kern w:val="1"/>
                <w:sz w:val="24"/>
              </w:rPr>
              <w:t>职务，为法定代表人（负责人），特此证明。</w:t>
            </w:r>
          </w:p>
          <w:p>
            <w:pPr>
              <w:spacing w:line="360" w:lineRule="auto"/>
              <w:rPr>
                <w:rFonts w:hint="eastAsia" w:ascii="宋体" w:hAnsi="宋体" w:cs="宋体"/>
                <w:kern w:val="1"/>
                <w:sz w:val="24"/>
                <w:u w:val="single"/>
              </w:rPr>
            </w:pPr>
            <w:r>
              <w:rPr>
                <w:rFonts w:hint="eastAsia" w:ascii="宋体" w:hAnsi="宋体" w:cs="宋体"/>
                <w:kern w:val="1"/>
                <w:sz w:val="24"/>
              </w:rPr>
              <w:t>有效期限：</w:t>
            </w:r>
            <w:r>
              <w:rPr>
                <w:rFonts w:hint="eastAsia" w:ascii="宋体" w:hAnsi="宋体" w:cs="宋体"/>
                <w:kern w:val="1"/>
                <w:sz w:val="24"/>
                <w:u w:val="single"/>
              </w:rPr>
              <w:t xml:space="preserve">                                </w:t>
            </w:r>
          </w:p>
          <w:p>
            <w:pPr>
              <w:spacing w:line="360" w:lineRule="auto"/>
              <w:rPr>
                <w:rFonts w:hint="eastAsia" w:ascii="宋体" w:hAnsi="宋体" w:cs="宋体"/>
                <w:kern w:val="1"/>
                <w:sz w:val="24"/>
                <w:u w:val="single"/>
              </w:rPr>
            </w:pPr>
            <w:r>
              <w:rPr>
                <w:rFonts w:hint="eastAsia" w:ascii="宋体" w:hAnsi="宋体" w:cs="宋体"/>
                <w:kern w:val="1"/>
                <w:sz w:val="24"/>
              </w:rPr>
              <w:t>附：法定代表人（负责人）性别：</w:t>
            </w:r>
            <w:r>
              <w:rPr>
                <w:rFonts w:hint="eastAsia" w:ascii="宋体" w:hAnsi="宋体" w:cs="宋体"/>
                <w:kern w:val="1"/>
                <w:sz w:val="24"/>
                <w:u w:val="single"/>
              </w:rPr>
              <w:t>　　</w:t>
            </w:r>
            <w:r>
              <w:rPr>
                <w:rFonts w:hint="eastAsia" w:ascii="宋体" w:hAnsi="宋体" w:cs="宋体"/>
                <w:kern w:val="1"/>
                <w:sz w:val="24"/>
              </w:rPr>
              <w:t>年龄：</w:t>
            </w:r>
            <w:r>
              <w:rPr>
                <w:rFonts w:hint="eastAsia" w:ascii="宋体" w:hAnsi="宋体" w:cs="宋体"/>
                <w:kern w:val="1"/>
                <w:sz w:val="24"/>
                <w:u w:val="single"/>
              </w:rPr>
              <w:t>　　</w:t>
            </w:r>
            <w:r>
              <w:rPr>
                <w:rFonts w:hint="eastAsia" w:ascii="宋体" w:hAnsi="宋体" w:cs="宋体"/>
                <w:kern w:val="1"/>
                <w:sz w:val="24"/>
              </w:rPr>
              <w:t>身份证号码：</w:t>
            </w:r>
            <w:r>
              <w:rPr>
                <w:rFonts w:hint="eastAsia" w:ascii="宋体" w:hAnsi="宋体" w:cs="宋体"/>
                <w:kern w:val="1"/>
                <w:sz w:val="24"/>
                <w:u w:val="single"/>
              </w:rPr>
              <w:t xml:space="preserve">         </w:t>
            </w:r>
          </w:p>
          <w:p>
            <w:pPr>
              <w:spacing w:line="360" w:lineRule="auto"/>
              <w:rPr>
                <w:rFonts w:hint="eastAsia" w:ascii="宋体" w:hAnsi="宋体" w:cs="宋体"/>
                <w:kern w:val="1"/>
                <w:sz w:val="24"/>
                <w:u w:val="single"/>
              </w:rPr>
            </w:pPr>
            <w:r>
              <w:rPr>
                <w:rFonts w:hint="eastAsia" w:ascii="宋体" w:hAnsi="宋体" w:cs="宋体"/>
                <w:kern w:val="1"/>
                <w:sz w:val="24"/>
              </w:rPr>
              <w:t>注册号码：</w:t>
            </w:r>
            <w:r>
              <w:rPr>
                <w:rFonts w:hint="eastAsia" w:ascii="宋体" w:hAnsi="宋体" w:cs="宋体"/>
                <w:kern w:val="1"/>
                <w:sz w:val="24"/>
                <w:u w:val="single"/>
              </w:rPr>
              <w:t>　　　　　　　　　　</w:t>
            </w:r>
            <w:r>
              <w:rPr>
                <w:rFonts w:hint="eastAsia" w:ascii="宋体" w:hAnsi="宋体" w:cs="宋体"/>
                <w:kern w:val="1"/>
                <w:sz w:val="24"/>
              </w:rPr>
              <w:t>企业类型：</w:t>
            </w:r>
            <w:r>
              <w:rPr>
                <w:rFonts w:hint="eastAsia" w:ascii="宋体" w:hAnsi="宋体" w:cs="宋体"/>
                <w:kern w:val="1"/>
                <w:sz w:val="24"/>
                <w:u w:val="single"/>
              </w:rPr>
              <w:t xml:space="preserve">                   </w:t>
            </w:r>
          </w:p>
          <w:p>
            <w:pPr>
              <w:spacing w:line="360" w:lineRule="auto"/>
              <w:rPr>
                <w:rFonts w:hint="eastAsia" w:ascii="宋体" w:hAnsi="宋体" w:cs="宋体"/>
                <w:kern w:val="1"/>
                <w:sz w:val="24"/>
                <w:u w:val="single"/>
              </w:rPr>
            </w:pPr>
            <w:r>
              <w:rPr>
                <w:rFonts w:hint="eastAsia" w:ascii="宋体" w:hAnsi="宋体" w:cs="宋体"/>
                <w:kern w:val="1"/>
                <w:sz w:val="24"/>
              </w:rPr>
              <w:t>经营范围：</w:t>
            </w:r>
            <w:r>
              <w:rPr>
                <w:rFonts w:hint="eastAsia" w:ascii="宋体" w:hAnsi="宋体" w:cs="宋体"/>
                <w:kern w:val="1"/>
                <w:sz w:val="24"/>
                <w:u w:val="single"/>
              </w:rPr>
              <w:t xml:space="preserve">                          </w:t>
            </w:r>
          </w:p>
          <w:p>
            <w:pPr>
              <w:spacing w:line="360" w:lineRule="auto"/>
              <w:rPr>
                <w:rFonts w:hint="eastAsia" w:ascii="宋体" w:hAnsi="宋体" w:cs="宋体"/>
                <w:kern w:val="1"/>
                <w:sz w:val="24"/>
              </w:rPr>
            </w:pPr>
            <w:r>
              <w:rPr>
                <w:rFonts w:hint="eastAsia" w:ascii="宋体" w:hAnsi="宋体" w:cs="宋体"/>
                <w:kern w:val="1"/>
                <w:sz w:val="24"/>
                <w:u w:val="single"/>
              </w:rPr>
              <w:t>　　　　　　　　　　　　　　　　</w:t>
            </w:r>
            <w:r>
              <w:rPr>
                <w:rFonts w:hint="eastAsia" w:ascii="宋体" w:hAnsi="宋体" w:cs="宋体"/>
                <w:kern w:val="1"/>
                <w:sz w:val="24"/>
              </w:rPr>
              <w:t>单位：　　　　　　（盖章）</w:t>
            </w:r>
          </w:p>
          <w:p>
            <w:pPr>
              <w:spacing w:line="360" w:lineRule="auto"/>
              <w:rPr>
                <w:rFonts w:hint="eastAsia" w:ascii="宋体" w:hAnsi="宋体" w:cs="宋体"/>
                <w:kern w:val="1"/>
                <w:sz w:val="24"/>
                <w:u w:val="single"/>
              </w:rPr>
            </w:pPr>
            <w:r>
              <w:rPr>
                <w:rFonts w:hint="eastAsia" w:ascii="宋体" w:hAnsi="宋体" w:cs="宋体"/>
                <w:kern w:val="1"/>
                <w:sz w:val="24"/>
                <w:u w:val="single"/>
              </w:rPr>
              <w:t>　　　　　　　　　　　　　　　　</w:t>
            </w:r>
            <w:r>
              <w:rPr>
                <w:rFonts w:hint="eastAsia" w:ascii="宋体" w:hAnsi="宋体" w:cs="宋体"/>
                <w:kern w:val="1"/>
                <w:sz w:val="24"/>
              </w:rPr>
              <w:t>　　　　　    年　月　　日</w:t>
            </w:r>
          </w:p>
        </w:tc>
      </w:tr>
    </w:tbl>
    <w:p>
      <w:pPr>
        <w:spacing w:line="360" w:lineRule="auto"/>
        <w:rPr>
          <w:rFonts w:hint="eastAsia" w:ascii="宋体" w:hAnsi="宋体" w:cs="宋体"/>
          <w:kern w:val="1"/>
          <w:szCs w:val="21"/>
        </w:rPr>
      </w:pPr>
      <w:r>
        <w:rPr>
          <w:rFonts w:hint="eastAsia" w:ascii="宋体" w:hAnsi="宋体" w:cs="宋体"/>
          <w:kern w:val="1"/>
          <w:szCs w:val="21"/>
        </w:rPr>
        <w:t>注：1、法定代表人证明书也可以采用工商行政管理局统一印制的格式。</w:t>
      </w:r>
    </w:p>
    <w:p>
      <w:pPr>
        <w:spacing w:line="360" w:lineRule="auto"/>
        <w:ind w:firstLine="420" w:firstLineChars="200"/>
        <w:rPr>
          <w:rFonts w:hint="eastAsia" w:ascii="宋体" w:hAnsi="宋体" w:cs="宋体"/>
          <w:kern w:val="1"/>
          <w:szCs w:val="21"/>
        </w:rPr>
      </w:pPr>
      <w:r>
        <w:rPr>
          <w:rFonts w:hint="eastAsia" w:ascii="宋体" w:hAnsi="宋体" w:cs="宋体"/>
          <w:kern w:val="1"/>
          <w:szCs w:val="21"/>
        </w:rPr>
        <w:t>2、联合体投标的，本证明书由联合体主办方出具。</w:t>
      </w:r>
    </w:p>
    <w:p>
      <w:pPr>
        <w:spacing w:line="360" w:lineRule="auto"/>
        <w:ind w:firstLine="420" w:firstLineChars="200"/>
        <w:rPr>
          <w:rFonts w:hint="eastAsia" w:ascii="宋体" w:hAnsi="宋体" w:cs="宋体"/>
          <w:kern w:val="1"/>
          <w:szCs w:val="21"/>
        </w:rPr>
      </w:pPr>
      <w:r>
        <w:rPr>
          <w:rFonts w:hint="eastAsia" w:ascii="宋体" w:hAnsi="宋体" w:cs="宋体"/>
          <w:kern w:val="1"/>
          <w:szCs w:val="21"/>
        </w:rPr>
        <w:t>3、附法定代表人身份证扫描件（加盖</w:t>
      </w:r>
      <w:r>
        <w:rPr>
          <w:rFonts w:hint="eastAsia" w:cs="宋体"/>
          <w:kern w:val="1"/>
          <w:szCs w:val="21"/>
        </w:rPr>
        <w:t>电子印</w:t>
      </w:r>
      <w:r>
        <w:rPr>
          <w:rFonts w:hint="eastAsia" w:ascii="宋体" w:hAnsi="宋体" w:cs="宋体"/>
          <w:kern w:val="1"/>
          <w:szCs w:val="21"/>
        </w:rPr>
        <w:t>章）。</w:t>
      </w:r>
    </w:p>
    <w:p>
      <w:pPr>
        <w:spacing w:line="360" w:lineRule="auto"/>
        <w:ind w:firstLine="420" w:firstLineChars="200"/>
        <w:rPr>
          <w:rFonts w:hint="eastAsia" w:ascii="宋体" w:hAnsi="宋体" w:cs="宋体"/>
          <w:kern w:val="1"/>
          <w:szCs w:val="21"/>
        </w:rPr>
      </w:pPr>
    </w:p>
    <w:p>
      <w:pPr>
        <w:spacing w:line="360" w:lineRule="auto"/>
        <w:jc w:val="center"/>
        <w:rPr>
          <w:rFonts w:hint="eastAsia" w:ascii="宋体" w:hAnsi="宋体" w:cs="宋体"/>
          <w:b/>
          <w:kern w:val="1"/>
          <w:sz w:val="24"/>
        </w:rPr>
      </w:pPr>
      <w:r>
        <w:rPr>
          <w:rFonts w:hint="eastAsia" w:ascii="宋体" w:hAnsi="宋体" w:cs="宋体"/>
          <w:b/>
          <w:kern w:val="1"/>
          <w:sz w:val="24"/>
        </w:rPr>
        <w:t>法定代表人授权委托书</w:t>
      </w:r>
    </w:p>
    <w:p>
      <w:pPr>
        <w:spacing w:line="360" w:lineRule="auto"/>
        <w:jc w:val="right"/>
        <w:rPr>
          <w:rFonts w:hint="eastAsia" w:ascii="宋体" w:hAnsi="宋体" w:cs="宋体"/>
          <w:kern w:val="1"/>
          <w:sz w:val="24"/>
        </w:rPr>
      </w:pPr>
      <w:r>
        <w:rPr>
          <w:rFonts w:hint="eastAsia" w:ascii="宋体" w:hAnsi="宋体" w:cs="宋体"/>
          <w:kern w:val="1"/>
        </w:rPr>
        <w:t>（　 ）第　号</w:t>
      </w:r>
    </w:p>
    <w:tbl>
      <w:tblPr>
        <w:tblStyle w:val="42"/>
        <w:tblW w:w="5000" w:type="pct"/>
        <w:tblInd w:w="0" w:type="dxa"/>
        <w:tblLayout w:type="autofit"/>
        <w:tblCellMar>
          <w:top w:w="0" w:type="dxa"/>
          <w:left w:w="108" w:type="dxa"/>
          <w:bottom w:w="0" w:type="dxa"/>
          <w:right w:w="108" w:type="dxa"/>
        </w:tblCellMar>
      </w:tblPr>
      <w:tblGrid>
        <w:gridCol w:w="9241"/>
      </w:tblGrid>
      <w:tr>
        <w:tblPrEx>
          <w:tblCellMar>
            <w:top w:w="0" w:type="dxa"/>
            <w:left w:w="108" w:type="dxa"/>
            <w:bottom w:w="0" w:type="dxa"/>
            <w:right w:w="108" w:type="dxa"/>
          </w:tblCellMar>
        </w:tblPrEx>
        <w:tc>
          <w:tcPr>
            <w:tcW w:w="5000" w:type="pct"/>
            <w:tcBorders>
              <w:top w:val="single" w:color="000000" w:sz="4" w:space="0"/>
              <w:left w:val="single" w:color="000000" w:sz="4" w:space="0"/>
              <w:bottom w:val="single" w:color="000000" w:sz="4" w:space="0"/>
              <w:right w:val="single" w:color="000000" w:sz="4" w:space="0"/>
            </w:tcBorders>
          </w:tcPr>
          <w:p>
            <w:pPr>
              <w:spacing w:line="360" w:lineRule="auto"/>
              <w:ind w:firstLine="480"/>
              <w:rPr>
                <w:rFonts w:hint="eastAsia" w:ascii="宋体" w:hAnsi="宋体" w:cs="宋体"/>
                <w:kern w:val="1"/>
                <w:sz w:val="24"/>
                <w:u w:val="single"/>
              </w:rPr>
            </w:pPr>
            <w:r>
              <w:rPr>
                <w:rFonts w:hint="eastAsia" w:ascii="宋体" w:hAnsi="宋体" w:cs="宋体"/>
                <w:kern w:val="1"/>
                <w:sz w:val="24"/>
              </w:rPr>
              <w:t>兹授权</w:t>
            </w:r>
            <w:r>
              <w:rPr>
                <w:rFonts w:hint="eastAsia" w:ascii="宋体" w:hAnsi="宋体" w:cs="宋体"/>
                <w:kern w:val="1"/>
                <w:sz w:val="24"/>
                <w:u w:val="single"/>
              </w:rPr>
              <w:t xml:space="preserve">                </w:t>
            </w:r>
            <w:r>
              <w:rPr>
                <w:rFonts w:hint="eastAsia" w:ascii="宋体" w:hAnsi="宋体" w:cs="宋体"/>
                <w:kern w:val="1"/>
                <w:sz w:val="24"/>
              </w:rPr>
              <w:t>为我方委托代理人，其权限是：</w:t>
            </w:r>
            <w:r>
              <w:rPr>
                <w:rFonts w:hint="eastAsia" w:ascii="宋体" w:hAnsi="宋体" w:cs="宋体"/>
                <w:kern w:val="1"/>
                <w:sz w:val="24"/>
                <w:u w:val="single"/>
              </w:rPr>
              <w:t xml:space="preserve">        </w:t>
            </w:r>
          </w:p>
          <w:p>
            <w:pPr>
              <w:spacing w:line="360" w:lineRule="auto"/>
              <w:rPr>
                <w:rFonts w:hint="eastAsia" w:ascii="宋体" w:hAnsi="宋体" w:cs="宋体"/>
                <w:kern w:val="1"/>
                <w:sz w:val="24"/>
                <w:u w:val="single"/>
              </w:rPr>
            </w:pPr>
            <w:r>
              <w:rPr>
                <w:rFonts w:hint="eastAsia" w:ascii="宋体" w:hAnsi="宋体" w:cs="宋体"/>
                <w:kern w:val="1"/>
                <w:sz w:val="24"/>
                <w:u w:val="single"/>
              </w:rPr>
              <w:t xml:space="preserve">                                                              </w:t>
            </w:r>
          </w:p>
          <w:p>
            <w:pPr>
              <w:spacing w:line="360" w:lineRule="auto"/>
              <w:rPr>
                <w:rFonts w:hint="eastAsia" w:ascii="宋体" w:hAnsi="宋体" w:cs="宋体"/>
                <w:kern w:val="1"/>
                <w:sz w:val="24"/>
                <w:u w:val="single"/>
              </w:rPr>
            </w:pPr>
            <w:r>
              <w:rPr>
                <w:rFonts w:hint="eastAsia" w:ascii="宋体" w:hAnsi="宋体" w:cs="宋体"/>
                <w:kern w:val="1"/>
                <w:sz w:val="24"/>
              </w:rPr>
              <w:t>有效期限：</w:t>
            </w:r>
            <w:r>
              <w:rPr>
                <w:rFonts w:hint="eastAsia" w:ascii="宋体" w:hAnsi="宋体" w:cs="宋体"/>
                <w:kern w:val="1"/>
                <w:sz w:val="24"/>
                <w:u w:val="single"/>
              </w:rPr>
              <w:t xml:space="preserve">                                                      </w:t>
            </w:r>
          </w:p>
          <w:p>
            <w:pPr>
              <w:spacing w:line="360" w:lineRule="auto"/>
              <w:rPr>
                <w:rFonts w:hint="eastAsia" w:ascii="宋体" w:hAnsi="宋体" w:cs="宋体"/>
                <w:kern w:val="1"/>
                <w:sz w:val="24"/>
              </w:rPr>
            </w:pPr>
            <w:r>
              <w:rPr>
                <w:rFonts w:hint="eastAsia" w:ascii="宋体" w:hAnsi="宋体" w:cs="宋体"/>
                <w:kern w:val="1"/>
                <w:sz w:val="24"/>
              </w:rPr>
              <w:t>附：代理人性别：</w:t>
            </w:r>
            <w:r>
              <w:rPr>
                <w:rFonts w:hint="eastAsia" w:ascii="宋体" w:hAnsi="宋体" w:cs="宋体"/>
                <w:kern w:val="1"/>
                <w:sz w:val="24"/>
                <w:u w:val="single"/>
              </w:rPr>
              <w:t xml:space="preserve">     </w:t>
            </w:r>
            <w:r>
              <w:rPr>
                <w:rFonts w:hint="eastAsia" w:ascii="宋体" w:hAnsi="宋体" w:cs="宋体"/>
                <w:kern w:val="1"/>
                <w:sz w:val="24"/>
              </w:rPr>
              <w:t>年龄：</w:t>
            </w:r>
            <w:r>
              <w:rPr>
                <w:rFonts w:hint="eastAsia" w:ascii="宋体" w:hAnsi="宋体" w:cs="宋体"/>
                <w:kern w:val="1"/>
                <w:sz w:val="24"/>
                <w:u w:val="single"/>
              </w:rPr>
              <w:t xml:space="preserve">     </w:t>
            </w:r>
            <w:r>
              <w:rPr>
                <w:rFonts w:hint="eastAsia" w:ascii="宋体" w:hAnsi="宋体" w:cs="宋体"/>
                <w:kern w:val="1"/>
                <w:sz w:val="24"/>
              </w:rPr>
              <w:t>身份证号码：</w:t>
            </w:r>
            <w:r>
              <w:rPr>
                <w:rFonts w:hint="eastAsia" w:ascii="宋体" w:hAnsi="宋体" w:cs="宋体"/>
                <w:kern w:val="1"/>
                <w:sz w:val="24"/>
                <w:u w:val="single"/>
              </w:rPr>
              <w:t xml:space="preserve">                    </w:t>
            </w:r>
          </w:p>
          <w:p>
            <w:pPr>
              <w:spacing w:line="360" w:lineRule="auto"/>
              <w:rPr>
                <w:rFonts w:hint="eastAsia" w:ascii="宋体" w:hAnsi="宋体" w:cs="宋体"/>
                <w:kern w:val="1"/>
                <w:sz w:val="24"/>
                <w:u w:val="single"/>
              </w:rPr>
            </w:pPr>
            <w:r>
              <w:rPr>
                <w:rFonts w:hint="eastAsia" w:ascii="宋体" w:hAnsi="宋体" w:cs="宋体"/>
                <w:kern w:val="1"/>
                <w:sz w:val="24"/>
              </w:rPr>
              <w:t>注册号码：</w:t>
            </w:r>
            <w:r>
              <w:rPr>
                <w:rFonts w:hint="eastAsia" w:ascii="宋体" w:hAnsi="宋体" w:cs="宋体"/>
                <w:kern w:val="1"/>
                <w:sz w:val="24"/>
                <w:u w:val="single"/>
              </w:rPr>
              <w:t xml:space="preserve">                  </w:t>
            </w:r>
            <w:r>
              <w:rPr>
                <w:rFonts w:hint="eastAsia" w:ascii="宋体" w:hAnsi="宋体" w:cs="宋体"/>
                <w:kern w:val="1"/>
                <w:sz w:val="24"/>
              </w:rPr>
              <w:t>企业类型：</w:t>
            </w:r>
            <w:r>
              <w:rPr>
                <w:rFonts w:hint="eastAsia" w:ascii="宋体" w:hAnsi="宋体" w:cs="宋体"/>
                <w:kern w:val="1"/>
                <w:sz w:val="24"/>
                <w:u w:val="single"/>
              </w:rPr>
              <w:t xml:space="preserve">                      </w:t>
            </w:r>
          </w:p>
          <w:p>
            <w:pPr>
              <w:spacing w:line="360" w:lineRule="auto"/>
              <w:rPr>
                <w:rFonts w:hint="eastAsia" w:ascii="宋体" w:hAnsi="宋体" w:cs="宋体"/>
                <w:kern w:val="1"/>
                <w:sz w:val="24"/>
                <w:u w:val="single"/>
              </w:rPr>
            </w:pPr>
            <w:r>
              <w:rPr>
                <w:rFonts w:hint="eastAsia" w:ascii="宋体" w:hAnsi="宋体" w:cs="宋体"/>
                <w:kern w:val="1"/>
                <w:sz w:val="24"/>
              </w:rPr>
              <w:t>经营范围：</w:t>
            </w:r>
            <w:r>
              <w:rPr>
                <w:rFonts w:hint="eastAsia" w:ascii="宋体" w:hAnsi="宋体" w:cs="宋体"/>
                <w:kern w:val="1"/>
                <w:sz w:val="24"/>
                <w:u w:val="single"/>
              </w:rPr>
              <w:t xml:space="preserve">                                                  </w:t>
            </w:r>
          </w:p>
          <w:p>
            <w:pPr>
              <w:spacing w:line="360" w:lineRule="auto"/>
              <w:rPr>
                <w:rFonts w:hint="eastAsia" w:ascii="宋体" w:hAnsi="宋体" w:cs="宋体"/>
                <w:kern w:val="1"/>
                <w:sz w:val="24"/>
              </w:rPr>
            </w:pPr>
            <w:r>
              <w:rPr>
                <w:rFonts w:hint="eastAsia" w:ascii="宋体" w:hAnsi="宋体" w:cs="宋体"/>
                <w:kern w:val="1"/>
                <w:sz w:val="24"/>
              </w:rPr>
              <w:t>法定代表人（负责人）：</w:t>
            </w:r>
            <w:r>
              <w:rPr>
                <w:rFonts w:hint="eastAsia" w:ascii="宋体" w:hAnsi="宋体" w:cs="宋体"/>
                <w:kern w:val="1"/>
                <w:sz w:val="24"/>
                <w:u w:val="single"/>
              </w:rPr>
              <w:t xml:space="preserve">                 </w:t>
            </w:r>
            <w:r>
              <w:rPr>
                <w:rFonts w:hint="eastAsia" w:ascii="宋体" w:hAnsi="宋体" w:cs="宋体"/>
                <w:kern w:val="1"/>
                <w:sz w:val="24"/>
              </w:rPr>
              <w:t>（签字或盖章）</w:t>
            </w:r>
          </w:p>
          <w:p>
            <w:pPr>
              <w:spacing w:line="360" w:lineRule="auto"/>
              <w:rPr>
                <w:rFonts w:hint="eastAsia" w:ascii="宋体" w:hAnsi="宋体" w:cs="宋体"/>
                <w:kern w:val="1"/>
                <w:sz w:val="24"/>
              </w:rPr>
            </w:pPr>
            <w:r>
              <w:rPr>
                <w:rFonts w:hint="eastAsia" w:ascii="宋体" w:hAnsi="宋体" w:cs="宋体"/>
                <w:kern w:val="1"/>
                <w:sz w:val="24"/>
              </w:rPr>
              <w:t>授权单位：（盖章）</w:t>
            </w:r>
            <w:r>
              <w:rPr>
                <w:rFonts w:hint="eastAsia" w:ascii="宋体" w:hAnsi="宋体" w:cs="宋体"/>
                <w:kern w:val="1"/>
                <w:sz w:val="24"/>
                <w:u w:val="single"/>
              </w:rPr>
              <w:t xml:space="preserve">                     </w:t>
            </w:r>
            <w:r>
              <w:rPr>
                <w:rFonts w:hint="eastAsia" w:ascii="宋体" w:hAnsi="宋体" w:cs="宋体"/>
                <w:kern w:val="1"/>
                <w:sz w:val="24"/>
              </w:rPr>
              <w:t xml:space="preserve"> </w:t>
            </w:r>
          </w:p>
          <w:p>
            <w:pPr>
              <w:spacing w:line="360" w:lineRule="auto"/>
              <w:rPr>
                <w:rFonts w:hint="eastAsia" w:ascii="宋体" w:hAnsi="宋体" w:cs="宋体"/>
                <w:kern w:val="1"/>
                <w:sz w:val="24"/>
              </w:rPr>
            </w:pPr>
            <w:r>
              <w:rPr>
                <w:rFonts w:hint="eastAsia" w:ascii="宋体" w:hAnsi="宋体" w:cs="宋体"/>
                <w:kern w:val="1"/>
                <w:sz w:val="24"/>
              </w:rPr>
              <w:t>年  月   日</w:t>
            </w:r>
          </w:p>
        </w:tc>
      </w:tr>
    </w:tbl>
    <w:p>
      <w:pPr>
        <w:spacing w:line="360" w:lineRule="auto"/>
        <w:rPr>
          <w:rFonts w:hint="eastAsia" w:ascii="宋体" w:hAnsi="宋体" w:cs="宋体"/>
          <w:kern w:val="1"/>
          <w:szCs w:val="21"/>
        </w:rPr>
      </w:pPr>
      <w:r>
        <w:rPr>
          <w:rFonts w:hint="eastAsia" w:ascii="宋体" w:hAnsi="宋体" w:cs="宋体"/>
          <w:kern w:val="1"/>
          <w:szCs w:val="21"/>
        </w:rPr>
        <w:t>注：1、法定代表人授权委托书也可以采用工商行政管理局统一印制的格式。</w:t>
      </w:r>
    </w:p>
    <w:p>
      <w:pPr>
        <w:numPr>
          <w:ilvl w:val="0"/>
          <w:numId w:val="6"/>
        </w:numPr>
        <w:spacing w:line="360" w:lineRule="auto"/>
        <w:ind w:firstLine="426"/>
        <w:rPr>
          <w:rFonts w:hint="eastAsia" w:ascii="宋体" w:hAnsi="宋体" w:cs="宋体"/>
          <w:kern w:val="1"/>
          <w:szCs w:val="21"/>
        </w:rPr>
      </w:pPr>
      <w:r>
        <w:rPr>
          <w:rFonts w:hint="eastAsia" w:ascii="宋体" w:hAnsi="宋体" w:cs="宋体"/>
          <w:kern w:val="1"/>
          <w:szCs w:val="21"/>
        </w:rPr>
        <w:t>联合体投标的，本授权书由联合体主办方出具，并由联合体主办方签字、盖章即可。</w:t>
      </w:r>
    </w:p>
    <w:p>
      <w:pPr>
        <w:pStyle w:val="24"/>
        <w:ind w:firstLine="420" w:firstLineChars="200"/>
        <w:rPr>
          <w:rFonts w:hint="eastAsia" w:cs="宋体"/>
          <w:kern w:val="1"/>
          <w:szCs w:val="21"/>
        </w:rPr>
      </w:pPr>
      <w:r>
        <w:rPr>
          <w:rFonts w:hint="eastAsia" w:cs="宋体"/>
          <w:kern w:val="1"/>
          <w:szCs w:val="21"/>
        </w:rPr>
        <w:t>3、附委托代理人身份证扫描件（加盖电子印章）</w:t>
      </w:r>
    </w:p>
    <w:p>
      <w:pPr>
        <w:pStyle w:val="142"/>
        <w:spacing w:beforeLines="0" w:afterLines="0" w:line="360" w:lineRule="auto"/>
        <w:rPr>
          <w:rFonts w:hint="eastAsia" w:ascii="宋体" w:eastAsia="宋体" w:cs="宋体"/>
        </w:rPr>
      </w:pPr>
      <w:r>
        <w:rPr>
          <w:rFonts w:hint="eastAsia" w:cs="宋体"/>
          <w:kern w:val="1"/>
          <w:szCs w:val="21"/>
        </w:rPr>
        <w:br w:type="page"/>
      </w:r>
      <w:r>
        <w:rPr>
          <w:rFonts w:hint="eastAsia" w:ascii="宋体" w:eastAsia="宋体" w:cs="宋体"/>
        </w:rPr>
        <w:t>格式八：设计投标文件封面</w:t>
      </w:r>
    </w:p>
    <w:p>
      <w:pPr>
        <w:pStyle w:val="112"/>
        <w:ind w:firstLine="496"/>
        <w:rPr>
          <w:rFonts w:hint="eastAsia" w:ascii="宋体" w:hAnsi="宋体" w:cs="宋体"/>
        </w:rPr>
      </w:pPr>
    </w:p>
    <w:p>
      <w:pPr>
        <w:pStyle w:val="112"/>
        <w:ind w:firstLine="496"/>
        <w:rPr>
          <w:rFonts w:hint="eastAsia" w:ascii="宋体" w:hAnsi="宋体" w:cs="宋体"/>
        </w:rPr>
      </w:pPr>
    </w:p>
    <w:p>
      <w:pPr>
        <w:pStyle w:val="112"/>
        <w:ind w:firstLine="496"/>
        <w:rPr>
          <w:rFonts w:hint="eastAsia" w:ascii="宋体" w:hAnsi="宋体" w:cs="宋体"/>
        </w:rPr>
      </w:pPr>
    </w:p>
    <w:p>
      <w:pPr>
        <w:pStyle w:val="115"/>
        <w:rPr>
          <w:rFonts w:hint="eastAsia" w:ascii="宋体" w:hAnsi="宋体" w:eastAsia="宋体" w:cs="宋体"/>
          <w:b w:val="0"/>
          <w:sz w:val="52"/>
          <w:szCs w:val="52"/>
          <w:u w:val="single"/>
        </w:rPr>
      </w:pPr>
      <w:r>
        <w:rPr>
          <w:rFonts w:hint="eastAsia" w:ascii="宋体" w:hAnsi="宋体" w:eastAsia="宋体" w:cs="宋体"/>
          <w:b w:val="0"/>
          <w:sz w:val="52"/>
          <w:szCs w:val="52"/>
          <w:u w:val="single"/>
        </w:rPr>
        <w:t xml:space="preserve">[工程名称] </w:t>
      </w:r>
    </w:p>
    <w:p>
      <w:pPr>
        <w:pStyle w:val="112"/>
        <w:ind w:firstLine="496"/>
        <w:rPr>
          <w:rFonts w:hint="eastAsia" w:ascii="宋体" w:hAnsi="宋体" w:cs="宋体"/>
        </w:rPr>
      </w:pPr>
    </w:p>
    <w:p>
      <w:pPr>
        <w:pStyle w:val="112"/>
        <w:ind w:firstLine="496"/>
        <w:rPr>
          <w:rFonts w:hint="eastAsia" w:ascii="宋体" w:hAnsi="宋体" w:cs="宋体"/>
        </w:rPr>
      </w:pPr>
    </w:p>
    <w:p>
      <w:pPr>
        <w:pStyle w:val="112"/>
        <w:ind w:firstLine="496"/>
        <w:rPr>
          <w:rFonts w:hint="eastAsia" w:ascii="宋体" w:hAnsi="宋体" w:cs="宋体"/>
        </w:rPr>
      </w:pPr>
    </w:p>
    <w:p>
      <w:pPr>
        <w:pStyle w:val="112"/>
        <w:ind w:firstLine="496"/>
        <w:rPr>
          <w:rFonts w:hint="eastAsia" w:ascii="宋体" w:hAnsi="宋体" w:cs="宋体"/>
        </w:rPr>
      </w:pPr>
    </w:p>
    <w:p>
      <w:pPr>
        <w:pStyle w:val="164"/>
        <w:rPr>
          <w:rFonts w:hint="eastAsia" w:ascii="宋体" w:hAnsi="宋体" w:eastAsia="宋体" w:cs="宋体"/>
          <w:b w:val="0"/>
        </w:rPr>
      </w:pPr>
      <w:r>
        <w:rPr>
          <w:rFonts w:hint="eastAsia" w:ascii="宋体" w:hAnsi="宋体" w:eastAsia="宋体" w:cs="宋体"/>
          <w:b w:val="0"/>
        </w:rPr>
        <w:t>投标文件</w:t>
      </w:r>
    </w:p>
    <w:p>
      <w:pPr>
        <w:pStyle w:val="112"/>
        <w:ind w:firstLine="656"/>
        <w:jc w:val="center"/>
        <w:rPr>
          <w:rFonts w:hint="eastAsia" w:ascii="宋体" w:hAnsi="宋体" w:cs="宋体"/>
          <w:sz w:val="32"/>
          <w:szCs w:val="32"/>
        </w:rPr>
      </w:pPr>
      <w:r>
        <w:rPr>
          <w:rFonts w:hint="eastAsia" w:ascii="宋体" w:hAnsi="宋体" w:cs="宋体"/>
          <w:sz w:val="32"/>
          <w:szCs w:val="32"/>
        </w:rPr>
        <w:t>设计</w:t>
      </w:r>
    </w:p>
    <w:p>
      <w:pPr>
        <w:pStyle w:val="112"/>
        <w:ind w:firstLine="496"/>
        <w:rPr>
          <w:rFonts w:hint="eastAsia" w:ascii="宋体" w:hAnsi="宋体" w:cs="宋体"/>
        </w:rPr>
      </w:pPr>
    </w:p>
    <w:p>
      <w:pPr>
        <w:pStyle w:val="112"/>
        <w:ind w:firstLine="496"/>
        <w:rPr>
          <w:rFonts w:hint="eastAsia" w:ascii="宋体" w:hAnsi="宋体" w:cs="宋体"/>
        </w:rPr>
      </w:pPr>
    </w:p>
    <w:p>
      <w:pPr>
        <w:pStyle w:val="112"/>
        <w:ind w:firstLine="496"/>
        <w:rPr>
          <w:rFonts w:hint="eastAsia" w:ascii="宋体" w:hAnsi="宋体" w:cs="宋体"/>
        </w:rPr>
      </w:pPr>
    </w:p>
    <w:p>
      <w:pPr>
        <w:pStyle w:val="159"/>
        <w:ind w:firstLine="656"/>
        <w:rPr>
          <w:rFonts w:hint="eastAsia" w:ascii="宋体" w:hAnsi="宋体" w:eastAsia="宋体" w:cs="宋体"/>
          <w:sz w:val="32"/>
          <w:szCs w:val="32"/>
        </w:rPr>
      </w:pPr>
      <w:r>
        <w:rPr>
          <w:rFonts w:hint="eastAsia" w:ascii="宋体" w:hAnsi="宋体" w:eastAsia="宋体" w:cs="宋体"/>
          <w:sz w:val="32"/>
          <w:szCs w:val="32"/>
        </w:rPr>
        <w:t>投标人：</w:t>
      </w:r>
      <w:r>
        <w:rPr>
          <w:rFonts w:hint="eastAsia" w:ascii="宋体" w:hAnsi="宋体" w:eastAsia="宋体" w:cs="宋体"/>
          <w:sz w:val="32"/>
          <w:szCs w:val="32"/>
          <w:u w:val="single"/>
        </w:rPr>
        <w:t xml:space="preserve">    （填写投标人单位名称）    （盖章）</w:t>
      </w:r>
    </w:p>
    <w:p>
      <w:pPr>
        <w:pStyle w:val="159"/>
        <w:ind w:firstLine="656"/>
        <w:rPr>
          <w:rFonts w:hint="eastAsia" w:ascii="宋体" w:hAnsi="宋体" w:eastAsia="宋体" w:cs="宋体"/>
          <w:sz w:val="32"/>
          <w:szCs w:val="32"/>
        </w:rPr>
      </w:pPr>
      <w:r>
        <w:rPr>
          <w:rFonts w:hint="eastAsia" w:ascii="宋体" w:hAnsi="宋体" w:eastAsia="宋体" w:cs="宋体"/>
          <w:sz w:val="32"/>
          <w:szCs w:val="32"/>
        </w:rPr>
        <w:t>法定代表人或</w:t>
      </w:r>
    </w:p>
    <w:p>
      <w:pPr>
        <w:pStyle w:val="159"/>
        <w:ind w:firstLine="656"/>
        <w:rPr>
          <w:rFonts w:hint="eastAsia" w:ascii="宋体" w:hAnsi="宋体" w:eastAsia="宋体" w:cs="宋体"/>
          <w:sz w:val="32"/>
          <w:szCs w:val="32"/>
        </w:rPr>
      </w:pPr>
      <w:r>
        <w:rPr>
          <w:rFonts w:hint="eastAsia" w:ascii="宋体" w:hAnsi="宋体" w:eastAsia="宋体" w:cs="宋体"/>
          <w:sz w:val="32"/>
          <w:szCs w:val="32"/>
        </w:rPr>
        <w:t>其委托代理人：</w:t>
      </w:r>
      <w:r>
        <w:rPr>
          <w:rFonts w:hint="eastAsia" w:ascii="宋体" w:hAnsi="宋体" w:eastAsia="宋体" w:cs="宋体"/>
          <w:sz w:val="32"/>
          <w:szCs w:val="32"/>
          <w:u w:val="single"/>
        </w:rPr>
        <w:t xml:space="preserve">                  （签字或盖章）</w:t>
      </w:r>
    </w:p>
    <w:p>
      <w:pPr>
        <w:pStyle w:val="24"/>
        <w:ind w:firstLine="640" w:firstLineChars="200"/>
      </w:pPr>
      <w:r>
        <w:rPr>
          <w:rFonts w:hint="eastAsia" w:hAnsi="宋体" w:cs="宋体"/>
          <w:sz w:val="32"/>
          <w:szCs w:val="32"/>
        </w:rPr>
        <w:t xml:space="preserve">日  期：                                       </w:t>
      </w:r>
    </w:p>
    <w:p/>
    <w:p/>
    <w:sectPr>
      <w:pgSz w:w="11905" w:h="16838"/>
      <w:pgMar w:top="1440" w:right="1440" w:bottom="1440" w:left="144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MingLiU">
    <w:altName w:val="PMingLiU-ExtB"/>
    <w:panose1 w:val="02010609000101010101"/>
    <w:charset w:val="88"/>
    <w:family w:val="modern"/>
    <w:pitch w:val="default"/>
    <w:sig w:usb0="00000000" w:usb1="00000000" w:usb2="00000010" w:usb3="00000000" w:csb0="0010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262890"/>
              <wp:effectExtent l="0" t="0" r="0" b="0"/>
              <wp:wrapNone/>
              <wp:docPr id="4" name="文本框 1033"/>
              <wp:cNvGraphicFramePr/>
              <a:graphic xmlns:a="http://schemas.openxmlformats.org/drawingml/2006/main">
                <a:graphicData uri="http://schemas.microsoft.com/office/word/2010/wordprocessingShape">
                  <wps:wsp>
                    <wps:cNvSpPr txBox="1">
                      <a:spLocks noChangeArrowheads="1"/>
                    </wps:cNvSpPr>
                    <wps:spPr bwMode="auto">
                      <a:xfrm>
                        <a:off x="0" y="0"/>
                        <a:ext cx="114935" cy="262890"/>
                      </a:xfrm>
                      <a:prstGeom prst="rect">
                        <a:avLst/>
                      </a:prstGeom>
                      <a:noFill/>
                      <a:ln>
                        <a:noFill/>
                      </a:ln>
                    </wps:spPr>
                    <wps:txbx>
                      <w:txbxContent>
                        <w:p>
                          <w:pPr>
                            <w:pStyle w:val="29"/>
                            <w:rPr>
                              <w:rFonts w:hint="eastAsia"/>
                            </w:rPr>
                          </w:pPr>
                        </w:p>
                        <w:p>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38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033" o:spid="_x0000_s1026" o:spt="202" type="#_x0000_t202" style="position:absolute;left:0pt;margin-top:0pt;height:20.7pt;width:9.05pt;mso-position-horizontal:center;mso-position-horizontal-relative:margin;mso-wrap-style:none;z-index:251662336;mso-width-relative:page;mso-height-relative:page;" filled="f" stroked="f" coordsize="21600,21600" o:gfxdata="UEsDBAoAAAAAAIdO4kAAAAAAAAAAAAAAAAAEAAAAZHJzL1BLAwQUAAAACACHTuJAal1yed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pdcnnQAAAAAwEAAA8AAAAAAAAAAQAgAAAAIgAAAGRy&#10;cy9kb3ducmV2LnhtbFBLAQIUABQAAAAIAIdO4kDoKpeeDQIAAAUEAAAOAAAAAAAAAAEAIAAAAB8B&#10;AABkcnMvZTJvRG9jLnhtbFBLBQYAAAAABgAGAFkBAACeBQAAAAA=&#10;">
              <v:fill on="f" focussize="0,0"/>
              <v:stroke on="f"/>
              <v:imagedata o:title=""/>
              <o:lock v:ext="edit" aspectratio="f"/>
              <v:textbox inset="0mm,0mm,0mm,0mm" style="mso-fit-shape-to-text:t;">
                <w:txbxContent>
                  <w:p>
                    <w:pPr>
                      <w:pStyle w:val="29"/>
                      <w:rPr>
                        <w:rFonts w:hint="eastAsia"/>
                      </w:rPr>
                    </w:pPr>
                  </w:p>
                  <w:p>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38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028"/>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42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028"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&#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PlfknQAAAAAwEAAA8AAAAAAAAAAQAgAAAAIgAAAGRy&#10;cy9kb3ducmV2LnhtbFBLAQIUABQAAAAIAIdO4kBfJleKDQIAAAUEAAAOAAAAAAAAAAEAIAAAAB8B&#10;AABkcnMvZTJvRG9jLnhtbFBLBQYAAAAABgAGAFkBAACeBQAAAAA=&#10;">
              <v:fill on="f" focussize="0,0"/>
              <v:stroke on="f"/>
              <v:imagedata o:title=""/>
              <o:lock v:ext="edit" aspectratio="f"/>
              <v:textbox inset="0mm,0mm,0mm,0mm" style="mso-fit-shape-to-text:t;">
                <w:txbxContent>
                  <w:p>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42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03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54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03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BbXyggsCAAAFBAAADgAAAAAAAAABACAAAAAfAQAA&#10;ZHJzL2Uyb0RvYy54bWxQSwUGAAAAAAYABgBZAQAAnAUAAAAA&#10;">
              <v:fill on="f" focussize="0,0"/>
              <v:stroke on="f"/>
              <v:imagedata o:title=""/>
              <o:lock v:ext="edit" aspectratio="f"/>
              <v:textbox inset="0mm,0mm,0mm,0mm" style="mso-fit-shape-to-text:t;">
                <w:txbxContent>
                  <w:p>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54</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67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03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V+SdAAAAADAQAADwAAAAAAAAABACAAAAAiAAAAZHJz&#10;L2Rvd25yZXYueG1sUEsBAhQAFAAAAAgAh07iQHtdOv0MAgAABQQAAA4AAAAAAAAAAQAgAAAAHwEA&#10;AGRycy9lMm9Eb2MueG1sUEsFBgAAAAAGAAYAWQEAAJ0FAAAAAA==&#10;">
              <v:fill on="f" focussize="0,0"/>
              <v:stroke on="f"/>
              <v:imagedata o:title=""/>
              <o:lock v:ext="edit" aspectratio="f"/>
              <v:textbox inset="0mm,0mm,0mm,0mm" style="mso-fit-shape-to-text:t;">
                <w:txbxContent>
                  <w:p>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67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3240"/>
      </w:tabs>
      <w:kinsoku w:val="0"/>
      <w:overflowPunct w:val="0"/>
      <w:spacing w:line="14" w:lineRule="auto"/>
      <w:rPr>
        <w:sz w:val="20"/>
      </w:rPr>
    </w:pPr>
    <w:r>
      <w:rPr>
        <w:rFonts w:hint="eastAsia"/>
        <w:sz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3240"/>
      </w:tabs>
      <w:kinsoku w:val="0"/>
      <w:overflowPunct w:val="0"/>
      <w:spacing w:line="14" w:lineRule="auto"/>
      <w:rPr>
        <w:sz w:val="20"/>
      </w:rPr>
    </w:pPr>
    <w:r>
      <w:rPr>
        <w:rFonts w:hint="eastAsia"/>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8A302"/>
    <w:multiLevelType w:val="singleLevel"/>
    <w:tmpl w:val="F778A302"/>
    <w:lvl w:ilvl="0" w:tentative="0">
      <w:start w:val="1"/>
      <w:numFmt w:val="decimal"/>
      <w:suff w:val="nothing"/>
      <w:lvlText w:val="（%1）"/>
      <w:lvlJc w:val="left"/>
    </w:lvl>
  </w:abstractNum>
  <w:abstractNum w:abstractNumId="1">
    <w:nsid w:val="1477474E"/>
    <w:multiLevelType w:val="singleLevel"/>
    <w:tmpl w:val="1477474E"/>
    <w:lvl w:ilvl="0" w:tentative="0">
      <w:start w:val="4"/>
      <w:numFmt w:val="chineseCounting"/>
      <w:suff w:val="space"/>
      <w:lvlText w:val="第%1章"/>
      <w:lvlJc w:val="left"/>
      <w:rPr>
        <w:rFonts w:hint="eastAsia"/>
      </w:rPr>
    </w:lvl>
  </w:abstractNum>
  <w:abstractNum w:abstractNumId="2">
    <w:nsid w:val="22607BF1"/>
    <w:multiLevelType w:val="multilevel"/>
    <w:tmpl w:val="22607BF1"/>
    <w:lvl w:ilvl="0" w:tentative="0">
      <w:start w:val="1"/>
      <w:numFmt w:val="decimal"/>
      <w:lvlText w:val="（%1）"/>
      <w:lvlJc w:val="left"/>
      <w:pPr>
        <w:ind w:left="1080" w:hanging="720"/>
      </w:pPr>
      <w:rPr>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5ADF538E"/>
    <w:multiLevelType w:val="singleLevel"/>
    <w:tmpl w:val="5ADF538E"/>
    <w:lvl w:ilvl="0" w:tentative="0">
      <w:start w:val="2"/>
      <w:numFmt w:val="decimal"/>
      <w:suff w:val="nothing"/>
      <w:lvlText w:val="%1、"/>
      <w:lvlJc w:val="left"/>
    </w:lvl>
  </w:abstractNum>
  <w:abstractNum w:abstractNumId="4">
    <w:nsid w:val="5DA30922"/>
    <w:multiLevelType w:val="multilevel"/>
    <w:tmpl w:val="5DA30922"/>
    <w:lvl w:ilvl="0" w:tentative="0">
      <w:start w:val="1"/>
      <w:numFmt w:val="decimal"/>
      <w:pStyle w:val="134"/>
      <w:suff w:val="nothing"/>
      <w:lvlText w:val="%1."/>
      <w:lvlJc w:val="left"/>
      <w:pPr>
        <w:ind w:left="0" w:firstLine="0"/>
      </w:pPr>
      <w:rPr>
        <w:rFonts w:hint="eastAsia"/>
      </w:rPr>
    </w:lvl>
    <w:lvl w:ilvl="1" w:tentative="0">
      <w:start w:val="1"/>
      <w:numFmt w:val="lowerLetter"/>
      <w:lvlText w:val="%2)"/>
      <w:lvlJc w:val="left"/>
      <w:pPr>
        <w:ind w:left="1396" w:hanging="420"/>
      </w:pPr>
    </w:lvl>
    <w:lvl w:ilvl="2" w:tentative="0">
      <w:start w:val="1"/>
      <w:numFmt w:val="lowerRoman"/>
      <w:lvlText w:val="%3."/>
      <w:lvlJc w:val="right"/>
      <w:pPr>
        <w:ind w:left="1816" w:hanging="420"/>
      </w:pPr>
    </w:lvl>
    <w:lvl w:ilvl="3" w:tentative="0">
      <w:start w:val="1"/>
      <w:numFmt w:val="decimal"/>
      <w:lvlText w:val="%4."/>
      <w:lvlJc w:val="left"/>
      <w:pPr>
        <w:ind w:left="2236" w:hanging="420"/>
      </w:pPr>
    </w:lvl>
    <w:lvl w:ilvl="4" w:tentative="0">
      <w:start w:val="1"/>
      <w:numFmt w:val="lowerLetter"/>
      <w:lvlText w:val="%5)"/>
      <w:lvlJc w:val="left"/>
      <w:pPr>
        <w:ind w:left="2656" w:hanging="420"/>
      </w:pPr>
    </w:lvl>
    <w:lvl w:ilvl="5" w:tentative="0">
      <w:start w:val="1"/>
      <w:numFmt w:val="lowerRoman"/>
      <w:lvlText w:val="%6."/>
      <w:lvlJc w:val="right"/>
      <w:pPr>
        <w:ind w:left="3076" w:hanging="420"/>
      </w:pPr>
    </w:lvl>
    <w:lvl w:ilvl="6" w:tentative="0">
      <w:start w:val="1"/>
      <w:numFmt w:val="decimal"/>
      <w:lvlText w:val="%7."/>
      <w:lvlJc w:val="left"/>
      <w:pPr>
        <w:ind w:left="3496" w:hanging="420"/>
      </w:pPr>
    </w:lvl>
    <w:lvl w:ilvl="7" w:tentative="0">
      <w:start w:val="1"/>
      <w:numFmt w:val="lowerLetter"/>
      <w:lvlText w:val="%8)"/>
      <w:lvlJc w:val="left"/>
      <w:pPr>
        <w:ind w:left="3916" w:hanging="420"/>
      </w:pPr>
    </w:lvl>
    <w:lvl w:ilvl="8" w:tentative="0">
      <w:start w:val="1"/>
      <w:numFmt w:val="lowerRoman"/>
      <w:lvlText w:val="%9."/>
      <w:lvlJc w:val="right"/>
      <w:pPr>
        <w:ind w:left="4336" w:hanging="420"/>
      </w:pPr>
    </w:lvl>
  </w:abstractNum>
  <w:abstractNum w:abstractNumId="5">
    <w:nsid w:val="66830454"/>
    <w:multiLevelType w:val="multilevel"/>
    <w:tmpl w:val="66830454"/>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trackRevisions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ZjZiMDkwZjVhNmMyNDVmMmJjNzY1NzhmNTNhNzgifQ=="/>
  </w:docVars>
  <w:rsids>
    <w:rsidRoot w:val="001B48A2"/>
    <w:rsid w:val="00005483"/>
    <w:rsid w:val="00007490"/>
    <w:rsid w:val="000160D7"/>
    <w:rsid w:val="0002063B"/>
    <w:rsid w:val="0002220C"/>
    <w:rsid w:val="00026F4F"/>
    <w:rsid w:val="000271AB"/>
    <w:rsid w:val="00054A8B"/>
    <w:rsid w:val="000611D5"/>
    <w:rsid w:val="00062B44"/>
    <w:rsid w:val="00065995"/>
    <w:rsid w:val="00071602"/>
    <w:rsid w:val="000757C1"/>
    <w:rsid w:val="000901C3"/>
    <w:rsid w:val="00092E03"/>
    <w:rsid w:val="000A5491"/>
    <w:rsid w:val="000B0E92"/>
    <w:rsid w:val="000B1D48"/>
    <w:rsid w:val="000B772D"/>
    <w:rsid w:val="000C51D2"/>
    <w:rsid w:val="000C5303"/>
    <w:rsid w:val="000E3D9D"/>
    <w:rsid w:val="000E4A30"/>
    <w:rsid w:val="000F1147"/>
    <w:rsid w:val="000F14D5"/>
    <w:rsid w:val="000F5A14"/>
    <w:rsid w:val="001031AC"/>
    <w:rsid w:val="0010670D"/>
    <w:rsid w:val="00120B68"/>
    <w:rsid w:val="0012412C"/>
    <w:rsid w:val="00130CDC"/>
    <w:rsid w:val="00131145"/>
    <w:rsid w:val="001327B6"/>
    <w:rsid w:val="001349FE"/>
    <w:rsid w:val="0014514A"/>
    <w:rsid w:val="00147105"/>
    <w:rsid w:val="0016080A"/>
    <w:rsid w:val="00161C7F"/>
    <w:rsid w:val="001653F6"/>
    <w:rsid w:val="00165B68"/>
    <w:rsid w:val="0016688C"/>
    <w:rsid w:val="00171079"/>
    <w:rsid w:val="00177A6F"/>
    <w:rsid w:val="00182271"/>
    <w:rsid w:val="0018323F"/>
    <w:rsid w:val="001837F8"/>
    <w:rsid w:val="001865A1"/>
    <w:rsid w:val="00192084"/>
    <w:rsid w:val="001A06CF"/>
    <w:rsid w:val="001A35C5"/>
    <w:rsid w:val="001A7139"/>
    <w:rsid w:val="001B0434"/>
    <w:rsid w:val="001B48A2"/>
    <w:rsid w:val="001B4E26"/>
    <w:rsid w:val="001B744A"/>
    <w:rsid w:val="001B7EA7"/>
    <w:rsid w:val="001C16AE"/>
    <w:rsid w:val="001C18F9"/>
    <w:rsid w:val="001C47E7"/>
    <w:rsid w:val="001C5CEC"/>
    <w:rsid w:val="001D6D3D"/>
    <w:rsid w:val="001D7A92"/>
    <w:rsid w:val="001E7B39"/>
    <w:rsid w:val="00202BB5"/>
    <w:rsid w:val="00213201"/>
    <w:rsid w:val="00215E8C"/>
    <w:rsid w:val="002219A5"/>
    <w:rsid w:val="00222191"/>
    <w:rsid w:val="00230BB6"/>
    <w:rsid w:val="00233EAE"/>
    <w:rsid w:val="0023453F"/>
    <w:rsid w:val="00235070"/>
    <w:rsid w:val="002363A3"/>
    <w:rsid w:val="002367DC"/>
    <w:rsid w:val="0024089D"/>
    <w:rsid w:val="002409BA"/>
    <w:rsid w:val="00242FFD"/>
    <w:rsid w:val="0024409C"/>
    <w:rsid w:val="002564E6"/>
    <w:rsid w:val="002564E9"/>
    <w:rsid w:val="0025714C"/>
    <w:rsid w:val="002571FA"/>
    <w:rsid w:val="00265149"/>
    <w:rsid w:val="00270B2F"/>
    <w:rsid w:val="0027775A"/>
    <w:rsid w:val="00280BE6"/>
    <w:rsid w:val="00293878"/>
    <w:rsid w:val="002A2D33"/>
    <w:rsid w:val="002A5106"/>
    <w:rsid w:val="002B01B7"/>
    <w:rsid w:val="002B3188"/>
    <w:rsid w:val="002B4EC1"/>
    <w:rsid w:val="002B5F2A"/>
    <w:rsid w:val="002C0C50"/>
    <w:rsid w:val="002C3168"/>
    <w:rsid w:val="002C3FC0"/>
    <w:rsid w:val="002D0AF9"/>
    <w:rsid w:val="002D27AB"/>
    <w:rsid w:val="002D597D"/>
    <w:rsid w:val="002D5AB5"/>
    <w:rsid w:val="002D60F7"/>
    <w:rsid w:val="002E156A"/>
    <w:rsid w:val="002F48F4"/>
    <w:rsid w:val="002F5897"/>
    <w:rsid w:val="00305AC7"/>
    <w:rsid w:val="00305E95"/>
    <w:rsid w:val="00306279"/>
    <w:rsid w:val="00335E97"/>
    <w:rsid w:val="00335F1C"/>
    <w:rsid w:val="00337B2A"/>
    <w:rsid w:val="00346EE2"/>
    <w:rsid w:val="0035011E"/>
    <w:rsid w:val="0035200B"/>
    <w:rsid w:val="00353A44"/>
    <w:rsid w:val="0035480B"/>
    <w:rsid w:val="00364984"/>
    <w:rsid w:val="0038079F"/>
    <w:rsid w:val="00382B1D"/>
    <w:rsid w:val="003858DB"/>
    <w:rsid w:val="003A672E"/>
    <w:rsid w:val="003C65FD"/>
    <w:rsid w:val="003D0808"/>
    <w:rsid w:val="003D3F07"/>
    <w:rsid w:val="003E5A13"/>
    <w:rsid w:val="003F392B"/>
    <w:rsid w:val="00404DCA"/>
    <w:rsid w:val="00410BBF"/>
    <w:rsid w:val="00412217"/>
    <w:rsid w:val="0041224D"/>
    <w:rsid w:val="004268C5"/>
    <w:rsid w:val="00426C9C"/>
    <w:rsid w:val="0043276A"/>
    <w:rsid w:val="00432B7A"/>
    <w:rsid w:val="00433094"/>
    <w:rsid w:val="00435406"/>
    <w:rsid w:val="00435BC1"/>
    <w:rsid w:val="00440628"/>
    <w:rsid w:val="004438DE"/>
    <w:rsid w:val="00446A70"/>
    <w:rsid w:val="00455952"/>
    <w:rsid w:val="00456E82"/>
    <w:rsid w:val="00457178"/>
    <w:rsid w:val="004571D1"/>
    <w:rsid w:val="00461B1D"/>
    <w:rsid w:val="0047313A"/>
    <w:rsid w:val="004816BC"/>
    <w:rsid w:val="00495500"/>
    <w:rsid w:val="004B3742"/>
    <w:rsid w:val="004B7070"/>
    <w:rsid w:val="004C38C4"/>
    <w:rsid w:val="004C7298"/>
    <w:rsid w:val="004C7D6B"/>
    <w:rsid w:val="004D129C"/>
    <w:rsid w:val="004E06BC"/>
    <w:rsid w:val="004F5158"/>
    <w:rsid w:val="0050085F"/>
    <w:rsid w:val="00501124"/>
    <w:rsid w:val="00503092"/>
    <w:rsid w:val="00507AA7"/>
    <w:rsid w:val="00513125"/>
    <w:rsid w:val="005135C5"/>
    <w:rsid w:val="00516736"/>
    <w:rsid w:val="0052033F"/>
    <w:rsid w:val="0053378D"/>
    <w:rsid w:val="00534F15"/>
    <w:rsid w:val="00546EBD"/>
    <w:rsid w:val="00550643"/>
    <w:rsid w:val="00552709"/>
    <w:rsid w:val="0055406B"/>
    <w:rsid w:val="00567334"/>
    <w:rsid w:val="0058579B"/>
    <w:rsid w:val="0059222B"/>
    <w:rsid w:val="00594380"/>
    <w:rsid w:val="00595BB4"/>
    <w:rsid w:val="005962AF"/>
    <w:rsid w:val="005A3E0A"/>
    <w:rsid w:val="005C05B6"/>
    <w:rsid w:val="005D2A11"/>
    <w:rsid w:val="005D4AE2"/>
    <w:rsid w:val="005D6DC2"/>
    <w:rsid w:val="005E06B2"/>
    <w:rsid w:val="005E1BA6"/>
    <w:rsid w:val="005E1CB9"/>
    <w:rsid w:val="005E1E06"/>
    <w:rsid w:val="005E292A"/>
    <w:rsid w:val="005E392E"/>
    <w:rsid w:val="005E4C55"/>
    <w:rsid w:val="005E6BF5"/>
    <w:rsid w:val="005E7BDE"/>
    <w:rsid w:val="005F41DA"/>
    <w:rsid w:val="005F7253"/>
    <w:rsid w:val="00601FC9"/>
    <w:rsid w:val="00602CF9"/>
    <w:rsid w:val="006049BC"/>
    <w:rsid w:val="006078E1"/>
    <w:rsid w:val="00614B87"/>
    <w:rsid w:val="00614F44"/>
    <w:rsid w:val="006265A7"/>
    <w:rsid w:val="0062687B"/>
    <w:rsid w:val="006332E2"/>
    <w:rsid w:val="00634436"/>
    <w:rsid w:val="00637AFA"/>
    <w:rsid w:val="00642AE5"/>
    <w:rsid w:val="00646BE2"/>
    <w:rsid w:val="00646EF8"/>
    <w:rsid w:val="00647AC6"/>
    <w:rsid w:val="0065433B"/>
    <w:rsid w:val="0065469B"/>
    <w:rsid w:val="00660F42"/>
    <w:rsid w:val="00664589"/>
    <w:rsid w:val="00673143"/>
    <w:rsid w:val="00674C3D"/>
    <w:rsid w:val="00684B29"/>
    <w:rsid w:val="00691A5B"/>
    <w:rsid w:val="00695C07"/>
    <w:rsid w:val="006A0D7F"/>
    <w:rsid w:val="006A6020"/>
    <w:rsid w:val="006A6E05"/>
    <w:rsid w:val="006C332A"/>
    <w:rsid w:val="006C36D1"/>
    <w:rsid w:val="006C45EF"/>
    <w:rsid w:val="006D6FB9"/>
    <w:rsid w:val="006E602B"/>
    <w:rsid w:val="006E76B6"/>
    <w:rsid w:val="006F0093"/>
    <w:rsid w:val="006F238A"/>
    <w:rsid w:val="00700407"/>
    <w:rsid w:val="00700631"/>
    <w:rsid w:val="007015C1"/>
    <w:rsid w:val="00701D5F"/>
    <w:rsid w:val="00707E35"/>
    <w:rsid w:val="007114B9"/>
    <w:rsid w:val="0071279D"/>
    <w:rsid w:val="00714983"/>
    <w:rsid w:val="007322C5"/>
    <w:rsid w:val="00735099"/>
    <w:rsid w:val="00737035"/>
    <w:rsid w:val="00737515"/>
    <w:rsid w:val="00741545"/>
    <w:rsid w:val="0074318C"/>
    <w:rsid w:val="0074358E"/>
    <w:rsid w:val="007559AB"/>
    <w:rsid w:val="00762E76"/>
    <w:rsid w:val="00773FFA"/>
    <w:rsid w:val="00781FF5"/>
    <w:rsid w:val="0078557E"/>
    <w:rsid w:val="007857BB"/>
    <w:rsid w:val="00793F23"/>
    <w:rsid w:val="007A1999"/>
    <w:rsid w:val="007A288F"/>
    <w:rsid w:val="007A34C2"/>
    <w:rsid w:val="007A3D55"/>
    <w:rsid w:val="007B0A6C"/>
    <w:rsid w:val="007B2F31"/>
    <w:rsid w:val="007C3973"/>
    <w:rsid w:val="007C481F"/>
    <w:rsid w:val="007D09E8"/>
    <w:rsid w:val="007D39F5"/>
    <w:rsid w:val="007E650C"/>
    <w:rsid w:val="007E6D34"/>
    <w:rsid w:val="00803A79"/>
    <w:rsid w:val="008062C6"/>
    <w:rsid w:val="00807595"/>
    <w:rsid w:val="00807AC6"/>
    <w:rsid w:val="00810221"/>
    <w:rsid w:val="0081390C"/>
    <w:rsid w:val="00813BD8"/>
    <w:rsid w:val="00822091"/>
    <w:rsid w:val="008220E4"/>
    <w:rsid w:val="008223F1"/>
    <w:rsid w:val="0082564E"/>
    <w:rsid w:val="00827EF1"/>
    <w:rsid w:val="008327F0"/>
    <w:rsid w:val="008341C0"/>
    <w:rsid w:val="00835A0E"/>
    <w:rsid w:val="00837049"/>
    <w:rsid w:val="00837178"/>
    <w:rsid w:val="00840729"/>
    <w:rsid w:val="00841543"/>
    <w:rsid w:val="00841B53"/>
    <w:rsid w:val="00845691"/>
    <w:rsid w:val="008457F6"/>
    <w:rsid w:val="00845CC7"/>
    <w:rsid w:val="008634CB"/>
    <w:rsid w:val="00867393"/>
    <w:rsid w:val="00870455"/>
    <w:rsid w:val="00877E49"/>
    <w:rsid w:val="00891166"/>
    <w:rsid w:val="00895341"/>
    <w:rsid w:val="0089614B"/>
    <w:rsid w:val="008967C0"/>
    <w:rsid w:val="008A78C7"/>
    <w:rsid w:val="008B084C"/>
    <w:rsid w:val="008B0A43"/>
    <w:rsid w:val="008B15F8"/>
    <w:rsid w:val="008C2DC0"/>
    <w:rsid w:val="008C67E9"/>
    <w:rsid w:val="008C70B4"/>
    <w:rsid w:val="008D2193"/>
    <w:rsid w:val="008E15BC"/>
    <w:rsid w:val="008E458E"/>
    <w:rsid w:val="008E7784"/>
    <w:rsid w:val="008F5559"/>
    <w:rsid w:val="00904C89"/>
    <w:rsid w:val="00906891"/>
    <w:rsid w:val="009070B6"/>
    <w:rsid w:val="009101DF"/>
    <w:rsid w:val="009133EF"/>
    <w:rsid w:val="00914BC6"/>
    <w:rsid w:val="00933DAA"/>
    <w:rsid w:val="00934032"/>
    <w:rsid w:val="009445E6"/>
    <w:rsid w:val="00954159"/>
    <w:rsid w:val="00960175"/>
    <w:rsid w:val="009740A9"/>
    <w:rsid w:val="00976266"/>
    <w:rsid w:val="0098051F"/>
    <w:rsid w:val="00983C6E"/>
    <w:rsid w:val="009855A4"/>
    <w:rsid w:val="009873F4"/>
    <w:rsid w:val="00993ADE"/>
    <w:rsid w:val="00995696"/>
    <w:rsid w:val="009A166A"/>
    <w:rsid w:val="009A6A67"/>
    <w:rsid w:val="009A6CEF"/>
    <w:rsid w:val="009C0E51"/>
    <w:rsid w:val="009C410B"/>
    <w:rsid w:val="009C5B60"/>
    <w:rsid w:val="009D1FF6"/>
    <w:rsid w:val="009D2B27"/>
    <w:rsid w:val="009D4F38"/>
    <w:rsid w:val="009F3A29"/>
    <w:rsid w:val="009F7530"/>
    <w:rsid w:val="00A0578E"/>
    <w:rsid w:val="00A06545"/>
    <w:rsid w:val="00A23202"/>
    <w:rsid w:val="00A26380"/>
    <w:rsid w:val="00A314E8"/>
    <w:rsid w:val="00A44325"/>
    <w:rsid w:val="00A4583D"/>
    <w:rsid w:val="00A502B5"/>
    <w:rsid w:val="00A52418"/>
    <w:rsid w:val="00A55A5E"/>
    <w:rsid w:val="00A64627"/>
    <w:rsid w:val="00A7008A"/>
    <w:rsid w:val="00A700F4"/>
    <w:rsid w:val="00A732B1"/>
    <w:rsid w:val="00A73516"/>
    <w:rsid w:val="00A74F44"/>
    <w:rsid w:val="00A752D5"/>
    <w:rsid w:val="00A767C3"/>
    <w:rsid w:val="00A772F1"/>
    <w:rsid w:val="00A8127F"/>
    <w:rsid w:val="00A81913"/>
    <w:rsid w:val="00A83083"/>
    <w:rsid w:val="00A848B6"/>
    <w:rsid w:val="00A85B5A"/>
    <w:rsid w:val="00A90D8C"/>
    <w:rsid w:val="00AA5D58"/>
    <w:rsid w:val="00AA79D4"/>
    <w:rsid w:val="00AB0093"/>
    <w:rsid w:val="00AB6A25"/>
    <w:rsid w:val="00AC0846"/>
    <w:rsid w:val="00AC0CAB"/>
    <w:rsid w:val="00AC24C5"/>
    <w:rsid w:val="00AD0588"/>
    <w:rsid w:val="00AD115F"/>
    <w:rsid w:val="00AD3308"/>
    <w:rsid w:val="00AD78E1"/>
    <w:rsid w:val="00AE7104"/>
    <w:rsid w:val="00AF1A3D"/>
    <w:rsid w:val="00AF1CF3"/>
    <w:rsid w:val="00AF4B31"/>
    <w:rsid w:val="00AF6B9B"/>
    <w:rsid w:val="00B1524B"/>
    <w:rsid w:val="00B22701"/>
    <w:rsid w:val="00B30530"/>
    <w:rsid w:val="00B36A31"/>
    <w:rsid w:val="00B411B2"/>
    <w:rsid w:val="00B43BF3"/>
    <w:rsid w:val="00B44A52"/>
    <w:rsid w:val="00B46083"/>
    <w:rsid w:val="00B4611A"/>
    <w:rsid w:val="00B52CE1"/>
    <w:rsid w:val="00B54216"/>
    <w:rsid w:val="00B605CC"/>
    <w:rsid w:val="00B706AF"/>
    <w:rsid w:val="00B71AA4"/>
    <w:rsid w:val="00B75B28"/>
    <w:rsid w:val="00B819E3"/>
    <w:rsid w:val="00B824FC"/>
    <w:rsid w:val="00B87525"/>
    <w:rsid w:val="00B934D7"/>
    <w:rsid w:val="00BA06AA"/>
    <w:rsid w:val="00BA4E23"/>
    <w:rsid w:val="00BB3F88"/>
    <w:rsid w:val="00BB59E2"/>
    <w:rsid w:val="00BB5CD5"/>
    <w:rsid w:val="00BB7C6D"/>
    <w:rsid w:val="00BD636E"/>
    <w:rsid w:val="00BD6B8D"/>
    <w:rsid w:val="00BE3376"/>
    <w:rsid w:val="00BE5FA6"/>
    <w:rsid w:val="00BE7140"/>
    <w:rsid w:val="00BE7780"/>
    <w:rsid w:val="00BF0615"/>
    <w:rsid w:val="00BF0C1D"/>
    <w:rsid w:val="00BF527D"/>
    <w:rsid w:val="00C06D36"/>
    <w:rsid w:val="00C0795D"/>
    <w:rsid w:val="00C11913"/>
    <w:rsid w:val="00C12269"/>
    <w:rsid w:val="00C2162F"/>
    <w:rsid w:val="00C42EF2"/>
    <w:rsid w:val="00C56598"/>
    <w:rsid w:val="00C57314"/>
    <w:rsid w:val="00C64245"/>
    <w:rsid w:val="00C7037E"/>
    <w:rsid w:val="00C7325F"/>
    <w:rsid w:val="00C765F8"/>
    <w:rsid w:val="00C8360F"/>
    <w:rsid w:val="00C87A87"/>
    <w:rsid w:val="00C96047"/>
    <w:rsid w:val="00CA040B"/>
    <w:rsid w:val="00CA3C53"/>
    <w:rsid w:val="00CA74DE"/>
    <w:rsid w:val="00CA75B4"/>
    <w:rsid w:val="00CB2DF2"/>
    <w:rsid w:val="00CB6A30"/>
    <w:rsid w:val="00CB75A9"/>
    <w:rsid w:val="00CC2AC0"/>
    <w:rsid w:val="00CC4B94"/>
    <w:rsid w:val="00CD3FEC"/>
    <w:rsid w:val="00CD4D6B"/>
    <w:rsid w:val="00CD7B1D"/>
    <w:rsid w:val="00CE02FE"/>
    <w:rsid w:val="00CE6961"/>
    <w:rsid w:val="00CE7B9A"/>
    <w:rsid w:val="00CF2AC4"/>
    <w:rsid w:val="00CF73B4"/>
    <w:rsid w:val="00D061F9"/>
    <w:rsid w:val="00D22AC3"/>
    <w:rsid w:val="00D22DDF"/>
    <w:rsid w:val="00D23784"/>
    <w:rsid w:val="00D24233"/>
    <w:rsid w:val="00D25DC9"/>
    <w:rsid w:val="00D328A3"/>
    <w:rsid w:val="00D335FC"/>
    <w:rsid w:val="00D353FC"/>
    <w:rsid w:val="00D35CEF"/>
    <w:rsid w:val="00D3768C"/>
    <w:rsid w:val="00D431BE"/>
    <w:rsid w:val="00D4376E"/>
    <w:rsid w:val="00D437AE"/>
    <w:rsid w:val="00D51C6C"/>
    <w:rsid w:val="00D65509"/>
    <w:rsid w:val="00D65D87"/>
    <w:rsid w:val="00D71708"/>
    <w:rsid w:val="00D72AB5"/>
    <w:rsid w:val="00D819CD"/>
    <w:rsid w:val="00D81BE5"/>
    <w:rsid w:val="00D8431D"/>
    <w:rsid w:val="00D8552E"/>
    <w:rsid w:val="00D96E3A"/>
    <w:rsid w:val="00DA10C2"/>
    <w:rsid w:val="00DA6204"/>
    <w:rsid w:val="00DA7CD1"/>
    <w:rsid w:val="00DB0674"/>
    <w:rsid w:val="00DB5AAB"/>
    <w:rsid w:val="00DC0070"/>
    <w:rsid w:val="00DC19CB"/>
    <w:rsid w:val="00DD6F81"/>
    <w:rsid w:val="00DD72B9"/>
    <w:rsid w:val="00DE1AF4"/>
    <w:rsid w:val="00DF031B"/>
    <w:rsid w:val="00DF4034"/>
    <w:rsid w:val="00DF6F35"/>
    <w:rsid w:val="00E0067E"/>
    <w:rsid w:val="00E11B37"/>
    <w:rsid w:val="00E11DBA"/>
    <w:rsid w:val="00E1256B"/>
    <w:rsid w:val="00E17150"/>
    <w:rsid w:val="00E17B6F"/>
    <w:rsid w:val="00E21E47"/>
    <w:rsid w:val="00E31249"/>
    <w:rsid w:val="00E31D40"/>
    <w:rsid w:val="00E324A2"/>
    <w:rsid w:val="00E33C11"/>
    <w:rsid w:val="00E378A0"/>
    <w:rsid w:val="00E42084"/>
    <w:rsid w:val="00E509A5"/>
    <w:rsid w:val="00E51771"/>
    <w:rsid w:val="00E57796"/>
    <w:rsid w:val="00E57B7B"/>
    <w:rsid w:val="00E66203"/>
    <w:rsid w:val="00E75C3B"/>
    <w:rsid w:val="00E81874"/>
    <w:rsid w:val="00E8237B"/>
    <w:rsid w:val="00E86AF4"/>
    <w:rsid w:val="00E876BF"/>
    <w:rsid w:val="00E9264B"/>
    <w:rsid w:val="00E9422B"/>
    <w:rsid w:val="00EA4F5C"/>
    <w:rsid w:val="00EA78E1"/>
    <w:rsid w:val="00EB2260"/>
    <w:rsid w:val="00EB2F82"/>
    <w:rsid w:val="00EB602E"/>
    <w:rsid w:val="00EC05A7"/>
    <w:rsid w:val="00EC17EC"/>
    <w:rsid w:val="00EC467A"/>
    <w:rsid w:val="00ED4594"/>
    <w:rsid w:val="00ED4F29"/>
    <w:rsid w:val="00EE04E7"/>
    <w:rsid w:val="00EE149C"/>
    <w:rsid w:val="00EE4C98"/>
    <w:rsid w:val="00EE4FAB"/>
    <w:rsid w:val="00EE5164"/>
    <w:rsid w:val="00EE759F"/>
    <w:rsid w:val="00EF08FA"/>
    <w:rsid w:val="00EF0933"/>
    <w:rsid w:val="00EF4F53"/>
    <w:rsid w:val="00F0145D"/>
    <w:rsid w:val="00F04189"/>
    <w:rsid w:val="00F04619"/>
    <w:rsid w:val="00F04E4F"/>
    <w:rsid w:val="00F05D58"/>
    <w:rsid w:val="00F07977"/>
    <w:rsid w:val="00F13986"/>
    <w:rsid w:val="00F15EAF"/>
    <w:rsid w:val="00F243DB"/>
    <w:rsid w:val="00F46569"/>
    <w:rsid w:val="00F47660"/>
    <w:rsid w:val="00F53B41"/>
    <w:rsid w:val="00F53BB7"/>
    <w:rsid w:val="00F54E87"/>
    <w:rsid w:val="00F5553A"/>
    <w:rsid w:val="00F6006A"/>
    <w:rsid w:val="00F640BE"/>
    <w:rsid w:val="00F657B1"/>
    <w:rsid w:val="00F75A19"/>
    <w:rsid w:val="00F76FD5"/>
    <w:rsid w:val="00F8155B"/>
    <w:rsid w:val="00F843F6"/>
    <w:rsid w:val="00F84E93"/>
    <w:rsid w:val="00F94780"/>
    <w:rsid w:val="00F96374"/>
    <w:rsid w:val="00F96604"/>
    <w:rsid w:val="00FA3736"/>
    <w:rsid w:val="00FB5DF1"/>
    <w:rsid w:val="00FD1AB3"/>
    <w:rsid w:val="00FE19F5"/>
    <w:rsid w:val="00FE540E"/>
    <w:rsid w:val="00FE5F47"/>
    <w:rsid w:val="00FF4125"/>
    <w:rsid w:val="010827C0"/>
    <w:rsid w:val="012362F9"/>
    <w:rsid w:val="01324310"/>
    <w:rsid w:val="013C4630"/>
    <w:rsid w:val="015332E3"/>
    <w:rsid w:val="01583F6F"/>
    <w:rsid w:val="016A307C"/>
    <w:rsid w:val="019A76A8"/>
    <w:rsid w:val="01A57F7D"/>
    <w:rsid w:val="01B110AA"/>
    <w:rsid w:val="022E3350"/>
    <w:rsid w:val="024773EB"/>
    <w:rsid w:val="026149E5"/>
    <w:rsid w:val="027D52D2"/>
    <w:rsid w:val="02945954"/>
    <w:rsid w:val="02A93E59"/>
    <w:rsid w:val="030D2A2A"/>
    <w:rsid w:val="03783360"/>
    <w:rsid w:val="038C6290"/>
    <w:rsid w:val="03DB0151"/>
    <w:rsid w:val="042F5A27"/>
    <w:rsid w:val="04336329"/>
    <w:rsid w:val="0453314B"/>
    <w:rsid w:val="04AC4F6C"/>
    <w:rsid w:val="04B130BE"/>
    <w:rsid w:val="04C326F4"/>
    <w:rsid w:val="04EB67F9"/>
    <w:rsid w:val="05142794"/>
    <w:rsid w:val="053C2DBE"/>
    <w:rsid w:val="0540711D"/>
    <w:rsid w:val="05511549"/>
    <w:rsid w:val="05643B49"/>
    <w:rsid w:val="056965FD"/>
    <w:rsid w:val="056A23F1"/>
    <w:rsid w:val="05956F12"/>
    <w:rsid w:val="0596684D"/>
    <w:rsid w:val="05B649CF"/>
    <w:rsid w:val="05D25F62"/>
    <w:rsid w:val="05E0123E"/>
    <w:rsid w:val="060379FA"/>
    <w:rsid w:val="063674DB"/>
    <w:rsid w:val="066147E9"/>
    <w:rsid w:val="066E7D09"/>
    <w:rsid w:val="06714AE9"/>
    <w:rsid w:val="06F6313D"/>
    <w:rsid w:val="07171EA9"/>
    <w:rsid w:val="075A2AF4"/>
    <w:rsid w:val="075C6D52"/>
    <w:rsid w:val="07654D24"/>
    <w:rsid w:val="07664431"/>
    <w:rsid w:val="07944264"/>
    <w:rsid w:val="07A759FD"/>
    <w:rsid w:val="07B477E1"/>
    <w:rsid w:val="07E34174"/>
    <w:rsid w:val="08146C0A"/>
    <w:rsid w:val="08187180"/>
    <w:rsid w:val="082E7AEF"/>
    <w:rsid w:val="0835488D"/>
    <w:rsid w:val="087D4053"/>
    <w:rsid w:val="08C416C3"/>
    <w:rsid w:val="08EE5E65"/>
    <w:rsid w:val="08EF2ECA"/>
    <w:rsid w:val="08F93BDB"/>
    <w:rsid w:val="090F5BDA"/>
    <w:rsid w:val="09347484"/>
    <w:rsid w:val="093D1B4D"/>
    <w:rsid w:val="093F3BA5"/>
    <w:rsid w:val="095010BA"/>
    <w:rsid w:val="096B40AB"/>
    <w:rsid w:val="097964EE"/>
    <w:rsid w:val="09A02F90"/>
    <w:rsid w:val="09AC4550"/>
    <w:rsid w:val="09E62544"/>
    <w:rsid w:val="0A336EDB"/>
    <w:rsid w:val="0A582FCF"/>
    <w:rsid w:val="0A8E0442"/>
    <w:rsid w:val="0AA85DC1"/>
    <w:rsid w:val="0AE70586"/>
    <w:rsid w:val="0B1D5864"/>
    <w:rsid w:val="0B3676B5"/>
    <w:rsid w:val="0B905E70"/>
    <w:rsid w:val="0BA87886"/>
    <w:rsid w:val="0BC90BBB"/>
    <w:rsid w:val="0BD57B01"/>
    <w:rsid w:val="0BE01BB0"/>
    <w:rsid w:val="0BFD68F6"/>
    <w:rsid w:val="0C0559D6"/>
    <w:rsid w:val="0C2618D1"/>
    <w:rsid w:val="0C5D255A"/>
    <w:rsid w:val="0C6269FD"/>
    <w:rsid w:val="0C635DDF"/>
    <w:rsid w:val="0C6D188D"/>
    <w:rsid w:val="0C94590B"/>
    <w:rsid w:val="0D086A25"/>
    <w:rsid w:val="0D0D3006"/>
    <w:rsid w:val="0D243AB2"/>
    <w:rsid w:val="0D2D07BF"/>
    <w:rsid w:val="0D3F2C38"/>
    <w:rsid w:val="0D4F25F4"/>
    <w:rsid w:val="0D502E3E"/>
    <w:rsid w:val="0D57511E"/>
    <w:rsid w:val="0D621DD1"/>
    <w:rsid w:val="0D933D59"/>
    <w:rsid w:val="0D966725"/>
    <w:rsid w:val="0DA16E1E"/>
    <w:rsid w:val="0DBE038E"/>
    <w:rsid w:val="0DD054BA"/>
    <w:rsid w:val="0DFA7155"/>
    <w:rsid w:val="0DFC7AA3"/>
    <w:rsid w:val="0E041311"/>
    <w:rsid w:val="0E1806AD"/>
    <w:rsid w:val="0E341099"/>
    <w:rsid w:val="0E517E8F"/>
    <w:rsid w:val="0E5D0D42"/>
    <w:rsid w:val="0E850AF5"/>
    <w:rsid w:val="0E9D7E86"/>
    <w:rsid w:val="0EA253C7"/>
    <w:rsid w:val="0EE0675F"/>
    <w:rsid w:val="0EF826A4"/>
    <w:rsid w:val="0F0901FE"/>
    <w:rsid w:val="0F362723"/>
    <w:rsid w:val="0F4D2CA8"/>
    <w:rsid w:val="0F7A6F7F"/>
    <w:rsid w:val="0FEA0D7A"/>
    <w:rsid w:val="1049352B"/>
    <w:rsid w:val="10C529A6"/>
    <w:rsid w:val="10E8665F"/>
    <w:rsid w:val="11130523"/>
    <w:rsid w:val="11144EE0"/>
    <w:rsid w:val="113277BF"/>
    <w:rsid w:val="11935711"/>
    <w:rsid w:val="11DA2B8D"/>
    <w:rsid w:val="12253E9F"/>
    <w:rsid w:val="123C79AA"/>
    <w:rsid w:val="1256320C"/>
    <w:rsid w:val="12AD31C8"/>
    <w:rsid w:val="12BA70F9"/>
    <w:rsid w:val="12BF638D"/>
    <w:rsid w:val="12CD7478"/>
    <w:rsid w:val="12D87739"/>
    <w:rsid w:val="12EF213C"/>
    <w:rsid w:val="12F7786F"/>
    <w:rsid w:val="13046B16"/>
    <w:rsid w:val="1344630F"/>
    <w:rsid w:val="13886B4B"/>
    <w:rsid w:val="138E7B3D"/>
    <w:rsid w:val="13B76C3E"/>
    <w:rsid w:val="13C379B5"/>
    <w:rsid w:val="14473956"/>
    <w:rsid w:val="14515FB8"/>
    <w:rsid w:val="145C64A8"/>
    <w:rsid w:val="14867E74"/>
    <w:rsid w:val="149A75B1"/>
    <w:rsid w:val="14B35AB2"/>
    <w:rsid w:val="14D84DCA"/>
    <w:rsid w:val="151C6A50"/>
    <w:rsid w:val="1534216F"/>
    <w:rsid w:val="153D18C5"/>
    <w:rsid w:val="153D4327"/>
    <w:rsid w:val="156B1DC3"/>
    <w:rsid w:val="158B1477"/>
    <w:rsid w:val="1596341E"/>
    <w:rsid w:val="15DE18EA"/>
    <w:rsid w:val="15E90E13"/>
    <w:rsid w:val="15F65468"/>
    <w:rsid w:val="15FB38DC"/>
    <w:rsid w:val="15FF570C"/>
    <w:rsid w:val="1604578A"/>
    <w:rsid w:val="16591EC8"/>
    <w:rsid w:val="165D7FAC"/>
    <w:rsid w:val="16A466DF"/>
    <w:rsid w:val="16B62CA2"/>
    <w:rsid w:val="16DF1CB6"/>
    <w:rsid w:val="17144CFE"/>
    <w:rsid w:val="175D04DD"/>
    <w:rsid w:val="17B44371"/>
    <w:rsid w:val="17F8159C"/>
    <w:rsid w:val="181875C1"/>
    <w:rsid w:val="1819257A"/>
    <w:rsid w:val="18B32921"/>
    <w:rsid w:val="18BE71BE"/>
    <w:rsid w:val="18E55622"/>
    <w:rsid w:val="18F17B89"/>
    <w:rsid w:val="19027536"/>
    <w:rsid w:val="190321CF"/>
    <w:rsid w:val="190D03CE"/>
    <w:rsid w:val="192317DF"/>
    <w:rsid w:val="192C2F68"/>
    <w:rsid w:val="19346366"/>
    <w:rsid w:val="19415C4B"/>
    <w:rsid w:val="196B4BC7"/>
    <w:rsid w:val="19894B83"/>
    <w:rsid w:val="19DF2BE4"/>
    <w:rsid w:val="19E16D52"/>
    <w:rsid w:val="19FB0E97"/>
    <w:rsid w:val="1A044A41"/>
    <w:rsid w:val="1A0878D6"/>
    <w:rsid w:val="1A0C2EC9"/>
    <w:rsid w:val="1A1C1BC8"/>
    <w:rsid w:val="1A43521E"/>
    <w:rsid w:val="1A522093"/>
    <w:rsid w:val="1A744BDA"/>
    <w:rsid w:val="1A757B82"/>
    <w:rsid w:val="1AA01D09"/>
    <w:rsid w:val="1AFF1A9A"/>
    <w:rsid w:val="1B3235AA"/>
    <w:rsid w:val="1B5E3164"/>
    <w:rsid w:val="1B66428F"/>
    <w:rsid w:val="1B9112E0"/>
    <w:rsid w:val="1BF8035E"/>
    <w:rsid w:val="1C16688D"/>
    <w:rsid w:val="1C445C2C"/>
    <w:rsid w:val="1C5A2921"/>
    <w:rsid w:val="1C7B66ED"/>
    <w:rsid w:val="1CC12F44"/>
    <w:rsid w:val="1CCD6963"/>
    <w:rsid w:val="1CD9325D"/>
    <w:rsid w:val="1CE80DDB"/>
    <w:rsid w:val="1CEC5B6E"/>
    <w:rsid w:val="1CF62C72"/>
    <w:rsid w:val="1D123A1B"/>
    <w:rsid w:val="1D143AE3"/>
    <w:rsid w:val="1D5A49F2"/>
    <w:rsid w:val="1D5B6B5C"/>
    <w:rsid w:val="1D7C2053"/>
    <w:rsid w:val="1D9B0686"/>
    <w:rsid w:val="1DBD01B4"/>
    <w:rsid w:val="1DD46062"/>
    <w:rsid w:val="1DE01033"/>
    <w:rsid w:val="1E565A49"/>
    <w:rsid w:val="1E691EBE"/>
    <w:rsid w:val="1E6E4CAD"/>
    <w:rsid w:val="1E895EDE"/>
    <w:rsid w:val="1EA45261"/>
    <w:rsid w:val="1F0E55F1"/>
    <w:rsid w:val="1F2064E9"/>
    <w:rsid w:val="1F256FEF"/>
    <w:rsid w:val="1F68381D"/>
    <w:rsid w:val="1F6F6931"/>
    <w:rsid w:val="1FEE512A"/>
    <w:rsid w:val="200B55CC"/>
    <w:rsid w:val="201F09F1"/>
    <w:rsid w:val="2020085A"/>
    <w:rsid w:val="20535951"/>
    <w:rsid w:val="205609E0"/>
    <w:rsid w:val="20674ED5"/>
    <w:rsid w:val="206F7D3A"/>
    <w:rsid w:val="20767876"/>
    <w:rsid w:val="20A0258E"/>
    <w:rsid w:val="20A84387"/>
    <w:rsid w:val="20AD40A8"/>
    <w:rsid w:val="20D212C7"/>
    <w:rsid w:val="20E46884"/>
    <w:rsid w:val="213B324B"/>
    <w:rsid w:val="216272C8"/>
    <w:rsid w:val="217D02C8"/>
    <w:rsid w:val="219D4DE4"/>
    <w:rsid w:val="21A11847"/>
    <w:rsid w:val="21A72013"/>
    <w:rsid w:val="21E64000"/>
    <w:rsid w:val="21ED1832"/>
    <w:rsid w:val="220657AF"/>
    <w:rsid w:val="22246DBC"/>
    <w:rsid w:val="222928FC"/>
    <w:rsid w:val="226B23A1"/>
    <w:rsid w:val="22993417"/>
    <w:rsid w:val="22C407E5"/>
    <w:rsid w:val="22C51B01"/>
    <w:rsid w:val="22CA1839"/>
    <w:rsid w:val="22DF0BC8"/>
    <w:rsid w:val="22E61F96"/>
    <w:rsid w:val="22E76DCC"/>
    <w:rsid w:val="22F442AE"/>
    <w:rsid w:val="22FF1D11"/>
    <w:rsid w:val="2312606E"/>
    <w:rsid w:val="231E639F"/>
    <w:rsid w:val="232F6F0D"/>
    <w:rsid w:val="23414FDB"/>
    <w:rsid w:val="235F25F1"/>
    <w:rsid w:val="23743495"/>
    <w:rsid w:val="23AA1BF9"/>
    <w:rsid w:val="23B938CF"/>
    <w:rsid w:val="23C25C5C"/>
    <w:rsid w:val="23CB3027"/>
    <w:rsid w:val="23D93728"/>
    <w:rsid w:val="240B434E"/>
    <w:rsid w:val="246D4B14"/>
    <w:rsid w:val="248012A9"/>
    <w:rsid w:val="24A01035"/>
    <w:rsid w:val="24A55FFB"/>
    <w:rsid w:val="24A70C0E"/>
    <w:rsid w:val="24C55F02"/>
    <w:rsid w:val="24CB14AD"/>
    <w:rsid w:val="251238BD"/>
    <w:rsid w:val="252178CB"/>
    <w:rsid w:val="252A2308"/>
    <w:rsid w:val="25386E5B"/>
    <w:rsid w:val="254000DA"/>
    <w:rsid w:val="2577703E"/>
    <w:rsid w:val="25A709BB"/>
    <w:rsid w:val="25B06611"/>
    <w:rsid w:val="25BB286D"/>
    <w:rsid w:val="25BF465A"/>
    <w:rsid w:val="25E8222B"/>
    <w:rsid w:val="266C6E97"/>
    <w:rsid w:val="26791400"/>
    <w:rsid w:val="269A360B"/>
    <w:rsid w:val="26A43DE2"/>
    <w:rsid w:val="26F2352B"/>
    <w:rsid w:val="26FE27E8"/>
    <w:rsid w:val="27003CC4"/>
    <w:rsid w:val="277116F1"/>
    <w:rsid w:val="279C0ED1"/>
    <w:rsid w:val="27BF4F1C"/>
    <w:rsid w:val="286C4F60"/>
    <w:rsid w:val="2891460D"/>
    <w:rsid w:val="289C313F"/>
    <w:rsid w:val="28D218CE"/>
    <w:rsid w:val="28E05828"/>
    <w:rsid w:val="28E1151D"/>
    <w:rsid w:val="29060462"/>
    <w:rsid w:val="295B643C"/>
    <w:rsid w:val="29947EDF"/>
    <w:rsid w:val="29B0155A"/>
    <w:rsid w:val="29B37CDB"/>
    <w:rsid w:val="29ED7FCA"/>
    <w:rsid w:val="29FD57BA"/>
    <w:rsid w:val="2A156974"/>
    <w:rsid w:val="2A2B4DB6"/>
    <w:rsid w:val="2A50719F"/>
    <w:rsid w:val="2A60700C"/>
    <w:rsid w:val="2A753218"/>
    <w:rsid w:val="2AC61C4F"/>
    <w:rsid w:val="2ADD47D9"/>
    <w:rsid w:val="2AE74CB2"/>
    <w:rsid w:val="2AEE0E9A"/>
    <w:rsid w:val="2AF477F8"/>
    <w:rsid w:val="2B3B7027"/>
    <w:rsid w:val="2BA074D5"/>
    <w:rsid w:val="2BC90C1A"/>
    <w:rsid w:val="2BD543A5"/>
    <w:rsid w:val="2BD65C9A"/>
    <w:rsid w:val="2C0C4434"/>
    <w:rsid w:val="2C1157A2"/>
    <w:rsid w:val="2C291D7E"/>
    <w:rsid w:val="2C51570C"/>
    <w:rsid w:val="2C5568E0"/>
    <w:rsid w:val="2C7625BB"/>
    <w:rsid w:val="2C8A3A4E"/>
    <w:rsid w:val="2CD2796A"/>
    <w:rsid w:val="2D115976"/>
    <w:rsid w:val="2D261DC0"/>
    <w:rsid w:val="2D262BA0"/>
    <w:rsid w:val="2D3471B8"/>
    <w:rsid w:val="2D5863C7"/>
    <w:rsid w:val="2D5D304A"/>
    <w:rsid w:val="2D5F49C8"/>
    <w:rsid w:val="2D863F42"/>
    <w:rsid w:val="2DCB7786"/>
    <w:rsid w:val="2DD12E3C"/>
    <w:rsid w:val="2DE04210"/>
    <w:rsid w:val="2DF45E11"/>
    <w:rsid w:val="2E7A26A0"/>
    <w:rsid w:val="2E8675E7"/>
    <w:rsid w:val="2EA6182F"/>
    <w:rsid w:val="2EC35927"/>
    <w:rsid w:val="2F456394"/>
    <w:rsid w:val="2F654BB7"/>
    <w:rsid w:val="2F716073"/>
    <w:rsid w:val="2FA04DC7"/>
    <w:rsid w:val="30B82250"/>
    <w:rsid w:val="314E6BD0"/>
    <w:rsid w:val="318A5E6F"/>
    <w:rsid w:val="31B1462B"/>
    <w:rsid w:val="31C866DF"/>
    <w:rsid w:val="31FF153F"/>
    <w:rsid w:val="32087A69"/>
    <w:rsid w:val="3216293F"/>
    <w:rsid w:val="32635AD9"/>
    <w:rsid w:val="326477A2"/>
    <w:rsid w:val="326D0948"/>
    <w:rsid w:val="3274583A"/>
    <w:rsid w:val="327B61BB"/>
    <w:rsid w:val="328F647B"/>
    <w:rsid w:val="32A551AE"/>
    <w:rsid w:val="32A73FA5"/>
    <w:rsid w:val="32E9570B"/>
    <w:rsid w:val="32EA6E10"/>
    <w:rsid w:val="32EC1057"/>
    <w:rsid w:val="3302378B"/>
    <w:rsid w:val="33101B14"/>
    <w:rsid w:val="33236593"/>
    <w:rsid w:val="336434BF"/>
    <w:rsid w:val="33686F6B"/>
    <w:rsid w:val="338D73BE"/>
    <w:rsid w:val="33B35E69"/>
    <w:rsid w:val="33B82E5D"/>
    <w:rsid w:val="33D6343E"/>
    <w:rsid w:val="33E9447A"/>
    <w:rsid w:val="33F20F2A"/>
    <w:rsid w:val="3408055E"/>
    <w:rsid w:val="344F2AC8"/>
    <w:rsid w:val="34506FE8"/>
    <w:rsid w:val="346440B1"/>
    <w:rsid w:val="34C37853"/>
    <w:rsid w:val="34FC3AC2"/>
    <w:rsid w:val="350723D1"/>
    <w:rsid w:val="3512539E"/>
    <w:rsid w:val="35194EF6"/>
    <w:rsid w:val="35827912"/>
    <w:rsid w:val="3593220B"/>
    <w:rsid w:val="35A70A2B"/>
    <w:rsid w:val="35AF70D3"/>
    <w:rsid w:val="35B2271F"/>
    <w:rsid w:val="363F4826"/>
    <w:rsid w:val="3663496C"/>
    <w:rsid w:val="36B978C7"/>
    <w:rsid w:val="36D7109D"/>
    <w:rsid w:val="36DF57F4"/>
    <w:rsid w:val="370856BE"/>
    <w:rsid w:val="370C4D8C"/>
    <w:rsid w:val="371D38DB"/>
    <w:rsid w:val="37312657"/>
    <w:rsid w:val="3734232A"/>
    <w:rsid w:val="378A6CF2"/>
    <w:rsid w:val="37AF1F8D"/>
    <w:rsid w:val="37C22B35"/>
    <w:rsid w:val="37FA13AE"/>
    <w:rsid w:val="380E50E6"/>
    <w:rsid w:val="3810776B"/>
    <w:rsid w:val="381274A5"/>
    <w:rsid w:val="38325D20"/>
    <w:rsid w:val="38371444"/>
    <w:rsid w:val="3869220C"/>
    <w:rsid w:val="3874658A"/>
    <w:rsid w:val="389E2CA4"/>
    <w:rsid w:val="38CF552F"/>
    <w:rsid w:val="38D371C3"/>
    <w:rsid w:val="38DC28F9"/>
    <w:rsid w:val="38E50D4C"/>
    <w:rsid w:val="39077872"/>
    <w:rsid w:val="391270D9"/>
    <w:rsid w:val="393E56B7"/>
    <w:rsid w:val="39653E2D"/>
    <w:rsid w:val="397C0F4F"/>
    <w:rsid w:val="398831BA"/>
    <w:rsid w:val="39BB2B71"/>
    <w:rsid w:val="3A3A4CB5"/>
    <w:rsid w:val="3A591AC2"/>
    <w:rsid w:val="3A932E83"/>
    <w:rsid w:val="3AA91F80"/>
    <w:rsid w:val="3AC179AF"/>
    <w:rsid w:val="3AC5043D"/>
    <w:rsid w:val="3AF84E44"/>
    <w:rsid w:val="3B011F4A"/>
    <w:rsid w:val="3B0D12AA"/>
    <w:rsid w:val="3B41439E"/>
    <w:rsid w:val="3B444219"/>
    <w:rsid w:val="3B6702EA"/>
    <w:rsid w:val="3BA65C4D"/>
    <w:rsid w:val="3BD24954"/>
    <w:rsid w:val="3BFD65FB"/>
    <w:rsid w:val="3C1312DE"/>
    <w:rsid w:val="3C163338"/>
    <w:rsid w:val="3C2473FB"/>
    <w:rsid w:val="3C3D7F7A"/>
    <w:rsid w:val="3C5970EE"/>
    <w:rsid w:val="3CA513FD"/>
    <w:rsid w:val="3CB420F3"/>
    <w:rsid w:val="3CD61F2E"/>
    <w:rsid w:val="3CEB13EF"/>
    <w:rsid w:val="3CEF47DA"/>
    <w:rsid w:val="3D0350A0"/>
    <w:rsid w:val="3D1D7153"/>
    <w:rsid w:val="3D23487D"/>
    <w:rsid w:val="3D3103CE"/>
    <w:rsid w:val="3D3A1978"/>
    <w:rsid w:val="3D595A88"/>
    <w:rsid w:val="3D6737CF"/>
    <w:rsid w:val="3D7C72C5"/>
    <w:rsid w:val="3DBF3195"/>
    <w:rsid w:val="3DC80E9B"/>
    <w:rsid w:val="3DDF7176"/>
    <w:rsid w:val="3E003FA1"/>
    <w:rsid w:val="3E2437C2"/>
    <w:rsid w:val="3E3160D3"/>
    <w:rsid w:val="3E7C0393"/>
    <w:rsid w:val="3EB33799"/>
    <w:rsid w:val="3EBB5C9B"/>
    <w:rsid w:val="3EC8588E"/>
    <w:rsid w:val="3F27396B"/>
    <w:rsid w:val="3F2B21F5"/>
    <w:rsid w:val="3F2C7E3C"/>
    <w:rsid w:val="3F477F06"/>
    <w:rsid w:val="3F986DE5"/>
    <w:rsid w:val="404D2B26"/>
    <w:rsid w:val="40501202"/>
    <w:rsid w:val="405763D1"/>
    <w:rsid w:val="405B3577"/>
    <w:rsid w:val="406F2F19"/>
    <w:rsid w:val="4093196A"/>
    <w:rsid w:val="40994A40"/>
    <w:rsid w:val="40B356F3"/>
    <w:rsid w:val="40E77CD5"/>
    <w:rsid w:val="40FB137F"/>
    <w:rsid w:val="41160869"/>
    <w:rsid w:val="411D3FAD"/>
    <w:rsid w:val="412606F7"/>
    <w:rsid w:val="41386F94"/>
    <w:rsid w:val="41764F49"/>
    <w:rsid w:val="41905D8D"/>
    <w:rsid w:val="41B35AF2"/>
    <w:rsid w:val="41BD0067"/>
    <w:rsid w:val="4213760A"/>
    <w:rsid w:val="4236079F"/>
    <w:rsid w:val="423D3025"/>
    <w:rsid w:val="42575248"/>
    <w:rsid w:val="427C6CB6"/>
    <w:rsid w:val="42976F02"/>
    <w:rsid w:val="42A0599B"/>
    <w:rsid w:val="42DD73AB"/>
    <w:rsid w:val="42DE1B67"/>
    <w:rsid w:val="42DF6B1E"/>
    <w:rsid w:val="42EF5ED6"/>
    <w:rsid w:val="430B613D"/>
    <w:rsid w:val="430D0CF9"/>
    <w:rsid w:val="43307CD1"/>
    <w:rsid w:val="43465C7B"/>
    <w:rsid w:val="435C4FA7"/>
    <w:rsid w:val="435D72A6"/>
    <w:rsid w:val="43BF2BD7"/>
    <w:rsid w:val="44136BCA"/>
    <w:rsid w:val="442C5D93"/>
    <w:rsid w:val="443B107F"/>
    <w:rsid w:val="44863333"/>
    <w:rsid w:val="4489755F"/>
    <w:rsid w:val="449358CC"/>
    <w:rsid w:val="44982BEB"/>
    <w:rsid w:val="44B94A2D"/>
    <w:rsid w:val="44F337E6"/>
    <w:rsid w:val="450212D5"/>
    <w:rsid w:val="45336CAD"/>
    <w:rsid w:val="45451BA7"/>
    <w:rsid w:val="454875A2"/>
    <w:rsid w:val="454A6F8C"/>
    <w:rsid w:val="457B2CF2"/>
    <w:rsid w:val="457C411B"/>
    <w:rsid w:val="45C60D34"/>
    <w:rsid w:val="45C9039D"/>
    <w:rsid w:val="46294545"/>
    <w:rsid w:val="464E1AAA"/>
    <w:rsid w:val="465B4309"/>
    <w:rsid w:val="46610871"/>
    <w:rsid w:val="466B74B2"/>
    <w:rsid w:val="469C5897"/>
    <w:rsid w:val="46B44566"/>
    <w:rsid w:val="46C36EB6"/>
    <w:rsid w:val="46F14939"/>
    <w:rsid w:val="472018CC"/>
    <w:rsid w:val="47321912"/>
    <w:rsid w:val="473C009B"/>
    <w:rsid w:val="47483F2A"/>
    <w:rsid w:val="47AE5432"/>
    <w:rsid w:val="47D925BC"/>
    <w:rsid w:val="47E64083"/>
    <w:rsid w:val="47EE4D3A"/>
    <w:rsid w:val="47FE3FA9"/>
    <w:rsid w:val="481A2F07"/>
    <w:rsid w:val="48987F49"/>
    <w:rsid w:val="48AE11D0"/>
    <w:rsid w:val="48C22822"/>
    <w:rsid w:val="48CC0C79"/>
    <w:rsid w:val="48CD1E18"/>
    <w:rsid w:val="49011351"/>
    <w:rsid w:val="492A0098"/>
    <w:rsid w:val="49322FA2"/>
    <w:rsid w:val="495652F9"/>
    <w:rsid w:val="499D7B9B"/>
    <w:rsid w:val="49AC6792"/>
    <w:rsid w:val="49B74E34"/>
    <w:rsid w:val="49BE6419"/>
    <w:rsid w:val="49C921D9"/>
    <w:rsid w:val="49FE6ECB"/>
    <w:rsid w:val="4A3C7FF9"/>
    <w:rsid w:val="4A434D46"/>
    <w:rsid w:val="4A96366D"/>
    <w:rsid w:val="4AB7423A"/>
    <w:rsid w:val="4AC66E81"/>
    <w:rsid w:val="4AD54511"/>
    <w:rsid w:val="4B011504"/>
    <w:rsid w:val="4B06328E"/>
    <w:rsid w:val="4B112357"/>
    <w:rsid w:val="4B431942"/>
    <w:rsid w:val="4B4C7B19"/>
    <w:rsid w:val="4B5B6D19"/>
    <w:rsid w:val="4B727A30"/>
    <w:rsid w:val="4B856D85"/>
    <w:rsid w:val="4BA75256"/>
    <w:rsid w:val="4BF53863"/>
    <w:rsid w:val="4C0545DD"/>
    <w:rsid w:val="4C173B29"/>
    <w:rsid w:val="4C202766"/>
    <w:rsid w:val="4C493B44"/>
    <w:rsid w:val="4C6F1114"/>
    <w:rsid w:val="4CB46F87"/>
    <w:rsid w:val="4D1A1780"/>
    <w:rsid w:val="4D3A58B9"/>
    <w:rsid w:val="4D454910"/>
    <w:rsid w:val="4D720CBA"/>
    <w:rsid w:val="4DC332C4"/>
    <w:rsid w:val="4DE668D8"/>
    <w:rsid w:val="4DE836C1"/>
    <w:rsid w:val="4DFD36D0"/>
    <w:rsid w:val="4E185E82"/>
    <w:rsid w:val="4E910898"/>
    <w:rsid w:val="4EBA104D"/>
    <w:rsid w:val="4EF17215"/>
    <w:rsid w:val="4F0179FA"/>
    <w:rsid w:val="4F132FB9"/>
    <w:rsid w:val="4F2945FB"/>
    <w:rsid w:val="4FCC4C23"/>
    <w:rsid w:val="4FD73056"/>
    <w:rsid w:val="4FF945DA"/>
    <w:rsid w:val="50882241"/>
    <w:rsid w:val="509D6DA2"/>
    <w:rsid w:val="50E53B54"/>
    <w:rsid w:val="50F771CB"/>
    <w:rsid w:val="51001985"/>
    <w:rsid w:val="51435470"/>
    <w:rsid w:val="51592B47"/>
    <w:rsid w:val="51A0666A"/>
    <w:rsid w:val="51B05FB9"/>
    <w:rsid w:val="51D63B03"/>
    <w:rsid w:val="51E657D3"/>
    <w:rsid w:val="51F36142"/>
    <w:rsid w:val="524E6C44"/>
    <w:rsid w:val="52864830"/>
    <w:rsid w:val="52913C49"/>
    <w:rsid w:val="529A1B44"/>
    <w:rsid w:val="52A833FB"/>
    <w:rsid w:val="52C26258"/>
    <w:rsid w:val="52F77906"/>
    <w:rsid w:val="530E42E0"/>
    <w:rsid w:val="531D0ED2"/>
    <w:rsid w:val="53346A12"/>
    <w:rsid w:val="5336193B"/>
    <w:rsid w:val="5339717B"/>
    <w:rsid w:val="533D090F"/>
    <w:rsid w:val="534415B3"/>
    <w:rsid w:val="5346796B"/>
    <w:rsid w:val="534A02FA"/>
    <w:rsid w:val="534A54C7"/>
    <w:rsid w:val="53581B75"/>
    <w:rsid w:val="538625DD"/>
    <w:rsid w:val="54215965"/>
    <w:rsid w:val="54AA12E8"/>
    <w:rsid w:val="54B75124"/>
    <w:rsid w:val="54CC4290"/>
    <w:rsid w:val="54D428D5"/>
    <w:rsid w:val="54DF75D5"/>
    <w:rsid w:val="5557343B"/>
    <w:rsid w:val="555E2DC1"/>
    <w:rsid w:val="557B5E0D"/>
    <w:rsid w:val="557D2659"/>
    <w:rsid w:val="55F77A96"/>
    <w:rsid w:val="56152B46"/>
    <w:rsid w:val="56254572"/>
    <w:rsid w:val="562D3B44"/>
    <w:rsid w:val="563D2B1F"/>
    <w:rsid w:val="56501831"/>
    <w:rsid w:val="567C363A"/>
    <w:rsid w:val="5686260A"/>
    <w:rsid w:val="569668C2"/>
    <w:rsid w:val="569B4508"/>
    <w:rsid w:val="56A96DCF"/>
    <w:rsid w:val="56B13202"/>
    <w:rsid w:val="56D1208D"/>
    <w:rsid w:val="56E04EE6"/>
    <w:rsid w:val="56E86F60"/>
    <w:rsid w:val="56F30DBC"/>
    <w:rsid w:val="57051336"/>
    <w:rsid w:val="57063DED"/>
    <w:rsid w:val="570A5D73"/>
    <w:rsid w:val="57114FA5"/>
    <w:rsid w:val="57253E0F"/>
    <w:rsid w:val="575E22AF"/>
    <w:rsid w:val="57874964"/>
    <w:rsid w:val="57C149AE"/>
    <w:rsid w:val="57E128C9"/>
    <w:rsid w:val="57EC6F46"/>
    <w:rsid w:val="581E07F5"/>
    <w:rsid w:val="58287ABC"/>
    <w:rsid w:val="58690D1C"/>
    <w:rsid w:val="589A2C08"/>
    <w:rsid w:val="58D112AB"/>
    <w:rsid w:val="58EB7983"/>
    <w:rsid w:val="58F4557B"/>
    <w:rsid w:val="59073DA3"/>
    <w:rsid w:val="592C0174"/>
    <w:rsid w:val="59560C23"/>
    <w:rsid w:val="595A05F3"/>
    <w:rsid w:val="5979043B"/>
    <w:rsid w:val="59966945"/>
    <w:rsid w:val="59F9025A"/>
    <w:rsid w:val="5A89377C"/>
    <w:rsid w:val="5AAE18E9"/>
    <w:rsid w:val="5AAF0671"/>
    <w:rsid w:val="5AD86F7F"/>
    <w:rsid w:val="5AE23627"/>
    <w:rsid w:val="5AFA4220"/>
    <w:rsid w:val="5B1C4745"/>
    <w:rsid w:val="5B4312C5"/>
    <w:rsid w:val="5B6471FF"/>
    <w:rsid w:val="5BE25A0C"/>
    <w:rsid w:val="5C4C48C5"/>
    <w:rsid w:val="5CC204D0"/>
    <w:rsid w:val="5CCF77CB"/>
    <w:rsid w:val="5CDC274D"/>
    <w:rsid w:val="5CDF0779"/>
    <w:rsid w:val="5CE26CEE"/>
    <w:rsid w:val="5CF34CBD"/>
    <w:rsid w:val="5D0E2835"/>
    <w:rsid w:val="5D1E0063"/>
    <w:rsid w:val="5D2E5799"/>
    <w:rsid w:val="5D6567A1"/>
    <w:rsid w:val="5D875085"/>
    <w:rsid w:val="5DC96364"/>
    <w:rsid w:val="5DD67678"/>
    <w:rsid w:val="5DE527E0"/>
    <w:rsid w:val="5E033266"/>
    <w:rsid w:val="5E156E3A"/>
    <w:rsid w:val="5E2477AB"/>
    <w:rsid w:val="5E341674"/>
    <w:rsid w:val="5E4915C3"/>
    <w:rsid w:val="5E6A0987"/>
    <w:rsid w:val="5E6D42B8"/>
    <w:rsid w:val="5E881525"/>
    <w:rsid w:val="5E890498"/>
    <w:rsid w:val="5E8961D2"/>
    <w:rsid w:val="5E925392"/>
    <w:rsid w:val="5EAC6C48"/>
    <w:rsid w:val="5EF3322C"/>
    <w:rsid w:val="5F2142EE"/>
    <w:rsid w:val="5F5C5863"/>
    <w:rsid w:val="5F5D14A2"/>
    <w:rsid w:val="5F817A6B"/>
    <w:rsid w:val="5F9B20F3"/>
    <w:rsid w:val="5FE33C57"/>
    <w:rsid w:val="60055D69"/>
    <w:rsid w:val="603246B6"/>
    <w:rsid w:val="604B2C57"/>
    <w:rsid w:val="60772E6B"/>
    <w:rsid w:val="60836A3C"/>
    <w:rsid w:val="60A52CFD"/>
    <w:rsid w:val="60C77377"/>
    <w:rsid w:val="60C9619F"/>
    <w:rsid w:val="61870B96"/>
    <w:rsid w:val="61AB735D"/>
    <w:rsid w:val="61B03E49"/>
    <w:rsid w:val="61C06FD4"/>
    <w:rsid w:val="61D00802"/>
    <w:rsid w:val="61E7692D"/>
    <w:rsid w:val="61EF4CD0"/>
    <w:rsid w:val="61EF768E"/>
    <w:rsid w:val="61FE765F"/>
    <w:rsid w:val="62094D93"/>
    <w:rsid w:val="621256DB"/>
    <w:rsid w:val="6216044A"/>
    <w:rsid w:val="62815EB7"/>
    <w:rsid w:val="62835E70"/>
    <w:rsid w:val="62AA0BE3"/>
    <w:rsid w:val="62AD6577"/>
    <w:rsid w:val="62CF0EF6"/>
    <w:rsid w:val="62F03F0C"/>
    <w:rsid w:val="631847CA"/>
    <w:rsid w:val="634A2C90"/>
    <w:rsid w:val="636B1FDC"/>
    <w:rsid w:val="637F2D8D"/>
    <w:rsid w:val="63900ED9"/>
    <w:rsid w:val="63A93858"/>
    <w:rsid w:val="63B74248"/>
    <w:rsid w:val="640411B5"/>
    <w:rsid w:val="64191968"/>
    <w:rsid w:val="644E423F"/>
    <w:rsid w:val="6465618D"/>
    <w:rsid w:val="647B117A"/>
    <w:rsid w:val="650E4F3B"/>
    <w:rsid w:val="65183920"/>
    <w:rsid w:val="656A3D7B"/>
    <w:rsid w:val="657C3812"/>
    <w:rsid w:val="65975D1F"/>
    <w:rsid w:val="65C965F9"/>
    <w:rsid w:val="660A5ADC"/>
    <w:rsid w:val="661B732A"/>
    <w:rsid w:val="661F5E50"/>
    <w:rsid w:val="6625515E"/>
    <w:rsid w:val="664C753B"/>
    <w:rsid w:val="66A732AA"/>
    <w:rsid w:val="66E84FAC"/>
    <w:rsid w:val="66FD295B"/>
    <w:rsid w:val="670F7122"/>
    <w:rsid w:val="6712451C"/>
    <w:rsid w:val="673846EF"/>
    <w:rsid w:val="673F17B5"/>
    <w:rsid w:val="67B00AF2"/>
    <w:rsid w:val="67D66EC2"/>
    <w:rsid w:val="67DB588D"/>
    <w:rsid w:val="67EC3B3F"/>
    <w:rsid w:val="67ED710E"/>
    <w:rsid w:val="67F0468F"/>
    <w:rsid w:val="680B221B"/>
    <w:rsid w:val="68475FEA"/>
    <w:rsid w:val="68793329"/>
    <w:rsid w:val="689B3B14"/>
    <w:rsid w:val="68A37E4A"/>
    <w:rsid w:val="68D63645"/>
    <w:rsid w:val="68EC4C9F"/>
    <w:rsid w:val="69363CC8"/>
    <w:rsid w:val="693D2DB4"/>
    <w:rsid w:val="694329D2"/>
    <w:rsid w:val="69670B4F"/>
    <w:rsid w:val="696A4AE4"/>
    <w:rsid w:val="69A74209"/>
    <w:rsid w:val="69D451CC"/>
    <w:rsid w:val="69D76872"/>
    <w:rsid w:val="6A3718D3"/>
    <w:rsid w:val="6A3F0993"/>
    <w:rsid w:val="6A4F0C56"/>
    <w:rsid w:val="6A607390"/>
    <w:rsid w:val="6A8369A1"/>
    <w:rsid w:val="6AC40534"/>
    <w:rsid w:val="6AC66FA2"/>
    <w:rsid w:val="6AE72CDB"/>
    <w:rsid w:val="6AED777A"/>
    <w:rsid w:val="6AF23396"/>
    <w:rsid w:val="6B2244F1"/>
    <w:rsid w:val="6B2E6035"/>
    <w:rsid w:val="6B312F8D"/>
    <w:rsid w:val="6B477D67"/>
    <w:rsid w:val="6B79297E"/>
    <w:rsid w:val="6B9E6173"/>
    <w:rsid w:val="6BE41455"/>
    <w:rsid w:val="6C257701"/>
    <w:rsid w:val="6C285298"/>
    <w:rsid w:val="6C2C7C79"/>
    <w:rsid w:val="6C427557"/>
    <w:rsid w:val="6C4F2FBF"/>
    <w:rsid w:val="6C8C4E1B"/>
    <w:rsid w:val="6CB63C0C"/>
    <w:rsid w:val="6CC22750"/>
    <w:rsid w:val="6D0D3B31"/>
    <w:rsid w:val="6D2B07C1"/>
    <w:rsid w:val="6D334FE4"/>
    <w:rsid w:val="6D7103CA"/>
    <w:rsid w:val="6D9424EA"/>
    <w:rsid w:val="6DA30F9E"/>
    <w:rsid w:val="6DAF6F69"/>
    <w:rsid w:val="6DBD557A"/>
    <w:rsid w:val="6DC23115"/>
    <w:rsid w:val="6DCD02F9"/>
    <w:rsid w:val="6DCF38EA"/>
    <w:rsid w:val="6DE868E7"/>
    <w:rsid w:val="6DE93BDB"/>
    <w:rsid w:val="6E41156A"/>
    <w:rsid w:val="6E5945E4"/>
    <w:rsid w:val="6E5D01FB"/>
    <w:rsid w:val="6E652840"/>
    <w:rsid w:val="6E9271DA"/>
    <w:rsid w:val="6ED37B8B"/>
    <w:rsid w:val="6EF148E1"/>
    <w:rsid w:val="6EFA6CE5"/>
    <w:rsid w:val="6F127B95"/>
    <w:rsid w:val="6F2505DF"/>
    <w:rsid w:val="6F3E695A"/>
    <w:rsid w:val="6F67154B"/>
    <w:rsid w:val="6F69510A"/>
    <w:rsid w:val="6F922C12"/>
    <w:rsid w:val="6FBF777B"/>
    <w:rsid w:val="6FCB60CC"/>
    <w:rsid w:val="6FEC7B30"/>
    <w:rsid w:val="702044BA"/>
    <w:rsid w:val="70653EC6"/>
    <w:rsid w:val="708425C0"/>
    <w:rsid w:val="70980E9D"/>
    <w:rsid w:val="70BA70D4"/>
    <w:rsid w:val="70BD6CF4"/>
    <w:rsid w:val="70C055EA"/>
    <w:rsid w:val="70D53243"/>
    <w:rsid w:val="71151EFF"/>
    <w:rsid w:val="712F4202"/>
    <w:rsid w:val="71444130"/>
    <w:rsid w:val="71554798"/>
    <w:rsid w:val="715F72E0"/>
    <w:rsid w:val="71932BEA"/>
    <w:rsid w:val="71950224"/>
    <w:rsid w:val="71B52674"/>
    <w:rsid w:val="71EB6804"/>
    <w:rsid w:val="72243095"/>
    <w:rsid w:val="722573CE"/>
    <w:rsid w:val="72291F54"/>
    <w:rsid w:val="72582923"/>
    <w:rsid w:val="727150D6"/>
    <w:rsid w:val="72A32C3B"/>
    <w:rsid w:val="72B30A23"/>
    <w:rsid w:val="72BC07FA"/>
    <w:rsid w:val="730076A1"/>
    <w:rsid w:val="736E3571"/>
    <w:rsid w:val="737D74F2"/>
    <w:rsid w:val="73871097"/>
    <w:rsid w:val="739A31EC"/>
    <w:rsid w:val="73B91755"/>
    <w:rsid w:val="73F86818"/>
    <w:rsid w:val="740E2954"/>
    <w:rsid w:val="742918C0"/>
    <w:rsid w:val="742D21ED"/>
    <w:rsid w:val="744B128D"/>
    <w:rsid w:val="74F00246"/>
    <w:rsid w:val="74FF2584"/>
    <w:rsid w:val="75167E37"/>
    <w:rsid w:val="753B6EFF"/>
    <w:rsid w:val="75444981"/>
    <w:rsid w:val="755A02A7"/>
    <w:rsid w:val="756F6773"/>
    <w:rsid w:val="75827EE5"/>
    <w:rsid w:val="75A70BAD"/>
    <w:rsid w:val="75D2326D"/>
    <w:rsid w:val="75F008DD"/>
    <w:rsid w:val="75FD13F4"/>
    <w:rsid w:val="76041EF5"/>
    <w:rsid w:val="7607731C"/>
    <w:rsid w:val="762A4480"/>
    <w:rsid w:val="764104BE"/>
    <w:rsid w:val="76501063"/>
    <w:rsid w:val="765B430A"/>
    <w:rsid w:val="766269B3"/>
    <w:rsid w:val="76CD56AB"/>
    <w:rsid w:val="76E42126"/>
    <w:rsid w:val="77136FDE"/>
    <w:rsid w:val="77146FAF"/>
    <w:rsid w:val="772327CB"/>
    <w:rsid w:val="772E22F2"/>
    <w:rsid w:val="7731260D"/>
    <w:rsid w:val="773C0DD2"/>
    <w:rsid w:val="773D05D2"/>
    <w:rsid w:val="77657850"/>
    <w:rsid w:val="776D72BA"/>
    <w:rsid w:val="77725A31"/>
    <w:rsid w:val="777B7B55"/>
    <w:rsid w:val="77836E5A"/>
    <w:rsid w:val="77903860"/>
    <w:rsid w:val="77985451"/>
    <w:rsid w:val="779E42D6"/>
    <w:rsid w:val="784D6E50"/>
    <w:rsid w:val="7867455D"/>
    <w:rsid w:val="78875FCE"/>
    <w:rsid w:val="78C25325"/>
    <w:rsid w:val="78C543A3"/>
    <w:rsid w:val="78FE02F7"/>
    <w:rsid w:val="78FF1CF1"/>
    <w:rsid w:val="79025FCD"/>
    <w:rsid w:val="791413D9"/>
    <w:rsid w:val="792568CB"/>
    <w:rsid w:val="792D16EA"/>
    <w:rsid w:val="7937265D"/>
    <w:rsid w:val="79377EAD"/>
    <w:rsid w:val="793C4E11"/>
    <w:rsid w:val="79BA32C3"/>
    <w:rsid w:val="79E75577"/>
    <w:rsid w:val="79EE12DB"/>
    <w:rsid w:val="79F67195"/>
    <w:rsid w:val="7A186BC4"/>
    <w:rsid w:val="7A205D81"/>
    <w:rsid w:val="7A2237BD"/>
    <w:rsid w:val="7A3F633D"/>
    <w:rsid w:val="7A4C49A3"/>
    <w:rsid w:val="7A584450"/>
    <w:rsid w:val="7A5862D8"/>
    <w:rsid w:val="7A62132E"/>
    <w:rsid w:val="7A6F6183"/>
    <w:rsid w:val="7A886645"/>
    <w:rsid w:val="7A9A311E"/>
    <w:rsid w:val="7AC874B6"/>
    <w:rsid w:val="7B023A35"/>
    <w:rsid w:val="7B052E58"/>
    <w:rsid w:val="7B1D7BC9"/>
    <w:rsid w:val="7B271470"/>
    <w:rsid w:val="7B383CE6"/>
    <w:rsid w:val="7B7672D0"/>
    <w:rsid w:val="7B82794E"/>
    <w:rsid w:val="7BD007D6"/>
    <w:rsid w:val="7BD243E2"/>
    <w:rsid w:val="7BDC3C70"/>
    <w:rsid w:val="7BF66311"/>
    <w:rsid w:val="7C876593"/>
    <w:rsid w:val="7C88230C"/>
    <w:rsid w:val="7CED3D75"/>
    <w:rsid w:val="7CF4112D"/>
    <w:rsid w:val="7CFB442F"/>
    <w:rsid w:val="7D0621F2"/>
    <w:rsid w:val="7D352D3C"/>
    <w:rsid w:val="7D5C6475"/>
    <w:rsid w:val="7D7610C2"/>
    <w:rsid w:val="7DF277DB"/>
    <w:rsid w:val="7DFB7BBB"/>
    <w:rsid w:val="7E111057"/>
    <w:rsid w:val="7EAA7006"/>
    <w:rsid w:val="7EDC291C"/>
    <w:rsid w:val="7EF0556B"/>
    <w:rsid w:val="7EF615D7"/>
    <w:rsid w:val="7F445D42"/>
    <w:rsid w:val="7F850220"/>
    <w:rsid w:val="7F95618C"/>
    <w:rsid w:val="7F9D2196"/>
    <w:rsid w:val="7F9E7555"/>
    <w:rsid w:val="7FA76AC5"/>
    <w:rsid w:val="7FAD73F4"/>
    <w:rsid w:val="7FCE4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4"/>
    <w:link w:val="54"/>
    <w:qFormat/>
    <w:uiPriority w:val="0"/>
    <w:pPr>
      <w:keepNext/>
      <w:keepLines/>
      <w:spacing w:before="340" w:after="330" w:line="576" w:lineRule="auto"/>
      <w:outlineLvl w:val="0"/>
    </w:pPr>
    <w:rPr>
      <w:b/>
      <w:bCs/>
      <w:kern w:val="44"/>
      <w:sz w:val="44"/>
      <w:szCs w:val="44"/>
    </w:rPr>
  </w:style>
  <w:style w:type="paragraph" w:styleId="6">
    <w:name w:val="heading 2"/>
    <w:basedOn w:val="1"/>
    <w:next w:val="1"/>
    <w:link w:val="57"/>
    <w:qFormat/>
    <w:uiPriority w:val="0"/>
    <w:pPr>
      <w:keepNext/>
      <w:keepLines/>
      <w:spacing w:before="260" w:after="260" w:line="415" w:lineRule="auto"/>
      <w:outlineLvl w:val="1"/>
    </w:pPr>
    <w:rPr>
      <w:rFonts w:ascii="Arial" w:hAnsi="Arial" w:eastAsia="黑体"/>
      <w:b/>
      <w:bCs/>
      <w:sz w:val="32"/>
      <w:szCs w:val="32"/>
    </w:rPr>
  </w:style>
  <w:style w:type="paragraph" w:styleId="7">
    <w:name w:val="heading 3"/>
    <w:basedOn w:val="1"/>
    <w:next w:val="1"/>
    <w:link w:val="58"/>
    <w:qFormat/>
    <w:uiPriority w:val="0"/>
    <w:pPr>
      <w:keepNext/>
      <w:keepLines/>
      <w:spacing w:before="260" w:after="260" w:line="415" w:lineRule="auto"/>
      <w:ind w:firstLine="137" w:firstLineChars="49"/>
      <w:outlineLvl w:val="2"/>
    </w:pPr>
    <w:rPr>
      <w:rFonts w:ascii="黑体" w:hAnsi="黑体" w:eastAsia="黑体"/>
      <w:bCs/>
      <w:sz w:val="28"/>
      <w:szCs w:val="28"/>
    </w:rPr>
  </w:style>
  <w:style w:type="paragraph" w:styleId="8">
    <w:name w:val="heading 4"/>
    <w:basedOn w:val="1"/>
    <w:next w:val="1"/>
    <w:link w:val="59"/>
    <w:qFormat/>
    <w:uiPriority w:val="0"/>
    <w:pPr>
      <w:keepNext/>
      <w:keepLines/>
      <w:spacing w:before="280" w:after="290" w:line="374" w:lineRule="auto"/>
      <w:outlineLvl w:val="3"/>
    </w:pPr>
    <w:rPr>
      <w:rFonts w:ascii="Arial" w:hAnsi="Arial" w:eastAsia="黑体"/>
      <w:b/>
      <w:bCs/>
      <w:sz w:val="28"/>
      <w:szCs w:val="28"/>
    </w:rPr>
  </w:style>
  <w:style w:type="paragraph" w:styleId="9">
    <w:name w:val="heading 5"/>
    <w:basedOn w:val="1"/>
    <w:next w:val="10"/>
    <w:link w:val="60"/>
    <w:qFormat/>
    <w:uiPriority w:val="0"/>
    <w:pPr>
      <w:spacing w:before="156" w:beforeLines="50" w:after="156" w:afterLines="50" w:line="240" w:lineRule="exact"/>
      <w:ind w:left="284" w:hanging="284"/>
      <w:jc w:val="center"/>
      <w:outlineLvl w:val="4"/>
    </w:pPr>
    <w:rPr>
      <w:color w:val="000000"/>
      <w:sz w:val="24"/>
      <w:szCs w:val="24"/>
    </w:rPr>
  </w:style>
  <w:style w:type="paragraph" w:styleId="11">
    <w:name w:val="heading 6"/>
    <w:basedOn w:val="1"/>
    <w:next w:val="1"/>
    <w:link w:val="6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12">
    <w:name w:val="heading 7"/>
    <w:basedOn w:val="1"/>
    <w:next w:val="1"/>
    <w:link w:val="62"/>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13">
    <w:name w:val="heading 8"/>
    <w:basedOn w:val="1"/>
    <w:next w:val="1"/>
    <w:link w:val="63"/>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4">
    <w:name w:val="heading 9"/>
    <w:basedOn w:val="1"/>
    <w:next w:val="1"/>
    <w:link w:val="6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4">
    <w:name w:val="Default Paragraph Font"/>
    <w:unhideWhenUsed/>
    <w:qFormat/>
    <w:uiPriority w:val="1"/>
  </w:style>
  <w:style w:type="table" w:default="1" w:styleId="42">
    <w:name w:val="Normal Table"/>
    <w:unhideWhenUsed/>
    <w:qFormat/>
    <w:uiPriority w:val="99"/>
    <w:rPr>
      <w:rFonts w:ascii="Calibri" w:hAnsi="Calibri"/>
      <w:kern w:val="2"/>
      <w:sz w:val="21"/>
      <w:szCs w:val="22"/>
    </w:rPr>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4">
    <w:name w:val="Body Text First Indent"/>
    <w:basedOn w:val="5"/>
    <w:link w:val="56"/>
    <w:unhideWhenUsed/>
    <w:qFormat/>
    <w:uiPriority w:val="99"/>
    <w:pPr>
      <w:ind w:firstLine="420" w:firstLineChars="100"/>
    </w:pPr>
    <w:rPr>
      <w:szCs w:val="24"/>
    </w:rPr>
  </w:style>
  <w:style w:type="paragraph" w:styleId="5">
    <w:name w:val="Body Text"/>
    <w:basedOn w:val="1"/>
    <w:link w:val="55"/>
    <w:unhideWhenUsed/>
    <w:qFormat/>
    <w:uiPriority w:val="99"/>
    <w:pPr>
      <w:spacing w:after="120"/>
    </w:pPr>
  </w:style>
  <w:style w:type="paragraph" w:customStyle="1" w:styleId="10">
    <w:name w:val="Normal Indent1"/>
    <w:basedOn w:val="1"/>
    <w:qFormat/>
    <w:uiPriority w:val="0"/>
    <w:pPr>
      <w:ind w:firstLine="420" w:firstLineChars="200"/>
    </w:pPr>
    <w:rPr>
      <w:szCs w:val="24"/>
    </w:rPr>
  </w:style>
  <w:style w:type="paragraph" w:styleId="15">
    <w:name w:val="toc 7"/>
    <w:basedOn w:val="1"/>
    <w:next w:val="1"/>
    <w:qFormat/>
    <w:uiPriority w:val="39"/>
    <w:pPr>
      <w:ind w:left="1260"/>
      <w:jc w:val="left"/>
    </w:pPr>
    <w:rPr>
      <w:sz w:val="18"/>
      <w:szCs w:val="18"/>
    </w:rPr>
  </w:style>
  <w:style w:type="paragraph" w:styleId="16">
    <w:name w:val="index 8"/>
    <w:basedOn w:val="1"/>
    <w:next w:val="1"/>
    <w:unhideWhenUsed/>
    <w:qFormat/>
    <w:uiPriority w:val="99"/>
    <w:pPr>
      <w:ind w:left="1400" w:leftChars="1400"/>
    </w:pPr>
  </w:style>
  <w:style w:type="paragraph" w:styleId="17">
    <w:name w:val="Normal Indent"/>
    <w:basedOn w:val="1"/>
    <w:unhideWhenUsed/>
    <w:qFormat/>
    <w:uiPriority w:val="0"/>
    <w:pPr>
      <w:ind w:firstLine="420" w:firstLineChars="200"/>
    </w:pPr>
    <w:rPr>
      <w:szCs w:val="24"/>
    </w:rPr>
  </w:style>
  <w:style w:type="paragraph" w:styleId="18">
    <w:name w:val="Document Map"/>
    <w:basedOn w:val="1"/>
    <w:link w:val="65"/>
    <w:qFormat/>
    <w:uiPriority w:val="0"/>
    <w:rPr>
      <w:rFonts w:ascii="宋体"/>
      <w:sz w:val="18"/>
      <w:szCs w:val="18"/>
    </w:rPr>
  </w:style>
  <w:style w:type="paragraph" w:styleId="19">
    <w:name w:val="annotation text"/>
    <w:basedOn w:val="1"/>
    <w:link w:val="66"/>
    <w:qFormat/>
    <w:uiPriority w:val="99"/>
    <w:pPr>
      <w:jc w:val="left"/>
    </w:pPr>
    <w:rPr>
      <w:szCs w:val="24"/>
    </w:rPr>
  </w:style>
  <w:style w:type="paragraph" w:styleId="20">
    <w:name w:val="Body Text 3"/>
    <w:basedOn w:val="1"/>
    <w:qFormat/>
    <w:uiPriority w:val="0"/>
    <w:rPr>
      <w:rFonts w:ascii="宋体" w:hAnsi="Calibri"/>
      <w:sz w:val="24"/>
      <w:szCs w:val="20"/>
    </w:rPr>
  </w:style>
  <w:style w:type="paragraph" w:styleId="21">
    <w:name w:val="Body Text Indent"/>
    <w:basedOn w:val="1"/>
    <w:qFormat/>
    <w:uiPriority w:val="0"/>
    <w:pPr>
      <w:ind w:firstLine="560" w:firstLineChars="200"/>
    </w:pPr>
    <w:rPr>
      <w:rFonts w:ascii="Calibri" w:hAnsi="Calibri"/>
      <w:kern w:val="0"/>
      <w:sz w:val="28"/>
      <w:szCs w:val="24"/>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Cs/>
      <w:sz w:val="20"/>
      <w:szCs w:val="20"/>
    </w:rPr>
  </w:style>
  <w:style w:type="paragraph" w:styleId="24">
    <w:name w:val="Plain Text"/>
    <w:basedOn w:val="1"/>
    <w:link w:val="67"/>
    <w:qFormat/>
    <w:uiPriority w:val="0"/>
    <w:rPr>
      <w:rFonts w:ascii="宋体" w:hAnsi="Courier New"/>
      <w:szCs w:val="20"/>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68"/>
    <w:qFormat/>
    <w:uiPriority w:val="0"/>
    <w:pPr>
      <w:ind w:left="100" w:leftChars="2500"/>
    </w:pPr>
    <w:rPr>
      <w:rFonts w:ascii="Calibri" w:hAnsi="Calibri"/>
      <w:kern w:val="0"/>
      <w:sz w:val="20"/>
      <w:szCs w:val="24"/>
    </w:rPr>
  </w:style>
  <w:style w:type="paragraph" w:styleId="27">
    <w:name w:val="endnote text"/>
    <w:basedOn w:val="1"/>
    <w:link w:val="69"/>
    <w:qFormat/>
    <w:uiPriority w:val="0"/>
    <w:pPr>
      <w:snapToGrid w:val="0"/>
      <w:jc w:val="left"/>
    </w:pPr>
    <w:rPr>
      <w:szCs w:val="20"/>
    </w:rPr>
  </w:style>
  <w:style w:type="paragraph" w:styleId="28">
    <w:name w:val="Balloon Text"/>
    <w:basedOn w:val="1"/>
    <w:link w:val="70"/>
    <w:qFormat/>
    <w:uiPriority w:val="99"/>
    <w:rPr>
      <w:sz w:val="18"/>
      <w:szCs w:val="18"/>
    </w:rPr>
  </w:style>
  <w:style w:type="paragraph" w:styleId="29">
    <w:name w:val="footer"/>
    <w:basedOn w:val="1"/>
    <w:link w:val="71"/>
    <w:qFormat/>
    <w:uiPriority w:val="99"/>
    <w:pPr>
      <w:tabs>
        <w:tab w:val="center" w:pos="4153"/>
        <w:tab w:val="right" w:pos="8306"/>
      </w:tabs>
      <w:snapToGrid w:val="0"/>
      <w:jc w:val="left"/>
    </w:pPr>
    <w:rPr>
      <w:sz w:val="18"/>
      <w:szCs w:val="18"/>
    </w:rPr>
  </w:style>
  <w:style w:type="paragraph" w:styleId="30">
    <w:name w:val="header"/>
    <w:basedOn w:val="1"/>
    <w:link w:val="72"/>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120" w:after="120"/>
      <w:jc w:val="left"/>
    </w:pPr>
    <w:rPr>
      <w:b/>
      <w:bCs/>
      <w:caps/>
      <w:sz w:val="20"/>
      <w:szCs w:val="20"/>
    </w:rPr>
  </w:style>
  <w:style w:type="paragraph" w:styleId="32">
    <w:name w:val="toc 4"/>
    <w:basedOn w:val="1"/>
    <w:next w:val="1"/>
    <w:qFormat/>
    <w:uiPriority w:val="39"/>
    <w:pPr>
      <w:ind w:left="630"/>
      <w:jc w:val="left"/>
    </w:pPr>
    <w:rPr>
      <w:sz w:val="18"/>
      <w:szCs w:val="18"/>
    </w:rPr>
  </w:style>
  <w:style w:type="paragraph" w:styleId="33">
    <w:name w:val="footnote text"/>
    <w:basedOn w:val="1"/>
    <w:link w:val="73"/>
    <w:qFormat/>
    <w:uiPriority w:val="0"/>
    <w:pPr>
      <w:snapToGrid w:val="0"/>
      <w:jc w:val="left"/>
    </w:pPr>
    <w:rPr>
      <w:sz w:val="18"/>
      <w:szCs w:val="20"/>
    </w:rPr>
  </w:style>
  <w:style w:type="paragraph" w:styleId="34">
    <w:name w:val="toc 6"/>
    <w:basedOn w:val="1"/>
    <w:next w:val="1"/>
    <w:qFormat/>
    <w:uiPriority w:val="39"/>
    <w:pPr>
      <w:ind w:left="1050"/>
      <w:jc w:val="left"/>
    </w:pPr>
    <w:rPr>
      <w:sz w:val="18"/>
      <w:szCs w:val="18"/>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39"/>
    <w:pPr>
      <w:ind w:left="1680"/>
      <w:jc w:val="left"/>
    </w:pPr>
    <w:rPr>
      <w:sz w:val="18"/>
      <w:szCs w:val="18"/>
    </w:rPr>
  </w:style>
  <w:style w:type="paragraph" w:styleId="37">
    <w:name w:val="Body Text 2"/>
    <w:basedOn w:val="1"/>
    <w:link w:val="74"/>
    <w:unhideWhenUsed/>
    <w:qFormat/>
    <w:uiPriority w:val="99"/>
    <w:rPr>
      <w:rFonts w:ascii="宋体"/>
      <w:sz w:val="24"/>
      <w:szCs w:val="24"/>
      <w:u w:val="single"/>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9">
    <w:name w:val="Title"/>
    <w:basedOn w:val="1"/>
    <w:link w:val="7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9"/>
    <w:next w:val="19"/>
    <w:link w:val="76"/>
    <w:qFormat/>
    <w:uiPriority w:val="0"/>
    <w:rPr>
      <w:b/>
      <w:bCs/>
    </w:rPr>
  </w:style>
  <w:style w:type="paragraph" w:styleId="41">
    <w:name w:val="Body Text First Indent 2"/>
    <w:basedOn w:val="21"/>
    <w:qFormat/>
    <w:uiPriority w:val="0"/>
    <w:pPr>
      <w:spacing w:after="120"/>
      <w:ind w:left="420" w:leftChars="200" w:firstLine="420"/>
    </w:pPr>
    <w:rPr>
      <w:rFonts w:ascii="Times New Roman" w:hAnsi="Times New Roman"/>
      <w:sz w:val="20"/>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endnote reference"/>
    <w:qFormat/>
    <w:uiPriority w:val="0"/>
    <w:rPr>
      <w:vertAlign w:val="superscript"/>
    </w:rPr>
  </w:style>
  <w:style w:type="character" w:styleId="47">
    <w:name w:val="page number"/>
    <w:qFormat/>
    <w:uiPriority w:val="0"/>
  </w:style>
  <w:style w:type="character" w:styleId="48">
    <w:name w:val="FollowedHyperlink"/>
    <w:qFormat/>
    <w:uiPriority w:val="0"/>
    <w:rPr>
      <w:color w:val="000000"/>
      <w:u w:val="none"/>
    </w:rPr>
  </w:style>
  <w:style w:type="character" w:styleId="49">
    <w:name w:val="Emphasis"/>
    <w:qFormat/>
    <w:uiPriority w:val="0"/>
    <w:rPr>
      <w:color w:val="CC0000"/>
    </w:rPr>
  </w:style>
  <w:style w:type="character" w:styleId="50">
    <w:name w:val="Hyperlink"/>
    <w:qFormat/>
    <w:uiPriority w:val="99"/>
    <w:rPr>
      <w:color w:val="000000"/>
      <w:u w:val="none"/>
    </w:rPr>
  </w:style>
  <w:style w:type="character" w:styleId="51">
    <w:name w:val="annotation reference"/>
    <w:qFormat/>
    <w:uiPriority w:val="99"/>
    <w:rPr>
      <w:sz w:val="21"/>
      <w:szCs w:val="21"/>
    </w:rPr>
  </w:style>
  <w:style w:type="character" w:styleId="52">
    <w:name w:val="HTML Cite"/>
    <w:unhideWhenUsed/>
    <w:qFormat/>
    <w:uiPriority w:val="99"/>
    <w:rPr>
      <w:sz w:val="24"/>
      <w:szCs w:val="24"/>
    </w:rPr>
  </w:style>
  <w:style w:type="character" w:styleId="53">
    <w:name w:val="footnote reference"/>
    <w:qFormat/>
    <w:uiPriority w:val="0"/>
    <w:rPr>
      <w:vertAlign w:val="superscript"/>
    </w:rPr>
  </w:style>
  <w:style w:type="character" w:customStyle="1" w:styleId="54">
    <w:name w:val="标题 1 Char"/>
    <w:link w:val="3"/>
    <w:qFormat/>
    <w:uiPriority w:val="0"/>
    <w:rPr>
      <w:rFonts w:ascii="Times New Roman" w:hAnsi="Times New Roman" w:eastAsia="宋体"/>
      <w:b/>
      <w:bCs/>
      <w:kern w:val="44"/>
      <w:sz w:val="44"/>
      <w:szCs w:val="44"/>
    </w:rPr>
  </w:style>
  <w:style w:type="character" w:customStyle="1" w:styleId="55">
    <w:name w:val="正文文本 Char"/>
    <w:link w:val="5"/>
    <w:semiHidden/>
    <w:qFormat/>
    <w:uiPriority w:val="99"/>
    <w:rPr>
      <w:kern w:val="2"/>
      <w:sz w:val="21"/>
      <w:szCs w:val="22"/>
    </w:rPr>
  </w:style>
  <w:style w:type="character" w:customStyle="1" w:styleId="56">
    <w:name w:val="正文首行缩进 Char1"/>
    <w:link w:val="4"/>
    <w:qFormat/>
    <w:uiPriority w:val="99"/>
  </w:style>
  <w:style w:type="character" w:customStyle="1" w:styleId="57">
    <w:name w:val="标题 2 Char"/>
    <w:link w:val="6"/>
    <w:qFormat/>
    <w:uiPriority w:val="0"/>
    <w:rPr>
      <w:rFonts w:ascii="Arial" w:hAnsi="Arial" w:eastAsia="黑体"/>
      <w:b/>
      <w:bCs/>
      <w:kern w:val="2"/>
      <w:sz w:val="32"/>
      <w:szCs w:val="32"/>
    </w:rPr>
  </w:style>
  <w:style w:type="character" w:customStyle="1" w:styleId="58">
    <w:name w:val="标题 3 Char"/>
    <w:link w:val="7"/>
    <w:qFormat/>
    <w:uiPriority w:val="0"/>
    <w:rPr>
      <w:rFonts w:ascii="黑体" w:hAnsi="黑体" w:eastAsia="黑体"/>
      <w:bCs/>
      <w:kern w:val="2"/>
      <w:sz w:val="28"/>
      <w:szCs w:val="28"/>
    </w:rPr>
  </w:style>
  <w:style w:type="character" w:customStyle="1" w:styleId="59">
    <w:name w:val="标题 4 Char"/>
    <w:link w:val="8"/>
    <w:qFormat/>
    <w:uiPriority w:val="0"/>
    <w:rPr>
      <w:rFonts w:ascii="Arial" w:hAnsi="Arial" w:eastAsia="黑体"/>
      <w:b/>
      <w:bCs/>
      <w:kern w:val="2"/>
      <w:sz w:val="28"/>
      <w:szCs w:val="28"/>
    </w:rPr>
  </w:style>
  <w:style w:type="character" w:customStyle="1" w:styleId="60">
    <w:name w:val="标题 5 Char"/>
    <w:link w:val="9"/>
    <w:qFormat/>
    <w:uiPriority w:val="0"/>
    <w:rPr>
      <w:rFonts w:ascii="Times New Roman" w:hAnsi="Times New Roman" w:eastAsia="宋体"/>
      <w:color w:val="000000"/>
      <w:kern w:val="2"/>
      <w:sz w:val="24"/>
      <w:szCs w:val="24"/>
    </w:rPr>
  </w:style>
  <w:style w:type="character" w:customStyle="1" w:styleId="61">
    <w:name w:val="标题 6 Char"/>
    <w:link w:val="11"/>
    <w:qFormat/>
    <w:uiPriority w:val="0"/>
    <w:rPr>
      <w:rFonts w:ascii="Arial" w:hAnsi="Arial" w:eastAsia="黑体"/>
      <w:b/>
      <w:bCs/>
      <w:sz w:val="24"/>
      <w:szCs w:val="24"/>
    </w:rPr>
  </w:style>
  <w:style w:type="character" w:customStyle="1" w:styleId="62">
    <w:name w:val="标题 7 Char"/>
    <w:link w:val="12"/>
    <w:qFormat/>
    <w:uiPriority w:val="0"/>
    <w:rPr>
      <w:rFonts w:ascii="Times New Roman" w:hAnsi="Times New Roman" w:eastAsia="宋体"/>
      <w:b/>
      <w:bCs/>
      <w:sz w:val="24"/>
      <w:szCs w:val="24"/>
    </w:rPr>
  </w:style>
  <w:style w:type="character" w:customStyle="1" w:styleId="63">
    <w:name w:val="标题 8 Char"/>
    <w:link w:val="13"/>
    <w:qFormat/>
    <w:uiPriority w:val="0"/>
    <w:rPr>
      <w:rFonts w:ascii="Arial" w:hAnsi="Arial" w:eastAsia="黑体"/>
      <w:sz w:val="24"/>
      <w:szCs w:val="24"/>
    </w:rPr>
  </w:style>
  <w:style w:type="character" w:customStyle="1" w:styleId="64">
    <w:name w:val="标题 9 Char"/>
    <w:link w:val="14"/>
    <w:qFormat/>
    <w:uiPriority w:val="0"/>
    <w:rPr>
      <w:rFonts w:ascii="Arial" w:hAnsi="Arial" w:eastAsia="黑体"/>
      <w:sz w:val="21"/>
      <w:szCs w:val="21"/>
    </w:rPr>
  </w:style>
  <w:style w:type="character" w:customStyle="1" w:styleId="65">
    <w:name w:val="文档结构图 Char"/>
    <w:link w:val="18"/>
    <w:qFormat/>
    <w:uiPriority w:val="0"/>
    <w:rPr>
      <w:rFonts w:ascii="宋体"/>
      <w:kern w:val="2"/>
      <w:sz w:val="18"/>
      <w:szCs w:val="18"/>
    </w:rPr>
  </w:style>
  <w:style w:type="character" w:customStyle="1" w:styleId="66">
    <w:name w:val="批注文字 Char"/>
    <w:link w:val="19"/>
    <w:qFormat/>
    <w:uiPriority w:val="99"/>
    <w:rPr>
      <w:rFonts w:eastAsia="宋体"/>
      <w:kern w:val="2"/>
      <w:sz w:val="21"/>
      <w:szCs w:val="24"/>
    </w:rPr>
  </w:style>
  <w:style w:type="character" w:customStyle="1" w:styleId="67">
    <w:name w:val="纯文本 Char"/>
    <w:link w:val="24"/>
    <w:qFormat/>
    <w:uiPriority w:val="0"/>
    <w:rPr>
      <w:rFonts w:ascii="宋体" w:hAnsi="Courier New" w:eastAsia="宋体"/>
      <w:kern w:val="2"/>
      <w:sz w:val="21"/>
    </w:rPr>
  </w:style>
  <w:style w:type="character" w:customStyle="1" w:styleId="68">
    <w:name w:val="日期 Char"/>
    <w:link w:val="26"/>
    <w:qFormat/>
    <w:uiPriority w:val="0"/>
    <w:rPr>
      <w:rFonts w:ascii="Calibri" w:hAnsi="Calibri" w:eastAsia="宋体"/>
      <w:szCs w:val="24"/>
    </w:rPr>
  </w:style>
  <w:style w:type="character" w:customStyle="1" w:styleId="69">
    <w:name w:val="尾注文本 Char"/>
    <w:link w:val="27"/>
    <w:qFormat/>
    <w:uiPriority w:val="0"/>
    <w:rPr>
      <w:rFonts w:ascii="Times New Roman" w:hAnsi="Times New Roman" w:eastAsia="宋体"/>
      <w:kern w:val="2"/>
      <w:sz w:val="21"/>
    </w:rPr>
  </w:style>
  <w:style w:type="character" w:customStyle="1" w:styleId="70">
    <w:name w:val="批注框文本 Char"/>
    <w:link w:val="28"/>
    <w:qFormat/>
    <w:uiPriority w:val="99"/>
    <w:rPr>
      <w:rFonts w:eastAsia="宋体"/>
      <w:kern w:val="2"/>
      <w:sz w:val="18"/>
      <w:szCs w:val="18"/>
    </w:rPr>
  </w:style>
  <w:style w:type="character" w:customStyle="1" w:styleId="71">
    <w:name w:val="页脚 Char"/>
    <w:link w:val="29"/>
    <w:qFormat/>
    <w:uiPriority w:val="99"/>
    <w:rPr>
      <w:rFonts w:eastAsia="宋体"/>
      <w:kern w:val="2"/>
      <w:sz w:val="18"/>
      <w:szCs w:val="18"/>
    </w:rPr>
  </w:style>
  <w:style w:type="character" w:customStyle="1" w:styleId="72">
    <w:name w:val="页眉 Char"/>
    <w:link w:val="30"/>
    <w:qFormat/>
    <w:uiPriority w:val="0"/>
    <w:rPr>
      <w:rFonts w:eastAsia="宋体"/>
      <w:kern w:val="2"/>
      <w:sz w:val="18"/>
      <w:szCs w:val="18"/>
    </w:rPr>
  </w:style>
  <w:style w:type="character" w:customStyle="1" w:styleId="73">
    <w:name w:val="脚注文本 Char"/>
    <w:link w:val="33"/>
    <w:qFormat/>
    <w:uiPriority w:val="0"/>
    <w:rPr>
      <w:rFonts w:ascii="Times New Roman" w:hAnsi="Times New Roman" w:eastAsia="宋体"/>
      <w:kern w:val="2"/>
      <w:sz w:val="18"/>
    </w:rPr>
  </w:style>
  <w:style w:type="character" w:customStyle="1" w:styleId="74">
    <w:name w:val="正文文本 2 Char"/>
    <w:link w:val="37"/>
    <w:qFormat/>
    <w:uiPriority w:val="99"/>
    <w:rPr>
      <w:rFonts w:ascii="宋体" w:hAnsi="Times New Roman" w:eastAsia="宋体"/>
      <w:kern w:val="2"/>
      <w:sz w:val="24"/>
      <w:szCs w:val="24"/>
      <w:u w:val="single"/>
    </w:rPr>
  </w:style>
  <w:style w:type="character" w:customStyle="1" w:styleId="75">
    <w:name w:val="标题 Char"/>
    <w:link w:val="39"/>
    <w:qFormat/>
    <w:uiPriority w:val="0"/>
    <w:rPr>
      <w:rFonts w:ascii="Arial" w:hAnsi="Arial" w:eastAsia="宋体"/>
      <w:b/>
      <w:sz w:val="32"/>
    </w:rPr>
  </w:style>
  <w:style w:type="character" w:customStyle="1" w:styleId="76">
    <w:name w:val="批注主题 Char"/>
    <w:link w:val="40"/>
    <w:qFormat/>
    <w:uiPriority w:val="0"/>
    <w:rPr>
      <w:rFonts w:eastAsia="宋体"/>
      <w:b/>
      <w:bCs/>
      <w:kern w:val="2"/>
      <w:sz w:val="21"/>
      <w:szCs w:val="24"/>
    </w:rPr>
  </w:style>
  <w:style w:type="character" w:customStyle="1" w:styleId="77">
    <w:name w:val=" Char Char12"/>
    <w:qFormat/>
    <w:uiPriority w:val="0"/>
    <w:rPr>
      <w:rFonts w:ascii="Arial" w:hAnsi="Arial" w:eastAsia="黑体" w:cs="Times New Roman"/>
      <w:b/>
      <w:bCs/>
      <w:sz w:val="32"/>
      <w:szCs w:val="32"/>
    </w:rPr>
  </w:style>
  <w:style w:type="character" w:customStyle="1" w:styleId="78">
    <w:name w:val="正文文本 字符"/>
    <w:qFormat/>
    <w:uiPriority w:val="0"/>
    <w:rPr>
      <w:rFonts w:eastAsia="宋体"/>
      <w:kern w:val="2"/>
      <w:sz w:val="21"/>
      <w:szCs w:val="24"/>
      <w:lang w:val="en-US" w:eastAsia="zh-CN"/>
    </w:rPr>
  </w:style>
  <w:style w:type="character" w:customStyle="1" w:styleId="79">
    <w:name w:val="批注主题 字符1"/>
    <w:semiHidden/>
    <w:qFormat/>
    <w:uiPriority w:val="99"/>
    <w:rPr>
      <w:b/>
      <w:bCs/>
      <w:kern w:val="2"/>
      <w:sz w:val="21"/>
      <w:szCs w:val="22"/>
    </w:rPr>
  </w:style>
  <w:style w:type="character" w:customStyle="1" w:styleId="80">
    <w:name w:val=" Char Char13"/>
    <w:qFormat/>
    <w:uiPriority w:val="0"/>
    <w:rPr>
      <w:rFonts w:ascii="Times New Roman" w:hAnsi="Times New Roman" w:eastAsia="宋体" w:cs="Times New Roman"/>
      <w:b/>
      <w:bCs/>
      <w:kern w:val="44"/>
      <w:sz w:val="44"/>
      <w:szCs w:val="44"/>
    </w:rPr>
  </w:style>
  <w:style w:type="character" w:customStyle="1" w:styleId="81">
    <w:name w:val="fontstyle01"/>
    <w:qFormat/>
    <w:uiPriority w:val="0"/>
    <w:rPr>
      <w:rFonts w:ascii="宋体" w:hAnsi="宋体" w:eastAsia="宋体" w:cs="宋体"/>
      <w:color w:val="000000"/>
      <w:sz w:val="24"/>
      <w:szCs w:val="24"/>
    </w:rPr>
  </w:style>
  <w:style w:type="character" w:customStyle="1" w:styleId="82">
    <w:name w:val=" Char Char11"/>
    <w:qFormat/>
    <w:uiPriority w:val="0"/>
    <w:rPr>
      <w:rFonts w:ascii="Times New Roman" w:hAnsi="Times New Roman" w:eastAsia="宋体" w:cs="Times New Roman"/>
      <w:szCs w:val="24"/>
    </w:rPr>
  </w:style>
  <w:style w:type="character" w:customStyle="1" w:styleId="83">
    <w:name w:val="times1"/>
    <w:qFormat/>
    <w:uiPriority w:val="0"/>
    <w:rPr>
      <w:color w:val="3399FF"/>
      <w:bdr w:val="single" w:color="D1EDF8" w:sz="6" w:space="0"/>
      <w:shd w:val="clear" w:color="auto" w:fill="EAF9FF"/>
    </w:rPr>
  </w:style>
  <w:style w:type="character" w:customStyle="1" w:styleId="84">
    <w:name w:val="username"/>
    <w:qFormat/>
    <w:uiPriority w:val="0"/>
  </w:style>
  <w:style w:type="character" w:customStyle="1" w:styleId="85">
    <w:name w:val="正文文本首行缩进 字符"/>
    <w:link w:val="86"/>
    <w:qFormat/>
    <w:uiPriority w:val="99"/>
    <w:rPr>
      <w:rFonts w:eastAsia="宋体"/>
      <w:kern w:val="2"/>
      <w:sz w:val="21"/>
      <w:szCs w:val="24"/>
    </w:rPr>
  </w:style>
  <w:style w:type="paragraph" w:customStyle="1" w:styleId="86">
    <w:name w:val="_Style 87"/>
    <w:basedOn w:val="1"/>
    <w:next w:val="4"/>
    <w:link w:val="85"/>
    <w:unhideWhenUsed/>
    <w:qFormat/>
    <w:uiPriority w:val="99"/>
    <w:pPr>
      <w:ind w:firstLine="420" w:firstLineChars="100"/>
    </w:pPr>
    <w:rPr>
      <w:szCs w:val="24"/>
    </w:rPr>
  </w:style>
  <w:style w:type="character" w:customStyle="1" w:styleId="87">
    <w:name w:val="times"/>
    <w:qFormat/>
    <w:uiPriority w:val="0"/>
    <w:rPr>
      <w:color w:val="CDCDCD"/>
      <w:bdr w:val="single" w:color="CDCDCD" w:sz="6" w:space="0"/>
      <w:shd w:val="clear" w:color="auto" w:fill="EFEFEF"/>
    </w:rPr>
  </w:style>
  <w:style w:type="character" w:customStyle="1" w:styleId="88">
    <w:name w:val="文档结构图 字符1"/>
    <w:semiHidden/>
    <w:qFormat/>
    <w:uiPriority w:val="99"/>
    <w:rPr>
      <w:rFonts w:ascii="宋体" w:eastAsia="宋体"/>
      <w:kern w:val="2"/>
      <w:sz w:val="18"/>
      <w:szCs w:val="18"/>
    </w:rPr>
  </w:style>
  <w:style w:type="character" w:customStyle="1" w:styleId="89">
    <w:name w:val="annotation reference"/>
    <w:qFormat/>
    <w:uiPriority w:val="0"/>
    <w:rPr>
      <w:sz w:val="21"/>
      <w:szCs w:val="21"/>
    </w:rPr>
  </w:style>
  <w:style w:type="character" w:customStyle="1" w:styleId="90">
    <w:name w:val="页脚 字符1"/>
    <w:semiHidden/>
    <w:qFormat/>
    <w:uiPriority w:val="99"/>
    <w:rPr>
      <w:kern w:val="2"/>
      <w:sz w:val="18"/>
      <w:szCs w:val="18"/>
    </w:rPr>
  </w:style>
  <w:style w:type="character" w:customStyle="1" w:styleId="91">
    <w:name w:val="font161"/>
    <w:qFormat/>
    <w:uiPriority w:val="0"/>
    <w:rPr>
      <w:b/>
      <w:bCs/>
      <w:sz w:val="32"/>
      <w:szCs w:val="32"/>
    </w:rPr>
  </w:style>
  <w:style w:type="character" w:customStyle="1" w:styleId="92">
    <w:name w:val="批注文字 字符1"/>
    <w:semiHidden/>
    <w:qFormat/>
    <w:uiPriority w:val="99"/>
    <w:rPr>
      <w:kern w:val="2"/>
      <w:sz w:val="21"/>
      <w:szCs w:val="22"/>
    </w:rPr>
  </w:style>
  <w:style w:type="character" w:customStyle="1" w:styleId="93">
    <w:name w:val="批注主题 Char Char"/>
    <w:link w:val="94"/>
    <w:qFormat/>
    <w:uiPriority w:val="0"/>
    <w:rPr>
      <w:rFonts w:eastAsia="宋体"/>
      <w:b/>
      <w:bCs/>
      <w:kern w:val="2"/>
      <w:sz w:val="21"/>
      <w:szCs w:val="24"/>
    </w:rPr>
  </w:style>
  <w:style w:type="paragraph" w:customStyle="1" w:styleId="94">
    <w:name w:val="annotation subject"/>
    <w:basedOn w:val="19"/>
    <w:next w:val="19"/>
    <w:link w:val="93"/>
    <w:qFormat/>
    <w:uiPriority w:val="0"/>
    <w:pPr>
      <w:jc w:val="both"/>
    </w:pPr>
    <w:rPr>
      <w:b/>
      <w:bCs/>
    </w:rPr>
  </w:style>
  <w:style w:type="character" w:customStyle="1" w:styleId="95">
    <w:name w:val="页眉 字符1"/>
    <w:semiHidden/>
    <w:qFormat/>
    <w:uiPriority w:val="99"/>
    <w:rPr>
      <w:kern w:val="2"/>
      <w:sz w:val="18"/>
      <w:szCs w:val="18"/>
    </w:rPr>
  </w:style>
  <w:style w:type="character" w:customStyle="1" w:styleId="96">
    <w:name w:val="title22"/>
    <w:qFormat/>
    <w:uiPriority w:val="0"/>
  </w:style>
  <w:style w:type="character" w:customStyle="1" w:styleId="97">
    <w:name w:val="hover37"/>
    <w:qFormat/>
    <w:uiPriority w:val="0"/>
  </w:style>
  <w:style w:type="character" w:customStyle="1" w:styleId="98">
    <w:name w:val="标题 3 Char1"/>
    <w:qFormat/>
    <w:uiPriority w:val="0"/>
    <w:rPr>
      <w:rFonts w:ascii="黑体" w:hAnsi="宋体" w:eastAsia="黑体"/>
      <w:bCs/>
      <w:kern w:val="2"/>
      <w:sz w:val="28"/>
      <w:szCs w:val="28"/>
      <w:lang w:val="en-US" w:eastAsia="zh-CN"/>
    </w:rPr>
  </w:style>
  <w:style w:type="character" w:customStyle="1" w:styleId="99">
    <w:name w:val="hover36"/>
    <w:qFormat/>
    <w:uiPriority w:val="0"/>
  </w:style>
  <w:style w:type="character" w:customStyle="1" w:styleId="100">
    <w:name w:val="正文文本首行缩进 字符2"/>
    <w:semiHidden/>
    <w:qFormat/>
    <w:uiPriority w:val="99"/>
  </w:style>
  <w:style w:type="character" w:customStyle="1" w:styleId="101">
    <w:name w:val="文档结构图 Char Char"/>
    <w:link w:val="102"/>
    <w:qFormat/>
    <w:uiPriority w:val="0"/>
    <w:rPr>
      <w:rFonts w:eastAsia="宋体"/>
      <w:kern w:val="2"/>
      <w:sz w:val="21"/>
      <w:szCs w:val="24"/>
      <w:shd w:val="clear" w:color="auto" w:fill="000080"/>
    </w:rPr>
  </w:style>
  <w:style w:type="paragraph" w:customStyle="1" w:styleId="102">
    <w:name w:val="Document Map"/>
    <w:basedOn w:val="1"/>
    <w:link w:val="101"/>
    <w:qFormat/>
    <w:uiPriority w:val="0"/>
    <w:pPr>
      <w:shd w:val="clear" w:color="auto" w:fill="000080"/>
    </w:pPr>
    <w:rPr>
      <w:szCs w:val="24"/>
    </w:rPr>
  </w:style>
  <w:style w:type="character" w:customStyle="1" w:styleId="103">
    <w:name w:val="纯文本 Char1"/>
    <w:link w:val="104"/>
    <w:qFormat/>
    <w:uiPriority w:val="0"/>
    <w:rPr>
      <w:rFonts w:ascii="宋体" w:hAnsi="Courier New" w:eastAsia="宋体"/>
      <w:kern w:val="2"/>
      <w:sz w:val="21"/>
    </w:rPr>
  </w:style>
  <w:style w:type="paragraph" w:customStyle="1" w:styleId="104">
    <w:name w:val="Plain Text"/>
    <w:basedOn w:val="1"/>
    <w:link w:val="103"/>
    <w:qFormat/>
    <w:uiPriority w:val="0"/>
    <w:rPr>
      <w:rFonts w:ascii="宋体" w:hAnsi="Courier New"/>
      <w:szCs w:val="20"/>
    </w:rPr>
  </w:style>
  <w:style w:type="character" w:customStyle="1" w:styleId="105">
    <w:name w:val="page number"/>
    <w:qFormat/>
    <w:uiPriority w:val="0"/>
  </w:style>
  <w:style w:type="character" w:customStyle="1" w:styleId="106">
    <w:name w:val="15"/>
    <w:qFormat/>
    <w:uiPriority w:val="0"/>
    <w:rPr>
      <w:rFonts w:hint="default" w:ascii="Times New Roman" w:hAnsi="Times New Roman" w:cs="Times New Roman"/>
      <w:sz w:val="21"/>
      <w:szCs w:val="21"/>
    </w:rPr>
  </w:style>
  <w:style w:type="character" w:customStyle="1" w:styleId="107">
    <w:name w:val="批注框文本 字符1"/>
    <w:semiHidden/>
    <w:qFormat/>
    <w:uiPriority w:val="99"/>
    <w:rPr>
      <w:kern w:val="2"/>
      <w:sz w:val="18"/>
      <w:szCs w:val="18"/>
    </w:rPr>
  </w:style>
  <w:style w:type="character" w:customStyle="1" w:styleId="108">
    <w:name w:val="正文首行缩进 Char"/>
    <w:link w:val="109"/>
    <w:qFormat/>
    <w:uiPriority w:val="0"/>
  </w:style>
  <w:style w:type="paragraph" w:customStyle="1" w:styleId="109">
    <w:name w:val="Body Text First Indent"/>
    <w:basedOn w:val="1"/>
    <w:link w:val="108"/>
    <w:qFormat/>
    <w:uiPriority w:val="0"/>
    <w:pPr>
      <w:spacing w:line="312" w:lineRule="auto"/>
      <w:ind w:firstLine="420"/>
    </w:pPr>
    <w:rPr>
      <w:szCs w:val="24"/>
    </w:rPr>
  </w:style>
  <w:style w:type="character" w:customStyle="1" w:styleId="110">
    <w:name w:val="msoins"/>
    <w:qFormat/>
    <w:uiPriority w:val="0"/>
  </w:style>
  <w:style w:type="paragraph" w:customStyle="1" w:styleId="111">
    <w:name w:val="index 1"/>
    <w:basedOn w:val="1"/>
    <w:next w:val="1"/>
    <w:qFormat/>
    <w:uiPriority w:val="0"/>
    <w:pPr>
      <w:spacing w:line="220" w:lineRule="exact"/>
      <w:jc w:val="center"/>
    </w:pPr>
    <w:rPr>
      <w:rFonts w:ascii="仿宋_GB2312" w:eastAsia="仿宋_GB2312"/>
      <w:szCs w:val="21"/>
    </w:rPr>
  </w:style>
  <w:style w:type="paragraph" w:customStyle="1" w:styleId="112">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113">
    <w:name w:val="Body Text 2"/>
    <w:basedOn w:val="1"/>
    <w:qFormat/>
    <w:uiPriority w:val="0"/>
    <w:rPr>
      <w:rFonts w:ascii="宋体" w:hAnsi="宋体"/>
      <w:szCs w:val="24"/>
      <w:u w:val="single"/>
    </w:rPr>
  </w:style>
  <w:style w:type="paragraph" w:customStyle="1" w:styleId="114">
    <w:name w:val="默认段落字体 Para Char"/>
    <w:basedOn w:val="1"/>
    <w:qFormat/>
    <w:uiPriority w:val="0"/>
    <w:rPr>
      <w:b/>
      <w:sz w:val="24"/>
      <w:szCs w:val="24"/>
    </w:rPr>
  </w:style>
  <w:style w:type="paragraph" w:customStyle="1" w:styleId="115">
    <w:name w:val="封二"/>
    <w:basedOn w:val="112"/>
    <w:next w:val="112"/>
    <w:qFormat/>
    <w:uiPriority w:val="0"/>
    <w:pPr>
      <w:ind w:firstLine="0" w:firstLineChars="0"/>
      <w:jc w:val="center"/>
    </w:pPr>
    <w:rPr>
      <w:rFonts w:eastAsia="黑体"/>
      <w:b/>
      <w:sz w:val="36"/>
      <w:szCs w:val="36"/>
    </w:rPr>
  </w:style>
  <w:style w:type="paragraph" w:customStyle="1" w:styleId="116">
    <w:name w:val="Revision"/>
    <w:unhideWhenUsed/>
    <w:qFormat/>
    <w:uiPriority w:val="99"/>
    <w:rPr>
      <w:rFonts w:ascii="Times New Roman" w:hAnsi="Times New Roman" w:eastAsia="宋体" w:cs="Times New Roman"/>
      <w:kern w:val="2"/>
      <w:sz w:val="21"/>
      <w:szCs w:val="22"/>
      <w:lang w:val="en-US" w:eastAsia="zh-CN" w:bidi="ar-SA"/>
    </w:rPr>
  </w:style>
  <w:style w:type="paragraph" w:customStyle="1" w:styleId="117">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118">
    <w:name w:val="Body Text 3"/>
    <w:basedOn w:val="1"/>
    <w:qFormat/>
    <w:uiPriority w:val="0"/>
    <w:rPr>
      <w:rFonts w:ascii="宋体"/>
      <w:sz w:val="24"/>
      <w:szCs w:val="20"/>
    </w:rPr>
  </w:style>
  <w:style w:type="paragraph" w:customStyle="1" w:styleId="119">
    <w:name w:val="段落正文"/>
    <w:basedOn w:val="1"/>
    <w:qFormat/>
    <w:uiPriority w:val="0"/>
    <w:pPr>
      <w:spacing w:line="300" w:lineRule="auto"/>
      <w:ind w:firstLine="482" w:firstLineChars="200"/>
    </w:pPr>
    <w:rPr>
      <w:sz w:val="24"/>
      <w:szCs w:val="24"/>
    </w:rPr>
  </w:style>
  <w:style w:type="paragraph" w:customStyle="1" w:styleId="120">
    <w:name w:val="发文落款"/>
    <w:basedOn w:val="121"/>
    <w:qFormat/>
    <w:uiPriority w:val="0"/>
    <w:pPr>
      <w:ind w:left="4094" w:right="607" w:firstLine="0"/>
      <w:jc w:val="center"/>
    </w:pPr>
  </w:style>
  <w:style w:type="paragraph" w:customStyle="1" w:styleId="12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2">
    <w:name w:val=" Char Char Char Char"/>
    <w:basedOn w:val="1"/>
    <w:qFormat/>
    <w:uiPriority w:val="0"/>
    <w:pPr>
      <w:spacing w:after="156" w:afterLines="50" w:line="520" w:lineRule="exact"/>
      <w:jc w:val="center"/>
    </w:pPr>
    <w:rPr>
      <w:szCs w:val="24"/>
    </w:rPr>
  </w:style>
  <w:style w:type="paragraph" w:customStyle="1" w:styleId="123">
    <w:name w:val="表头"/>
    <w:basedOn w:val="1"/>
    <w:qFormat/>
    <w:uiPriority w:val="0"/>
    <w:pPr>
      <w:spacing w:line="360" w:lineRule="auto"/>
      <w:jc w:val="center"/>
    </w:pPr>
    <w:rPr>
      <w:rFonts w:ascii="黑体" w:eastAsia="黑体"/>
      <w:kern w:val="0"/>
      <w:sz w:val="24"/>
      <w:szCs w:val="20"/>
    </w:rPr>
  </w:style>
  <w:style w:type="paragraph" w:customStyle="1" w:styleId="124">
    <w:name w:val="样式 四号 行距: 1.5 倍行距"/>
    <w:basedOn w:val="1"/>
    <w:qFormat/>
    <w:uiPriority w:val="0"/>
    <w:pPr>
      <w:spacing w:line="360" w:lineRule="auto"/>
      <w:ind w:firstLine="560" w:firstLineChars="200"/>
    </w:pPr>
    <w:rPr>
      <w:rFonts w:cs="宋体"/>
      <w:sz w:val="24"/>
      <w:szCs w:val="20"/>
    </w:rPr>
  </w:style>
  <w:style w:type="paragraph" w:customStyle="1" w:styleId="125">
    <w:name w:val="表格"/>
    <w:basedOn w:val="1"/>
    <w:qFormat/>
    <w:uiPriority w:val="0"/>
    <w:pPr>
      <w:jc w:val="center"/>
      <w:textAlignment w:val="center"/>
    </w:pPr>
    <w:rPr>
      <w:rFonts w:ascii="华文细黑" w:hAnsi="华文细黑"/>
      <w:kern w:val="0"/>
      <w:szCs w:val="20"/>
    </w:rPr>
  </w:style>
  <w:style w:type="paragraph" w:customStyle="1" w:styleId="126">
    <w:name w:val="文二"/>
    <w:basedOn w:val="1"/>
    <w:qFormat/>
    <w:uiPriority w:val="0"/>
    <w:pPr>
      <w:jc w:val="left"/>
    </w:pPr>
    <w:rPr>
      <w:rFonts w:ascii="宋体" w:hAnsi="宋体"/>
      <w:szCs w:val="21"/>
    </w:rPr>
  </w:style>
  <w:style w:type="paragraph" w:customStyle="1" w:styleId="127">
    <w:name w:val="文字"/>
    <w:basedOn w:val="1"/>
    <w:qFormat/>
    <w:uiPriority w:val="0"/>
    <w:pPr>
      <w:spacing w:line="360" w:lineRule="auto"/>
      <w:ind w:firstLine="200" w:firstLineChars="200"/>
    </w:pPr>
    <w:rPr>
      <w:sz w:val="24"/>
      <w:szCs w:val="24"/>
    </w:rPr>
  </w:style>
  <w:style w:type="paragraph" w:customStyle="1" w:styleId="128">
    <w:name w:val="修订2"/>
    <w:qFormat/>
    <w:uiPriority w:val="0"/>
    <w:rPr>
      <w:rFonts w:ascii="Times New Roman" w:hAnsi="Times New Roman" w:eastAsia="宋体" w:cs="Times New Roman"/>
      <w:kern w:val="2"/>
      <w:sz w:val="21"/>
      <w:szCs w:val="24"/>
      <w:lang w:val="en-US" w:eastAsia="zh-CN" w:bidi="ar-SA"/>
    </w:rPr>
  </w:style>
  <w:style w:type="paragraph" w:customStyle="1" w:styleId="129">
    <w:name w:val="正文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0">
    <w:name w:val="表格文字"/>
    <w:basedOn w:val="1"/>
    <w:qFormat/>
    <w:uiPriority w:val="0"/>
    <w:pPr>
      <w:adjustRightInd w:val="0"/>
      <w:spacing w:line="420" w:lineRule="atLeast"/>
      <w:jc w:val="left"/>
      <w:textAlignment w:val="baseline"/>
    </w:pPr>
    <w:rPr>
      <w:kern w:val="0"/>
      <w:szCs w:val="20"/>
    </w:rPr>
  </w:style>
  <w:style w:type="paragraph" w:customStyle="1" w:styleId="131">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paragraph" w:customStyle="1" w:styleId="132">
    <w:name w:val="Table Paragraph"/>
    <w:basedOn w:val="1"/>
    <w:unhideWhenUsed/>
    <w:qFormat/>
    <w:uiPriority w:val="1"/>
    <w:rPr>
      <w:rFonts w:hint="eastAsia"/>
      <w:sz w:val="24"/>
      <w:szCs w:val="24"/>
    </w:rPr>
  </w:style>
  <w:style w:type="paragraph" w:customStyle="1" w:styleId="133">
    <w:name w:val="公文标题"/>
    <w:basedOn w:val="7"/>
    <w:qFormat/>
    <w:uiPriority w:val="0"/>
    <w:pPr>
      <w:spacing w:line="240" w:lineRule="auto"/>
      <w:ind w:left="1469" w:right="1542" w:firstLine="0" w:firstLineChars="0"/>
      <w:jc w:val="center"/>
    </w:pPr>
    <w:rPr>
      <w:rFonts w:ascii="Times New Roman" w:hAnsi="Times New Roman" w:eastAsia="宋体"/>
      <w:b/>
      <w:bCs w:val="0"/>
      <w:sz w:val="44"/>
      <w:szCs w:val="24"/>
    </w:rPr>
  </w:style>
  <w:style w:type="paragraph" w:customStyle="1" w:styleId="134">
    <w:name w:val=" Char"/>
    <w:basedOn w:val="1"/>
    <w:qFormat/>
    <w:uiPriority w:val="0"/>
    <w:pPr>
      <w:numPr>
        <w:ilvl w:val="0"/>
        <w:numId w:val="1"/>
      </w:numPr>
    </w:pPr>
    <w:rPr>
      <w:sz w:val="24"/>
      <w:szCs w:val="24"/>
    </w:rPr>
  </w:style>
  <w:style w:type="paragraph" w:customStyle="1" w:styleId="135">
    <w:name w:val="列出段落1"/>
    <w:basedOn w:val="1"/>
    <w:qFormat/>
    <w:uiPriority w:val="0"/>
    <w:pPr>
      <w:ind w:firstLine="420" w:firstLineChars="200"/>
    </w:pPr>
    <w:rPr>
      <w:szCs w:val="21"/>
    </w:rPr>
  </w:style>
  <w:style w:type="paragraph" w:customStyle="1" w:styleId="136">
    <w:name w:val="Body Text Indent 2"/>
    <w:basedOn w:val="1"/>
    <w:qFormat/>
    <w:uiPriority w:val="0"/>
    <w:pPr>
      <w:spacing w:line="400" w:lineRule="exact"/>
      <w:ind w:left="425"/>
    </w:pPr>
    <w:rPr>
      <w:color w:val="000000"/>
      <w:sz w:val="24"/>
      <w:szCs w:val="20"/>
    </w:rPr>
  </w:style>
  <w:style w:type="paragraph" w:customStyle="1" w:styleId="137">
    <w:name w:val=" Char Char Char Char Char Char1 Char"/>
    <w:basedOn w:val="1"/>
    <w:qFormat/>
    <w:uiPriority w:val="0"/>
    <w:pPr>
      <w:widowControl/>
      <w:spacing w:after="160" w:line="240" w:lineRule="exact"/>
      <w:jc w:val="left"/>
    </w:pPr>
    <w:rPr>
      <w:rFonts w:eastAsia="仿宋_GB2312"/>
      <w:sz w:val="32"/>
      <w:szCs w:val="24"/>
    </w:rPr>
  </w:style>
  <w:style w:type="paragraph" w:customStyle="1" w:styleId="138">
    <w:name w:val="样式2"/>
    <w:basedOn w:val="7"/>
    <w:qFormat/>
    <w:uiPriority w:val="0"/>
    <w:rPr>
      <w:i/>
    </w:rPr>
  </w:style>
  <w:style w:type="paragraph" w:customStyle="1" w:styleId="139">
    <w:name w:val="Char Char Char1 Char Char Char Char Char Char Char Char Char Char Char Char Char"/>
    <w:basedOn w:val="102"/>
    <w:qFormat/>
    <w:uiPriority w:val="0"/>
    <w:rPr>
      <w:rFonts w:ascii="Tahoma" w:hAnsi="Tahoma"/>
      <w:sz w:val="24"/>
    </w:rPr>
  </w:style>
  <w:style w:type="paragraph" w:customStyle="1" w:styleId="140">
    <w:name w:val="Char Char Char Char"/>
    <w:basedOn w:val="1"/>
    <w:qFormat/>
    <w:uiPriority w:val="0"/>
    <w:pPr>
      <w:ind w:left="567" w:hanging="279"/>
    </w:pPr>
    <w:rPr>
      <w:sz w:val="24"/>
      <w:szCs w:val="24"/>
    </w:rPr>
  </w:style>
  <w:style w:type="paragraph" w:customStyle="1" w:styleId="141">
    <w:name w:val="a1"/>
    <w:basedOn w:val="1"/>
    <w:qFormat/>
    <w:uiPriority w:val="0"/>
    <w:pPr>
      <w:widowControl/>
      <w:tabs>
        <w:tab w:val="left" w:pos="936"/>
        <w:tab w:val="right" w:pos="7416"/>
      </w:tabs>
      <w:overflowPunct w:val="0"/>
      <w:autoSpaceDE w:val="0"/>
      <w:autoSpaceDN w:val="0"/>
      <w:adjustRightInd w:val="0"/>
      <w:textAlignment w:val="baseline"/>
    </w:pPr>
    <w:rPr>
      <w:kern w:val="0"/>
      <w:sz w:val="20"/>
      <w:szCs w:val="20"/>
      <w:lang w:eastAsia="en-US"/>
    </w:rPr>
  </w:style>
  <w:style w:type="paragraph" w:customStyle="1" w:styleId="142">
    <w:name w:val="章节三"/>
    <w:basedOn w:val="1"/>
    <w:next w:val="1"/>
    <w:qFormat/>
    <w:uiPriority w:val="0"/>
    <w:pPr>
      <w:topLinePunct/>
      <w:adjustRightInd w:val="0"/>
      <w:snapToGrid w:val="0"/>
      <w:spacing w:beforeLines="50" w:afterLines="50"/>
      <w:jc w:val="left"/>
      <w:outlineLvl w:val="2"/>
    </w:pPr>
    <w:rPr>
      <w:rFonts w:ascii="黑体" w:hAnsi="宋体" w:eastAsia="黑体"/>
      <w:b/>
      <w:snapToGrid w:val="0"/>
      <w:spacing w:val="4"/>
      <w:kern w:val="0"/>
      <w:sz w:val="24"/>
      <w:szCs w:val="24"/>
    </w:rPr>
  </w:style>
  <w:style w:type="paragraph" w:customStyle="1" w:styleId="143">
    <w:name w:val="Char1"/>
    <w:basedOn w:val="1"/>
    <w:qFormat/>
    <w:uiPriority w:val="0"/>
    <w:pPr>
      <w:tabs>
        <w:tab w:val="left" w:pos="360"/>
      </w:tabs>
    </w:pPr>
    <w:rPr>
      <w:sz w:val="24"/>
      <w:szCs w:val="24"/>
    </w:rPr>
  </w:style>
  <w:style w:type="paragraph" w:customStyle="1" w:styleId="144">
    <w:name w:val="_Style 102"/>
    <w:qFormat/>
    <w:uiPriority w:val="0"/>
    <w:rPr>
      <w:rFonts w:ascii="Times New Roman" w:hAnsi="Times New Roman" w:eastAsia="宋体" w:cs="Times New Roman"/>
      <w:kern w:val="2"/>
      <w:sz w:val="21"/>
      <w:szCs w:val="24"/>
      <w:lang w:val="en-US" w:eastAsia="zh-CN" w:bidi="ar-SA"/>
    </w:rPr>
  </w:style>
  <w:style w:type="paragraph" w:customStyle="1" w:styleId="145">
    <w:name w:val="Body Text Indent"/>
    <w:basedOn w:val="1"/>
    <w:qFormat/>
    <w:uiPriority w:val="0"/>
    <w:pPr>
      <w:spacing w:after="120"/>
      <w:ind w:left="420" w:leftChars="200"/>
    </w:pPr>
    <w:rPr>
      <w:szCs w:val="24"/>
    </w:rPr>
  </w:style>
  <w:style w:type="paragraph" w:customStyle="1" w:styleId="146">
    <w:name w:val="Body Text Indent 3"/>
    <w:basedOn w:val="1"/>
    <w:qFormat/>
    <w:uiPriority w:val="0"/>
    <w:pPr>
      <w:spacing w:after="120"/>
      <w:ind w:left="420" w:leftChars="200"/>
    </w:pPr>
    <w:rPr>
      <w:sz w:val="16"/>
      <w:szCs w:val="16"/>
    </w:rPr>
  </w:style>
  <w:style w:type="paragraph" w:customStyle="1" w:styleId="147">
    <w:name w:val="正题"/>
    <w:basedOn w:val="112"/>
    <w:next w:val="112"/>
    <w:qFormat/>
    <w:uiPriority w:val="0"/>
    <w:pPr>
      <w:ind w:firstLine="0" w:firstLineChars="0"/>
      <w:jc w:val="center"/>
    </w:pPr>
    <w:rPr>
      <w:rFonts w:eastAsia="黑体"/>
      <w:b/>
      <w:sz w:val="36"/>
      <w:szCs w:val="36"/>
    </w:rPr>
  </w:style>
  <w:style w:type="paragraph" w:customStyle="1" w:styleId="148">
    <w:name w:val="修订1"/>
    <w:qFormat/>
    <w:uiPriority w:val="0"/>
    <w:rPr>
      <w:rFonts w:ascii="Times New Roman" w:hAnsi="Times New Roman" w:eastAsia="宋体" w:cs="Times New Roman"/>
      <w:kern w:val="2"/>
      <w:sz w:val="21"/>
      <w:szCs w:val="24"/>
      <w:lang w:val="en-US" w:eastAsia="zh-CN" w:bidi="ar-SA"/>
    </w:rPr>
  </w:style>
  <w:style w:type="paragraph" w:customStyle="1" w:styleId="149">
    <w:name w:val="正文(仿)首缩"/>
    <w:basedOn w:val="1"/>
    <w:qFormat/>
    <w:uiPriority w:val="0"/>
    <w:pPr>
      <w:tabs>
        <w:tab w:val="left" w:pos="1108"/>
      </w:tabs>
      <w:ind w:left="554"/>
    </w:pPr>
    <w:rPr>
      <w:szCs w:val="28"/>
    </w:rPr>
  </w:style>
  <w:style w:type="paragraph" w:customStyle="1" w:styleId="150">
    <w:name w:val="p0"/>
    <w:basedOn w:val="1"/>
    <w:qFormat/>
    <w:uiPriority w:val="0"/>
    <w:pPr>
      <w:widowControl/>
    </w:pPr>
    <w:rPr>
      <w:kern w:val="0"/>
      <w:szCs w:val="21"/>
    </w:rPr>
  </w:style>
  <w:style w:type="paragraph" w:customStyle="1" w:styleId="151">
    <w:name w:val="样式1"/>
    <w:basedOn w:val="1"/>
    <w:next w:val="8"/>
    <w:qFormat/>
    <w:uiPriority w:val="0"/>
    <w:pPr>
      <w:spacing w:line="360" w:lineRule="auto"/>
      <w:ind w:firstLine="420" w:firstLineChars="200"/>
    </w:pPr>
    <w:rPr>
      <w:rFonts w:ascii="宋体" w:hAnsi="宋体"/>
      <w:szCs w:val="21"/>
    </w:rPr>
  </w:style>
  <w:style w:type="paragraph" w:customStyle="1" w:styleId="152">
    <w:name w:val="Char Char Char1 Char"/>
    <w:basedOn w:val="102"/>
    <w:qFormat/>
    <w:uiPriority w:val="0"/>
    <w:rPr>
      <w:rFonts w:ascii="Tahoma" w:hAnsi="Tahoma"/>
      <w:sz w:val="24"/>
    </w:rPr>
  </w:style>
  <w:style w:type="paragraph" w:customStyle="1" w:styleId="153">
    <w:name w:val="Char"/>
    <w:basedOn w:val="1"/>
    <w:qFormat/>
    <w:uiPriority w:val="0"/>
    <w:pPr>
      <w:ind w:left="567" w:hanging="279"/>
    </w:pPr>
    <w:rPr>
      <w:sz w:val="24"/>
      <w:szCs w:val="24"/>
    </w:rPr>
  </w:style>
  <w:style w:type="paragraph" w:customStyle="1" w:styleId="154">
    <w:name w:val="列出段落2"/>
    <w:basedOn w:val="1"/>
    <w:qFormat/>
    <w:uiPriority w:val="0"/>
    <w:pPr>
      <w:ind w:firstLine="420" w:firstLineChars="200"/>
    </w:pPr>
    <w:rPr>
      <w:szCs w:val="21"/>
    </w:rPr>
  </w:style>
  <w:style w:type="paragraph" w:customStyle="1" w:styleId="15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56">
    <w:name w:val="样式 标题 3 + (中文) 黑体 小四 非加粗 段前: 7.8 磅 段后: 0 磅 行距: 固定值 20 磅"/>
    <w:basedOn w:val="7"/>
    <w:qFormat/>
    <w:uiPriority w:val="0"/>
    <w:pPr>
      <w:spacing w:before="0" w:after="0" w:line="400" w:lineRule="exact"/>
    </w:pPr>
    <w:rPr>
      <w:rFonts w:cs="宋体"/>
      <w:bCs w:val="0"/>
      <w:sz w:val="24"/>
      <w:szCs w:val="20"/>
    </w:rPr>
  </w:style>
  <w:style w:type="paragraph" w:customStyle="1" w:styleId="15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58">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customStyle="1" w:styleId="159">
    <w:name w:val="封四"/>
    <w:basedOn w:val="112"/>
    <w:next w:val="112"/>
    <w:qFormat/>
    <w:uiPriority w:val="0"/>
    <w:pPr>
      <w:jc w:val="left"/>
    </w:pPr>
    <w:rPr>
      <w:rFonts w:eastAsia="等线"/>
      <w:sz w:val="30"/>
      <w:szCs w:val="30"/>
    </w:rPr>
  </w:style>
  <w:style w:type="paragraph" w:customStyle="1" w:styleId="160">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61">
    <w:name w:val="List Paragraph1"/>
    <w:basedOn w:val="1"/>
    <w:qFormat/>
    <w:uiPriority w:val="0"/>
    <w:pPr>
      <w:ind w:firstLine="420" w:firstLineChars="200"/>
    </w:pPr>
    <w:rPr>
      <w:szCs w:val="24"/>
    </w:rPr>
  </w:style>
  <w:style w:type="paragraph" w:customStyle="1" w:styleId="162">
    <w:name w:val="1"/>
    <w:basedOn w:val="1"/>
    <w:qFormat/>
    <w:uiPriority w:val="0"/>
    <w:rPr>
      <w:szCs w:val="24"/>
    </w:rPr>
  </w:style>
  <w:style w:type="paragraph" w:styleId="163">
    <w:name w:val="List Paragraph"/>
    <w:basedOn w:val="1"/>
    <w:qFormat/>
    <w:uiPriority w:val="0"/>
    <w:pPr>
      <w:ind w:firstLine="420" w:firstLineChars="200"/>
    </w:pPr>
    <w:rPr>
      <w:rFonts w:ascii="Calibri" w:hAnsi="Calibri"/>
    </w:rPr>
  </w:style>
  <w:style w:type="paragraph" w:customStyle="1" w:styleId="164">
    <w:name w:val="封一"/>
    <w:basedOn w:val="112"/>
    <w:next w:val="112"/>
    <w:qFormat/>
    <w:uiPriority w:val="0"/>
    <w:pPr>
      <w:ind w:firstLine="0" w:firstLineChars="0"/>
      <w:jc w:val="center"/>
    </w:pPr>
    <w:rPr>
      <w:rFonts w:eastAsia="黑体"/>
      <w:b/>
      <w:sz w:val="84"/>
      <w:szCs w:val="84"/>
    </w:rPr>
  </w:style>
  <w:style w:type="paragraph" w:customStyle="1" w:styleId="165">
    <w:name w:val="Date"/>
    <w:basedOn w:val="1"/>
    <w:next w:val="1"/>
    <w:qFormat/>
    <w:uiPriority w:val="0"/>
    <w:rPr>
      <w:sz w:val="24"/>
      <w:szCs w:val="20"/>
    </w:rPr>
  </w:style>
  <w:style w:type="paragraph" w:customStyle="1" w:styleId="166">
    <w:name w:val="公文抬头"/>
    <w:basedOn w:val="10"/>
    <w:qFormat/>
    <w:uiPriority w:val="0"/>
    <w:pPr>
      <w:ind w:firstLine="0" w:firstLineChars="0"/>
    </w:pPr>
    <w:rPr>
      <w:rFonts w:ascii="仿宋_GB2312" w:eastAsia="仿宋_GB2312"/>
      <w:sz w:val="30"/>
    </w:rPr>
  </w:style>
  <w:style w:type="paragraph" w:styleId="167">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68">
    <w:name w:val="font61"/>
    <w:qFormat/>
    <w:uiPriority w:val="0"/>
    <w:rPr>
      <w:rFonts w:hint="eastAsia" w:ascii="宋体" w:hAnsi="宋体" w:eastAsia="宋体" w:cs="宋体"/>
      <w:b/>
      <w:bCs/>
      <w:color w:val="000000"/>
      <w:sz w:val="20"/>
      <w:szCs w:val="20"/>
      <w:u w:val="none"/>
    </w:rPr>
  </w:style>
  <w:style w:type="character" w:customStyle="1" w:styleId="169">
    <w:name w:val="font51"/>
    <w:qFormat/>
    <w:uiPriority w:val="0"/>
    <w:rPr>
      <w:rFonts w:hint="eastAsia" w:ascii="微软雅黑" w:hAnsi="微软雅黑" w:eastAsia="微软雅黑" w:cs="微软雅黑"/>
      <w:b/>
      <w:bCs/>
      <w:color w:val="000000"/>
      <w:sz w:val="24"/>
      <w:szCs w:val="24"/>
      <w:u w:val="none"/>
    </w:rPr>
  </w:style>
  <w:style w:type="character" w:customStyle="1" w:styleId="170">
    <w:name w:val="font101"/>
    <w:qFormat/>
    <w:uiPriority w:val="0"/>
    <w:rPr>
      <w:rFonts w:hint="eastAsia" w:ascii="微软雅黑" w:hAnsi="微软雅黑" w:eastAsia="微软雅黑" w:cs="微软雅黑"/>
      <w:b/>
      <w:bCs/>
      <w:color w:val="000000"/>
      <w:sz w:val="28"/>
      <w:szCs w:val="28"/>
      <w:u w:val="none"/>
    </w:rPr>
  </w:style>
  <w:style w:type="character" w:customStyle="1" w:styleId="171">
    <w:name w:val="font71"/>
    <w:qFormat/>
    <w:uiPriority w:val="0"/>
    <w:rPr>
      <w:rFonts w:hint="eastAsia" w:ascii="宋体" w:hAnsi="宋体" w:eastAsia="宋体" w:cs="宋体"/>
      <w:color w:val="000000"/>
      <w:sz w:val="22"/>
      <w:szCs w:val="22"/>
      <w:u w:val="none"/>
    </w:rPr>
  </w:style>
  <w:style w:type="character" w:customStyle="1" w:styleId="172">
    <w:name w:val="_Style 8"/>
    <w:qFormat/>
    <w:uiPriority w:val="0"/>
    <w:rPr>
      <w:smallCaps/>
      <w:color w:val="C0504D"/>
      <w:u w:val="single"/>
    </w:rPr>
  </w:style>
  <w:style w:type="paragraph" w:customStyle="1" w:styleId="173">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Times New Roman"/>
      <w:color w:val="000000"/>
      <w:kern w:val="2"/>
      <w:sz w:val="21"/>
      <w:szCs w:val="21"/>
      <w:lang w:val="en-US" w:eastAsia="zh-CN" w:bidi="ar-SA"/>
    </w:rPr>
  </w:style>
  <w:style w:type="character" w:customStyle="1" w:styleId="174">
    <w:name w:val="批注引用1"/>
    <w:qFormat/>
    <w:uiPriority w:val="0"/>
    <w:rPr>
      <w:sz w:val="21"/>
      <w:szCs w:val="21"/>
    </w:rPr>
  </w:style>
  <w:style w:type="paragraph" w:customStyle="1" w:styleId="175">
    <w:name w:val="纯文本1"/>
    <w:basedOn w:val="1"/>
    <w:qFormat/>
    <w:uiPriority w:val="0"/>
    <w:rPr>
      <w:rFonts w:ascii="宋体" w:hAnsi="Courier New"/>
      <w:kern w:val="0"/>
      <w:sz w:val="20"/>
      <w:szCs w:val="20"/>
    </w:rPr>
  </w:style>
  <w:style w:type="paragraph" w:customStyle="1" w:styleId="176">
    <w:name w:val="正文首行缩进 21"/>
    <w:basedOn w:val="21"/>
    <w:qFormat/>
    <w:uiPriority w:val="0"/>
    <w:pPr>
      <w:adjustRightInd w:val="0"/>
      <w:ind w:firstLine="420"/>
      <w:jc w:val="left"/>
      <w:textAlignment w:val="baseline"/>
    </w:pPr>
    <w:rPr>
      <w:rFonts w:ascii="MingLiU" w:eastAsia="MingLiU"/>
      <w:lang w:eastAsia="zh-TW"/>
    </w:rPr>
  </w:style>
  <w:style w:type="character" w:customStyle="1" w:styleId="177">
    <w:name w:val="font31"/>
    <w:qFormat/>
    <w:uiPriority w:val="0"/>
    <w:rPr>
      <w:rFonts w:hint="eastAsia" w:ascii="宋体" w:hAnsi="宋体" w:eastAsia="宋体" w:cs="宋体"/>
      <w:b/>
      <w:bCs/>
      <w:color w:val="000000"/>
      <w:sz w:val="22"/>
      <w:szCs w:val="22"/>
      <w:u w:val="none"/>
    </w:rPr>
  </w:style>
  <w:style w:type="character" w:customStyle="1" w:styleId="178">
    <w:name w:val="font41"/>
    <w:qFormat/>
    <w:uiPriority w:val="0"/>
    <w:rPr>
      <w:rFonts w:hint="eastAsia" w:ascii="宋体" w:hAnsi="宋体" w:eastAsia="宋体" w:cs="宋体"/>
      <w:b/>
      <w:bCs/>
      <w:color w:val="000000"/>
      <w:sz w:val="22"/>
      <w:szCs w:val="22"/>
      <w:u w:val="single"/>
    </w:rPr>
  </w:style>
  <w:style w:type="character" w:customStyle="1" w:styleId="179">
    <w:name w:val="font21"/>
    <w:qFormat/>
    <w:uiPriority w:val="0"/>
    <w:rPr>
      <w:rFonts w:hint="eastAsia" w:ascii="宋体" w:hAnsi="宋体" w:eastAsia="宋体" w:cs="宋体"/>
      <w:color w:val="000000"/>
      <w:sz w:val="22"/>
      <w:szCs w:val="22"/>
      <w:u w:val="none"/>
    </w:rPr>
  </w:style>
  <w:style w:type="paragraph" w:customStyle="1" w:styleId="180">
    <w:name w:val="Body text|3"/>
    <w:basedOn w:val="1"/>
    <w:qFormat/>
    <w:uiPriority w:val="0"/>
    <w:rPr>
      <w:rFonts w:hint="eastAsia" w:ascii="宋体" w:hAnsi="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33794</Words>
  <Characters>35327</Characters>
  <Lines>274</Lines>
  <Paragraphs>77</Paragraphs>
  <TotalTime>7</TotalTime>
  <ScaleCrop>false</ScaleCrop>
  <LinksUpToDate>false</LinksUpToDate>
  <CharactersWithSpaces>37373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2025-11-14T11:19:00Z</dcterms:created>
  <dc:creator>Administrator</dc:creator>
  <cp:lastModifiedBy>HP</cp:lastModifiedBy>
  <cp:lastPrinted>2021-09-24T01:43:00Z</cp:lastPrinted>
  <dcterms:modified xsi:type="dcterms:W3CDTF">2025-11-21T11:37:37Z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E73FD044723B4C3EAD60BD6A31BFE1E6_13</vt:lpwstr>
  </property>
  <property fmtid="{D5CDD505-2E9C-101B-9397-08002B2CF9AE}" pid="4" name="KSOTemplateDocerSaveRecord">
    <vt:lpwstr>eyJoZGlkIjoiMzM2ZWUwMjNjYjZkZWY1ZmZhMjlhZDlkZWE1Nzk5YjEiLCJ1c2VySWQiOiIxMDA1MTg0MTEyIn0=</vt:lpwstr>
  </property>
</Properties>
</file>