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3AED9">
      <w:pPr>
        <w:pStyle w:val="3"/>
        <w:rPr>
          <w:color w:val="auto"/>
          <w:highlight w:val="none"/>
        </w:rPr>
      </w:pPr>
      <w:bookmarkStart w:id="0" w:name="_Toc14295"/>
      <w:r>
        <w:rPr>
          <w:rFonts w:hint="eastAsia"/>
          <w:color w:val="auto"/>
          <w:highlight w:val="none"/>
        </w:rPr>
        <w:t>格式二：</w:t>
      </w:r>
      <w:bookmarkEnd w:id="0"/>
    </w:p>
    <w:p w14:paraId="1AB74F66">
      <w:pPr>
        <w:jc w:val="center"/>
        <w:rPr>
          <w:b/>
          <w:color w:val="auto"/>
          <w:sz w:val="36"/>
          <w:szCs w:val="36"/>
          <w:highlight w:val="none"/>
        </w:rPr>
      </w:pPr>
      <w:bookmarkStart w:id="1" w:name="_GoBack"/>
      <w:r>
        <w:rPr>
          <w:rFonts w:hint="eastAsia"/>
          <w:b/>
          <w:color w:val="auto"/>
          <w:sz w:val="36"/>
          <w:szCs w:val="36"/>
          <w:highlight w:val="none"/>
        </w:rPr>
        <w:t>危险性较大的分部分项工程清单及超过一定规模的危险性较大的分部分项工程清单</w:t>
      </w:r>
    </w:p>
    <w:bookmarkEnd w:id="1"/>
    <w:p w14:paraId="62C0037B">
      <w:pPr>
        <w:numPr>
          <w:ilvl w:val="0"/>
          <w:numId w:val="1"/>
        </w:numPr>
        <w:autoSpaceDE w:val="0"/>
        <w:autoSpaceDN w:val="0"/>
        <w:adjustRightInd w:val="0"/>
        <w:spacing w:line="360" w:lineRule="auto"/>
        <w:ind w:left="570" w:leftChars="0" w:firstLineChars="0"/>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FB2458C">
      <w:pPr>
        <w:numPr>
          <w:ilvl w:val="0"/>
          <w:numId w:val="1"/>
        </w:numPr>
        <w:autoSpaceDE w:val="0"/>
        <w:autoSpaceDN w:val="0"/>
        <w:adjustRightInd w:val="0"/>
        <w:spacing w:line="360" w:lineRule="auto"/>
        <w:ind w:left="570" w:leftChars="0" w:firstLineChars="0"/>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14:paraId="7C1C62F5">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14:paraId="1108CE7D">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14:paraId="7EF2EA8C">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14:paraId="4852BE91">
      <w:pPr>
        <w:numPr>
          <w:ilvl w:val="0"/>
          <w:numId w:val="1"/>
        </w:numPr>
        <w:autoSpaceDE w:val="0"/>
        <w:autoSpaceDN w:val="0"/>
        <w:adjustRightInd w:val="0"/>
        <w:spacing w:line="360" w:lineRule="auto"/>
        <w:ind w:left="570" w:leftChars="0" w:firstLineChars="0"/>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14:paraId="333D3E45">
      <w:pPr>
        <w:numPr>
          <w:ilvl w:val="0"/>
          <w:numId w:val="1"/>
        </w:numPr>
        <w:autoSpaceDE w:val="0"/>
        <w:autoSpaceDN w:val="0"/>
        <w:adjustRightInd w:val="0"/>
        <w:spacing w:line="360" w:lineRule="auto"/>
        <w:ind w:left="570" w:leftChars="0" w:firstLineChars="0"/>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5EAB816">
      <w:pPr>
        <w:numPr>
          <w:ilvl w:val="0"/>
          <w:numId w:val="1"/>
        </w:numPr>
        <w:autoSpaceDE w:val="0"/>
        <w:autoSpaceDN w:val="0"/>
        <w:adjustRightInd w:val="0"/>
        <w:spacing w:line="360" w:lineRule="auto"/>
        <w:ind w:left="570" w:leftChars="0" w:firstLineChars="0"/>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4"/>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1351"/>
        <w:gridCol w:w="1351"/>
        <w:gridCol w:w="827"/>
      </w:tblGrid>
      <w:tr w14:paraId="614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00FE57B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781B41D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67096D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32F75FA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25FE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14BC68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305914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A7846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37316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D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E19F42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5E18881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83F35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2D731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44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D6CB53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79C0DE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CC3CE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4FE5C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2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33074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2C96E92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70253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B3A929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F6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646E05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2F2DDD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3EE48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72DB0A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1E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4D913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7BC144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EBB1D4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FE09C2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FB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E95CF3">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60E0490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DF003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79A2B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A5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3D394B6">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65AE79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AEB37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CBE50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C3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DCDDAFB">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29F20A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83BDC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5422F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CA4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6C898A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31E00C0B">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FCA4E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B9FDD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6A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1370C0">
            <w:pPr>
              <w:keepNext w:val="0"/>
              <w:keepLines w:val="0"/>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748A55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D6AE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3232F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56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10DED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3448F8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9939D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99B0FE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0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E02D3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4C5A278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7C7CA5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6A4C5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5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2B8C1E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3ADF0C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D52AB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8B41FE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A9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E8D985">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5CE00A3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1AB41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A67C5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5C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A094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37F62C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C5459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9547F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4B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ADF57D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7181D09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7AD392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3F0CCB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FA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3EEBB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360A28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FBBF3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9EE07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F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56ED4AE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45AD7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2F69A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D73DCC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3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B51AF5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5282A7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DB324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FBEBA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3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61093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E848EE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9789D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72AD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FD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0D8534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2027266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49F67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17DD8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31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81771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269D8AA9">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75B745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0C849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1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3EE64D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77EA03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7B416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EA055C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04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B7AC9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794D512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89AFA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9CF05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5A7045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7A1ED9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48525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37337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7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6B0AF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5C2F497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2488A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20CD39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34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675CF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3D79663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19A80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90BF8D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AF46CE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273B5C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F3506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4EF36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5D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24768F29">
            <w:pPr>
              <w:keepNext w:val="0"/>
              <w:keepLines w:val="0"/>
              <w:widowControl/>
              <w:suppressLineNumbers w:val="0"/>
              <w:spacing w:before="0" w:beforeAutospacing="0" w:after="0" w:afterAutospacing="0"/>
              <w:ind w:left="0" w:right="0"/>
              <w:rPr>
                <w:rFonts w:hint="default"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3D9168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6F829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A44A1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B93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4A9796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6BF0D01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CD70D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8891C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69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F077936">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2FC5D84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98F84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67EB054">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2369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696CE4">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6DE6EA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E66BAD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56D561F">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1E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AE9C37F">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0FAC644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7CD25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EE7D012">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622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2CA9E5">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5FB71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C363F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42A86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42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90D75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822AE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ED5B1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BDB906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9B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AAC8A0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1A7E77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80AA7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BB0A7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F7C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596B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71BAB37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D2E11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F4FA3D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95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A3C42E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1A69D6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6E10A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E4440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7C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DD13E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27A82AE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697E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8DDF5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E0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ECF467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5618AD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F58416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3A843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AA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61F9AA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63938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61431B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618E0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6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770C9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815" w:type="pct"/>
            <w:tcBorders>
              <w:top w:val="single" w:color="auto" w:sz="4" w:space="0"/>
              <w:left w:val="nil"/>
              <w:bottom w:val="single" w:color="auto" w:sz="4" w:space="0"/>
              <w:right w:val="single" w:color="auto" w:sz="4" w:space="0"/>
            </w:tcBorders>
            <w:vAlign w:val="center"/>
          </w:tcPr>
          <w:p w14:paraId="390FD9E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E309C0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8CBA45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2E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90F71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1ABEC5D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6AE3B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321A4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1D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0A4FA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45C4B3C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997B42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DB35A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C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AFE58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2484C4D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20A3F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211CB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AD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3C8E1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D011A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392B6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B90CA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41F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B0489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6AD2DB4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2658A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54A10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EA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14B0E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0F6B6A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6E51A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30AC8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2A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160C3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815" w:type="pct"/>
            <w:tcBorders>
              <w:top w:val="single" w:color="auto" w:sz="4" w:space="0"/>
              <w:left w:val="nil"/>
              <w:bottom w:val="single" w:color="auto" w:sz="4" w:space="0"/>
              <w:right w:val="single" w:color="auto" w:sz="4" w:space="0"/>
            </w:tcBorders>
            <w:vAlign w:val="center"/>
          </w:tcPr>
          <w:p w14:paraId="4404FED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C9745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EEB14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CA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D18EE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2F5994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039778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A1ED7F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CB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21AAE8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815" w:type="pct"/>
            <w:tcBorders>
              <w:top w:val="single" w:color="auto" w:sz="4" w:space="0"/>
              <w:left w:val="nil"/>
              <w:bottom w:val="single" w:color="auto" w:sz="4" w:space="0"/>
              <w:right w:val="single" w:color="auto" w:sz="4" w:space="0"/>
            </w:tcBorders>
            <w:vAlign w:val="center"/>
          </w:tcPr>
          <w:p w14:paraId="53D13E2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413F5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63A4E5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B0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3A7D3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4EB356F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7F0EA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A2F71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6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1A4AC9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44E2F3D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5369D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EDCDE1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5C1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B3163F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7599185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D826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6E469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CA33C31">
      <w:pPr>
        <w:topLinePunct/>
        <w:adjustRightInd w:val="0"/>
        <w:snapToGrid w:val="0"/>
        <w:spacing w:line="360" w:lineRule="auto"/>
        <w:ind w:firstLine="496" w:firstLineChars="200"/>
        <w:rPr>
          <w:color w:val="auto"/>
          <w:spacing w:val="4"/>
          <w:kern w:val="0"/>
          <w:sz w:val="24"/>
          <w:szCs w:val="24"/>
          <w:highlight w:val="none"/>
        </w:rPr>
      </w:pPr>
    </w:p>
    <w:p w14:paraId="51C2D150">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投标人：</w:t>
      </w:r>
    </w:p>
    <w:p w14:paraId="33B1B96C">
      <w:pPr>
        <w:autoSpaceDE w:val="0"/>
        <w:autoSpaceDN w:val="0"/>
        <w:adjustRightInd w:val="0"/>
        <w:spacing w:line="360" w:lineRule="auto"/>
        <w:ind w:firstLine="691" w:firstLineChars="279"/>
        <w:rPr>
          <w:color w:val="auto"/>
          <w:highlight w:val="none"/>
        </w:rPr>
      </w:pPr>
      <w:r>
        <w:rPr>
          <w:rFonts w:hint="eastAsia" w:cs="宋体"/>
          <w:snapToGrid w:val="0"/>
          <w:color w:val="auto"/>
          <w:spacing w:val="4"/>
          <w:kern w:val="0"/>
          <w:sz w:val="24"/>
          <w:szCs w:val="24"/>
          <w:highlight w:val="none"/>
        </w:rPr>
        <w:t>日期：年月日</w:t>
      </w:r>
    </w:p>
    <w:p w14:paraId="1F3A02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AD5465A"/>
    <w:multiLevelType w:val="multilevel"/>
    <w:tmpl w:val="3AD5465A"/>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6102D"/>
    <w:rsid w:val="4E5A531C"/>
    <w:rsid w:val="7F76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2025-11-21T07:25:00Z</dcterms:created>
  <dc:creator>朱</dc:creator>
  <cp:lastModifiedBy>朱</cp:lastModifiedBy>
  <dcterms:modified xsi:type="dcterms:W3CDTF">2025-11-21T07:26:22Z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42DD5C4CA2B444CD9445F1D137DC9A11_11</vt:lpwstr>
  </property>
  <property fmtid="{D5CDD505-2E9C-101B-9397-08002B2CF9AE}" pid="4" name="KSOTemplateDocerSaveRecord">
    <vt:lpwstr>eyJoZGlkIjoiNWM5MzQzOTQ0Yjc3YjhlNTEzMjliMTMzNmE2YzMzNDMiLCJ1c2VySWQiOiIxMzA3NzYxNCJ9</vt:lpwstr>
  </property>
</Properties>
</file>