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snapToGrid w:val="0"/>
        <w:ind w:firstLine="0" w:firstLineChars="0"/>
        <w:rPr>
          <w:rFonts w:ascii="宋体" w:hAnsi="宋体" w:cs="宋体"/>
          <w:szCs w:val="24"/>
        </w:rPr>
      </w:pPr>
      <w:bookmarkStart w:id="0" w:name="_Hlk179465451"/>
      <w:r>
        <w:rPr>
          <w:rFonts w:hint="eastAsia" w:ascii="宋体" w:hAnsi="宋体" w:cs="宋体"/>
          <w:szCs w:val="24"/>
        </w:rPr>
        <w:t xml:space="preserve"> </w:t>
      </w:r>
      <w:bookmarkEnd w:id="0"/>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snapToGrid w:val="0"/>
        <w:ind w:firstLine="0" w:firstLineChars="0"/>
        <w:jc w:val="center"/>
        <w:rPr>
          <w:rFonts w:hint="eastAsia" w:ascii="宋体" w:hAnsi="宋体" w:eastAsia="宋体" w:cs="宋体"/>
          <w:b/>
          <w:bCs/>
          <w:sz w:val="44"/>
          <w:szCs w:val="44"/>
          <w:lang w:eastAsia="zh-CN"/>
        </w:rPr>
      </w:pPr>
      <w:bookmarkStart w:id="1" w:name="_Toc172301206"/>
      <w:r>
        <w:rPr>
          <w:rFonts w:hint="eastAsia" w:ascii="宋体" w:hAnsi="宋体" w:cs="宋体"/>
          <w:b/>
          <w:bCs/>
          <w:sz w:val="44"/>
          <w:szCs w:val="44"/>
          <w:lang w:eastAsia="zh-CN"/>
        </w:rPr>
        <w:t>番禺区里仁洞村城市更新项目自编R9地块复建房建设监理服务</w:t>
      </w:r>
    </w:p>
    <w:p>
      <w:pPr>
        <w:pStyle w:val="46"/>
        <w:ind w:firstLine="0" w:firstLineChars="0"/>
        <w:rPr>
          <w:rFonts w:ascii="宋体" w:hAnsi="宋体" w:cs="宋体"/>
          <w:b/>
          <w:bCs/>
          <w:szCs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pStyle w:val="46"/>
        <w:snapToGrid w:val="0"/>
        <w:ind w:firstLine="0" w:firstLineChars="0"/>
        <w:jc w:val="center"/>
        <w:rPr>
          <w:rFonts w:ascii="宋体" w:hAnsi="宋体" w:cs="宋体"/>
          <w:b/>
          <w:bCs/>
          <w:sz w:val="44"/>
          <w:szCs w:val="44"/>
        </w:rPr>
      </w:pPr>
      <w:r>
        <w:rPr>
          <w:rFonts w:hint="eastAsia" w:ascii="宋体" w:hAnsi="宋体" w:cs="宋体"/>
          <w:b/>
          <w:bCs/>
          <w:sz w:val="44"/>
          <w:szCs w:val="44"/>
        </w:rPr>
        <w:t>招 标 文 件</w:t>
      </w:r>
      <w:bookmarkEnd w:id="1"/>
    </w:p>
    <w:p>
      <w:pPr>
        <w:pStyle w:val="46"/>
        <w:ind w:firstLine="0" w:firstLineChars="0"/>
        <w:rPr>
          <w:rFonts w:ascii="宋体" w:hAnsi="宋体" w:cs="宋体"/>
          <w:szCs w:val="24"/>
        </w:rPr>
      </w:pPr>
    </w:p>
    <w:p>
      <w:pPr>
        <w:pStyle w:val="46"/>
        <w:ind w:firstLine="0" w:firstLineChars="0"/>
        <w:rPr>
          <w:rFonts w:ascii="宋体" w:hAnsi="宋体" w:cs="宋体"/>
          <w:szCs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pStyle w:val="46"/>
        <w:ind w:firstLine="0" w:firstLineChars="0"/>
        <w:rPr>
          <w:rFonts w:ascii="宋体" w:hAnsi="宋体" w:cs="宋体"/>
          <w:b/>
          <w:bCs/>
          <w:szCs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pStyle w:val="46"/>
        <w:ind w:firstLine="0" w:firstLineChars="0"/>
        <w:rPr>
          <w:rFonts w:ascii="宋体" w:hAnsi="宋体" w:cs="宋体"/>
          <w:b/>
          <w:bCs/>
          <w:szCs w:val="24"/>
        </w:rPr>
      </w:pPr>
    </w:p>
    <w:p>
      <w:pPr>
        <w:pStyle w:val="46"/>
        <w:ind w:left="425" w:leftChars="193" w:firstLine="0" w:firstLineChars="0"/>
        <w:jc w:val="center"/>
        <w:rPr>
          <w:rFonts w:ascii="宋体" w:hAnsi="宋体" w:cs="宋体"/>
          <w:b/>
          <w:bCs/>
          <w:szCs w:val="24"/>
        </w:rPr>
      </w:pPr>
      <w:r>
        <w:rPr>
          <w:rFonts w:hint="eastAsia" w:ascii="宋体" w:hAnsi="宋体" w:cs="宋体"/>
          <w:b/>
          <w:bCs/>
          <w:szCs w:val="24"/>
        </w:rPr>
        <w:t>招标单位：广州越冠房地产开发有限公司</w:t>
      </w:r>
    </w:p>
    <w:p>
      <w:pPr>
        <w:pStyle w:val="46"/>
        <w:ind w:left="425" w:leftChars="193" w:firstLine="0" w:firstLineChars="0"/>
        <w:jc w:val="center"/>
        <w:rPr>
          <w:rFonts w:ascii="宋体" w:hAnsi="宋体" w:cs="宋体"/>
          <w:b/>
          <w:bCs/>
          <w:szCs w:val="24"/>
        </w:rPr>
      </w:pPr>
      <w:r>
        <w:rPr>
          <w:rFonts w:hint="eastAsia" w:ascii="宋体" w:hAnsi="宋体" w:cs="宋体"/>
          <w:b/>
          <w:bCs/>
          <w:szCs w:val="24"/>
        </w:rPr>
        <w:t>招标代理单位：广东省国际工程咨询有限公司</w:t>
      </w:r>
    </w:p>
    <w:p>
      <w:pPr>
        <w:pStyle w:val="46"/>
        <w:ind w:left="425" w:leftChars="193" w:firstLine="0" w:firstLineChars="0"/>
        <w:jc w:val="center"/>
        <w:rPr>
          <w:rFonts w:ascii="宋体" w:hAnsi="宋体" w:cs="宋体"/>
          <w:b/>
          <w:bCs/>
          <w:szCs w:val="24"/>
        </w:rPr>
      </w:pPr>
      <w:r>
        <w:rPr>
          <w:rFonts w:hint="eastAsia" w:ascii="宋体" w:hAnsi="宋体" w:cs="宋体"/>
          <w:b/>
          <w:bCs/>
          <w:szCs w:val="24"/>
        </w:rPr>
        <w:t>日期：2025年11月</w:t>
      </w:r>
    </w:p>
    <w:p>
      <w:pPr>
        <w:pStyle w:val="46"/>
        <w:ind w:firstLine="0" w:firstLineChars="0"/>
        <w:rPr>
          <w:rFonts w:ascii="宋体" w:hAnsi="宋体" w:cs="宋体"/>
          <w:szCs w:val="24"/>
        </w:rPr>
      </w:pPr>
    </w:p>
    <w:p>
      <w:pPr>
        <w:pStyle w:val="46"/>
        <w:ind w:firstLine="0" w:firstLineChars="0"/>
        <w:rPr>
          <w:rFonts w:ascii="宋体" w:hAnsi="宋体" w:cs="宋体"/>
          <w:szCs w:val="24"/>
        </w:rPr>
        <w:sectPr>
          <w:footerReference r:id="rId5" w:type="default"/>
          <w:pgSz w:w="11906" w:h="16838"/>
          <w:pgMar w:top="1440" w:right="1800" w:bottom="1440" w:left="1800" w:header="851" w:footer="992" w:gutter="0"/>
          <w:cols w:space="425" w:num="1"/>
          <w:docGrid w:type="lines" w:linePitch="312" w:charSpace="0"/>
        </w:sectPr>
      </w:pPr>
      <w:bookmarkStart w:id="2" w:name="_Toc152045511"/>
      <w:bookmarkStart w:id="3" w:name="_Toc152042287"/>
      <w:bookmarkStart w:id="4" w:name="_Toc144974479"/>
    </w:p>
    <w:sdt>
      <w:sdtPr>
        <w:rPr>
          <w:rFonts w:hint="eastAsia" w:ascii="宋体" w:hAnsi="宋体" w:eastAsia="宋体" w:cs="宋体"/>
          <w:b w:val="0"/>
          <w:bCs w:val="0"/>
          <w:kern w:val="2"/>
          <w:sz w:val="40"/>
          <w:szCs w:val="40"/>
          <w:lang w:val="zh-CN"/>
        </w:rPr>
        <w:id w:val="-1579975666"/>
        <w:docPartObj>
          <w:docPartGallery w:val="Table of Contents"/>
          <w:docPartUnique/>
        </w:docPartObj>
      </w:sdtPr>
      <w:sdtEndPr>
        <w:rPr>
          <w:rFonts w:hint="eastAsia" w:ascii="宋体" w:hAnsi="宋体" w:eastAsia="宋体" w:cs="宋体"/>
          <w:b w:val="0"/>
          <w:bCs w:val="0"/>
          <w:kern w:val="2"/>
          <w:sz w:val="24"/>
          <w:szCs w:val="24"/>
          <w:lang w:val="zh-CN"/>
        </w:rPr>
      </w:sdtEndPr>
      <w:sdtContent>
        <w:p>
          <w:pPr>
            <w:pStyle w:val="85"/>
            <w:spacing w:before="0" w:after="0" w:line="360" w:lineRule="auto"/>
            <w:jc w:val="center"/>
          </w:pPr>
          <w:r>
            <w:rPr>
              <w:rFonts w:hint="eastAsia" w:ascii="宋体" w:hAnsi="宋体" w:eastAsia="宋体" w:cs="宋体"/>
              <w:sz w:val="40"/>
              <w:szCs w:val="40"/>
              <w:lang w:val="zh-CN"/>
            </w:rPr>
            <w:t>目  录</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p>
        <w:p>
          <w:pPr>
            <w:pStyle w:val="32"/>
            <w:tabs>
              <w:tab w:val="right" w:leader="dot" w:pos="8640"/>
              <w:tab w:val="clear" w:pos="9060"/>
            </w:tabs>
            <w:ind w:left="440"/>
          </w:pPr>
          <w:r>
            <w:fldChar w:fldCharType="begin"/>
          </w:r>
          <w:r>
            <w:instrText xml:space="preserve"> HYPERLINK \l "_Toc12401" </w:instrText>
          </w:r>
          <w:r>
            <w:fldChar w:fldCharType="separate"/>
          </w:r>
          <w:r>
            <w:rPr>
              <w:rFonts w:hint="eastAsia" w:ascii="宋体" w:hAnsi="宋体" w:cs="宋体"/>
              <w14:ligatures w14:val="standardContextual"/>
            </w:rPr>
            <w:t>第一章 招标公告</w:t>
          </w:r>
          <w:r>
            <w:tab/>
          </w:r>
          <w:r>
            <w:fldChar w:fldCharType="begin"/>
          </w:r>
          <w:r>
            <w:instrText xml:space="preserve"> PAGEREF _Toc12401 \h </w:instrText>
          </w:r>
          <w:r>
            <w:fldChar w:fldCharType="separate"/>
          </w:r>
          <w:r>
            <w:t>4</w:t>
          </w:r>
          <w:r>
            <w:fldChar w:fldCharType="end"/>
          </w:r>
          <w:r>
            <w:fldChar w:fldCharType="end"/>
          </w:r>
        </w:p>
        <w:p>
          <w:pPr>
            <w:pStyle w:val="32"/>
            <w:tabs>
              <w:tab w:val="right" w:leader="dot" w:pos="8640"/>
              <w:tab w:val="clear" w:pos="9060"/>
            </w:tabs>
            <w:ind w:left="440"/>
          </w:pPr>
          <w:r>
            <w:fldChar w:fldCharType="begin"/>
          </w:r>
          <w:r>
            <w:instrText xml:space="preserve"> HYPERLINK \l "_Toc9739" </w:instrText>
          </w:r>
          <w:r>
            <w:fldChar w:fldCharType="separate"/>
          </w:r>
          <w:r>
            <w:rPr>
              <w:rFonts w:hint="eastAsia" w:ascii="宋体" w:hAnsi="宋体" w:cs="宋体"/>
            </w:rPr>
            <w:t>第二章 投标人须知</w:t>
          </w:r>
          <w:r>
            <w:tab/>
          </w:r>
          <w:r>
            <w:fldChar w:fldCharType="begin"/>
          </w:r>
          <w:r>
            <w:instrText xml:space="preserve"> PAGEREF _Toc9739 \h </w:instrText>
          </w:r>
          <w:r>
            <w:fldChar w:fldCharType="separate"/>
          </w:r>
          <w:r>
            <w:t>5</w:t>
          </w:r>
          <w:r>
            <w:fldChar w:fldCharType="end"/>
          </w:r>
          <w:r>
            <w:fldChar w:fldCharType="end"/>
          </w:r>
        </w:p>
        <w:p>
          <w:pPr>
            <w:pStyle w:val="20"/>
            <w:tabs>
              <w:tab w:val="right" w:leader="dot" w:pos="8640"/>
            </w:tabs>
            <w:ind w:left="880"/>
          </w:pPr>
          <w:r>
            <w:fldChar w:fldCharType="begin"/>
          </w:r>
          <w:r>
            <w:instrText xml:space="preserve"> HYPERLINK \l "_Toc20345" </w:instrText>
          </w:r>
          <w:r>
            <w:fldChar w:fldCharType="separate"/>
          </w:r>
          <w:r>
            <w:rPr>
              <w:rFonts w:hint="eastAsia" w:ascii="宋体" w:hAnsi="宋体" w:eastAsia="宋体" w:cs="宋体"/>
            </w:rPr>
            <w:t>投标人须知前附表</w:t>
          </w:r>
          <w:r>
            <w:tab/>
          </w:r>
          <w:r>
            <w:fldChar w:fldCharType="begin"/>
          </w:r>
          <w:r>
            <w:instrText xml:space="preserve"> PAGEREF _Toc20345 \h </w:instrText>
          </w:r>
          <w:r>
            <w:fldChar w:fldCharType="separate"/>
          </w:r>
          <w:r>
            <w:t>5</w:t>
          </w:r>
          <w:r>
            <w:fldChar w:fldCharType="end"/>
          </w:r>
          <w:r>
            <w:fldChar w:fldCharType="end"/>
          </w:r>
        </w:p>
        <w:p>
          <w:pPr>
            <w:pStyle w:val="20"/>
            <w:tabs>
              <w:tab w:val="right" w:leader="dot" w:pos="8640"/>
            </w:tabs>
            <w:ind w:left="880"/>
          </w:pPr>
          <w:r>
            <w:fldChar w:fldCharType="begin"/>
          </w:r>
          <w:r>
            <w:instrText xml:space="preserve"> HYPERLINK \l "_Toc15342" </w:instrText>
          </w:r>
          <w:r>
            <w:fldChar w:fldCharType="separate"/>
          </w:r>
          <w:r>
            <w:rPr>
              <w:rFonts w:hint="eastAsia" w:ascii="宋体" w:hAnsi="宋体" w:eastAsia="宋体" w:cs="宋体"/>
            </w:rPr>
            <w:t>1. 总则</w:t>
          </w:r>
          <w:r>
            <w:tab/>
          </w:r>
          <w:r>
            <w:fldChar w:fldCharType="begin"/>
          </w:r>
          <w:r>
            <w:instrText xml:space="preserve"> PAGEREF _Toc15342 \h </w:instrText>
          </w:r>
          <w:r>
            <w:fldChar w:fldCharType="separate"/>
          </w:r>
          <w:r>
            <w:t>17</w:t>
          </w:r>
          <w:r>
            <w:fldChar w:fldCharType="end"/>
          </w:r>
          <w:r>
            <w:fldChar w:fldCharType="end"/>
          </w:r>
        </w:p>
        <w:p>
          <w:pPr>
            <w:pStyle w:val="20"/>
            <w:tabs>
              <w:tab w:val="right" w:leader="dot" w:pos="8640"/>
            </w:tabs>
            <w:ind w:left="880"/>
          </w:pPr>
          <w:r>
            <w:fldChar w:fldCharType="begin"/>
          </w:r>
          <w:r>
            <w:instrText xml:space="preserve"> HYPERLINK \l "_Toc26115" </w:instrText>
          </w:r>
          <w:r>
            <w:fldChar w:fldCharType="separate"/>
          </w:r>
          <w:r>
            <w:rPr>
              <w:rFonts w:hint="eastAsia" w:ascii="宋体" w:hAnsi="宋体" w:eastAsia="宋体" w:cs="宋体"/>
            </w:rPr>
            <w:t>2. 招标文件</w:t>
          </w:r>
          <w:r>
            <w:tab/>
          </w:r>
          <w:r>
            <w:fldChar w:fldCharType="begin"/>
          </w:r>
          <w:r>
            <w:instrText xml:space="preserve"> PAGEREF _Toc26115 \h </w:instrText>
          </w:r>
          <w:r>
            <w:fldChar w:fldCharType="separate"/>
          </w:r>
          <w:r>
            <w:t>20</w:t>
          </w:r>
          <w:r>
            <w:fldChar w:fldCharType="end"/>
          </w:r>
          <w:r>
            <w:fldChar w:fldCharType="end"/>
          </w:r>
        </w:p>
        <w:p>
          <w:pPr>
            <w:pStyle w:val="20"/>
            <w:tabs>
              <w:tab w:val="right" w:leader="dot" w:pos="8640"/>
            </w:tabs>
            <w:ind w:left="880"/>
          </w:pPr>
          <w:r>
            <w:fldChar w:fldCharType="begin"/>
          </w:r>
          <w:r>
            <w:instrText xml:space="preserve"> HYPERLINK \l "_Toc23640" </w:instrText>
          </w:r>
          <w:r>
            <w:fldChar w:fldCharType="separate"/>
          </w:r>
          <w:r>
            <w:rPr>
              <w:rFonts w:hint="eastAsia" w:ascii="宋体" w:hAnsi="宋体" w:eastAsia="宋体" w:cs="宋体"/>
            </w:rPr>
            <w:t>3. 投标文件</w:t>
          </w:r>
          <w:r>
            <w:tab/>
          </w:r>
          <w:r>
            <w:fldChar w:fldCharType="begin"/>
          </w:r>
          <w:r>
            <w:instrText xml:space="preserve"> PAGEREF _Toc23640 \h </w:instrText>
          </w:r>
          <w:r>
            <w:fldChar w:fldCharType="separate"/>
          </w:r>
          <w:r>
            <w:t>21</w:t>
          </w:r>
          <w:r>
            <w:fldChar w:fldCharType="end"/>
          </w:r>
          <w:r>
            <w:fldChar w:fldCharType="end"/>
          </w:r>
        </w:p>
        <w:p>
          <w:pPr>
            <w:pStyle w:val="20"/>
            <w:tabs>
              <w:tab w:val="right" w:leader="dot" w:pos="8640"/>
            </w:tabs>
            <w:ind w:left="880"/>
          </w:pPr>
          <w:r>
            <w:fldChar w:fldCharType="begin"/>
          </w:r>
          <w:r>
            <w:instrText xml:space="preserve"> HYPERLINK \l "_Toc4813" </w:instrText>
          </w:r>
          <w:r>
            <w:fldChar w:fldCharType="separate"/>
          </w:r>
          <w:r>
            <w:rPr>
              <w:rFonts w:hint="eastAsia" w:ascii="宋体" w:hAnsi="宋体" w:eastAsia="宋体" w:cs="宋体"/>
            </w:rPr>
            <w:t>4. 投标</w:t>
          </w:r>
          <w:r>
            <w:tab/>
          </w:r>
          <w:r>
            <w:fldChar w:fldCharType="begin"/>
          </w:r>
          <w:r>
            <w:instrText xml:space="preserve"> PAGEREF _Toc4813 \h </w:instrText>
          </w:r>
          <w:r>
            <w:fldChar w:fldCharType="separate"/>
          </w:r>
          <w:r>
            <w:t>26</w:t>
          </w:r>
          <w:r>
            <w:fldChar w:fldCharType="end"/>
          </w:r>
          <w:r>
            <w:fldChar w:fldCharType="end"/>
          </w:r>
        </w:p>
        <w:p>
          <w:pPr>
            <w:pStyle w:val="20"/>
            <w:tabs>
              <w:tab w:val="right" w:leader="dot" w:pos="8640"/>
            </w:tabs>
            <w:ind w:left="880"/>
          </w:pPr>
          <w:r>
            <w:fldChar w:fldCharType="begin"/>
          </w:r>
          <w:r>
            <w:instrText xml:space="preserve"> HYPERLINK \l "_Toc32129" </w:instrText>
          </w:r>
          <w:r>
            <w:fldChar w:fldCharType="separate"/>
          </w:r>
          <w:r>
            <w:rPr>
              <w:rFonts w:hint="eastAsia" w:ascii="宋体" w:hAnsi="宋体" w:eastAsia="宋体" w:cs="宋体"/>
            </w:rPr>
            <w:t>5. 开标</w:t>
          </w:r>
          <w:r>
            <w:tab/>
          </w:r>
          <w:r>
            <w:fldChar w:fldCharType="begin"/>
          </w:r>
          <w:r>
            <w:instrText xml:space="preserve"> PAGEREF _Toc32129 \h </w:instrText>
          </w:r>
          <w:r>
            <w:fldChar w:fldCharType="separate"/>
          </w:r>
          <w:r>
            <w:t>27</w:t>
          </w:r>
          <w:r>
            <w:fldChar w:fldCharType="end"/>
          </w:r>
          <w:r>
            <w:fldChar w:fldCharType="end"/>
          </w:r>
        </w:p>
        <w:p>
          <w:pPr>
            <w:pStyle w:val="20"/>
            <w:tabs>
              <w:tab w:val="right" w:leader="dot" w:pos="8640"/>
            </w:tabs>
            <w:ind w:left="880"/>
          </w:pPr>
          <w:r>
            <w:fldChar w:fldCharType="begin"/>
          </w:r>
          <w:r>
            <w:instrText xml:space="preserve"> HYPERLINK \l "_Toc17370" </w:instrText>
          </w:r>
          <w:r>
            <w:fldChar w:fldCharType="separate"/>
          </w:r>
          <w:r>
            <w:rPr>
              <w:rFonts w:hint="eastAsia" w:ascii="宋体" w:hAnsi="宋体" w:eastAsia="宋体" w:cs="宋体"/>
            </w:rPr>
            <w:t>6. 评标</w:t>
          </w:r>
          <w:r>
            <w:tab/>
          </w:r>
          <w:r>
            <w:fldChar w:fldCharType="begin"/>
          </w:r>
          <w:r>
            <w:instrText xml:space="preserve"> PAGEREF _Toc17370 \h </w:instrText>
          </w:r>
          <w:r>
            <w:fldChar w:fldCharType="separate"/>
          </w:r>
          <w:r>
            <w:t>28</w:t>
          </w:r>
          <w:r>
            <w:fldChar w:fldCharType="end"/>
          </w:r>
          <w:r>
            <w:fldChar w:fldCharType="end"/>
          </w:r>
        </w:p>
        <w:p>
          <w:pPr>
            <w:pStyle w:val="20"/>
            <w:tabs>
              <w:tab w:val="right" w:leader="dot" w:pos="8640"/>
            </w:tabs>
            <w:ind w:left="880"/>
          </w:pPr>
          <w:r>
            <w:fldChar w:fldCharType="begin"/>
          </w:r>
          <w:r>
            <w:instrText xml:space="preserve"> HYPERLINK \l "_Toc2918" </w:instrText>
          </w:r>
          <w:r>
            <w:fldChar w:fldCharType="separate"/>
          </w:r>
          <w:r>
            <w:rPr>
              <w:rFonts w:hint="eastAsia" w:ascii="宋体" w:hAnsi="宋体" w:eastAsia="宋体" w:cs="宋体"/>
            </w:rPr>
            <w:t>7. 合同授予</w:t>
          </w:r>
          <w:r>
            <w:tab/>
          </w:r>
          <w:r>
            <w:fldChar w:fldCharType="begin"/>
          </w:r>
          <w:r>
            <w:instrText xml:space="preserve"> PAGEREF _Toc2918 \h </w:instrText>
          </w:r>
          <w:r>
            <w:fldChar w:fldCharType="separate"/>
          </w:r>
          <w:r>
            <w:t>29</w:t>
          </w:r>
          <w:r>
            <w:fldChar w:fldCharType="end"/>
          </w:r>
          <w:r>
            <w:fldChar w:fldCharType="end"/>
          </w:r>
        </w:p>
        <w:p>
          <w:pPr>
            <w:pStyle w:val="20"/>
            <w:tabs>
              <w:tab w:val="right" w:leader="dot" w:pos="8640"/>
            </w:tabs>
            <w:ind w:left="880"/>
          </w:pPr>
          <w:r>
            <w:fldChar w:fldCharType="begin"/>
          </w:r>
          <w:r>
            <w:instrText xml:space="preserve"> HYPERLINK \l "_Toc6955" </w:instrText>
          </w:r>
          <w:r>
            <w:fldChar w:fldCharType="separate"/>
          </w:r>
          <w:r>
            <w:rPr>
              <w:rFonts w:hint="eastAsia" w:ascii="宋体" w:hAnsi="宋体" w:eastAsia="宋体" w:cs="宋体"/>
            </w:rPr>
            <w:t>8.纪律和监督</w:t>
          </w:r>
          <w:r>
            <w:tab/>
          </w:r>
          <w:r>
            <w:fldChar w:fldCharType="begin"/>
          </w:r>
          <w:r>
            <w:instrText xml:space="preserve"> PAGEREF _Toc6955 \h </w:instrText>
          </w:r>
          <w:r>
            <w:fldChar w:fldCharType="separate"/>
          </w:r>
          <w:r>
            <w:t>30</w:t>
          </w:r>
          <w:r>
            <w:fldChar w:fldCharType="end"/>
          </w:r>
          <w:r>
            <w:fldChar w:fldCharType="end"/>
          </w:r>
        </w:p>
        <w:p>
          <w:pPr>
            <w:pStyle w:val="20"/>
            <w:tabs>
              <w:tab w:val="right" w:leader="dot" w:pos="8640"/>
            </w:tabs>
            <w:ind w:left="880"/>
          </w:pPr>
          <w:r>
            <w:fldChar w:fldCharType="begin"/>
          </w:r>
          <w:r>
            <w:instrText xml:space="preserve"> HYPERLINK \l "_Toc22034" </w:instrText>
          </w:r>
          <w:r>
            <w:fldChar w:fldCharType="separate"/>
          </w:r>
          <w:r>
            <w:rPr>
              <w:rFonts w:hint="eastAsia" w:ascii="宋体" w:hAnsi="宋体" w:eastAsia="宋体" w:cs="宋体"/>
            </w:rPr>
            <w:t>9. 是否采用电子招标投标</w:t>
          </w:r>
          <w:r>
            <w:tab/>
          </w:r>
          <w:r>
            <w:fldChar w:fldCharType="begin"/>
          </w:r>
          <w:r>
            <w:instrText xml:space="preserve"> PAGEREF _Toc22034 \h </w:instrText>
          </w:r>
          <w:r>
            <w:fldChar w:fldCharType="separate"/>
          </w:r>
          <w:r>
            <w:t>31</w:t>
          </w:r>
          <w:r>
            <w:fldChar w:fldCharType="end"/>
          </w:r>
          <w:r>
            <w:fldChar w:fldCharType="end"/>
          </w:r>
        </w:p>
        <w:p>
          <w:pPr>
            <w:pStyle w:val="20"/>
            <w:tabs>
              <w:tab w:val="right" w:leader="dot" w:pos="8640"/>
            </w:tabs>
            <w:ind w:left="880"/>
          </w:pPr>
          <w:r>
            <w:fldChar w:fldCharType="begin"/>
          </w:r>
          <w:r>
            <w:instrText xml:space="preserve"> HYPERLINK \l "_Toc20073" </w:instrText>
          </w:r>
          <w:r>
            <w:fldChar w:fldCharType="separate"/>
          </w:r>
          <w:r>
            <w:rPr>
              <w:rFonts w:hint="eastAsia" w:ascii="宋体" w:hAnsi="宋体" w:eastAsia="宋体" w:cs="宋体"/>
            </w:rPr>
            <w:t>10. 需要补充的其他内容</w:t>
          </w:r>
          <w:r>
            <w:tab/>
          </w:r>
          <w:r>
            <w:fldChar w:fldCharType="begin"/>
          </w:r>
          <w:r>
            <w:instrText xml:space="preserve"> PAGEREF _Toc20073 \h </w:instrText>
          </w:r>
          <w:r>
            <w:fldChar w:fldCharType="separate"/>
          </w:r>
          <w:r>
            <w:t>31</w:t>
          </w:r>
          <w:r>
            <w:fldChar w:fldCharType="end"/>
          </w:r>
          <w:r>
            <w:fldChar w:fldCharType="end"/>
          </w:r>
        </w:p>
        <w:p>
          <w:pPr>
            <w:pStyle w:val="32"/>
            <w:tabs>
              <w:tab w:val="right" w:leader="dot" w:pos="8640"/>
              <w:tab w:val="clear" w:pos="9060"/>
            </w:tabs>
            <w:ind w:left="440"/>
          </w:pPr>
          <w:r>
            <w:fldChar w:fldCharType="begin"/>
          </w:r>
          <w:r>
            <w:instrText xml:space="preserve"> HYPERLINK \l "_Toc188" </w:instrText>
          </w:r>
          <w:r>
            <w:fldChar w:fldCharType="separate"/>
          </w:r>
          <w:r>
            <w:rPr>
              <w:rFonts w:hint="eastAsia" w:ascii="宋体" w:hAnsi="宋体" w:cs="宋体"/>
            </w:rPr>
            <w:t>第三章 评标办法（“评定分离”定标办法）</w:t>
          </w:r>
          <w:r>
            <w:tab/>
          </w:r>
          <w:r>
            <w:fldChar w:fldCharType="begin"/>
          </w:r>
          <w:r>
            <w:instrText xml:space="preserve"> PAGEREF _Toc188 \h </w:instrText>
          </w:r>
          <w:r>
            <w:fldChar w:fldCharType="separate"/>
          </w:r>
          <w:r>
            <w:t>35</w:t>
          </w:r>
          <w:r>
            <w:fldChar w:fldCharType="end"/>
          </w:r>
          <w:r>
            <w:fldChar w:fldCharType="end"/>
          </w:r>
        </w:p>
        <w:p>
          <w:pPr>
            <w:pStyle w:val="20"/>
            <w:tabs>
              <w:tab w:val="right" w:leader="dot" w:pos="8640"/>
            </w:tabs>
            <w:ind w:left="880"/>
          </w:pPr>
          <w:r>
            <w:fldChar w:fldCharType="begin"/>
          </w:r>
          <w:r>
            <w:instrText xml:space="preserve"> HYPERLINK \l "_Toc13552" </w:instrText>
          </w:r>
          <w:r>
            <w:fldChar w:fldCharType="separate"/>
          </w:r>
          <w:r>
            <w:rPr>
              <w:rFonts w:hint="eastAsia" w:ascii="宋体" w:hAnsi="宋体" w:eastAsia="宋体" w:cs="宋体"/>
            </w:rPr>
            <w:t>评标和定标办法前附表</w:t>
          </w:r>
          <w:r>
            <w:tab/>
          </w:r>
          <w:r>
            <w:fldChar w:fldCharType="begin"/>
          </w:r>
          <w:r>
            <w:instrText xml:space="preserve"> PAGEREF _Toc13552 \h </w:instrText>
          </w:r>
          <w:r>
            <w:fldChar w:fldCharType="separate"/>
          </w:r>
          <w:r>
            <w:t>35</w:t>
          </w:r>
          <w:r>
            <w:fldChar w:fldCharType="end"/>
          </w:r>
          <w:r>
            <w:fldChar w:fldCharType="end"/>
          </w:r>
        </w:p>
        <w:p>
          <w:pPr>
            <w:pStyle w:val="20"/>
            <w:tabs>
              <w:tab w:val="right" w:leader="dot" w:pos="8640"/>
            </w:tabs>
            <w:ind w:left="880"/>
          </w:pPr>
          <w:r>
            <w:fldChar w:fldCharType="begin"/>
          </w:r>
          <w:r>
            <w:instrText xml:space="preserve"> HYPERLINK \l "_Toc20570" </w:instrText>
          </w:r>
          <w:r>
            <w:fldChar w:fldCharType="separate"/>
          </w:r>
          <w:r>
            <w:rPr>
              <w:rFonts w:hint="eastAsia" w:ascii="宋体" w:hAnsi="宋体" w:eastAsia="宋体" w:cs="宋体"/>
            </w:rPr>
            <w:t>1. 评标方法</w:t>
          </w:r>
          <w:r>
            <w:tab/>
          </w:r>
          <w:r>
            <w:fldChar w:fldCharType="begin"/>
          </w:r>
          <w:r>
            <w:instrText xml:space="preserve"> PAGEREF _Toc20570 \h </w:instrText>
          </w:r>
          <w:r>
            <w:fldChar w:fldCharType="separate"/>
          </w:r>
          <w:r>
            <w:t>42</w:t>
          </w:r>
          <w:r>
            <w:fldChar w:fldCharType="end"/>
          </w:r>
          <w:r>
            <w:fldChar w:fldCharType="end"/>
          </w:r>
        </w:p>
        <w:p>
          <w:pPr>
            <w:pStyle w:val="20"/>
            <w:tabs>
              <w:tab w:val="right" w:leader="dot" w:pos="8640"/>
            </w:tabs>
            <w:ind w:left="880"/>
          </w:pPr>
          <w:r>
            <w:fldChar w:fldCharType="begin"/>
          </w:r>
          <w:r>
            <w:instrText xml:space="preserve"> HYPERLINK \l "_Toc10751" </w:instrText>
          </w:r>
          <w:r>
            <w:fldChar w:fldCharType="separate"/>
          </w:r>
          <w:r>
            <w:rPr>
              <w:rFonts w:hint="eastAsia" w:ascii="宋体" w:hAnsi="宋体" w:eastAsia="宋体" w:cs="宋体"/>
            </w:rPr>
            <w:t>2. 评审标准</w:t>
          </w:r>
          <w:r>
            <w:tab/>
          </w:r>
          <w:r>
            <w:fldChar w:fldCharType="begin"/>
          </w:r>
          <w:r>
            <w:instrText xml:space="preserve"> PAGEREF _Toc10751 \h </w:instrText>
          </w:r>
          <w:r>
            <w:fldChar w:fldCharType="separate"/>
          </w:r>
          <w:r>
            <w:t>42</w:t>
          </w:r>
          <w:r>
            <w:fldChar w:fldCharType="end"/>
          </w:r>
          <w:r>
            <w:fldChar w:fldCharType="end"/>
          </w:r>
        </w:p>
        <w:p>
          <w:pPr>
            <w:pStyle w:val="20"/>
            <w:tabs>
              <w:tab w:val="right" w:leader="dot" w:pos="8640"/>
            </w:tabs>
            <w:ind w:left="880"/>
          </w:pPr>
          <w:r>
            <w:fldChar w:fldCharType="begin"/>
          </w:r>
          <w:r>
            <w:instrText xml:space="preserve"> HYPERLINK \l "_Toc23958" </w:instrText>
          </w:r>
          <w:r>
            <w:fldChar w:fldCharType="separate"/>
          </w:r>
          <w:r>
            <w:rPr>
              <w:rFonts w:hint="eastAsia" w:ascii="宋体" w:hAnsi="宋体" w:eastAsia="宋体" w:cs="宋体"/>
            </w:rPr>
            <w:t>3. 评标程序</w:t>
          </w:r>
          <w:r>
            <w:tab/>
          </w:r>
          <w:r>
            <w:fldChar w:fldCharType="begin"/>
          </w:r>
          <w:r>
            <w:instrText xml:space="preserve"> PAGEREF _Toc23958 \h </w:instrText>
          </w:r>
          <w:r>
            <w:fldChar w:fldCharType="separate"/>
          </w:r>
          <w:r>
            <w:t>42</w:t>
          </w:r>
          <w:r>
            <w:fldChar w:fldCharType="end"/>
          </w:r>
          <w:r>
            <w:fldChar w:fldCharType="end"/>
          </w:r>
        </w:p>
        <w:p>
          <w:pPr>
            <w:pStyle w:val="20"/>
            <w:tabs>
              <w:tab w:val="right" w:leader="dot" w:pos="8640"/>
            </w:tabs>
            <w:ind w:left="880"/>
          </w:pPr>
          <w:r>
            <w:fldChar w:fldCharType="begin"/>
          </w:r>
          <w:r>
            <w:instrText xml:space="preserve"> HYPERLINK \l "_Toc29869" </w:instrText>
          </w:r>
          <w:r>
            <w:fldChar w:fldCharType="separate"/>
          </w:r>
          <w:r>
            <w:rPr>
              <w:rFonts w:hint="eastAsia" w:ascii="宋体" w:hAnsi="宋体" w:eastAsia="宋体" w:cs="宋体"/>
            </w:rPr>
            <w:t>4 定标办法</w:t>
          </w:r>
          <w:r>
            <w:tab/>
          </w:r>
          <w:r>
            <w:fldChar w:fldCharType="begin"/>
          </w:r>
          <w:r>
            <w:instrText xml:space="preserve"> PAGEREF _Toc29869 \h </w:instrText>
          </w:r>
          <w:r>
            <w:fldChar w:fldCharType="separate"/>
          </w:r>
          <w:r>
            <w:t>43</w:t>
          </w:r>
          <w:r>
            <w:fldChar w:fldCharType="end"/>
          </w:r>
          <w:r>
            <w:fldChar w:fldCharType="end"/>
          </w:r>
        </w:p>
        <w:p>
          <w:pPr>
            <w:pStyle w:val="32"/>
            <w:tabs>
              <w:tab w:val="right" w:leader="dot" w:pos="8640"/>
              <w:tab w:val="clear" w:pos="9060"/>
            </w:tabs>
            <w:ind w:left="440"/>
          </w:pPr>
          <w:r>
            <w:fldChar w:fldCharType="begin"/>
          </w:r>
          <w:r>
            <w:instrText xml:space="preserve"> HYPERLINK \l "_Toc32640" </w:instrText>
          </w:r>
          <w:r>
            <w:fldChar w:fldCharType="separate"/>
          </w:r>
          <w:r>
            <w:rPr>
              <w:rFonts w:hint="eastAsia" w:ascii="宋体" w:hAnsi="宋体" w:cs="宋体"/>
            </w:rPr>
            <w:t>第四章 合同条款及格式</w:t>
          </w:r>
          <w:r>
            <w:tab/>
          </w:r>
          <w:r>
            <w:fldChar w:fldCharType="begin"/>
          </w:r>
          <w:r>
            <w:instrText xml:space="preserve"> PAGEREF _Toc32640 \h </w:instrText>
          </w:r>
          <w:r>
            <w:fldChar w:fldCharType="separate"/>
          </w:r>
          <w:r>
            <w:t>44</w:t>
          </w:r>
          <w:r>
            <w:fldChar w:fldCharType="end"/>
          </w:r>
          <w:r>
            <w:fldChar w:fldCharType="end"/>
          </w:r>
        </w:p>
        <w:p>
          <w:pPr>
            <w:pStyle w:val="32"/>
            <w:tabs>
              <w:tab w:val="right" w:leader="dot" w:pos="8640"/>
              <w:tab w:val="clear" w:pos="9060"/>
            </w:tabs>
            <w:ind w:left="440"/>
          </w:pPr>
          <w:r>
            <w:fldChar w:fldCharType="begin"/>
          </w:r>
          <w:r>
            <w:instrText xml:space="preserve"> HYPERLINK \l "_Toc14921" </w:instrText>
          </w:r>
          <w:r>
            <w:fldChar w:fldCharType="separate"/>
          </w:r>
          <w:r>
            <w:rPr>
              <w:rFonts w:hint="eastAsia" w:ascii="宋体" w:hAnsi="宋体" w:cs="宋体"/>
            </w:rPr>
            <w:t>第五章 委托人要求</w:t>
          </w:r>
          <w:r>
            <w:tab/>
          </w:r>
          <w:r>
            <w:fldChar w:fldCharType="begin"/>
          </w:r>
          <w:r>
            <w:instrText xml:space="preserve"> PAGEREF _Toc14921 \h </w:instrText>
          </w:r>
          <w:r>
            <w:fldChar w:fldCharType="separate"/>
          </w:r>
          <w:r>
            <w:t>46</w:t>
          </w:r>
          <w:r>
            <w:fldChar w:fldCharType="end"/>
          </w:r>
          <w:r>
            <w:fldChar w:fldCharType="end"/>
          </w:r>
        </w:p>
        <w:p>
          <w:pPr>
            <w:pStyle w:val="32"/>
            <w:tabs>
              <w:tab w:val="right" w:leader="dot" w:pos="8640"/>
              <w:tab w:val="clear" w:pos="9060"/>
            </w:tabs>
            <w:ind w:left="440"/>
          </w:pPr>
          <w:r>
            <w:fldChar w:fldCharType="begin"/>
          </w:r>
          <w:r>
            <w:instrText xml:space="preserve"> HYPERLINK \l "_Toc31855" </w:instrText>
          </w:r>
          <w:r>
            <w:fldChar w:fldCharType="separate"/>
          </w:r>
          <w:r>
            <w:rPr>
              <w:rFonts w:hint="eastAsia" w:ascii="宋体" w:hAnsi="宋体" w:cs="宋体"/>
            </w:rPr>
            <w:t>第六章 投标文件格式</w:t>
          </w:r>
          <w:r>
            <w:tab/>
          </w:r>
          <w:r>
            <w:fldChar w:fldCharType="begin"/>
          </w:r>
          <w:r>
            <w:instrText xml:space="preserve"> PAGEREF _Toc31855 \h </w:instrText>
          </w:r>
          <w:r>
            <w:fldChar w:fldCharType="separate"/>
          </w:r>
          <w:r>
            <w:t>55</w:t>
          </w:r>
          <w:r>
            <w:fldChar w:fldCharType="end"/>
          </w:r>
          <w:r>
            <w:fldChar w:fldCharType="end"/>
          </w:r>
        </w:p>
        <w:p>
          <w:pPr>
            <w:spacing w:after="0" w:line="360" w:lineRule="auto"/>
            <w:rPr>
              <w:rFonts w:ascii="宋体" w:hAnsi="宋体" w:eastAsia="宋体" w:cs="宋体"/>
              <w:sz w:val="24"/>
            </w:rPr>
          </w:pPr>
          <w:r>
            <w:rPr>
              <w:rFonts w:hint="eastAsia" w:ascii="宋体" w:hAnsi="宋体" w:eastAsia="宋体" w:cs="宋体"/>
              <w:bCs/>
              <w:lang w:val="zh-CN"/>
            </w:rPr>
            <w:fldChar w:fldCharType="end"/>
          </w:r>
        </w:p>
      </w:sdtContent>
    </w:sdt>
    <w:p>
      <w:pPr>
        <w:pStyle w:val="46"/>
        <w:ind w:firstLine="0" w:firstLineChars="0"/>
        <w:rPr>
          <w:rFonts w:ascii="宋体" w:hAnsi="宋体" w:cs="宋体"/>
          <w:szCs w:val="24"/>
        </w:rPr>
      </w:pPr>
    </w:p>
    <w:bookmarkEnd w:id="2"/>
    <w:bookmarkEnd w:id="3"/>
    <w:bookmarkEnd w:id="4"/>
    <w:p>
      <w:pPr>
        <w:pStyle w:val="46"/>
        <w:ind w:firstLine="0" w:firstLineChars="0"/>
        <w:rPr>
          <w:rFonts w:ascii="宋体" w:hAnsi="宋体" w:cs="宋体"/>
          <w:szCs w:val="24"/>
        </w:rPr>
      </w:pPr>
      <w:bookmarkStart w:id="5" w:name="_Toc511557024"/>
    </w:p>
    <w:p>
      <w:pPr>
        <w:pStyle w:val="95"/>
        <w:jc w:val="center"/>
        <w:rPr>
          <w:rFonts w:ascii="宋体" w:hAnsi="宋体" w:eastAsia="宋体" w:cs="宋体"/>
          <w:sz w:val="44"/>
          <w:szCs w:val="44"/>
        </w:rPr>
      </w:pPr>
      <w:bookmarkStart w:id="6" w:name="_Toc2279"/>
      <w:bookmarkStart w:id="7" w:name="_Toc5200"/>
      <w:bookmarkStart w:id="8" w:name="_Toc176879858"/>
      <w:r>
        <w:rPr>
          <w:rFonts w:hint="eastAsia" w:ascii="宋体" w:hAnsi="宋体" w:eastAsia="宋体" w:cs="宋体"/>
          <w:sz w:val="44"/>
          <w:szCs w:val="44"/>
        </w:rPr>
        <w:t>第</w:t>
      </w:r>
      <w:bookmarkEnd w:id="5"/>
      <w:r>
        <w:rPr>
          <w:rFonts w:hint="eastAsia" w:ascii="宋体" w:hAnsi="宋体" w:eastAsia="宋体" w:cs="宋体"/>
          <w:sz w:val="44"/>
          <w:szCs w:val="44"/>
        </w:rPr>
        <w:t>一卷</w:t>
      </w:r>
      <w:bookmarkEnd w:id="6"/>
      <w:bookmarkEnd w:id="7"/>
      <w:bookmarkEnd w:id="8"/>
    </w:p>
    <w:p>
      <w:pPr>
        <w:pStyle w:val="46"/>
        <w:ind w:firstLine="0" w:firstLineChars="0"/>
        <w:rPr>
          <w:rFonts w:ascii="宋体" w:hAnsi="宋体" w:cs="宋体"/>
          <w:szCs w:val="24"/>
        </w:rPr>
      </w:pPr>
      <w:r>
        <w:rPr>
          <w:rFonts w:hint="eastAsia" w:ascii="宋体" w:hAnsi="宋体" w:cs="宋体"/>
          <w:szCs w:val="24"/>
        </w:rPr>
        <w:br w:type="page"/>
      </w:r>
    </w:p>
    <w:p>
      <w:pPr>
        <w:pStyle w:val="93"/>
        <w:jc w:val="center"/>
        <w:rPr>
          <w:rFonts w:ascii="宋体" w:hAnsi="宋体" w:cs="宋体"/>
          <w:szCs w:val="24"/>
          <w:lang w:eastAsia="zh-CN"/>
          <w14:ligatures w14:val="standardContextual"/>
        </w:rPr>
      </w:pPr>
      <w:bookmarkStart w:id="9" w:name="_Toc12401"/>
      <w:r>
        <w:rPr>
          <w:rFonts w:hint="eastAsia" w:ascii="宋体" w:hAnsi="宋体" w:cs="宋体"/>
          <w:sz w:val="32"/>
          <w:szCs w:val="32"/>
          <w:lang w:eastAsia="zh-CN"/>
          <w14:ligatures w14:val="standardContextual"/>
        </w:rPr>
        <w:t>第一章 招标公告</w:t>
      </w:r>
      <w:bookmarkEnd w:id="9"/>
    </w:p>
    <w:p>
      <w:pPr>
        <w:pStyle w:val="46"/>
        <w:ind w:firstLine="0" w:firstLineChars="0"/>
        <w:jc w:val="center"/>
        <w:rPr>
          <w:rFonts w:ascii="宋体" w:hAnsi="宋体" w:cs="宋体"/>
          <w:szCs w:val="24"/>
        </w:rPr>
      </w:pPr>
      <w:r>
        <w:rPr>
          <w:rFonts w:hint="eastAsia" w:ascii="宋体" w:hAnsi="宋体" w:cs="宋体"/>
          <w:szCs w:val="24"/>
        </w:rPr>
        <w:t>另册</w:t>
      </w:r>
    </w:p>
    <w:p>
      <w:r>
        <w:rPr>
          <w:rFonts w:hint="eastAsia"/>
        </w:rPr>
        <w:br w:type="page"/>
      </w:r>
    </w:p>
    <w:p>
      <w:pPr>
        <w:pStyle w:val="93"/>
        <w:jc w:val="center"/>
        <w:rPr>
          <w:rFonts w:ascii="宋体" w:hAnsi="宋体" w:cs="宋体"/>
          <w:sz w:val="32"/>
          <w:szCs w:val="32"/>
          <w:lang w:eastAsia="zh-CN"/>
          <w14:ligatures w14:val="standardContextual"/>
        </w:rPr>
      </w:pPr>
      <w:bookmarkStart w:id="10" w:name="_Toc9739"/>
      <w:r>
        <w:rPr>
          <w:rFonts w:hint="eastAsia" w:ascii="宋体" w:hAnsi="宋体" w:cs="宋体"/>
          <w:sz w:val="32"/>
          <w:szCs w:val="32"/>
          <w:lang w:eastAsia="zh-CN"/>
          <w14:ligatures w14:val="standardContextual"/>
        </w:rPr>
        <w:t>第二章 投标人须知</w:t>
      </w:r>
      <w:bookmarkEnd w:id="10"/>
    </w:p>
    <w:p>
      <w:pPr>
        <w:pStyle w:val="91"/>
        <w:rPr>
          <w:rFonts w:ascii="宋体" w:hAnsi="宋体" w:eastAsia="宋体" w:cs="宋体"/>
          <w:sz w:val="24"/>
          <w:szCs w:val="24"/>
        </w:rPr>
      </w:pPr>
      <w:bookmarkStart w:id="11" w:name="_Toc27803"/>
      <w:bookmarkStart w:id="12" w:name="_Toc199515635"/>
      <w:bookmarkStart w:id="13" w:name="_Toc20345"/>
      <w:bookmarkStart w:id="14" w:name="_Toc529196512"/>
      <w:bookmarkStart w:id="15" w:name="_Toc530470621"/>
      <w:bookmarkStart w:id="16" w:name="_Toc535938711"/>
      <w:r>
        <w:rPr>
          <w:rFonts w:hint="eastAsia" w:ascii="宋体" w:hAnsi="宋体" w:eastAsia="宋体" w:cs="宋体"/>
          <w:sz w:val="24"/>
          <w:szCs w:val="24"/>
        </w:rPr>
        <w:t>投标人须知前附表</w:t>
      </w:r>
      <w:bookmarkEnd w:id="11"/>
      <w:bookmarkEnd w:id="12"/>
      <w:bookmarkEnd w:id="13"/>
    </w:p>
    <w:tbl>
      <w:tblPr>
        <w:tblStyle w:val="39"/>
        <w:tblW w:w="100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1701"/>
        <w:gridCol w:w="72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blHeader/>
          <w:jc w:val="center"/>
        </w:trPr>
        <w:tc>
          <w:tcPr>
            <w:tcW w:w="1129" w:type="dxa"/>
            <w:tcBorders>
              <w:top w:val="single" w:color="auto" w:sz="4" w:space="0"/>
              <w:left w:val="single" w:color="auto" w:sz="4" w:space="0"/>
              <w:bottom w:val="single" w:color="auto" w:sz="6" w:space="0"/>
              <w:right w:val="single" w:color="auto" w:sz="6" w:space="0"/>
            </w:tcBorders>
            <w:noWrap/>
            <w:vAlign w:val="center"/>
          </w:tcPr>
          <w:p>
            <w:pPr>
              <w:pStyle w:val="87"/>
              <w:jc w:val="left"/>
              <w:rPr>
                <w:rFonts w:ascii="宋体" w:hAnsi="宋体" w:eastAsia="宋体" w:cs="宋体"/>
                <w:sz w:val="24"/>
              </w:rPr>
            </w:pPr>
            <w:r>
              <w:rPr>
                <w:rFonts w:hint="eastAsia" w:ascii="宋体" w:hAnsi="宋体" w:eastAsia="宋体" w:cs="宋体"/>
                <w:sz w:val="24"/>
              </w:rPr>
              <w:t>条款号</w:t>
            </w:r>
          </w:p>
        </w:tc>
        <w:tc>
          <w:tcPr>
            <w:tcW w:w="1701" w:type="dxa"/>
            <w:tcBorders>
              <w:top w:val="single" w:color="auto" w:sz="4" w:space="0"/>
              <w:left w:val="single" w:color="auto" w:sz="6" w:space="0"/>
              <w:bottom w:val="single" w:color="auto" w:sz="6" w:space="0"/>
              <w:right w:val="single" w:color="auto" w:sz="6" w:space="0"/>
            </w:tcBorders>
            <w:noWrap/>
            <w:vAlign w:val="center"/>
          </w:tcPr>
          <w:p>
            <w:pPr>
              <w:pStyle w:val="87"/>
              <w:jc w:val="left"/>
              <w:rPr>
                <w:rFonts w:ascii="宋体" w:hAnsi="宋体" w:eastAsia="宋体" w:cs="宋体"/>
                <w:sz w:val="24"/>
              </w:rPr>
            </w:pPr>
            <w:r>
              <w:rPr>
                <w:rFonts w:hint="eastAsia" w:ascii="宋体" w:hAnsi="宋体" w:eastAsia="宋体" w:cs="宋体"/>
                <w:sz w:val="24"/>
              </w:rPr>
              <w:t>条款名称</w:t>
            </w:r>
          </w:p>
        </w:tc>
        <w:tc>
          <w:tcPr>
            <w:tcW w:w="7235" w:type="dxa"/>
            <w:tcBorders>
              <w:top w:val="single" w:color="auto" w:sz="4" w:space="0"/>
              <w:left w:val="single" w:color="auto" w:sz="6" w:space="0"/>
              <w:bottom w:val="single" w:color="auto" w:sz="6"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8"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1.1.2</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招标人</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名称：广州越冠房地产开发有限公司</w:t>
            </w:r>
          </w:p>
          <w:p>
            <w:pPr>
              <w:pStyle w:val="50"/>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lang w:val="zh-CN"/>
              </w:rPr>
              <w:t>广州市番禺区南村镇里仁洞村里溪大道4号102房</w:t>
            </w:r>
          </w:p>
          <w:p>
            <w:pPr>
              <w:pStyle w:val="50"/>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lang w:val="en-US" w:eastAsia="zh-CN"/>
              </w:rPr>
              <w:t>黎</w:t>
            </w:r>
            <w:r>
              <w:rPr>
                <w:rFonts w:hint="eastAsia" w:ascii="宋体" w:hAnsi="宋体" w:eastAsia="宋体" w:cs="宋体"/>
                <w:sz w:val="24"/>
              </w:rPr>
              <w:t>工</w:t>
            </w:r>
          </w:p>
          <w:p>
            <w:pPr>
              <w:pStyle w:val="50"/>
              <w:rPr>
                <w:rFonts w:ascii="宋体" w:hAnsi="宋体" w:eastAsia="宋体" w:cs="宋体"/>
                <w:sz w:val="24"/>
              </w:rPr>
            </w:pPr>
            <w:r>
              <w:rPr>
                <w:rFonts w:hint="eastAsia" w:ascii="宋体" w:hAnsi="宋体" w:eastAsia="宋体" w:cs="宋体"/>
                <w:sz w:val="24"/>
              </w:rPr>
              <w:t>电话：15902069286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1.1.3</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招标代理机构</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名称：广东省国际工程咨询有限公司</w:t>
            </w:r>
          </w:p>
          <w:p>
            <w:pPr>
              <w:pStyle w:val="50"/>
              <w:rPr>
                <w:rFonts w:ascii="宋体" w:hAnsi="宋体" w:eastAsia="宋体" w:cs="宋体"/>
                <w:sz w:val="24"/>
              </w:rPr>
            </w:pPr>
            <w:r>
              <w:rPr>
                <w:rFonts w:hint="eastAsia" w:ascii="宋体" w:hAnsi="宋体" w:eastAsia="宋体" w:cs="宋体"/>
                <w:sz w:val="24"/>
              </w:rPr>
              <w:t>地址：广州市越秀区环市中路金鹰大厦9楼</w:t>
            </w:r>
          </w:p>
          <w:p>
            <w:pPr>
              <w:pStyle w:val="50"/>
              <w:rPr>
                <w:rFonts w:ascii="宋体" w:hAnsi="宋体" w:eastAsia="宋体" w:cs="宋体"/>
                <w:sz w:val="24"/>
              </w:rPr>
            </w:pPr>
            <w:r>
              <w:rPr>
                <w:rFonts w:hint="eastAsia" w:ascii="宋体" w:hAnsi="宋体" w:eastAsia="宋体" w:cs="宋体"/>
                <w:sz w:val="24"/>
              </w:rPr>
              <w:t>联系人：</w:t>
            </w:r>
            <w:r>
              <w:rPr>
                <w:rFonts w:hint="eastAsia" w:ascii="宋体" w:hAnsi="宋体" w:cs="宋体"/>
                <w:sz w:val="24"/>
              </w:rPr>
              <w:t>巫奕健</w:t>
            </w:r>
          </w:p>
          <w:p>
            <w:pPr>
              <w:pStyle w:val="50"/>
              <w:rPr>
                <w:rFonts w:ascii="宋体" w:hAnsi="宋体" w:eastAsia="宋体" w:cs="宋体"/>
                <w:sz w:val="24"/>
              </w:rPr>
            </w:pPr>
            <w:r>
              <w:rPr>
                <w:rFonts w:hint="eastAsia" w:ascii="宋体" w:hAnsi="宋体" w:eastAsia="宋体" w:cs="宋体"/>
                <w:sz w:val="24"/>
              </w:rPr>
              <w:t>电话：020-</w:t>
            </w:r>
            <w:r>
              <w:rPr>
                <w:rFonts w:hint="eastAsia" w:ascii="宋体" w:hAnsi="宋体" w:cs="宋体"/>
                <w:sz w:val="24"/>
              </w:rPr>
              <w:t>83541713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1.1.4</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招标项目名称</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hint="eastAsia" w:ascii="宋体" w:hAnsi="宋体" w:eastAsia="宋体" w:cs="宋体"/>
                <w:sz w:val="24"/>
                <w:lang w:eastAsia="zh-CN"/>
              </w:rPr>
            </w:pPr>
            <w:r>
              <w:rPr>
                <w:rFonts w:hint="eastAsia" w:ascii="宋体" w:hAnsi="宋体" w:eastAsia="宋体" w:cs="宋体"/>
                <w:sz w:val="24"/>
                <w:lang w:eastAsia="zh-CN"/>
              </w:rPr>
              <w:t>番禺区里仁洞村城市更新项目自编R9地块复建房建设监理服务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1.1.5</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项目建设地点</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1.1.6</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项目建设规模</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1.1.7</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工程项目施工预计开工日期和建设周期</w:t>
            </w:r>
          </w:p>
        </w:tc>
        <w:tc>
          <w:tcPr>
            <w:tcW w:w="7235" w:type="dxa"/>
            <w:tcBorders>
              <w:top w:val="single" w:color="auto" w:sz="6" w:space="0"/>
              <w:left w:val="single" w:color="auto" w:sz="6" w:space="0"/>
              <w:bottom w:val="single" w:color="auto" w:sz="6" w:space="0"/>
              <w:right w:val="single" w:color="auto" w:sz="4" w:space="0"/>
            </w:tcBorders>
            <w:noWrap/>
            <w:vAlign w:val="center"/>
          </w:tcPr>
          <w:p>
            <w:pPr>
              <w:spacing w:after="0" w:line="360" w:lineRule="auto"/>
              <w:rPr>
                <w:rFonts w:ascii="宋体" w:hAnsi="宋体" w:eastAsia="宋体" w:cs="宋体"/>
                <w:sz w:val="24"/>
              </w:rPr>
            </w:pPr>
            <w:r>
              <w:rPr>
                <w:rFonts w:hint="eastAsia" w:ascii="宋体" w:hAnsi="宋体" w:eastAsia="宋体" w:cs="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1.1.8</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建筑安装工程费/工程概算</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以实际数据为准。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1.2.1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资金来源及比例</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1.2.2</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资金落实情况</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1.3.1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招标范围</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1.3.2</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监理服务期限</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1.3.3</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质量标准</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一次竣工验收合格，且分部工程验收合格率100%，项目所涉及的政府专项验收全部通过，单位工程一次竣工验收合格。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1.4.1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投标人资质条件、能力、信誉</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（1）资质要求：见招标公告投标人资格要求；</w:t>
            </w:r>
          </w:p>
          <w:p>
            <w:pPr>
              <w:pStyle w:val="50"/>
              <w:rPr>
                <w:rFonts w:ascii="宋体" w:hAnsi="宋体" w:eastAsia="宋体" w:cs="宋体"/>
                <w:sz w:val="24"/>
              </w:rPr>
            </w:pPr>
            <w:r>
              <w:rPr>
                <w:rFonts w:hint="eastAsia" w:ascii="宋体" w:hAnsi="宋体" w:eastAsia="宋体" w:cs="宋体"/>
                <w:sz w:val="24"/>
              </w:rPr>
              <w:t>（2）财务要求：/</w:t>
            </w:r>
          </w:p>
          <w:p>
            <w:pPr>
              <w:pStyle w:val="50"/>
              <w:rPr>
                <w:rFonts w:ascii="宋体" w:hAnsi="宋体" w:eastAsia="宋体" w:cs="宋体"/>
                <w:sz w:val="24"/>
              </w:rPr>
            </w:pPr>
            <w:r>
              <w:rPr>
                <w:rFonts w:hint="eastAsia" w:ascii="宋体" w:hAnsi="宋体" w:eastAsia="宋体" w:cs="宋体"/>
                <w:sz w:val="24"/>
              </w:rPr>
              <w:t>（3）业绩要求：见招标公告投标人资格要求；</w:t>
            </w:r>
          </w:p>
          <w:p>
            <w:pPr>
              <w:pStyle w:val="50"/>
              <w:rPr>
                <w:rFonts w:ascii="宋体" w:hAnsi="宋体" w:eastAsia="宋体" w:cs="宋体"/>
                <w:sz w:val="24"/>
              </w:rPr>
            </w:pPr>
            <w:r>
              <w:rPr>
                <w:rFonts w:hint="eastAsia" w:ascii="宋体" w:hAnsi="宋体" w:eastAsia="宋体" w:cs="宋体"/>
                <w:sz w:val="24"/>
              </w:rPr>
              <w:t>（4）信誉要求/</w:t>
            </w:r>
          </w:p>
          <w:p>
            <w:pPr>
              <w:pStyle w:val="50"/>
              <w:rPr>
                <w:rFonts w:ascii="宋体" w:hAnsi="宋体" w:eastAsia="宋体" w:cs="宋体"/>
                <w:sz w:val="24"/>
              </w:rPr>
            </w:pPr>
            <w:r>
              <w:rPr>
                <w:rFonts w:hint="eastAsia" w:ascii="宋体" w:hAnsi="宋体" w:eastAsia="宋体" w:cs="宋体"/>
                <w:sz w:val="24"/>
              </w:rPr>
              <w:t>（5）总监理工程师的资格要求：见招标公告投标人资格要求；</w:t>
            </w:r>
          </w:p>
          <w:p>
            <w:pPr>
              <w:pStyle w:val="50"/>
              <w:rPr>
                <w:rFonts w:ascii="宋体" w:hAnsi="宋体" w:eastAsia="宋体" w:cs="宋体"/>
                <w:sz w:val="24"/>
              </w:rPr>
            </w:pPr>
            <w:r>
              <w:rPr>
                <w:rFonts w:hint="eastAsia" w:ascii="宋体" w:hAnsi="宋体" w:eastAsia="宋体" w:cs="宋体"/>
                <w:sz w:val="24"/>
              </w:rPr>
              <w:t>（6）其他主要人员要求：/</w:t>
            </w:r>
          </w:p>
          <w:p>
            <w:pPr>
              <w:pStyle w:val="50"/>
              <w:rPr>
                <w:rFonts w:ascii="宋体" w:hAnsi="宋体" w:eastAsia="宋体" w:cs="宋体"/>
                <w:sz w:val="24"/>
              </w:rPr>
            </w:pPr>
            <w:r>
              <w:rPr>
                <w:rFonts w:hint="eastAsia" w:ascii="宋体" w:hAnsi="宋体" w:eastAsia="宋体" w:cs="宋体"/>
                <w:sz w:val="24"/>
              </w:rPr>
              <w:t>（7）试验检测仪器设备要求：/</w:t>
            </w:r>
          </w:p>
          <w:p>
            <w:pPr>
              <w:pStyle w:val="50"/>
              <w:rPr>
                <w:rFonts w:ascii="宋体" w:hAnsi="宋体" w:eastAsia="宋体" w:cs="宋体"/>
                <w:sz w:val="24"/>
              </w:rPr>
            </w:pPr>
            <w:r>
              <w:rPr>
                <w:rFonts w:hint="eastAsia" w:ascii="宋体" w:hAnsi="宋体" w:eastAsia="宋体" w:cs="宋体"/>
                <w:sz w:val="24"/>
              </w:rPr>
              <w:t>（8）其他要求：见招标公告投标人资格要求。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1.4.2</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是否接受联合体投标</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■不接受</w:t>
            </w:r>
          </w:p>
          <w:p>
            <w:pPr>
              <w:pStyle w:val="50"/>
              <w:rPr>
                <w:rFonts w:ascii="宋体" w:hAnsi="宋体" w:eastAsia="宋体" w:cs="宋体"/>
                <w:sz w:val="24"/>
              </w:rPr>
            </w:pPr>
            <w:r>
              <w:rPr>
                <w:rFonts w:hint="eastAsia" w:ascii="宋体" w:hAnsi="宋体" w:eastAsia="宋体" w:cs="宋体"/>
                <w:sz w:val="24"/>
              </w:rPr>
              <w:t>□接受，应满足下列要求：/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1.4.3</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投标人不得存在的其他情形</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1.9.1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踏勘现场</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■不组织。</w:t>
            </w:r>
            <w:r>
              <w:rPr>
                <w:rFonts w:hint="eastAsia" w:ascii="宋体" w:hAnsi="宋体" w:eastAsia="宋体" w:cs="宋体"/>
                <w:sz w:val="24"/>
                <w:u w:val="single"/>
              </w:rPr>
              <w:t>由投标人自行踏勘</w:t>
            </w:r>
          </w:p>
          <w:p>
            <w:pPr>
              <w:pStyle w:val="50"/>
              <w:rPr>
                <w:rFonts w:ascii="宋体" w:hAnsi="宋体" w:eastAsia="宋体" w:cs="宋体"/>
                <w:sz w:val="24"/>
              </w:rPr>
            </w:pPr>
            <w:r>
              <w:rPr>
                <w:rFonts w:hint="eastAsia" w:ascii="宋体" w:hAnsi="宋体" w:eastAsia="宋体" w:cs="宋体"/>
                <w:sz w:val="24"/>
              </w:rPr>
              <w:t>□组织，踏勘时间：/</w:t>
            </w:r>
          </w:p>
          <w:p>
            <w:pPr>
              <w:pStyle w:val="50"/>
              <w:rPr>
                <w:rFonts w:ascii="宋体" w:hAnsi="宋体" w:eastAsia="宋体" w:cs="宋体"/>
                <w:sz w:val="24"/>
              </w:rPr>
            </w:pPr>
            <w:r>
              <w:rPr>
                <w:rFonts w:hint="eastAsia" w:ascii="宋体" w:hAnsi="宋体" w:eastAsia="宋体" w:cs="宋体"/>
                <w:sz w:val="24"/>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1.10.1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投标预备会</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■不召开</w:t>
            </w:r>
          </w:p>
          <w:p>
            <w:pPr>
              <w:pStyle w:val="50"/>
              <w:rPr>
                <w:rFonts w:ascii="宋体" w:hAnsi="宋体" w:eastAsia="宋体" w:cs="宋体"/>
                <w:sz w:val="24"/>
              </w:rPr>
            </w:pPr>
            <w:r>
              <w:rPr>
                <w:rFonts w:hint="eastAsia" w:ascii="宋体" w:hAnsi="宋体" w:eastAsia="宋体" w:cs="宋体"/>
                <w:sz w:val="24"/>
              </w:rPr>
              <w:t>□召开，召开时间：/</w:t>
            </w:r>
          </w:p>
          <w:p>
            <w:pPr>
              <w:pStyle w:val="50"/>
              <w:rPr>
                <w:rFonts w:ascii="宋体" w:hAnsi="宋体" w:eastAsia="宋体" w:cs="宋体"/>
                <w:sz w:val="24"/>
              </w:rPr>
            </w:pPr>
            <w:r>
              <w:rPr>
                <w:rFonts w:hint="eastAsia" w:ascii="宋体" w:hAnsi="宋体" w:eastAsia="宋体" w:cs="宋体"/>
                <w:sz w:val="24"/>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129" w:type="dxa"/>
            <w:vMerge w:val="restart"/>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1.10.2</w:t>
            </w:r>
          </w:p>
        </w:tc>
        <w:tc>
          <w:tcPr>
            <w:tcW w:w="1701" w:type="dxa"/>
            <w:vMerge w:val="restart"/>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投标人在投标预备会前提出问题</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129" w:type="dxa"/>
            <w:vMerge w:val="continue"/>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p>
        </w:tc>
        <w:tc>
          <w:tcPr>
            <w:tcW w:w="1701" w:type="dxa"/>
            <w:vMerge w:val="continue"/>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形式：/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1.10.3</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招标文件澄清发出的形式</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1.12.1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实质性要求和条件</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1.12.3</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偏差</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■不允许</w:t>
            </w:r>
          </w:p>
          <w:p>
            <w:pPr>
              <w:pStyle w:val="50"/>
              <w:rPr>
                <w:rFonts w:ascii="宋体" w:hAnsi="宋体" w:eastAsia="宋体" w:cs="宋体"/>
                <w:sz w:val="24"/>
              </w:rPr>
            </w:pPr>
            <w:r>
              <w:rPr>
                <w:rFonts w:hint="eastAsia" w:ascii="宋体" w:hAnsi="宋体" w:eastAsia="宋体" w:cs="宋体"/>
                <w:sz w:val="24"/>
              </w:rPr>
              <w:t>□允许，偏差范围：/</w:t>
            </w:r>
          </w:p>
          <w:p>
            <w:pPr>
              <w:pStyle w:val="50"/>
              <w:rPr>
                <w:rFonts w:ascii="宋体" w:hAnsi="宋体" w:eastAsia="宋体" w:cs="宋体"/>
                <w:sz w:val="24"/>
              </w:rPr>
            </w:pPr>
            <w:r>
              <w:rPr>
                <w:rFonts w:hint="eastAsia" w:ascii="宋体" w:hAnsi="宋体" w:eastAsia="宋体" w:cs="宋体"/>
                <w:sz w:val="24"/>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2.1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构成招标文件的其他资料</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129" w:type="dxa"/>
            <w:vMerge w:val="restart"/>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2.2.1</w:t>
            </w:r>
          </w:p>
        </w:tc>
        <w:tc>
          <w:tcPr>
            <w:tcW w:w="1701" w:type="dxa"/>
            <w:vMerge w:val="restart"/>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投标人要求澄清招标文件</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时间：在提交投标文件截止时间18天前提出。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8" w:hRule="atLeast"/>
          <w:jc w:val="center"/>
        </w:trPr>
        <w:tc>
          <w:tcPr>
            <w:tcW w:w="1129" w:type="dxa"/>
            <w:vMerge w:val="continue"/>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p>
        </w:tc>
        <w:tc>
          <w:tcPr>
            <w:tcW w:w="1701" w:type="dxa"/>
            <w:vMerge w:val="continue"/>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形式：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建设工程全流程电子化项目操作指南》。</w:t>
            </w:r>
          </w:p>
          <w:p>
            <w:pPr>
              <w:pStyle w:val="50"/>
              <w:rPr>
                <w:rFonts w:ascii="宋体" w:hAnsi="宋体" w:eastAsia="宋体" w:cs="宋体"/>
                <w:sz w:val="24"/>
              </w:rPr>
            </w:pPr>
            <w:r>
              <w:rPr>
                <w:rFonts w:hint="eastAsia" w:ascii="宋体" w:hAnsi="宋体" w:eastAsia="宋体" w:cs="宋体"/>
                <w:sz w:val="24"/>
              </w:rPr>
              <w:t>2.投标人应在投标截止时间18日前停止提疑。招标人应在投标截止时间15日前解答投标人对招标文件提出的疑问，形成答疑纪要，并在广州交易集团有限公司（广州公共资源交易中心）网站发布。</w:t>
            </w:r>
          </w:p>
          <w:p>
            <w:pPr>
              <w:pStyle w:val="50"/>
              <w:rPr>
                <w:rFonts w:ascii="宋体" w:hAnsi="宋体" w:eastAsia="宋体" w:cs="宋体"/>
                <w:sz w:val="24"/>
              </w:rPr>
            </w:pPr>
            <w:r>
              <w:rPr>
                <w:rFonts w:hint="eastAsia" w:ascii="宋体" w:hAnsi="宋体" w:eastAsia="宋体" w:cs="宋体"/>
                <w:sz w:val="24"/>
              </w:rPr>
              <w:t>3.答疑纪要一经在广州交易集团有限公司（广州公共资源交易中心）网站发布，视作已发放给所有投标人。</w:t>
            </w:r>
          </w:p>
          <w:p>
            <w:pPr>
              <w:pStyle w:val="50"/>
              <w:rPr>
                <w:rFonts w:ascii="宋体" w:hAnsi="宋体" w:eastAsia="宋体" w:cs="宋体"/>
                <w:sz w:val="24"/>
              </w:rPr>
            </w:pPr>
            <w:r>
              <w:rPr>
                <w:rFonts w:hint="eastAsia" w:ascii="宋体" w:hAnsi="宋体" w:eastAsia="宋体" w:cs="宋体"/>
                <w:sz w:val="24"/>
              </w:rPr>
              <w:t>4.答疑纪要为招标文件的一部分。投标人可在广州交易集团有限公司（广州公共资源交易中心）网站浏览、下载答疑纪要。</w:t>
            </w:r>
          </w:p>
          <w:p>
            <w:pPr>
              <w:pStyle w:val="50"/>
              <w:rPr>
                <w:rFonts w:ascii="宋体" w:hAnsi="宋体" w:eastAsia="宋体" w:cs="宋体"/>
                <w:sz w:val="24"/>
              </w:rPr>
            </w:pPr>
            <w:r>
              <w:rPr>
                <w:rFonts w:hint="eastAsia" w:ascii="宋体" w:hAnsi="宋体" w:eastAsia="宋体" w:cs="宋体"/>
                <w:sz w:val="24"/>
              </w:rPr>
              <w:t>具体操作详见广州交易集团有限公司（广州公共资源交易中心）网站发布的最新版操作指引。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2.2.2</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招标文件澄清发出的形式</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在递交投标文件截止时间15天前；本项目的招标文件澄清及答疑文件将在广州交易集团有限公司（广州公共资源交易中心）网上发布，投标人自行下载。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129" w:type="dxa"/>
            <w:vMerge w:val="restart"/>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2.2.3</w:t>
            </w:r>
          </w:p>
        </w:tc>
        <w:tc>
          <w:tcPr>
            <w:tcW w:w="1701" w:type="dxa"/>
            <w:vMerge w:val="restart"/>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投标人确认收到招标文件澄清</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时间：从招标文件澄清及答疑文件发布之日起即视为投标人已确认收到。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29" w:type="dxa"/>
            <w:vMerge w:val="continue"/>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p>
        </w:tc>
        <w:tc>
          <w:tcPr>
            <w:tcW w:w="1701" w:type="dxa"/>
            <w:vMerge w:val="continue"/>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形式：招标文件澄清（招标答疑纪要）一经在广州交易集团有限公司（广州公共资源交易中心）网站发布，视作已发放给所有投标人。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2.3.1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招标文件修改发出的形式</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以补充公告或项目答疑澄清的方式在广州交易集团有限公司（广州公共资源交易中心）网站发布。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1129" w:type="dxa"/>
            <w:vMerge w:val="restart"/>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2.3.2</w:t>
            </w:r>
          </w:p>
        </w:tc>
        <w:tc>
          <w:tcPr>
            <w:tcW w:w="1701" w:type="dxa"/>
            <w:vMerge w:val="restart"/>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投标人确认收到招标文件修改</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129" w:type="dxa"/>
            <w:vMerge w:val="continue"/>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p>
        </w:tc>
        <w:tc>
          <w:tcPr>
            <w:tcW w:w="1701" w:type="dxa"/>
            <w:vMerge w:val="continue"/>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形式：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3.1.1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构成投标文件的其他资料</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满足本项目评审要求的其他资料等投标人认为需要提供的资料。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3.2.1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增值税税金的计算方法</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3.2.3</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报价方式</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自行报价（以元为单位，精确到小数位后2位）。投标报价不得高于最高投标限价，由投标人根据招标文件要求以及企业自身情况填写报价。结算方式：按合同约定执行。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3.2.4</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最高投标限价</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□无</w:t>
            </w:r>
          </w:p>
          <w:p>
            <w:pPr>
              <w:pStyle w:val="50"/>
              <w:rPr>
                <w:rFonts w:ascii="宋体" w:hAnsi="宋体" w:eastAsia="宋体" w:cs="宋体"/>
                <w:sz w:val="24"/>
              </w:rPr>
            </w:pPr>
            <w:r>
              <w:rPr>
                <w:rFonts w:hint="eastAsia" w:ascii="宋体" w:hAnsi="宋体" w:eastAsia="宋体" w:cs="宋体"/>
                <w:sz w:val="24"/>
              </w:rPr>
              <w:t>■有，监理费最高投标总限价为人民币</w:t>
            </w:r>
            <w:r>
              <w:rPr>
                <w:rFonts w:hint="eastAsia" w:ascii="宋体" w:hAnsi="宋体" w:eastAsia="宋体" w:cs="宋体"/>
                <w:sz w:val="24"/>
                <w:u w:val="single"/>
                <w:lang w:val="en-US" w:eastAsia="zh-CN"/>
              </w:rPr>
              <w:t>353.00</w:t>
            </w:r>
            <w:r>
              <w:rPr>
                <w:rFonts w:hint="eastAsia" w:ascii="宋体" w:hAnsi="宋体" w:cs="宋体"/>
                <w:sz w:val="24"/>
                <w:u w:val="single"/>
              </w:rPr>
              <w:t>万</w:t>
            </w:r>
            <w:r>
              <w:rPr>
                <w:rFonts w:hint="eastAsia" w:ascii="宋体" w:hAnsi="宋体" w:eastAsia="宋体" w:cs="宋体"/>
                <w:sz w:val="24"/>
                <w:u w:val="single"/>
              </w:rPr>
              <w:t>元</w:t>
            </w:r>
            <w:r>
              <w:rPr>
                <w:rFonts w:hint="eastAsia" w:ascii="宋体" w:hAnsi="宋体" w:eastAsia="宋体" w:cs="宋体"/>
                <w:sz w:val="24"/>
                <w:u w:val="none"/>
              </w:rPr>
              <w:t>。</w:t>
            </w:r>
          </w:p>
          <w:p>
            <w:pPr>
              <w:pStyle w:val="50"/>
              <w:rPr>
                <w:rFonts w:ascii="宋体" w:hAnsi="宋体" w:eastAsia="宋体" w:cs="宋体"/>
                <w:sz w:val="24"/>
              </w:rPr>
            </w:pPr>
            <w:r>
              <w:rPr>
                <w:rFonts w:hint="eastAsia" w:ascii="宋体" w:hAnsi="宋体" w:eastAsia="宋体" w:cs="宋体"/>
                <w:sz w:val="24"/>
              </w:rPr>
              <w:t>注：投标报价不得超过</w:t>
            </w:r>
            <w:r>
              <w:rPr>
                <w:rFonts w:hint="eastAsia" w:ascii="宋体" w:hAnsi="宋体" w:eastAsia="宋体" w:cs="宋体"/>
                <w:sz w:val="24"/>
                <w:u w:val="single"/>
              </w:rPr>
              <w:t>对应的</w:t>
            </w:r>
            <w:r>
              <w:rPr>
                <w:rFonts w:hint="eastAsia" w:ascii="宋体" w:hAnsi="宋体" w:eastAsia="宋体" w:cs="宋体"/>
                <w:sz w:val="24"/>
              </w:rPr>
              <w:t>最高投标限价。</w:t>
            </w:r>
          </w:p>
          <w:p>
            <w:pPr>
              <w:pStyle w:val="50"/>
              <w:rPr>
                <w:rFonts w:ascii="宋体" w:hAnsi="宋体" w:eastAsia="宋体" w:cs="宋体"/>
                <w:sz w:val="24"/>
              </w:rPr>
            </w:pPr>
            <w:r>
              <w:rPr>
                <w:rFonts w:hint="eastAsia" w:ascii="宋体" w:hAnsi="宋体" w:cs="宋体"/>
                <w:sz w:val="24"/>
              </w:rPr>
              <w:t>成本警戒价：为最高投标限价的80%。对低于该警戒价的投标报价，投标人必须提供详细的人员组织、单价、单价分析表、费用明细、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3.2.5</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投标报价的其他</w:t>
            </w:r>
          </w:p>
          <w:p>
            <w:pPr>
              <w:pStyle w:val="50"/>
              <w:rPr>
                <w:rFonts w:ascii="宋体" w:hAnsi="宋体" w:eastAsia="宋体" w:cs="宋体"/>
                <w:sz w:val="24"/>
              </w:rPr>
            </w:pPr>
            <w:r>
              <w:rPr>
                <w:rFonts w:hint="eastAsia" w:ascii="宋体" w:hAnsi="宋体" w:eastAsia="宋体" w:cs="宋体"/>
                <w:sz w:val="24"/>
              </w:rPr>
              <w:t>要求</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投标人必须详细审阅全部招标文件及招标图纸,充分考虑职责和义务,全面地理解招标文件对投标报价的要求,并按招标人提出的条件及内容进行报价。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3.3.1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投标有效期</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120日历天（从投标截止之日算起）。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3.4.1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投标保证金</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是否要求投标人递交投标保证金：</w:t>
            </w:r>
          </w:p>
          <w:p>
            <w:pPr>
              <w:pStyle w:val="50"/>
              <w:rPr>
                <w:rFonts w:ascii="宋体" w:hAnsi="宋体" w:eastAsia="宋体" w:cs="宋体"/>
                <w:sz w:val="24"/>
              </w:rPr>
            </w:pPr>
            <w:r>
              <w:rPr>
                <w:rFonts w:hint="eastAsia" w:ascii="宋体" w:hAnsi="宋体" w:eastAsia="宋体" w:cs="宋体"/>
                <w:sz w:val="24"/>
              </w:rPr>
              <w:t>□要求</w:t>
            </w:r>
          </w:p>
          <w:p>
            <w:pPr>
              <w:pStyle w:val="50"/>
              <w:rPr>
                <w:rFonts w:ascii="宋体" w:hAnsi="宋体" w:eastAsia="宋体" w:cs="宋体"/>
                <w:sz w:val="24"/>
              </w:rPr>
            </w:pPr>
            <w:r>
              <w:rPr>
                <w:rFonts w:hint="eastAsia" w:ascii="宋体" w:hAnsi="宋体" w:eastAsia="宋体" w:cs="宋体"/>
                <w:sz w:val="24"/>
              </w:rPr>
              <w:t>■不要求，本项目在投标时免交投标保证金是为企业减负的举措，并未免除投标人的投标义务，投标人一旦发生招标文件不予退还情形投标保证金情形的，将按照招标人的要求在规定的时间内向招标人足额补交投标保证金,否则将按相关规定进行信用记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3.4.4</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其他可以不予退还投标保证金的情形</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3.5</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资格审查资料的特殊要求</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■无</w:t>
            </w:r>
          </w:p>
          <w:p>
            <w:pPr>
              <w:pStyle w:val="50"/>
              <w:rPr>
                <w:rFonts w:ascii="宋体" w:hAnsi="宋体" w:eastAsia="宋体" w:cs="宋体"/>
                <w:sz w:val="24"/>
              </w:rPr>
            </w:pPr>
            <w:r>
              <w:rPr>
                <w:rFonts w:hint="eastAsia" w:ascii="宋体" w:hAnsi="宋体" w:eastAsia="宋体" w:cs="宋体"/>
                <w:sz w:val="24"/>
              </w:rPr>
              <w:t>□有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3.5.2</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近年财务状况的年份要求</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3.5.3</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近年完成的类似项目情况的时间要求</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3.5.5</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近年发生的诉讼</w:t>
            </w:r>
          </w:p>
          <w:p>
            <w:pPr>
              <w:pStyle w:val="50"/>
              <w:rPr>
                <w:rFonts w:ascii="宋体" w:hAnsi="宋体" w:eastAsia="宋体" w:cs="宋体"/>
                <w:sz w:val="24"/>
              </w:rPr>
            </w:pPr>
            <w:r>
              <w:rPr>
                <w:rFonts w:hint="eastAsia" w:ascii="宋体" w:hAnsi="宋体" w:eastAsia="宋体" w:cs="宋体"/>
                <w:sz w:val="24"/>
              </w:rPr>
              <w:t>及仲裁情况的时间要求</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3.6.1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是否允许递交备选投标方案</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■不允许</w:t>
            </w:r>
          </w:p>
          <w:p>
            <w:pPr>
              <w:pStyle w:val="50"/>
              <w:rPr>
                <w:rFonts w:ascii="宋体" w:hAnsi="宋体" w:eastAsia="宋体" w:cs="宋体"/>
                <w:sz w:val="24"/>
              </w:rPr>
            </w:pPr>
            <w:r>
              <w:rPr>
                <w:rFonts w:hint="eastAsia" w:ascii="宋体" w:hAnsi="宋体" w:eastAsia="宋体" w:cs="宋体"/>
                <w:sz w:val="24"/>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3.7.3A（2）</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投标文件副本份数及其他要求</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3.7.3A（3）</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投标文件是否需分册装订</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3.7.3（B）</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投标文件所附证书证件要求</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证书证件需为清晰扫描件，并采用单位数字证书，按照招标文件要求在相应位置加盖电子印章。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24"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3.7.3（B）</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投标文件签字或盖章要求</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投标文件全部采用电子文档，投标文件所附证书证件均为扫描件，并采用单位数字证书，对投标文件加盖电子印章。投标文件中需个人签字或盖章的，应加盖个人电子印章或在线下完成后扫描上传。具体操作详见附件《建设工程全流程电子化项目操作指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4.1.1（A）</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投标文件密封包装</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4.1.1（B）</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投标文件加密要求</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网上递交的电子投标文件须进行加密。具体操作详见附件《建设工程全流程电子化项目操作指南》。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4.1.2</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封套上应载明</w:t>
            </w:r>
          </w:p>
          <w:p>
            <w:pPr>
              <w:pStyle w:val="50"/>
              <w:rPr>
                <w:rFonts w:ascii="宋体" w:hAnsi="宋体" w:eastAsia="宋体" w:cs="宋体"/>
                <w:sz w:val="24"/>
              </w:rPr>
            </w:pPr>
            <w:r>
              <w:rPr>
                <w:rFonts w:hint="eastAsia" w:ascii="宋体" w:hAnsi="宋体" w:eastAsia="宋体" w:cs="宋体"/>
                <w:sz w:val="24"/>
              </w:rPr>
              <w:t>的信息</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如有提交备用投标文件，封套上应注明如下信息：</w:t>
            </w:r>
          </w:p>
          <w:p>
            <w:pPr>
              <w:pStyle w:val="50"/>
              <w:rPr>
                <w:rFonts w:ascii="宋体" w:hAnsi="宋体" w:eastAsia="宋体" w:cs="宋体"/>
                <w:sz w:val="24"/>
              </w:rPr>
            </w:pPr>
            <w:r>
              <w:rPr>
                <w:rFonts w:hint="eastAsia" w:ascii="宋体" w:hAnsi="宋体" w:eastAsia="宋体" w:cs="宋体"/>
                <w:sz w:val="24"/>
              </w:rPr>
              <w:t>招标人名称：</w:t>
            </w:r>
          </w:p>
          <w:p>
            <w:pPr>
              <w:pStyle w:val="50"/>
              <w:rPr>
                <w:rFonts w:ascii="宋体" w:hAnsi="宋体" w:eastAsia="宋体" w:cs="宋体"/>
                <w:sz w:val="24"/>
              </w:rPr>
            </w:pPr>
            <w:r>
              <w:rPr>
                <w:rFonts w:hint="eastAsia" w:ascii="宋体" w:hAnsi="宋体" w:eastAsia="宋体" w:cs="宋体"/>
                <w:sz w:val="24"/>
              </w:rPr>
              <w:t>招标人地址：</w:t>
            </w:r>
          </w:p>
          <w:p>
            <w:pPr>
              <w:pStyle w:val="50"/>
              <w:rPr>
                <w:rFonts w:ascii="宋体" w:hAnsi="宋体" w:eastAsia="宋体" w:cs="宋体"/>
                <w:sz w:val="24"/>
              </w:rPr>
            </w:pPr>
            <w:r>
              <w:rPr>
                <w:rFonts w:hint="eastAsia" w:ascii="宋体" w:hAnsi="宋体" w:eastAsia="宋体" w:cs="宋体"/>
                <w:sz w:val="24"/>
              </w:rPr>
              <w:t xml:space="preserve">          （项目名称）投标文件</w:t>
            </w:r>
          </w:p>
          <w:p>
            <w:pPr>
              <w:pStyle w:val="50"/>
              <w:rPr>
                <w:rFonts w:ascii="宋体" w:hAnsi="宋体" w:eastAsia="宋体" w:cs="宋体"/>
                <w:sz w:val="24"/>
              </w:rPr>
            </w:pPr>
            <w:r>
              <w:rPr>
                <w:rFonts w:hint="eastAsia" w:ascii="宋体" w:hAnsi="宋体" w:eastAsia="宋体" w:cs="宋体"/>
                <w:sz w:val="24"/>
              </w:rPr>
              <w:t>招标项目编号：</w:t>
            </w:r>
          </w:p>
          <w:p>
            <w:pPr>
              <w:pStyle w:val="50"/>
              <w:rPr>
                <w:rFonts w:ascii="宋体" w:hAnsi="宋体" w:eastAsia="宋体" w:cs="宋体"/>
                <w:sz w:val="24"/>
              </w:rPr>
            </w:pPr>
            <w:r>
              <w:rPr>
                <w:rFonts w:hint="eastAsia" w:ascii="宋体" w:hAnsi="宋体" w:eastAsia="宋体" w:cs="宋体"/>
                <w:sz w:val="24"/>
              </w:rPr>
              <w:t>在    年    月    日    时   分前不得开启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4.2.1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投标截止时间</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 xml:space="preserve">    年  月  日   时   分（北京时间）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4.2.2</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递交投标文件地点</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 xml:space="preserve">1.递交方式：网上递交投标文件 </w:t>
            </w:r>
          </w:p>
          <w:p>
            <w:pPr>
              <w:pStyle w:val="50"/>
              <w:rPr>
                <w:rFonts w:ascii="宋体" w:hAnsi="宋体" w:eastAsia="宋体" w:cs="宋体"/>
                <w:sz w:val="24"/>
              </w:rPr>
            </w:pPr>
            <w:r>
              <w:rPr>
                <w:rFonts w:hint="eastAsia" w:ascii="宋体" w:hAnsi="宋体" w:eastAsia="宋体" w:cs="宋体"/>
                <w:sz w:val="24"/>
              </w:rPr>
              <w:t xml:space="preserve">2.地点：广州交易集团有限公司（广州公共资源交易中心）网站。 </w:t>
            </w:r>
          </w:p>
          <w:p>
            <w:pPr>
              <w:pStyle w:val="50"/>
              <w:rPr>
                <w:rFonts w:ascii="宋体" w:hAnsi="宋体" w:eastAsia="宋体" w:cs="宋体"/>
                <w:sz w:val="24"/>
              </w:rPr>
            </w:pPr>
            <w:r>
              <w:rPr>
                <w:rFonts w:hint="eastAsia" w:ascii="宋体" w:hAnsi="宋体" w:eastAsia="宋体" w:cs="宋体"/>
                <w:sz w:val="24"/>
              </w:rPr>
              <w:t>3.上述时间及地点是否有改变，请密切留意招标答疑纪要的相关信息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4.2.3</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投标文件是否退还</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■否</w:t>
            </w:r>
          </w:p>
          <w:p>
            <w:pPr>
              <w:pStyle w:val="50"/>
              <w:rPr>
                <w:rFonts w:ascii="宋体" w:hAnsi="宋体" w:eastAsia="宋体" w:cs="宋体"/>
                <w:sz w:val="24"/>
              </w:rPr>
            </w:pPr>
            <w:r>
              <w:rPr>
                <w:rFonts w:hint="eastAsia" w:ascii="宋体" w:hAnsi="宋体" w:eastAsia="宋体" w:cs="宋体"/>
                <w:sz w:val="24"/>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5.1（A）</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开标时间和地点</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5.1（B）</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开标时间和地点</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本电子招投标项目在本章4.2.1项规定的投标截止时间（开标时间），在广州交易集团有限公司（广州公共资源交易中心）通过电子招标投标交易平台公开开标，并邀请所有投标人的法定代表人或其委托代理人准时参加。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50"/>
              <w:rPr>
                <w:rFonts w:ascii="宋体" w:hAnsi="宋体" w:eastAsia="宋体" w:cs="宋体"/>
                <w:sz w:val="24"/>
              </w:rPr>
            </w:pPr>
            <w:r>
              <w:rPr>
                <w:rFonts w:hint="eastAsia" w:ascii="宋体" w:hAnsi="宋体" w:eastAsia="宋体" w:cs="宋体"/>
                <w:sz w:val="24"/>
              </w:rPr>
              <w:t>具体时间、地点可以到广州交易集团有限公司（广州公共资源交易中心）网站的项目查询(日程安排、答疑纪要)中输入本项目编号或项目名称进行查询。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5.2（4）（A）</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开标程序</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5.2（5）（A）</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开标程序</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5" w:hRule="atLeast"/>
          <w:jc w:val="center"/>
        </w:trPr>
        <w:tc>
          <w:tcPr>
            <w:tcW w:w="1129" w:type="dxa"/>
            <w:vMerge w:val="restart"/>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5.2（B）</w:t>
            </w:r>
          </w:p>
        </w:tc>
        <w:tc>
          <w:tcPr>
            <w:tcW w:w="1701" w:type="dxa"/>
            <w:vMerge w:val="restart"/>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开标程序</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5.2.1主持人按下列程序进行开标：</w:t>
            </w:r>
          </w:p>
          <w:p>
            <w:pPr>
              <w:pStyle w:val="50"/>
              <w:rPr>
                <w:rFonts w:ascii="宋体" w:hAnsi="宋体" w:eastAsia="宋体" w:cs="宋体"/>
                <w:sz w:val="24"/>
              </w:rPr>
            </w:pPr>
            <w:r>
              <w:rPr>
                <w:rFonts w:hint="eastAsia" w:ascii="宋体" w:hAnsi="宋体" w:eastAsia="宋体" w:cs="宋体"/>
                <w:sz w:val="24"/>
              </w:rPr>
              <w:t>（1）宣布开标纪律；</w:t>
            </w:r>
          </w:p>
          <w:p>
            <w:pPr>
              <w:pStyle w:val="50"/>
              <w:rPr>
                <w:rFonts w:ascii="宋体" w:hAnsi="宋体" w:eastAsia="宋体" w:cs="宋体"/>
                <w:sz w:val="24"/>
              </w:rPr>
            </w:pPr>
            <w:r>
              <w:rPr>
                <w:rFonts w:hint="eastAsia" w:ascii="宋体" w:hAnsi="宋体" w:eastAsia="宋体" w:cs="宋体"/>
                <w:sz w:val="24"/>
              </w:rPr>
              <w:t>（2）公布在投标截止时间前递交投标文件的投标人名称；</w:t>
            </w:r>
          </w:p>
          <w:p>
            <w:pPr>
              <w:pStyle w:val="50"/>
              <w:rPr>
                <w:rFonts w:ascii="宋体" w:hAnsi="宋体" w:eastAsia="宋体" w:cs="宋体"/>
                <w:sz w:val="24"/>
              </w:rPr>
            </w:pPr>
            <w:r>
              <w:rPr>
                <w:rFonts w:hint="eastAsia" w:ascii="宋体" w:hAnsi="宋体" w:eastAsia="宋体" w:cs="宋体"/>
                <w:sz w:val="24"/>
              </w:rPr>
              <w:t>（3）宣布开标人、唱标人、记录人、监标人等有关人员姓名；</w:t>
            </w:r>
          </w:p>
          <w:p>
            <w:pPr>
              <w:pStyle w:val="50"/>
              <w:rPr>
                <w:rFonts w:ascii="宋体" w:hAnsi="宋体" w:eastAsia="宋体" w:cs="宋体"/>
                <w:sz w:val="24"/>
              </w:rPr>
            </w:pPr>
            <w:r>
              <w:rPr>
                <w:rFonts w:hint="eastAsia" w:ascii="宋体" w:hAnsi="宋体" w:eastAsia="宋体" w:cs="宋体"/>
                <w:sz w:val="24"/>
              </w:rPr>
              <w:t>（4）（B）投标人通过电子招标投标交易平台对已递交的电子投标文件进行解密，公布招标项目名称、投标人名称、投标报价、监理服务期限及其他内容，并记录在案；</w:t>
            </w:r>
          </w:p>
          <w:p>
            <w:pPr>
              <w:pStyle w:val="50"/>
              <w:rPr>
                <w:rFonts w:ascii="宋体" w:hAnsi="宋体" w:eastAsia="宋体" w:cs="宋体"/>
                <w:sz w:val="24"/>
              </w:rPr>
            </w:pPr>
            <w:r>
              <w:rPr>
                <w:rFonts w:hint="eastAsia" w:ascii="宋体" w:hAnsi="宋体" w:eastAsia="宋体" w:cs="宋体"/>
                <w:sz w:val="24"/>
              </w:rPr>
              <w:t>（5）（B）投标人代表、招标人代表、监标人、记录人等有关人员在开标记录上签字确认；若有关人员不签字的，不影响开标程序；</w:t>
            </w:r>
          </w:p>
          <w:p>
            <w:pPr>
              <w:pStyle w:val="50"/>
              <w:rPr>
                <w:rFonts w:ascii="宋体" w:hAnsi="宋体" w:eastAsia="宋体" w:cs="宋体"/>
                <w:sz w:val="24"/>
              </w:rPr>
            </w:pPr>
            <w:r>
              <w:rPr>
                <w:rFonts w:hint="eastAsia" w:ascii="宋体" w:hAnsi="宋体" w:eastAsia="宋体" w:cs="宋体"/>
                <w:sz w:val="24"/>
              </w:rPr>
              <w:t>（6）开标结束。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1129" w:type="dxa"/>
            <w:vMerge w:val="continue"/>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p>
        </w:tc>
        <w:tc>
          <w:tcPr>
            <w:tcW w:w="1701" w:type="dxa"/>
            <w:vMerge w:val="continue"/>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5.2.2投标截止时间前未完成投标文件传输的或因投标人之外的原因造成投标文件未解密的或未在投标截止时间后1小时解密的，视为投标人其撤回投标文件。因投标人原因造成投标文件未解密的，视为撤销其投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1129" w:type="dxa"/>
            <w:vMerge w:val="continue"/>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p>
        </w:tc>
        <w:tc>
          <w:tcPr>
            <w:tcW w:w="1701" w:type="dxa"/>
            <w:vMerge w:val="continue"/>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5.2.3开标时，本项目两个（含两个）以上的投标人加密打包投标文件电脑机器特征码一致的，不参与下一程序，并由评标委员会否决其投标。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6.1.1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评标委员会的组建</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6.3.2</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评标委员会推荐中标候选人的人数</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所有通过初步评审的投标人全部被推荐为合格的中标候选人，进入定标阶段。</w:t>
            </w:r>
          </w:p>
          <w:p>
            <w:pPr>
              <w:pStyle w:val="50"/>
              <w:rPr>
                <w:rFonts w:ascii="宋体" w:hAnsi="宋体" w:eastAsia="宋体" w:cs="宋体"/>
                <w:b/>
                <w:bCs/>
                <w:sz w:val="24"/>
              </w:rPr>
            </w:pPr>
            <w:r>
              <w:rPr>
                <w:rFonts w:hint="eastAsia" w:ascii="宋体" w:hAnsi="宋体" w:eastAsia="宋体" w:cs="宋体"/>
                <w:b/>
                <w:bCs/>
                <w:sz w:val="24"/>
              </w:rPr>
              <w:t>注：①合格的中标候选人按其统一社会信用代码后4位（除校验码外）从大到小进行排位，不排序（如统一社会信用代码后4位出现字母情况的，字母以“0”进行代替大小排位；如出现后4位（除校验码外）大小一致的，则随机排位）。</w:t>
            </w:r>
          </w:p>
          <w:p>
            <w:pPr>
              <w:pStyle w:val="50"/>
              <w:rPr>
                <w:rFonts w:ascii="宋体" w:hAnsi="宋体" w:eastAsia="宋体" w:cs="宋体"/>
                <w:sz w:val="24"/>
              </w:rPr>
            </w:pPr>
            <w:r>
              <w:rPr>
                <w:rFonts w:hint="eastAsia" w:ascii="宋体" w:hAnsi="宋体" w:eastAsia="宋体" w:cs="宋体"/>
                <w:b/>
                <w:bCs/>
                <w:sz w:val="24"/>
              </w:rPr>
              <w:t>②合格的中标候选人少于3家的，应当重新招标。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7.1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中标候选人公示媒介及期限</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公示媒介：同招标公告发布网站。</w:t>
            </w:r>
          </w:p>
          <w:p>
            <w:pPr>
              <w:pStyle w:val="50"/>
              <w:rPr>
                <w:rFonts w:ascii="宋体" w:hAnsi="宋体" w:eastAsia="宋体" w:cs="宋体"/>
                <w:sz w:val="24"/>
              </w:rPr>
            </w:pPr>
            <w:r>
              <w:rPr>
                <w:rFonts w:hint="eastAsia" w:ascii="宋体" w:hAnsi="宋体" w:eastAsia="宋体" w:cs="宋体"/>
                <w:sz w:val="24"/>
              </w:rPr>
              <w:t>公示期限：3日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7.4</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定标</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（1）定标工作由招标人依法组建的定标委员会负责。</w:t>
            </w:r>
          </w:p>
          <w:p>
            <w:pPr>
              <w:pStyle w:val="50"/>
              <w:rPr>
                <w:rFonts w:ascii="宋体" w:hAnsi="宋体" w:eastAsia="宋体" w:cs="宋体"/>
                <w:sz w:val="24"/>
              </w:rPr>
            </w:pPr>
            <w:r>
              <w:rPr>
                <w:rFonts w:hint="eastAsia" w:ascii="宋体" w:hAnsi="宋体" w:eastAsia="宋体" w:cs="宋体"/>
                <w:sz w:val="24"/>
              </w:rPr>
              <w:t>（2）定标委员会按照第三章评标办法（“评定分离”定标办法）规定的定标方法、标准和程序，在评标委员会向招标人推荐的合格的中标候选人中，采用以差额选举逐轮淘汰投票计数法的“记名投票+撰写评语”方式确定中标人。</w:t>
            </w:r>
          </w:p>
          <w:p>
            <w:pPr>
              <w:pStyle w:val="50"/>
              <w:rPr>
                <w:rFonts w:ascii="宋体" w:hAnsi="宋体" w:eastAsia="宋体" w:cs="宋体"/>
                <w:sz w:val="24"/>
              </w:rPr>
            </w:pPr>
            <w:r>
              <w:rPr>
                <w:rFonts w:hint="eastAsia" w:ascii="宋体" w:hAnsi="宋体" w:eastAsia="宋体" w:cs="宋体"/>
                <w:sz w:val="24"/>
              </w:rPr>
              <w:t>（3）招标人应当在定标工作完成后的3日内公示中标结果。公示内容包括：定标时间、所有合格的中标候选人的评审结果或票数及理由、中标人等内容。</w:t>
            </w:r>
          </w:p>
          <w:p>
            <w:pPr>
              <w:pStyle w:val="50"/>
              <w:rPr>
                <w:rFonts w:ascii="宋体" w:hAnsi="宋体" w:eastAsia="宋体" w:cs="宋体"/>
                <w:sz w:val="24"/>
              </w:rPr>
            </w:pPr>
            <w:r>
              <w:rPr>
                <w:rFonts w:hint="eastAsia" w:ascii="宋体" w:hAnsi="宋体" w:eastAsia="宋体" w:cs="宋体"/>
                <w:sz w:val="24"/>
              </w:rPr>
              <w:t>（4）定标后出现中标人放弃中标、因不可抗力不能履行合同或不符合法定情形的，招标人可从其他合格的中标候选人中采用原定标办法，由原定标委员会重新确定中标人，也可以重新招标。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7.6.1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履约保证金</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是否要求中标人提交履约保证金：</w:t>
            </w:r>
          </w:p>
          <w:p>
            <w:pPr>
              <w:pStyle w:val="50"/>
              <w:rPr>
                <w:rFonts w:ascii="宋体" w:hAnsi="宋体" w:eastAsia="宋体" w:cs="宋体"/>
                <w:sz w:val="24"/>
              </w:rPr>
            </w:pPr>
            <w:r>
              <w:rPr>
                <w:rFonts w:hint="eastAsia" w:ascii="宋体" w:hAnsi="宋体" w:eastAsia="宋体" w:cs="宋体"/>
                <w:sz w:val="24"/>
              </w:rPr>
              <w:t>□要求，履约保证金的形式：中标人根据自身情况，自主选择提供履约保证金的形式。担保内容、担保范围、担保金额、担保要求等须按合同约定格式。</w:t>
            </w:r>
          </w:p>
          <w:p>
            <w:pPr>
              <w:pStyle w:val="50"/>
              <w:rPr>
                <w:rFonts w:ascii="宋体" w:hAnsi="宋体" w:eastAsia="宋体" w:cs="宋体"/>
                <w:sz w:val="24"/>
              </w:rPr>
            </w:pPr>
            <w:r>
              <w:rPr>
                <w:rFonts w:hint="eastAsia" w:ascii="宋体" w:hAnsi="宋体" w:eastAsia="宋体" w:cs="宋体"/>
                <w:sz w:val="24"/>
              </w:rPr>
              <w:t>履约保证金的金额：中标价款的10%。</w:t>
            </w:r>
          </w:p>
          <w:p>
            <w:pPr>
              <w:pStyle w:val="50"/>
              <w:rPr>
                <w:rFonts w:ascii="宋体" w:hAnsi="宋体" w:eastAsia="宋体" w:cs="宋体"/>
                <w:sz w:val="24"/>
              </w:rPr>
            </w:pPr>
            <w:r>
              <w:rPr>
                <w:rFonts w:hint="eastAsia" w:ascii="宋体" w:hAnsi="宋体" w:eastAsia="宋体" w:cs="宋体"/>
                <w:sz w:val="24"/>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9</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是否采用电子招标投标</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□否</w:t>
            </w:r>
          </w:p>
          <w:p>
            <w:pPr>
              <w:pStyle w:val="50"/>
              <w:rPr>
                <w:rFonts w:ascii="宋体" w:hAnsi="宋体" w:eastAsia="宋体" w:cs="宋体"/>
                <w:sz w:val="24"/>
              </w:rPr>
            </w:pPr>
            <w:r>
              <w:rPr>
                <w:rFonts w:hint="eastAsia" w:ascii="宋体" w:hAnsi="宋体" w:eastAsia="宋体" w:cs="宋体"/>
                <w:sz w:val="24"/>
              </w:rPr>
              <w:t>■是，具体要求：</w:t>
            </w:r>
          </w:p>
          <w:p>
            <w:pPr>
              <w:pStyle w:val="50"/>
              <w:rPr>
                <w:rFonts w:ascii="宋体" w:hAnsi="宋体" w:eastAsia="宋体" w:cs="宋体"/>
                <w:sz w:val="24"/>
              </w:rPr>
            </w:pPr>
            <w:r>
              <w:rPr>
                <w:rFonts w:hint="eastAsia" w:ascii="宋体" w:hAnsi="宋体" w:eastAsia="宋体" w:cs="宋体"/>
                <w:sz w:val="24"/>
              </w:rPr>
              <w:t>1、具体操作详见广州交易集团有限公司（广州公共资源交易中心）网站发布的《建设工程全流程电子化项目操作指南》。</w:t>
            </w:r>
          </w:p>
          <w:p>
            <w:pPr>
              <w:pStyle w:val="50"/>
              <w:rPr>
                <w:rFonts w:ascii="宋体" w:hAnsi="宋体" w:eastAsia="宋体" w:cs="宋体"/>
                <w:sz w:val="24"/>
              </w:rPr>
            </w:pPr>
            <w:r>
              <w:rPr>
                <w:rFonts w:hint="eastAsia" w:ascii="宋体" w:hAnsi="宋体" w:eastAsia="宋体" w:cs="宋体"/>
                <w:sz w:val="24"/>
              </w:rPr>
              <w:t>2、提交投标文件备用</w:t>
            </w:r>
          </w:p>
          <w:p>
            <w:pPr>
              <w:pStyle w:val="50"/>
              <w:rPr>
                <w:rFonts w:ascii="宋体" w:hAnsi="宋体" w:eastAsia="宋体" w:cs="宋体"/>
                <w:sz w:val="24"/>
              </w:rPr>
            </w:pPr>
            <w:r>
              <w:rPr>
                <w:rFonts w:hint="eastAsia" w:ascii="宋体" w:hAnsi="宋体" w:eastAsia="宋体" w:cs="宋体"/>
                <w:sz w:val="24"/>
              </w:rPr>
              <w:t>投标人将按《建设工程全流程电子化项目操作指南》的操作方法制作的非加密的电子投标文件（介质可以是光盘或U盘），在规定的时间、地点凭法定代表人证明书原件、法定代表人授权委托证明书原件（非法定代表人办理手续时提供）、本人身份证原件提交备用。备用投标文件密封在密封袋中，并在封口处加盖投标人单位公章。密封袋上应写明的内容见投标人须知前附表要求4.1.2递交的备用投标文件不得加密。备用投标文件无法读取或导入的，则视为未提交备用投标文件。如果投标人没有按规定通过交易平台网上递交电子投标文件的，不再接受提交的备用投标文件。</w:t>
            </w:r>
          </w:p>
          <w:p>
            <w:pPr>
              <w:pStyle w:val="50"/>
              <w:rPr>
                <w:rFonts w:ascii="宋体" w:hAnsi="宋体" w:eastAsia="宋体" w:cs="宋体"/>
                <w:sz w:val="24"/>
              </w:rPr>
            </w:pPr>
            <w:r>
              <w:rPr>
                <w:rFonts w:hint="eastAsia" w:ascii="宋体" w:hAnsi="宋体" w:eastAsia="宋体" w:cs="宋体"/>
                <w:sz w:val="24"/>
              </w:rPr>
              <w:t xml:space="preserve"> 3.补救方案</w:t>
            </w:r>
          </w:p>
          <w:p>
            <w:pPr>
              <w:pStyle w:val="50"/>
              <w:rPr>
                <w:rFonts w:ascii="宋体" w:hAnsi="宋体" w:eastAsia="宋体" w:cs="宋体"/>
                <w:sz w:val="24"/>
              </w:rPr>
            </w:pPr>
            <w:r>
              <w:rPr>
                <w:rFonts w:hint="eastAsia" w:ascii="宋体" w:hAnsi="宋体" w:eastAsia="宋体" w:cs="宋体"/>
                <w:sz w:val="24"/>
              </w:rPr>
              <w:t>（1）投标文件解密失败的补救方案：</w:t>
            </w:r>
          </w:p>
          <w:p>
            <w:pPr>
              <w:pStyle w:val="50"/>
              <w:rPr>
                <w:rFonts w:ascii="宋体" w:hAnsi="宋体" w:eastAsia="宋体" w:cs="宋体"/>
                <w:sz w:val="24"/>
              </w:rPr>
            </w:pPr>
            <w:r>
              <w:rPr>
                <w:rFonts w:hint="eastAsia" w:ascii="宋体" w:hAnsi="宋体" w:eastAsia="宋体" w:cs="宋体"/>
                <w:sz w:val="24"/>
              </w:rPr>
              <w:t>在规定时间内，因投标人之外原因（指网络瘫痪、服务器损坏、交易系统故障短期无法恢复）导致的电子投标文件解密失败，在开标现场读取备用投标文件，继续开标程序。评标委员会对其投标文件的评审以备用投标文件光盘（或U盘）内容为准。因投标人之外原因解密失败且未递交备用投标文件的，视为撤回投标文件。</w:t>
            </w:r>
          </w:p>
          <w:p>
            <w:pPr>
              <w:pStyle w:val="50"/>
              <w:rPr>
                <w:rFonts w:ascii="宋体" w:hAnsi="宋体" w:eastAsia="宋体" w:cs="宋体"/>
                <w:sz w:val="24"/>
              </w:rPr>
            </w:pPr>
            <w:r>
              <w:rPr>
                <w:rFonts w:hint="eastAsia" w:ascii="宋体" w:hAnsi="宋体" w:eastAsia="宋体" w:cs="宋体"/>
                <w:sz w:val="24"/>
              </w:rPr>
              <w:t>（2）评标时突发情况的补救方案</w:t>
            </w:r>
          </w:p>
          <w:p>
            <w:pPr>
              <w:pStyle w:val="50"/>
              <w:rPr>
                <w:rFonts w:ascii="宋体" w:hAnsi="宋体" w:eastAsia="宋体" w:cs="宋体"/>
                <w:sz w:val="24"/>
              </w:rPr>
            </w:pPr>
            <w:r>
              <w:rPr>
                <w:rFonts w:hint="eastAsia" w:ascii="宋体" w:hAnsi="宋体" w:eastAsia="宋体" w:cs="宋体"/>
                <w:sz w:val="24"/>
              </w:rPr>
              <w:t>若遇不可抗力发生（如：网络瘫痪、服务器损坏、交易系统故障短期无法恢复等因素），由评标委员会开启现场递交的全部备用投标文件，并按备用投标文件的内容进行评审。</w:t>
            </w:r>
          </w:p>
          <w:p>
            <w:pPr>
              <w:pStyle w:val="50"/>
              <w:rPr>
                <w:rFonts w:ascii="宋体" w:hAnsi="宋体" w:eastAsia="宋体" w:cs="宋体"/>
                <w:sz w:val="24"/>
              </w:rPr>
            </w:pPr>
            <w:r>
              <w:rPr>
                <w:rFonts w:hint="eastAsia" w:ascii="宋体" w:hAnsi="宋体" w:eastAsia="宋体" w:cs="宋体"/>
                <w:sz w:val="24"/>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10</w:t>
            </w:r>
          </w:p>
        </w:tc>
        <w:tc>
          <w:tcPr>
            <w:tcW w:w="8936" w:type="dxa"/>
            <w:gridSpan w:val="2"/>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10.1</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特别提醒</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投标人在本项目招标人的工程项目中存在下列行为的，将被拒绝1年内参与我单位后续工程投标。（注：拒绝投标时限自招标人发出通知之日起计）：</w:t>
            </w:r>
          </w:p>
          <w:p>
            <w:pPr>
              <w:pStyle w:val="50"/>
              <w:rPr>
                <w:rFonts w:ascii="宋体" w:hAnsi="宋体" w:eastAsia="宋体" w:cs="宋体"/>
                <w:sz w:val="24"/>
              </w:rPr>
            </w:pPr>
            <w:r>
              <w:rPr>
                <w:rFonts w:hint="eastAsia" w:ascii="宋体" w:hAnsi="宋体" w:eastAsia="宋体" w:cs="宋体"/>
                <w:sz w:val="24"/>
              </w:rPr>
              <w:t>（1）将中标工程转包或者违法分包的；</w:t>
            </w:r>
          </w:p>
          <w:p>
            <w:pPr>
              <w:pStyle w:val="50"/>
              <w:rPr>
                <w:rFonts w:ascii="宋体" w:hAnsi="宋体" w:eastAsia="宋体" w:cs="宋体"/>
                <w:sz w:val="24"/>
              </w:rPr>
            </w:pPr>
            <w:r>
              <w:rPr>
                <w:rFonts w:hint="eastAsia" w:ascii="宋体" w:hAnsi="宋体" w:eastAsia="宋体" w:cs="宋体"/>
                <w:sz w:val="24"/>
              </w:rPr>
              <w:t>（2）在中标工程中不执行质量、安全生产相关规定的，造成质量或安全事故的；</w:t>
            </w:r>
          </w:p>
          <w:p>
            <w:pPr>
              <w:pStyle w:val="50"/>
              <w:rPr>
                <w:rFonts w:ascii="宋体" w:hAnsi="宋体" w:eastAsia="宋体" w:cs="宋体"/>
                <w:sz w:val="24"/>
              </w:rPr>
            </w:pPr>
            <w:r>
              <w:rPr>
                <w:rFonts w:hint="eastAsia" w:ascii="宋体" w:hAnsi="宋体" w:eastAsia="宋体" w:cs="宋体"/>
                <w:sz w:val="24"/>
              </w:rPr>
              <w:t>（3）在投标文件中提供虚假材料的；</w:t>
            </w:r>
          </w:p>
          <w:p>
            <w:pPr>
              <w:pStyle w:val="50"/>
              <w:rPr>
                <w:rFonts w:ascii="宋体" w:hAnsi="宋体" w:eastAsia="宋体" w:cs="宋体"/>
                <w:sz w:val="24"/>
              </w:rPr>
            </w:pPr>
            <w:r>
              <w:rPr>
                <w:rFonts w:hint="eastAsia" w:ascii="宋体" w:hAnsi="宋体" w:eastAsia="宋体" w:cs="宋体"/>
                <w:sz w:val="24"/>
              </w:rPr>
              <w:t>（4）存在行贿情形的；</w:t>
            </w:r>
          </w:p>
          <w:p>
            <w:pPr>
              <w:pStyle w:val="50"/>
              <w:rPr>
                <w:rFonts w:ascii="宋体" w:hAnsi="宋体" w:eastAsia="宋体" w:cs="宋体"/>
                <w:sz w:val="24"/>
              </w:rPr>
            </w:pPr>
            <w:r>
              <w:rPr>
                <w:rFonts w:hint="eastAsia" w:ascii="宋体" w:hAnsi="宋体" w:eastAsia="宋体" w:cs="宋体"/>
                <w:sz w:val="24"/>
              </w:rPr>
              <w:t>（5）为招标人提供服务过程中存在因过错行为被生效法律文书认定承担违约或侵权责任的；</w:t>
            </w:r>
          </w:p>
          <w:p>
            <w:pPr>
              <w:pStyle w:val="50"/>
              <w:rPr>
                <w:rFonts w:ascii="宋体" w:hAnsi="宋体" w:eastAsia="宋体" w:cs="宋体"/>
                <w:sz w:val="24"/>
              </w:rPr>
            </w:pPr>
            <w:r>
              <w:rPr>
                <w:rFonts w:hint="eastAsia" w:ascii="宋体" w:hAnsi="宋体" w:eastAsia="宋体" w:cs="宋体"/>
                <w:sz w:val="24"/>
              </w:rPr>
              <w:t>（6）违反合同约定自行调换或未按照招标人要求及时更换项目负责人（即总监理工程师）的；</w:t>
            </w:r>
          </w:p>
          <w:p>
            <w:pPr>
              <w:pStyle w:val="50"/>
              <w:rPr>
                <w:rFonts w:ascii="宋体" w:hAnsi="宋体" w:eastAsia="宋体" w:cs="宋体"/>
                <w:strike/>
                <w:sz w:val="24"/>
              </w:rPr>
            </w:pPr>
            <w:r>
              <w:rPr>
                <w:rFonts w:hint="eastAsia" w:ascii="宋体" w:hAnsi="宋体" w:eastAsia="宋体" w:cs="宋体"/>
                <w:sz w:val="24"/>
              </w:rPr>
              <w:t>（7）委派的项目负责人（即总监理工程师)已在其他在建项目中任职且任职数量不符合相关规定的。</w:t>
            </w:r>
          </w:p>
          <w:p>
            <w:pPr>
              <w:pStyle w:val="50"/>
              <w:rPr>
                <w:rFonts w:ascii="宋体" w:hAnsi="宋体" w:eastAsia="宋体" w:cs="宋体"/>
                <w:sz w:val="24"/>
              </w:rPr>
            </w:pPr>
            <w:r>
              <w:rPr>
                <w:rFonts w:hint="eastAsia" w:ascii="宋体" w:hAnsi="宋体" w:eastAsia="宋体" w:cs="宋体"/>
                <w:sz w:val="24"/>
              </w:rPr>
              <w:t>（8）中标人在收到中标通知书后，无正当理由不与招标人订立合同，在签订合同时向招标人提出附加条件，或者不按照招标文件要求提交履约保证金；</w:t>
            </w:r>
          </w:p>
          <w:p>
            <w:pPr>
              <w:pStyle w:val="50"/>
              <w:rPr>
                <w:rFonts w:ascii="宋体" w:hAnsi="宋体" w:eastAsia="宋体" w:cs="宋体"/>
                <w:sz w:val="24"/>
              </w:rPr>
            </w:pPr>
            <w:r>
              <w:rPr>
                <w:rFonts w:hint="eastAsia" w:ascii="宋体" w:hAnsi="宋体" w:eastAsia="宋体" w:cs="宋体"/>
                <w:sz w:val="24"/>
              </w:rPr>
              <w:t>（9）存在串通投标、围标情况的；</w:t>
            </w:r>
          </w:p>
          <w:p>
            <w:pPr>
              <w:pStyle w:val="50"/>
              <w:rPr>
                <w:rFonts w:ascii="宋体" w:hAnsi="宋体" w:eastAsia="宋体" w:cs="宋体"/>
                <w:sz w:val="24"/>
              </w:rPr>
            </w:pPr>
            <w:r>
              <w:rPr>
                <w:rFonts w:hint="eastAsia" w:ascii="宋体" w:hAnsi="宋体" w:eastAsia="宋体" w:cs="宋体"/>
                <w:sz w:val="24"/>
              </w:rPr>
              <w:t>（10）投标人以他人名义投标或者允许他人挂靠投标或借用本公司名义投标的；</w:t>
            </w:r>
          </w:p>
          <w:p>
            <w:pPr>
              <w:pStyle w:val="50"/>
              <w:rPr>
                <w:rFonts w:ascii="宋体" w:hAnsi="宋体" w:eastAsia="宋体" w:cs="宋体"/>
                <w:sz w:val="24"/>
              </w:rPr>
            </w:pPr>
            <w:r>
              <w:rPr>
                <w:rFonts w:hint="eastAsia" w:ascii="宋体" w:hAnsi="宋体" w:eastAsia="宋体" w:cs="宋体"/>
                <w:sz w:val="24"/>
              </w:rPr>
              <w:t>（11）提供虚假投标文件、虚假证明、虚假承诺/声明/保证或者以其他方式弄虚作假的。</w:t>
            </w:r>
          </w:p>
          <w:p>
            <w:pPr>
              <w:pStyle w:val="50"/>
              <w:rPr>
                <w:rFonts w:ascii="宋体" w:hAnsi="宋体" w:eastAsia="宋体" w:cs="宋体"/>
                <w:sz w:val="24"/>
              </w:rPr>
            </w:pPr>
            <w:r>
              <w:rPr>
                <w:rFonts w:hint="eastAsia" w:ascii="宋体" w:hAnsi="宋体" w:eastAsia="宋体" w:cs="宋体"/>
                <w:sz w:val="24"/>
              </w:rPr>
              <w:t>（12）存在少放、不放业绩、奖项等客观评审资料，减少自身竞争力情形的。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10.2</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送达</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《投诉处理决定书》和《行政处理决定书》在广州市住房和城乡建设局网站上公布的，视为送达其他与决定书有关的当事人。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10.3</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招标失败的情形</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本项目采用资格后审方式，资格审查与评标同时进行，通过形式评审、资格审查、响应性评审的投标人不足3名时为招标失败。招标人分析招标失败原因，修正招标方案，报有关管理部门核准后，重新组织招标。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10.4</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中标候选人公示要求</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在产生中标候选人后，招标人将中标候选人的投标文件商务部分的电子版（报价清单、方案等涉及商业秘密的内容除外）在广州交易集团有限公司（广州公共资源交易中心）网站公开。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10.5</w:t>
            </w: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ascii="宋体" w:hAnsi="宋体" w:eastAsia="宋体" w:cs="宋体"/>
                <w:sz w:val="24"/>
              </w:rPr>
            </w:pPr>
            <w:r>
              <w:rPr>
                <w:rFonts w:hint="eastAsia" w:ascii="宋体" w:hAnsi="宋体" w:eastAsia="宋体" w:cs="宋体"/>
                <w:sz w:val="24"/>
              </w:rPr>
              <w:t>提交纸质投标文件要求</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在中标公示结束后5个工作日内，中标人向招标人提交与在广州交易集团有限公司（广州公共资源交易中心）系统上传投标文件内容相同的电子投标文件两份（介质可以为光盘或U盘）。</w:t>
            </w:r>
          </w:p>
          <w:p>
            <w:pPr>
              <w:pStyle w:val="50"/>
              <w:rPr>
                <w:rFonts w:ascii="宋体" w:hAnsi="宋体" w:eastAsia="宋体" w:cs="宋体"/>
                <w:sz w:val="24"/>
              </w:rPr>
            </w:pPr>
            <w:r>
              <w:rPr>
                <w:rFonts w:hint="eastAsia" w:ascii="宋体" w:hAnsi="宋体" w:eastAsia="宋体" w:cs="宋体"/>
                <w:sz w:val="24"/>
              </w:rPr>
              <w:t>纸质版投标文件按需提供。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1129" w:type="dxa"/>
            <w:tcBorders>
              <w:top w:val="single" w:color="auto" w:sz="6" w:space="0"/>
              <w:left w:val="single" w:color="auto" w:sz="4" w:space="0"/>
              <w:bottom w:val="single" w:color="auto" w:sz="6" w:space="0"/>
              <w:right w:val="single" w:color="auto" w:sz="6" w:space="0"/>
            </w:tcBorders>
            <w:noWrap/>
            <w:vAlign w:val="center"/>
          </w:tcPr>
          <w:p>
            <w:pPr>
              <w:pStyle w:val="50"/>
              <w:rPr>
                <w:rFonts w:hint="eastAsia" w:ascii="宋体" w:hAnsi="宋体" w:eastAsia="宋体" w:cs="宋体"/>
                <w:sz w:val="24"/>
              </w:rPr>
            </w:pPr>
          </w:p>
        </w:tc>
        <w:tc>
          <w:tcPr>
            <w:tcW w:w="1701" w:type="dxa"/>
            <w:tcBorders>
              <w:top w:val="single" w:color="auto" w:sz="6" w:space="0"/>
              <w:left w:val="single" w:color="auto" w:sz="6" w:space="0"/>
              <w:bottom w:val="single" w:color="auto" w:sz="6" w:space="0"/>
              <w:right w:val="single" w:color="auto" w:sz="6" w:space="0"/>
            </w:tcBorders>
            <w:noWrap/>
            <w:vAlign w:val="center"/>
          </w:tcPr>
          <w:p>
            <w:pPr>
              <w:pStyle w:val="50"/>
              <w:rPr>
                <w:rFonts w:hint="eastAsia" w:ascii="宋体" w:hAnsi="宋体" w:eastAsia="宋体" w:cs="宋体"/>
                <w:sz w:val="24"/>
              </w:rPr>
            </w:pPr>
            <w:r>
              <w:rPr>
                <w:rFonts w:hint="eastAsia" w:ascii="宋体" w:hAnsi="宋体" w:eastAsia="宋体" w:cs="宋体"/>
                <w:sz w:val="24"/>
                <w:lang w:val="en-US" w:eastAsia="zh-CN"/>
              </w:rPr>
              <w:t>其他</w:t>
            </w:r>
          </w:p>
        </w:tc>
        <w:tc>
          <w:tcPr>
            <w:tcW w:w="7235" w:type="dxa"/>
            <w:tcBorders>
              <w:top w:val="single" w:color="auto" w:sz="6" w:space="0"/>
              <w:left w:val="single" w:color="auto" w:sz="6" w:space="0"/>
              <w:bottom w:val="single" w:color="auto" w:sz="6" w:space="0"/>
              <w:right w:val="single" w:color="auto" w:sz="4" w:space="0"/>
            </w:tcBorders>
            <w:noWrap/>
            <w:vAlign w:val="center"/>
          </w:tcPr>
          <w:p>
            <w:pPr>
              <w:pStyle w:val="50"/>
              <w:rPr>
                <w:rFonts w:hint="eastAsia" w:ascii="宋体" w:hAnsi="宋体" w:eastAsia="宋体" w:cs="宋体"/>
                <w:sz w:val="24"/>
              </w:rPr>
            </w:pPr>
            <w:r>
              <w:rPr>
                <w:rFonts w:hint="eastAsia" w:ascii="宋体" w:hAnsi="宋体" w:eastAsia="宋体" w:cs="宋体"/>
                <w:sz w:val="24"/>
              </w:rPr>
              <w:t>中标人按招标人通知规定的日期及《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tc>
      </w:tr>
    </w:tbl>
    <w:p>
      <w:pPr>
        <w:pStyle w:val="46"/>
        <w:ind w:right="-290" w:rightChars="-132" w:firstLine="0" w:firstLineChars="0"/>
        <w:rPr>
          <w:rFonts w:ascii="宋体" w:hAnsi="宋体" w:cs="宋体"/>
          <w:b/>
          <w:bCs/>
          <w:szCs w:val="24"/>
        </w:rPr>
      </w:pPr>
      <w:r>
        <w:rPr>
          <w:rFonts w:hint="eastAsia" w:ascii="宋体" w:hAnsi="宋体" w:cs="宋体"/>
          <w:szCs w:val="24"/>
        </w:rPr>
        <w:br w:type="page"/>
      </w:r>
      <w:bookmarkEnd w:id="14"/>
      <w:bookmarkEnd w:id="15"/>
      <w:bookmarkEnd w:id="16"/>
      <w:r>
        <w:rPr>
          <w:rFonts w:hint="eastAsia" w:ascii="宋体" w:hAnsi="宋体" w:cs="宋体"/>
          <w:b/>
          <w:bCs/>
          <w:szCs w:val="24"/>
        </w:rPr>
        <w:t>第二章</w:t>
      </w:r>
      <w:r>
        <w:rPr>
          <w:rFonts w:hint="eastAsia" w:ascii="宋体" w:hAnsi="宋体" w:cs="宋体"/>
          <w:b/>
          <w:bCs/>
          <w:szCs w:val="24"/>
          <w:lang w:eastAsia="zh-Hans"/>
        </w:rPr>
        <w:t xml:space="preserve">  </w:t>
      </w:r>
      <w:r>
        <w:rPr>
          <w:rFonts w:hint="eastAsia" w:ascii="宋体" w:hAnsi="宋体" w:cs="宋体"/>
          <w:b/>
          <w:bCs/>
          <w:szCs w:val="24"/>
        </w:rPr>
        <w:t>正文详见《中华人民共和国标准监理招标文件》（2017年版）</w:t>
      </w:r>
    </w:p>
    <w:p>
      <w:pPr>
        <w:pStyle w:val="91"/>
        <w:rPr>
          <w:rFonts w:ascii="宋体" w:hAnsi="宋体" w:eastAsia="宋体" w:cs="宋体"/>
          <w:sz w:val="24"/>
          <w:szCs w:val="24"/>
        </w:rPr>
      </w:pPr>
      <w:bookmarkStart w:id="17" w:name="_Toc529196520"/>
      <w:bookmarkStart w:id="18" w:name="_Toc199515636"/>
      <w:bookmarkStart w:id="19" w:name="_Toc11919"/>
      <w:bookmarkStart w:id="20" w:name="_Toc15342"/>
      <w:bookmarkStart w:id="21" w:name="_Toc515205193"/>
      <w:r>
        <w:rPr>
          <w:rFonts w:hint="eastAsia" w:ascii="宋体" w:hAnsi="宋体" w:eastAsia="宋体" w:cs="宋体"/>
          <w:sz w:val="24"/>
          <w:szCs w:val="24"/>
        </w:rPr>
        <w:t>1. 总则</w:t>
      </w:r>
      <w:bookmarkEnd w:id="17"/>
      <w:bookmarkEnd w:id="18"/>
      <w:bookmarkEnd w:id="19"/>
      <w:bookmarkEnd w:id="20"/>
      <w:bookmarkEnd w:id="21"/>
    </w:p>
    <w:p>
      <w:pPr>
        <w:pStyle w:val="46"/>
        <w:ind w:firstLine="0" w:firstLineChars="0"/>
        <w:rPr>
          <w:rFonts w:ascii="宋体" w:hAnsi="宋体" w:cs="宋体"/>
          <w:b/>
          <w:bCs/>
          <w:szCs w:val="24"/>
        </w:rPr>
      </w:pPr>
      <w:bookmarkStart w:id="22" w:name="_Toc529196521"/>
      <w:bookmarkStart w:id="23" w:name="_Toc515205194"/>
      <w:r>
        <w:rPr>
          <w:rFonts w:hint="eastAsia" w:ascii="宋体" w:hAnsi="宋体" w:cs="宋体"/>
          <w:b/>
          <w:bCs/>
          <w:szCs w:val="24"/>
        </w:rPr>
        <w:t>1.1 招标项目概况</w:t>
      </w:r>
      <w:bookmarkEnd w:id="22"/>
      <w:bookmarkEnd w:id="23"/>
    </w:p>
    <w:p>
      <w:pPr>
        <w:pStyle w:val="46"/>
        <w:ind w:firstLine="0" w:firstLineChars="0"/>
        <w:rPr>
          <w:rFonts w:ascii="宋体" w:hAnsi="宋体" w:cs="宋体"/>
          <w:szCs w:val="24"/>
        </w:rPr>
      </w:pPr>
      <w:r>
        <w:rPr>
          <w:rFonts w:hint="eastAsia" w:ascii="宋体" w:hAnsi="宋体" w:cs="宋体"/>
          <w:szCs w:val="24"/>
        </w:rPr>
        <w:t>1.1.1根据《中华人民共和国招标投标法》、《中华人民共和国招标投标法实施条例》等有关法律、法规和规章的规定，本招标项目已具备招标条件，现对监理进行招标。</w:t>
      </w:r>
    </w:p>
    <w:p>
      <w:pPr>
        <w:pStyle w:val="46"/>
        <w:ind w:firstLine="0" w:firstLineChars="0"/>
        <w:rPr>
          <w:rFonts w:ascii="宋体" w:hAnsi="宋体" w:cs="宋体"/>
          <w:szCs w:val="24"/>
        </w:rPr>
      </w:pPr>
      <w:r>
        <w:rPr>
          <w:rFonts w:hint="eastAsia" w:ascii="宋体" w:hAnsi="宋体" w:cs="宋体"/>
          <w:szCs w:val="24"/>
        </w:rPr>
        <w:t>1.1.2 招标人：见投标人须知前附表。</w:t>
      </w:r>
    </w:p>
    <w:p>
      <w:pPr>
        <w:pStyle w:val="46"/>
        <w:ind w:firstLine="0" w:firstLineChars="0"/>
        <w:rPr>
          <w:rFonts w:ascii="宋体" w:hAnsi="宋体" w:cs="宋体"/>
          <w:szCs w:val="24"/>
        </w:rPr>
      </w:pPr>
      <w:r>
        <w:rPr>
          <w:rFonts w:hint="eastAsia" w:ascii="宋体" w:hAnsi="宋体" w:cs="宋体"/>
          <w:szCs w:val="24"/>
        </w:rPr>
        <w:t>1.1.3 招标代理机构：见投标人须知前附表。</w:t>
      </w:r>
    </w:p>
    <w:p>
      <w:pPr>
        <w:pStyle w:val="46"/>
        <w:ind w:firstLine="0" w:firstLineChars="0"/>
        <w:rPr>
          <w:rFonts w:ascii="宋体" w:hAnsi="宋体" w:cs="宋体"/>
          <w:szCs w:val="24"/>
        </w:rPr>
      </w:pPr>
      <w:r>
        <w:rPr>
          <w:rFonts w:hint="eastAsia" w:ascii="宋体" w:hAnsi="宋体" w:cs="宋体"/>
          <w:szCs w:val="24"/>
        </w:rPr>
        <w:t>1.1.4 招标项目名称：见投标人须知前附表。</w:t>
      </w:r>
    </w:p>
    <w:p>
      <w:pPr>
        <w:pStyle w:val="46"/>
        <w:ind w:firstLine="0" w:firstLineChars="0"/>
        <w:rPr>
          <w:rFonts w:ascii="宋体" w:hAnsi="宋体" w:cs="宋体"/>
          <w:szCs w:val="24"/>
        </w:rPr>
      </w:pPr>
      <w:r>
        <w:rPr>
          <w:rFonts w:hint="eastAsia" w:ascii="宋体" w:hAnsi="宋体" w:cs="宋体"/>
          <w:szCs w:val="24"/>
        </w:rPr>
        <w:t>1.1.5 项目建设地点：见投标人须知前附表。</w:t>
      </w:r>
    </w:p>
    <w:p>
      <w:pPr>
        <w:pStyle w:val="46"/>
        <w:ind w:firstLine="0" w:firstLineChars="0"/>
        <w:rPr>
          <w:rFonts w:ascii="宋体" w:hAnsi="宋体" w:cs="宋体"/>
          <w:szCs w:val="24"/>
        </w:rPr>
      </w:pPr>
      <w:r>
        <w:rPr>
          <w:rFonts w:hint="eastAsia" w:ascii="宋体" w:hAnsi="宋体" w:cs="宋体"/>
          <w:szCs w:val="24"/>
        </w:rPr>
        <w:t>1.1.6 项目建设规模：见投标人须知前附表。</w:t>
      </w:r>
    </w:p>
    <w:p>
      <w:pPr>
        <w:pStyle w:val="46"/>
        <w:ind w:firstLine="0" w:firstLineChars="0"/>
        <w:rPr>
          <w:rFonts w:ascii="宋体" w:hAnsi="宋体" w:cs="宋体"/>
          <w:szCs w:val="24"/>
        </w:rPr>
      </w:pPr>
      <w:r>
        <w:rPr>
          <w:rFonts w:hint="eastAsia" w:ascii="宋体" w:hAnsi="宋体" w:cs="宋体"/>
          <w:szCs w:val="24"/>
        </w:rPr>
        <w:t>1.1.7 工程项目施工预计开工日期和建设周期：见投标人须知前附表。</w:t>
      </w:r>
    </w:p>
    <w:p>
      <w:pPr>
        <w:pStyle w:val="46"/>
        <w:ind w:firstLine="0" w:firstLineChars="0"/>
        <w:rPr>
          <w:rFonts w:ascii="宋体" w:hAnsi="宋体" w:cs="宋体"/>
          <w:szCs w:val="24"/>
        </w:rPr>
      </w:pPr>
      <w:r>
        <w:rPr>
          <w:rFonts w:hint="eastAsia" w:ascii="宋体" w:hAnsi="宋体" w:cs="宋体"/>
          <w:szCs w:val="24"/>
        </w:rPr>
        <w:t>1.1.8 建筑安装工程费/工程概算：见投标人须知前附表。</w:t>
      </w:r>
    </w:p>
    <w:p>
      <w:pPr>
        <w:pStyle w:val="46"/>
        <w:ind w:firstLine="0" w:firstLineChars="0"/>
        <w:rPr>
          <w:rFonts w:ascii="宋体" w:hAnsi="宋体" w:cs="宋体"/>
          <w:b/>
          <w:bCs/>
          <w:szCs w:val="24"/>
        </w:rPr>
      </w:pPr>
      <w:bookmarkStart w:id="24" w:name="_Toc529196522"/>
      <w:bookmarkStart w:id="25" w:name="_Toc515205195"/>
      <w:r>
        <w:rPr>
          <w:rFonts w:hint="eastAsia" w:ascii="宋体" w:hAnsi="宋体" w:cs="宋体"/>
          <w:b/>
          <w:bCs/>
          <w:szCs w:val="24"/>
        </w:rPr>
        <w:t>1.2 招标项目的资金来源和落实情况</w:t>
      </w:r>
      <w:bookmarkEnd w:id="24"/>
      <w:bookmarkEnd w:id="25"/>
    </w:p>
    <w:p>
      <w:pPr>
        <w:pStyle w:val="46"/>
        <w:ind w:firstLine="0" w:firstLineChars="0"/>
        <w:rPr>
          <w:rFonts w:ascii="宋体" w:hAnsi="宋体" w:cs="宋体"/>
          <w:szCs w:val="24"/>
        </w:rPr>
      </w:pPr>
      <w:r>
        <w:rPr>
          <w:rFonts w:hint="eastAsia" w:ascii="宋体" w:hAnsi="宋体" w:cs="宋体"/>
          <w:szCs w:val="24"/>
        </w:rPr>
        <w:t>1.2.1 资金来源及比例：见投标人须知前附表。</w:t>
      </w:r>
    </w:p>
    <w:p>
      <w:pPr>
        <w:pStyle w:val="46"/>
        <w:ind w:firstLine="0" w:firstLineChars="0"/>
        <w:rPr>
          <w:rFonts w:ascii="宋体" w:hAnsi="宋体" w:cs="宋体"/>
          <w:szCs w:val="24"/>
        </w:rPr>
      </w:pPr>
      <w:r>
        <w:rPr>
          <w:rFonts w:hint="eastAsia" w:ascii="宋体" w:hAnsi="宋体" w:cs="宋体"/>
          <w:szCs w:val="24"/>
        </w:rPr>
        <w:t>1.2.2 资金落实情况：见投标人须知前附表。</w:t>
      </w:r>
    </w:p>
    <w:p>
      <w:pPr>
        <w:pStyle w:val="46"/>
        <w:ind w:firstLine="0" w:firstLineChars="0"/>
        <w:rPr>
          <w:rFonts w:ascii="宋体" w:hAnsi="宋体" w:cs="宋体"/>
          <w:b/>
          <w:bCs/>
          <w:szCs w:val="24"/>
        </w:rPr>
      </w:pPr>
      <w:bookmarkStart w:id="26" w:name="_Toc529196523"/>
      <w:bookmarkStart w:id="27" w:name="_Toc515205196"/>
      <w:r>
        <w:rPr>
          <w:rFonts w:hint="eastAsia" w:ascii="宋体" w:hAnsi="宋体" w:cs="宋体"/>
          <w:b/>
          <w:bCs/>
          <w:szCs w:val="24"/>
        </w:rPr>
        <w:t>1.3招标范围、监理服务期限和质量标准</w:t>
      </w:r>
      <w:bookmarkEnd w:id="26"/>
      <w:bookmarkEnd w:id="27"/>
    </w:p>
    <w:p>
      <w:pPr>
        <w:pStyle w:val="46"/>
        <w:ind w:firstLine="0" w:firstLineChars="0"/>
        <w:rPr>
          <w:rFonts w:ascii="宋体" w:hAnsi="宋体" w:cs="宋体"/>
          <w:szCs w:val="24"/>
        </w:rPr>
      </w:pPr>
      <w:r>
        <w:rPr>
          <w:rFonts w:hint="eastAsia" w:ascii="宋体" w:hAnsi="宋体" w:cs="宋体"/>
          <w:szCs w:val="24"/>
        </w:rPr>
        <w:t>1.3.1 招标范围：见投标人须知前附表。</w:t>
      </w:r>
    </w:p>
    <w:p>
      <w:pPr>
        <w:pStyle w:val="46"/>
        <w:ind w:firstLine="0" w:firstLineChars="0"/>
        <w:rPr>
          <w:rFonts w:ascii="宋体" w:hAnsi="宋体" w:cs="宋体"/>
          <w:szCs w:val="24"/>
        </w:rPr>
      </w:pPr>
      <w:r>
        <w:rPr>
          <w:rFonts w:hint="eastAsia" w:ascii="宋体" w:hAnsi="宋体" w:cs="宋体"/>
          <w:szCs w:val="24"/>
        </w:rPr>
        <w:t>1.3.2 监理服务期限：见投标人须知前附表。</w:t>
      </w:r>
    </w:p>
    <w:p>
      <w:pPr>
        <w:pStyle w:val="46"/>
        <w:ind w:firstLine="0" w:firstLineChars="0"/>
        <w:rPr>
          <w:rFonts w:ascii="宋体" w:hAnsi="宋体" w:cs="宋体"/>
          <w:szCs w:val="24"/>
        </w:rPr>
      </w:pPr>
      <w:r>
        <w:rPr>
          <w:rFonts w:hint="eastAsia" w:ascii="宋体" w:hAnsi="宋体" w:cs="宋体"/>
          <w:szCs w:val="24"/>
        </w:rPr>
        <w:t>1.3.3 质量标准：见投标人须知前附表。</w:t>
      </w:r>
    </w:p>
    <w:p>
      <w:pPr>
        <w:pStyle w:val="46"/>
        <w:ind w:firstLine="0" w:firstLineChars="0"/>
        <w:rPr>
          <w:rFonts w:ascii="宋体" w:hAnsi="宋体" w:cs="宋体"/>
          <w:b/>
          <w:bCs/>
          <w:szCs w:val="24"/>
        </w:rPr>
      </w:pPr>
      <w:bookmarkStart w:id="28" w:name="_Toc529196524"/>
      <w:bookmarkStart w:id="29" w:name="_Toc515205197"/>
      <w:r>
        <w:rPr>
          <w:rFonts w:hint="eastAsia" w:ascii="宋体" w:hAnsi="宋体" w:cs="宋体"/>
          <w:b/>
          <w:bCs/>
          <w:szCs w:val="24"/>
        </w:rPr>
        <w:t>1.4投标人资格要求</w:t>
      </w:r>
      <w:bookmarkEnd w:id="28"/>
      <w:bookmarkEnd w:id="29"/>
    </w:p>
    <w:p>
      <w:pPr>
        <w:pStyle w:val="46"/>
        <w:ind w:firstLine="0" w:firstLineChars="0"/>
        <w:rPr>
          <w:rFonts w:ascii="宋体" w:hAnsi="宋体" w:cs="宋体"/>
          <w:szCs w:val="24"/>
        </w:rPr>
      </w:pPr>
      <w:r>
        <w:rPr>
          <w:rFonts w:hint="eastAsia" w:ascii="宋体" w:hAnsi="宋体" w:cs="宋体"/>
          <w:szCs w:val="24"/>
        </w:rPr>
        <w:t>1.4.1 投标人应具备承担本招标项目资质条件、能力和信誉：</w:t>
      </w:r>
    </w:p>
    <w:p>
      <w:pPr>
        <w:pStyle w:val="46"/>
        <w:ind w:firstLine="0" w:firstLineChars="0"/>
        <w:rPr>
          <w:rFonts w:ascii="宋体" w:hAnsi="宋体" w:cs="宋体"/>
          <w:szCs w:val="24"/>
        </w:rPr>
      </w:pPr>
      <w:r>
        <w:rPr>
          <w:rFonts w:hint="eastAsia" w:ascii="宋体" w:hAnsi="宋体" w:cs="宋体"/>
          <w:szCs w:val="24"/>
        </w:rPr>
        <w:t>（1）资质要求：见投标人须知前附表；</w:t>
      </w:r>
    </w:p>
    <w:p>
      <w:pPr>
        <w:pStyle w:val="46"/>
        <w:ind w:firstLine="0" w:firstLineChars="0"/>
        <w:rPr>
          <w:rFonts w:ascii="宋体" w:hAnsi="宋体" w:cs="宋体"/>
          <w:szCs w:val="24"/>
        </w:rPr>
      </w:pPr>
      <w:r>
        <w:rPr>
          <w:rFonts w:hint="eastAsia" w:ascii="宋体" w:hAnsi="宋体" w:cs="宋体"/>
          <w:szCs w:val="24"/>
        </w:rPr>
        <w:t>（2）财务要求：见投标人须知前附表；</w:t>
      </w:r>
    </w:p>
    <w:p>
      <w:pPr>
        <w:pStyle w:val="46"/>
        <w:ind w:firstLine="0" w:firstLineChars="0"/>
        <w:rPr>
          <w:rFonts w:ascii="宋体" w:hAnsi="宋体" w:cs="宋体"/>
          <w:szCs w:val="24"/>
        </w:rPr>
      </w:pPr>
      <w:r>
        <w:rPr>
          <w:rFonts w:hint="eastAsia" w:ascii="宋体" w:hAnsi="宋体" w:cs="宋体"/>
          <w:szCs w:val="24"/>
        </w:rPr>
        <w:t>（3）业绩要求：见投标人须知前附表；</w:t>
      </w:r>
    </w:p>
    <w:p>
      <w:pPr>
        <w:pStyle w:val="46"/>
        <w:ind w:firstLine="0" w:firstLineChars="0"/>
        <w:rPr>
          <w:rFonts w:ascii="宋体" w:hAnsi="宋体" w:cs="宋体"/>
          <w:szCs w:val="24"/>
        </w:rPr>
      </w:pPr>
      <w:r>
        <w:rPr>
          <w:rFonts w:hint="eastAsia" w:ascii="宋体" w:hAnsi="宋体" w:cs="宋体"/>
          <w:szCs w:val="24"/>
        </w:rPr>
        <w:t>（4）信誉要求：见投标人须知前附表；</w:t>
      </w:r>
    </w:p>
    <w:p>
      <w:pPr>
        <w:pStyle w:val="46"/>
        <w:ind w:firstLine="0" w:firstLineChars="0"/>
        <w:rPr>
          <w:rFonts w:ascii="宋体" w:hAnsi="宋体" w:cs="宋体"/>
          <w:szCs w:val="24"/>
        </w:rPr>
      </w:pPr>
      <w:r>
        <w:rPr>
          <w:rFonts w:hint="eastAsia" w:ascii="宋体" w:hAnsi="宋体" w:cs="宋体"/>
          <w:szCs w:val="24"/>
        </w:rPr>
        <w:t>（5）总监理工程师的资格要求：应当具备工程注册监理工程师执业资格（如有），具体要求见投标人须知前附表；</w:t>
      </w:r>
    </w:p>
    <w:p>
      <w:pPr>
        <w:pStyle w:val="46"/>
        <w:ind w:firstLine="0" w:firstLineChars="0"/>
        <w:rPr>
          <w:rFonts w:ascii="宋体" w:hAnsi="宋体" w:cs="宋体"/>
          <w:szCs w:val="24"/>
        </w:rPr>
      </w:pPr>
      <w:r>
        <w:rPr>
          <w:rFonts w:hint="eastAsia" w:ascii="宋体" w:hAnsi="宋体" w:cs="宋体"/>
          <w:szCs w:val="24"/>
        </w:rPr>
        <w:t>（6）其他主要人员要求：见投标人须知前附表。</w:t>
      </w:r>
    </w:p>
    <w:p>
      <w:pPr>
        <w:pStyle w:val="46"/>
        <w:ind w:firstLine="0" w:firstLineChars="0"/>
        <w:rPr>
          <w:rFonts w:ascii="宋体" w:hAnsi="宋体" w:cs="宋体"/>
          <w:szCs w:val="24"/>
        </w:rPr>
      </w:pPr>
      <w:r>
        <w:rPr>
          <w:rFonts w:hint="eastAsia" w:ascii="宋体" w:hAnsi="宋体" w:cs="宋体"/>
          <w:szCs w:val="24"/>
        </w:rPr>
        <w:t>（7）试验检测仪器设备要求：见投标人须知前附表。</w:t>
      </w:r>
    </w:p>
    <w:p>
      <w:pPr>
        <w:pStyle w:val="46"/>
        <w:ind w:firstLine="0" w:firstLineChars="0"/>
        <w:rPr>
          <w:rFonts w:ascii="宋体" w:hAnsi="宋体" w:cs="宋体"/>
          <w:szCs w:val="24"/>
        </w:rPr>
      </w:pPr>
      <w:r>
        <w:rPr>
          <w:rFonts w:hint="eastAsia" w:ascii="宋体" w:hAnsi="宋体" w:cs="宋体"/>
          <w:szCs w:val="24"/>
        </w:rPr>
        <w:t>（8）其他要求：见投标人须知前附表。</w:t>
      </w:r>
    </w:p>
    <w:p>
      <w:pPr>
        <w:pStyle w:val="46"/>
        <w:ind w:firstLine="0" w:firstLineChars="0"/>
        <w:rPr>
          <w:rFonts w:ascii="宋体" w:hAnsi="宋体" w:cs="宋体"/>
          <w:szCs w:val="24"/>
        </w:rPr>
      </w:pPr>
      <w:r>
        <w:rPr>
          <w:rFonts w:hint="eastAsia" w:ascii="宋体" w:hAnsi="宋体" w:cs="宋体"/>
          <w:szCs w:val="24"/>
        </w:rPr>
        <w:t>需要提交的相关证明材料见本章第3.5款的规定。</w:t>
      </w:r>
    </w:p>
    <w:p>
      <w:pPr>
        <w:pStyle w:val="46"/>
        <w:ind w:firstLine="0" w:firstLineChars="0"/>
        <w:rPr>
          <w:rFonts w:ascii="宋体" w:hAnsi="宋体" w:cs="宋体"/>
          <w:szCs w:val="24"/>
        </w:rPr>
      </w:pPr>
      <w:r>
        <w:rPr>
          <w:rFonts w:hint="eastAsia" w:ascii="宋体" w:hAnsi="宋体" w:cs="宋体"/>
          <w:szCs w:val="24"/>
        </w:rPr>
        <w:t>1.4.2投标人须知前附表规定接受联合体投标的，联合体除应符合本章第1.4.1项和投标人须知前附表的要求外，还应遵守以下规定：</w:t>
      </w:r>
    </w:p>
    <w:p>
      <w:pPr>
        <w:pStyle w:val="46"/>
        <w:ind w:firstLine="0" w:firstLineChars="0"/>
        <w:rPr>
          <w:rFonts w:ascii="宋体" w:hAnsi="宋体" w:cs="宋体"/>
          <w:szCs w:val="24"/>
        </w:rPr>
      </w:pPr>
      <w:r>
        <w:rPr>
          <w:rFonts w:hint="eastAsia" w:ascii="宋体" w:hAnsi="宋体" w:cs="宋体"/>
          <w:szCs w:val="24"/>
        </w:rPr>
        <w:t>（1）联合体各方应按招标文件提供的格式签订联合体协议书，明确联合体牵头人和各方权利义务，并承诺就中标项目向招标人承担连带责任；</w:t>
      </w:r>
    </w:p>
    <w:p>
      <w:pPr>
        <w:pStyle w:val="46"/>
        <w:ind w:firstLine="0" w:firstLineChars="0"/>
        <w:rPr>
          <w:rFonts w:ascii="宋体" w:hAnsi="宋体" w:cs="宋体"/>
          <w:szCs w:val="24"/>
        </w:rPr>
      </w:pPr>
      <w:r>
        <w:rPr>
          <w:rFonts w:hint="eastAsia" w:ascii="宋体" w:hAnsi="宋体" w:cs="宋体"/>
          <w:szCs w:val="24"/>
        </w:rPr>
        <w:t>（2）由同一专业的单位组成的联合体，按照资质等级较低的单位确定资质等级；</w:t>
      </w:r>
    </w:p>
    <w:p>
      <w:pPr>
        <w:pStyle w:val="46"/>
        <w:ind w:firstLine="0" w:firstLineChars="0"/>
        <w:rPr>
          <w:rFonts w:ascii="宋体" w:hAnsi="宋体" w:cs="宋体"/>
          <w:szCs w:val="24"/>
        </w:rPr>
      </w:pPr>
      <w:r>
        <w:rPr>
          <w:rFonts w:hint="eastAsia" w:ascii="宋体" w:hAnsi="宋体" w:cs="宋体"/>
          <w:szCs w:val="24"/>
        </w:rPr>
        <w:t>（3）联合体各方不得再以自己名义单独或参加其他联合体在本招标项目中投标，否则各相关投标均无效。</w:t>
      </w:r>
    </w:p>
    <w:p>
      <w:pPr>
        <w:pStyle w:val="46"/>
        <w:ind w:firstLine="0" w:firstLineChars="0"/>
        <w:rPr>
          <w:rFonts w:ascii="宋体" w:hAnsi="宋体" w:cs="宋体"/>
          <w:szCs w:val="24"/>
        </w:rPr>
      </w:pPr>
      <w:r>
        <w:rPr>
          <w:rFonts w:hint="eastAsia" w:ascii="宋体" w:hAnsi="宋体" w:cs="宋体"/>
          <w:szCs w:val="24"/>
        </w:rPr>
        <w:t>1.4.3 投标人不得存在下列情形之一：</w:t>
      </w:r>
    </w:p>
    <w:p>
      <w:pPr>
        <w:pStyle w:val="46"/>
        <w:ind w:firstLine="0" w:firstLineChars="0"/>
        <w:rPr>
          <w:rFonts w:ascii="宋体" w:hAnsi="宋体" w:cs="宋体"/>
          <w:szCs w:val="24"/>
        </w:rPr>
      </w:pPr>
      <w:r>
        <w:rPr>
          <w:rFonts w:hint="eastAsia" w:ascii="宋体" w:hAnsi="宋体" w:cs="宋体"/>
          <w:szCs w:val="24"/>
        </w:rPr>
        <w:t>（1）为招标人不具有独立法人资格的附属机构（单位）；</w:t>
      </w:r>
    </w:p>
    <w:p>
      <w:pPr>
        <w:pStyle w:val="46"/>
        <w:ind w:firstLine="0" w:firstLineChars="0"/>
        <w:rPr>
          <w:rFonts w:ascii="宋体" w:hAnsi="宋体" w:cs="宋体"/>
          <w:szCs w:val="24"/>
        </w:rPr>
      </w:pPr>
      <w:r>
        <w:rPr>
          <w:rFonts w:hint="eastAsia" w:ascii="宋体" w:hAnsi="宋体" w:cs="宋体"/>
          <w:szCs w:val="24"/>
        </w:rPr>
        <w:t>（2）与招标人存在利害关系且可能影响招标公正性；</w:t>
      </w:r>
    </w:p>
    <w:p>
      <w:pPr>
        <w:pStyle w:val="46"/>
        <w:ind w:firstLine="0" w:firstLineChars="0"/>
        <w:rPr>
          <w:rFonts w:ascii="宋体" w:hAnsi="宋体" w:cs="宋体"/>
          <w:szCs w:val="24"/>
        </w:rPr>
      </w:pPr>
      <w:r>
        <w:rPr>
          <w:rFonts w:hint="eastAsia" w:ascii="宋体" w:hAnsi="宋体" w:cs="宋体"/>
          <w:szCs w:val="24"/>
        </w:rPr>
        <w:t>（3）与本招标项目的其他投标人为同一个单位负责人；</w:t>
      </w:r>
    </w:p>
    <w:p>
      <w:pPr>
        <w:pStyle w:val="46"/>
        <w:ind w:firstLine="0" w:firstLineChars="0"/>
        <w:rPr>
          <w:rFonts w:ascii="宋体" w:hAnsi="宋体" w:cs="宋体"/>
          <w:szCs w:val="24"/>
        </w:rPr>
      </w:pPr>
      <w:r>
        <w:rPr>
          <w:rFonts w:hint="eastAsia" w:ascii="宋体" w:hAnsi="宋体" w:cs="宋体"/>
          <w:szCs w:val="24"/>
        </w:rPr>
        <w:t>（4）与本招标项目的其他投标人存在控股、管理关系；</w:t>
      </w:r>
    </w:p>
    <w:p>
      <w:pPr>
        <w:pStyle w:val="46"/>
        <w:ind w:firstLine="0" w:firstLineChars="0"/>
        <w:rPr>
          <w:rFonts w:ascii="宋体" w:hAnsi="宋体" w:cs="宋体"/>
          <w:szCs w:val="24"/>
        </w:rPr>
      </w:pPr>
      <w:r>
        <w:rPr>
          <w:rFonts w:hint="eastAsia" w:ascii="宋体" w:hAnsi="宋体" w:cs="宋体"/>
          <w:szCs w:val="24"/>
        </w:rPr>
        <w:t>（5）为本招标项目的代建人；</w:t>
      </w:r>
    </w:p>
    <w:p>
      <w:pPr>
        <w:pStyle w:val="46"/>
        <w:ind w:firstLine="0" w:firstLineChars="0"/>
        <w:rPr>
          <w:rFonts w:ascii="宋体" w:hAnsi="宋体" w:cs="宋体"/>
          <w:szCs w:val="24"/>
        </w:rPr>
      </w:pPr>
      <w:r>
        <w:rPr>
          <w:rFonts w:hint="eastAsia" w:ascii="宋体" w:hAnsi="宋体" w:cs="宋体"/>
          <w:szCs w:val="24"/>
        </w:rPr>
        <w:t>（6）为本招标项目的招标代理机构；</w:t>
      </w:r>
    </w:p>
    <w:p>
      <w:pPr>
        <w:pStyle w:val="46"/>
        <w:ind w:firstLine="0" w:firstLineChars="0"/>
        <w:rPr>
          <w:rFonts w:ascii="宋体" w:hAnsi="宋体" w:cs="宋体"/>
          <w:szCs w:val="24"/>
        </w:rPr>
      </w:pPr>
      <w:r>
        <w:rPr>
          <w:rFonts w:hint="eastAsia" w:ascii="宋体" w:hAnsi="宋体" w:cs="宋体"/>
          <w:szCs w:val="24"/>
        </w:rPr>
        <w:t>（7）与本招标项目的代建人或招标代理机构同为一个法定代表人；</w:t>
      </w:r>
    </w:p>
    <w:p>
      <w:pPr>
        <w:pStyle w:val="46"/>
        <w:ind w:firstLine="0" w:firstLineChars="0"/>
        <w:rPr>
          <w:rFonts w:ascii="宋体" w:hAnsi="宋体" w:cs="宋体"/>
          <w:szCs w:val="24"/>
        </w:rPr>
      </w:pPr>
      <w:r>
        <w:rPr>
          <w:rFonts w:hint="eastAsia" w:ascii="宋体" w:hAnsi="宋体" w:cs="宋体"/>
          <w:szCs w:val="24"/>
        </w:rPr>
        <w:t>（8）与本招标项目的代建人或招标代理机构存在控股或参股关系；</w:t>
      </w:r>
    </w:p>
    <w:p>
      <w:pPr>
        <w:pStyle w:val="46"/>
        <w:ind w:firstLine="0" w:firstLineChars="0"/>
        <w:rPr>
          <w:rFonts w:ascii="宋体" w:hAnsi="宋体" w:cs="宋体"/>
          <w:szCs w:val="24"/>
        </w:rPr>
      </w:pPr>
      <w:r>
        <w:rPr>
          <w:rFonts w:hint="eastAsia" w:ascii="宋体" w:hAnsi="宋体" w:cs="宋体"/>
          <w:szCs w:val="24"/>
        </w:rPr>
        <w:t>（9）与本招标项目的施工承包人以及建筑材料、建筑构配件和设备供应商有隶属关系或者其他利害关系；</w:t>
      </w:r>
    </w:p>
    <w:p>
      <w:pPr>
        <w:pStyle w:val="46"/>
        <w:ind w:firstLine="0" w:firstLineChars="0"/>
        <w:rPr>
          <w:rFonts w:ascii="宋体" w:hAnsi="宋体" w:cs="宋体"/>
          <w:szCs w:val="24"/>
        </w:rPr>
      </w:pPr>
      <w:r>
        <w:rPr>
          <w:rFonts w:hint="eastAsia" w:ascii="宋体" w:hAnsi="宋体" w:cs="宋体"/>
          <w:szCs w:val="24"/>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46"/>
        <w:ind w:firstLine="0" w:firstLineChars="0"/>
        <w:rPr>
          <w:rFonts w:ascii="宋体" w:hAnsi="宋体" w:cs="宋体"/>
          <w:szCs w:val="24"/>
        </w:rPr>
      </w:pPr>
      <w:r>
        <w:rPr>
          <w:rFonts w:hint="eastAsia" w:ascii="宋体" w:hAnsi="宋体" w:cs="宋体"/>
          <w:szCs w:val="24"/>
        </w:rPr>
        <w:t>(11)被责令停产停业、暂扣或者吊销许可证、暂扣或者吊销执照；（本项事实应当以根据《中华人民共和国行政处罚法》依法作出并已经生效的行政处罚决定为认定依据。）</w:t>
      </w:r>
    </w:p>
    <w:p>
      <w:pPr>
        <w:pStyle w:val="46"/>
        <w:ind w:firstLine="0" w:firstLineChars="0"/>
        <w:rPr>
          <w:rFonts w:ascii="宋体" w:hAnsi="宋体" w:cs="宋体"/>
          <w:szCs w:val="24"/>
        </w:rPr>
      </w:pPr>
      <w:r>
        <w:rPr>
          <w:rFonts w:hint="eastAsia" w:ascii="宋体" w:hAnsi="宋体" w:cs="宋体"/>
          <w:szCs w:val="24"/>
        </w:rPr>
        <w:t>(12)进入清算程序，或被宣告破产，或其他丧失履约能力的情形；</w:t>
      </w:r>
    </w:p>
    <w:p>
      <w:pPr>
        <w:pStyle w:val="46"/>
        <w:ind w:firstLine="0" w:firstLineChars="0"/>
        <w:rPr>
          <w:rFonts w:ascii="宋体" w:hAnsi="宋体" w:cs="宋体"/>
          <w:szCs w:val="24"/>
        </w:rPr>
      </w:pPr>
      <w:r>
        <w:rPr>
          <w:rFonts w:hint="eastAsia" w:ascii="宋体" w:hAnsi="宋体" w:cs="宋体"/>
          <w:szCs w:val="24"/>
        </w:rPr>
        <w:t>(13)在最近三年内发生重大监理质量问题；（“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46"/>
        <w:ind w:firstLine="0" w:firstLineChars="0"/>
        <w:rPr>
          <w:rFonts w:ascii="宋体" w:hAnsi="宋体" w:cs="宋体"/>
          <w:szCs w:val="24"/>
        </w:rPr>
      </w:pPr>
      <w:r>
        <w:rPr>
          <w:rFonts w:hint="eastAsia" w:ascii="宋体" w:hAnsi="宋体" w:cs="宋体"/>
          <w:szCs w:val="24"/>
        </w:rPr>
        <w:t>(14) 法律法规或投标人须知前附表规定的其他情形。</w:t>
      </w:r>
    </w:p>
    <w:p>
      <w:pPr>
        <w:pStyle w:val="46"/>
        <w:ind w:firstLine="0" w:firstLineChars="0"/>
        <w:rPr>
          <w:rFonts w:ascii="宋体" w:hAnsi="宋体" w:cs="宋体"/>
          <w:b/>
          <w:bCs/>
          <w:szCs w:val="24"/>
        </w:rPr>
      </w:pPr>
      <w:bookmarkStart w:id="30" w:name="_Toc515205198"/>
      <w:bookmarkStart w:id="31" w:name="_Toc529196525"/>
      <w:r>
        <w:rPr>
          <w:rFonts w:hint="eastAsia" w:ascii="宋体" w:hAnsi="宋体" w:cs="宋体"/>
          <w:b/>
          <w:bCs/>
          <w:szCs w:val="24"/>
        </w:rPr>
        <w:t>1.5 费用承担</w:t>
      </w:r>
      <w:bookmarkEnd w:id="30"/>
      <w:bookmarkEnd w:id="31"/>
    </w:p>
    <w:p>
      <w:pPr>
        <w:pStyle w:val="46"/>
        <w:ind w:firstLine="0" w:firstLineChars="0"/>
        <w:rPr>
          <w:rFonts w:ascii="宋体" w:hAnsi="宋体" w:cs="宋体"/>
          <w:szCs w:val="24"/>
        </w:rPr>
      </w:pPr>
      <w:r>
        <w:rPr>
          <w:rFonts w:hint="eastAsia" w:ascii="宋体" w:hAnsi="宋体" w:cs="宋体"/>
          <w:szCs w:val="24"/>
        </w:rPr>
        <w:t>投标人准备和参加投标活动发生的费用自理。</w:t>
      </w:r>
    </w:p>
    <w:p>
      <w:pPr>
        <w:pStyle w:val="46"/>
        <w:ind w:firstLine="0" w:firstLineChars="0"/>
        <w:rPr>
          <w:rFonts w:ascii="宋体" w:hAnsi="宋体" w:cs="宋体"/>
          <w:b/>
          <w:bCs/>
          <w:szCs w:val="24"/>
        </w:rPr>
      </w:pPr>
      <w:bookmarkStart w:id="32" w:name="_Toc515205199"/>
      <w:bookmarkStart w:id="33" w:name="_Toc529196526"/>
      <w:r>
        <w:rPr>
          <w:rFonts w:hint="eastAsia" w:ascii="宋体" w:hAnsi="宋体" w:cs="宋体"/>
          <w:b/>
          <w:bCs/>
          <w:szCs w:val="24"/>
        </w:rPr>
        <w:t>1.6保密</w:t>
      </w:r>
      <w:bookmarkEnd w:id="32"/>
      <w:bookmarkEnd w:id="33"/>
    </w:p>
    <w:p>
      <w:pPr>
        <w:pStyle w:val="46"/>
        <w:ind w:firstLine="0" w:firstLineChars="0"/>
        <w:rPr>
          <w:rFonts w:ascii="宋体" w:hAnsi="宋体" w:cs="宋体"/>
          <w:szCs w:val="24"/>
        </w:rPr>
      </w:pPr>
      <w:r>
        <w:rPr>
          <w:rFonts w:hint="eastAsia" w:ascii="宋体" w:hAnsi="宋体" w:cs="宋体"/>
          <w:szCs w:val="24"/>
        </w:rPr>
        <w:t>参与招标投标活动的各方应对招标文件和投标文件中</w:t>
      </w:r>
      <w:bookmarkStart w:id="34" w:name="_Toc5326"/>
      <w:bookmarkStart w:id="35" w:name="_Toc369531519"/>
      <w:bookmarkStart w:id="36" w:name="_Toc384308214"/>
      <w:bookmarkStart w:id="37" w:name="_Toc361508589"/>
      <w:bookmarkStart w:id="38" w:name="_Toc352691477"/>
      <w:r>
        <w:rPr>
          <w:rFonts w:hint="eastAsia" w:ascii="宋体" w:hAnsi="宋体" w:cs="宋体"/>
          <w:szCs w:val="24"/>
        </w:rPr>
        <w:t>的商业和技术等秘密保密</w:t>
      </w:r>
      <w:bookmarkEnd w:id="34"/>
      <w:bookmarkEnd w:id="35"/>
      <w:bookmarkEnd w:id="36"/>
      <w:bookmarkEnd w:id="37"/>
      <w:bookmarkEnd w:id="38"/>
      <w:r>
        <w:rPr>
          <w:rFonts w:hint="eastAsia" w:ascii="宋体" w:hAnsi="宋体" w:cs="宋体"/>
          <w:szCs w:val="24"/>
        </w:rPr>
        <w:t>，否则应承担相应的法律责任。</w:t>
      </w:r>
    </w:p>
    <w:p>
      <w:pPr>
        <w:pStyle w:val="46"/>
        <w:ind w:firstLine="0" w:firstLineChars="0"/>
        <w:rPr>
          <w:rFonts w:ascii="宋体" w:hAnsi="宋体" w:cs="宋体"/>
          <w:b/>
          <w:bCs/>
          <w:szCs w:val="24"/>
        </w:rPr>
      </w:pPr>
      <w:bookmarkStart w:id="39" w:name="_Toc529196527"/>
      <w:bookmarkStart w:id="40" w:name="_Toc515205200"/>
      <w:r>
        <w:rPr>
          <w:rFonts w:hint="eastAsia" w:ascii="宋体" w:hAnsi="宋体" w:cs="宋体"/>
          <w:b/>
          <w:bCs/>
          <w:szCs w:val="24"/>
        </w:rPr>
        <w:t>1.7 语言文字</w:t>
      </w:r>
      <w:bookmarkEnd w:id="39"/>
      <w:bookmarkEnd w:id="40"/>
    </w:p>
    <w:p>
      <w:pPr>
        <w:pStyle w:val="46"/>
        <w:ind w:firstLine="0" w:firstLineChars="0"/>
        <w:rPr>
          <w:rFonts w:ascii="宋体" w:hAnsi="宋体" w:cs="宋体"/>
          <w:szCs w:val="24"/>
        </w:rPr>
      </w:pPr>
      <w:r>
        <w:rPr>
          <w:rFonts w:hint="eastAsia" w:ascii="宋体" w:hAnsi="宋体" w:cs="宋体"/>
          <w:szCs w:val="24"/>
        </w:rPr>
        <w:t>招标投标文件使用的语言文字为中文。专用术语使用外文的，应附有中文注释。</w:t>
      </w:r>
    </w:p>
    <w:p>
      <w:pPr>
        <w:pStyle w:val="46"/>
        <w:ind w:firstLine="0" w:firstLineChars="0"/>
        <w:rPr>
          <w:rFonts w:ascii="宋体" w:hAnsi="宋体" w:cs="宋体"/>
          <w:b/>
          <w:bCs/>
          <w:szCs w:val="24"/>
        </w:rPr>
      </w:pPr>
      <w:bookmarkStart w:id="41" w:name="_Toc515205201"/>
      <w:bookmarkStart w:id="42" w:name="_Toc529196528"/>
      <w:r>
        <w:rPr>
          <w:rFonts w:hint="eastAsia" w:ascii="宋体" w:hAnsi="宋体" w:cs="宋体"/>
          <w:b/>
          <w:bCs/>
          <w:szCs w:val="24"/>
        </w:rPr>
        <w:t>1.8计量单位</w:t>
      </w:r>
      <w:bookmarkEnd w:id="41"/>
      <w:bookmarkEnd w:id="42"/>
    </w:p>
    <w:p>
      <w:pPr>
        <w:pStyle w:val="46"/>
        <w:ind w:firstLine="0" w:firstLineChars="0"/>
        <w:rPr>
          <w:rFonts w:ascii="宋体" w:hAnsi="宋体" w:cs="宋体"/>
          <w:szCs w:val="24"/>
        </w:rPr>
      </w:pPr>
      <w:r>
        <w:rPr>
          <w:rFonts w:hint="eastAsia" w:ascii="宋体" w:hAnsi="宋体" w:cs="宋体"/>
          <w:szCs w:val="24"/>
        </w:rPr>
        <w:t>所有计量均采用中华人民共和国法定计量单位。</w:t>
      </w:r>
    </w:p>
    <w:p>
      <w:pPr>
        <w:pStyle w:val="46"/>
        <w:ind w:firstLine="0" w:firstLineChars="0"/>
        <w:rPr>
          <w:rFonts w:ascii="宋体" w:hAnsi="宋体" w:cs="宋体"/>
          <w:b/>
          <w:bCs/>
          <w:szCs w:val="24"/>
        </w:rPr>
      </w:pPr>
      <w:bookmarkStart w:id="43" w:name="_Toc300834959"/>
      <w:bookmarkStart w:id="44" w:name="_Toc361508594"/>
      <w:bookmarkStart w:id="45" w:name="_Toc515205202"/>
      <w:bookmarkStart w:id="46" w:name="_Toc152042315"/>
      <w:bookmarkStart w:id="47" w:name="_Toc152045539"/>
      <w:bookmarkStart w:id="48" w:name="_Toc384308219"/>
      <w:bookmarkStart w:id="49" w:name="_Toc482188480"/>
      <w:bookmarkStart w:id="50" w:name="_Toc247513962"/>
      <w:bookmarkStart w:id="51" w:name="_Toc144974507"/>
      <w:bookmarkStart w:id="52" w:name="_Toc391393967"/>
      <w:bookmarkStart w:id="53" w:name="_Toc370676289"/>
      <w:bookmarkStart w:id="54" w:name="_Toc529196529"/>
      <w:bookmarkStart w:id="55" w:name="_Toc247527563"/>
      <w:r>
        <w:rPr>
          <w:rFonts w:hint="eastAsia" w:ascii="宋体" w:hAnsi="宋体" w:cs="宋体"/>
          <w:b/>
          <w:bCs/>
          <w:szCs w:val="24"/>
        </w:rPr>
        <w:t>1.9 踏勘现场</w:t>
      </w:r>
      <w:bookmarkEnd w:id="43"/>
      <w:bookmarkEnd w:id="44"/>
      <w:bookmarkEnd w:id="45"/>
      <w:bookmarkEnd w:id="46"/>
      <w:bookmarkEnd w:id="47"/>
      <w:bookmarkEnd w:id="48"/>
      <w:bookmarkEnd w:id="49"/>
      <w:bookmarkEnd w:id="50"/>
      <w:bookmarkEnd w:id="51"/>
      <w:bookmarkEnd w:id="52"/>
      <w:bookmarkEnd w:id="53"/>
      <w:bookmarkEnd w:id="54"/>
      <w:bookmarkEnd w:id="55"/>
    </w:p>
    <w:p>
      <w:pPr>
        <w:pStyle w:val="46"/>
        <w:ind w:firstLine="0" w:firstLineChars="0"/>
        <w:rPr>
          <w:rFonts w:ascii="宋体" w:hAnsi="宋体" w:cs="宋体"/>
          <w:szCs w:val="24"/>
        </w:rPr>
      </w:pPr>
      <w:r>
        <w:rPr>
          <w:rFonts w:hint="eastAsia" w:ascii="宋体" w:hAnsi="宋体" w:cs="宋体"/>
          <w:szCs w:val="24"/>
        </w:rPr>
        <w:t>1.9.1 投标人须知前附表规定组织踏勘现场的，招标人按投标人须知前附表规定的时间、地点组织投标人踏勘项目现场。部分投标人未按时参加踏勘现场的，不影响踏勘现场的正常进行。</w:t>
      </w:r>
    </w:p>
    <w:p>
      <w:pPr>
        <w:pStyle w:val="46"/>
        <w:ind w:firstLine="0" w:firstLineChars="0"/>
        <w:rPr>
          <w:rFonts w:ascii="宋体" w:hAnsi="宋体" w:cs="宋体"/>
          <w:szCs w:val="24"/>
        </w:rPr>
      </w:pPr>
      <w:r>
        <w:rPr>
          <w:rFonts w:hint="eastAsia" w:ascii="宋体" w:hAnsi="宋体" w:cs="宋体"/>
          <w:szCs w:val="24"/>
        </w:rPr>
        <w:t>1.9.2 投标人踏勘现场发生的费用自理。</w:t>
      </w:r>
    </w:p>
    <w:p>
      <w:pPr>
        <w:pStyle w:val="46"/>
        <w:ind w:firstLine="0" w:firstLineChars="0"/>
        <w:rPr>
          <w:rFonts w:ascii="宋体" w:hAnsi="宋体" w:cs="宋体"/>
          <w:szCs w:val="24"/>
        </w:rPr>
      </w:pPr>
      <w:r>
        <w:rPr>
          <w:rFonts w:hint="eastAsia" w:ascii="宋体" w:hAnsi="宋体" w:cs="宋体"/>
          <w:szCs w:val="24"/>
        </w:rPr>
        <w:t>1.9.3 除招标人的原因外，投标人自行负责在踏勘现场中所发生的人员伤亡和财产损失。</w:t>
      </w:r>
    </w:p>
    <w:p>
      <w:pPr>
        <w:pStyle w:val="46"/>
        <w:ind w:firstLine="0" w:firstLineChars="0"/>
        <w:rPr>
          <w:rFonts w:ascii="宋体" w:hAnsi="宋体" w:cs="宋体"/>
          <w:szCs w:val="24"/>
        </w:rPr>
      </w:pPr>
      <w:r>
        <w:rPr>
          <w:rFonts w:hint="eastAsia" w:ascii="宋体" w:hAnsi="宋体" w:cs="宋体"/>
          <w:szCs w:val="24"/>
        </w:rPr>
        <w:t>1.9.4 招标人在踏勘现场中介绍的工程场地和相关的周边环境情况，供投标人在编制投标文件时参考，招标人不对投标人据此作出的判断和决策负责。</w:t>
      </w:r>
    </w:p>
    <w:p>
      <w:pPr>
        <w:pStyle w:val="46"/>
        <w:ind w:firstLine="0" w:firstLineChars="0"/>
        <w:rPr>
          <w:rFonts w:ascii="宋体" w:hAnsi="宋体" w:cs="宋体"/>
          <w:b/>
          <w:bCs/>
          <w:szCs w:val="24"/>
        </w:rPr>
      </w:pPr>
      <w:bookmarkStart w:id="56" w:name="_Toc529196530"/>
      <w:bookmarkStart w:id="57" w:name="_Toc515205203"/>
      <w:r>
        <w:rPr>
          <w:rFonts w:hint="eastAsia" w:ascii="宋体" w:hAnsi="宋体" w:cs="宋体"/>
          <w:b/>
          <w:bCs/>
          <w:szCs w:val="24"/>
        </w:rPr>
        <w:t>1.10投标预备会</w:t>
      </w:r>
      <w:bookmarkEnd w:id="56"/>
      <w:bookmarkEnd w:id="57"/>
    </w:p>
    <w:p>
      <w:pPr>
        <w:pStyle w:val="46"/>
        <w:ind w:firstLine="0" w:firstLineChars="0"/>
        <w:rPr>
          <w:rFonts w:ascii="宋体" w:hAnsi="宋体" w:cs="宋体"/>
          <w:szCs w:val="24"/>
        </w:rPr>
      </w:pPr>
      <w:r>
        <w:rPr>
          <w:rFonts w:hint="eastAsia" w:ascii="宋体" w:hAnsi="宋体" w:cs="宋体"/>
          <w:szCs w:val="24"/>
        </w:rPr>
        <w:t>1.10.1 投标人须知前附表规定召开投标预备会的，招标人按投标人须知前附表规定的时间和地点召开投标预备会，澄清投标人提出的问题。</w:t>
      </w:r>
    </w:p>
    <w:p>
      <w:pPr>
        <w:pStyle w:val="46"/>
        <w:ind w:firstLine="0" w:firstLineChars="0"/>
        <w:rPr>
          <w:rFonts w:ascii="宋体" w:hAnsi="宋体" w:cs="宋体"/>
          <w:szCs w:val="24"/>
        </w:rPr>
      </w:pPr>
      <w:r>
        <w:rPr>
          <w:rFonts w:hint="eastAsia" w:ascii="宋体" w:hAnsi="宋体" w:cs="宋体"/>
          <w:szCs w:val="24"/>
        </w:rPr>
        <w:t>1.10.2 投标人应按投标人须知前附表规定的时间和形式将提出的问题送达招标人，以便招标人在会议期间澄清。</w:t>
      </w:r>
    </w:p>
    <w:p>
      <w:pPr>
        <w:pStyle w:val="46"/>
        <w:ind w:firstLine="0" w:firstLineChars="0"/>
        <w:rPr>
          <w:rFonts w:ascii="宋体" w:hAnsi="宋体" w:cs="宋体"/>
          <w:szCs w:val="24"/>
        </w:rPr>
      </w:pPr>
      <w:r>
        <w:rPr>
          <w:rFonts w:hint="eastAsia" w:ascii="宋体" w:hAnsi="宋体" w:cs="宋体"/>
          <w:szCs w:val="24"/>
        </w:rPr>
        <w:t>1.10.3 投标预备会后，招标人将对投标人所提问题的澄清，以投标人须知前附表规定的形式通知所有购买招标文件的投标人。该澄清内容为招标文件的组成部分。</w:t>
      </w:r>
    </w:p>
    <w:p>
      <w:pPr>
        <w:pStyle w:val="46"/>
        <w:ind w:firstLine="0" w:firstLineChars="0"/>
        <w:rPr>
          <w:rFonts w:ascii="宋体" w:hAnsi="宋体" w:cs="宋体"/>
          <w:b/>
          <w:bCs/>
          <w:szCs w:val="24"/>
        </w:rPr>
      </w:pPr>
      <w:bookmarkStart w:id="58" w:name="_Toc529196531"/>
      <w:bookmarkStart w:id="59" w:name="_Toc515205204"/>
      <w:r>
        <w:rPr>
          <w:rFonts w:hint="eastAsia" w:ascii="宋体" w:hAnsi="宋体" w:cs="宋体"/>
          <w:b/>
          <w:bCs/>
          <w:szCs w:val="24"/>
        </w:rPr>
        <w:t>1.11 分包</w:t>
      </w:r>
      <w:bookmarkEnd w:id="58"/>
      <w:bookmarkEnd w:id="59"/>
    </w:p>
    <w:p>
      <w:pPr>
        <w:pStyle w:val="46"/>
        <w:ind w:firstLine="0" w:firstLineChars="0"/>
        <w:rPr>
          <w:rFonts w:ascii="宋体" w:hAnsi="宋体" w:cs="宋体"/>
          <w:szCs w:val="24"/>
        </w:rPr>
      </w:pPr>
      <w:r>
        <w:rPr>
          <w:rFonts w:hint="eastAsia" w:ascii="宋体" w:hAnsi="宋体" w:cs="宋体"/>
          <w:szCs w:val="24"/>
        </w:rPr>
        <w:t>本项目严禁分包。</w:t>
      </w:r>
    </w:p>
    <w:p>
      <w:pPr>
        <w:pStyle w:val="46"/>
        <w:ind w:firstLine="0" w:firstLineChars="0"/>
        <w:rPr>
          <w:rFonts w:ascii="宋体" w:hAnsi="宋体" w:cs="宋体"/>
          <w:b/>
          <w:bCs/>
          <w:szCs w:val="24"/>
        </w:rPr>
      </w:pPr>
      <w:bookmarkStart w:id="60" w:name="_Toc529196532"/>
      <w:bookmarkStart w:id="61" w:name="_Toc515205205"/>
      <w:r>
        <w:rPr>
          <w:rFonts w:hint="eastAsia" w:ascii="宋体" w:hAnsi="宋体" w:cs="宋体"/>
          <w:b/>
          <w:bCs/>
          <w:szCs w:val="24"/>
        </w:rPr>
        <w:t>1.12响应和偏差</w:t>
      </w:r>
      <w:bookmarkEnd w:id="60"/>
      <w:bookmarkEnd w:id="61"/>
    </w:p>
    <w:p>
      <w:pPr>
        <w:pStyle w:val="46"/>
        <w:ind w:firstLine="0" w:firstLineChars="0"/>
        <w:rPr>
          <w:rFonts w:ascii="宋体" w:hAnsi="宋体" w:cs="宋体"/>
          <w:szCs w:val="24"/>
        </w:rPr>
      </w:pPr>
      <w:r>
        <w:rPr>
          <w:rFonts w:hint="eastAsia" w:ascii="宋体" w:hAnsi="宋体" w:cs="宋体"/>
          <w:szCs w:val="24"/>
        </w:rPr>
        <w:t>1.12.1投标文件应当对招标文件的实质性要求和条件作出满足性或更有利于招标人的响应，否则，投标人的投标将被否决。实质性要求和条件见投标人须知前附表。</w:t>
      </w:r>
    </w:p>
    <w:p>
      <w:pPr>
        <w:pStyle w:val="46"/>
        <w:ind w:firstLine="0" w:firstLineChars="0"/>
        <w:rPr>
          <w:rFonts w:ascii="宋体" w:hAnsi="宋体" w:cs="宋体"/>
          <w:szCs w:val="24"/>
        </w:rPr>
      </w:pPr>
      <w:r>
        <w:rPr>
          <w:rFonts w:hint="eastAsia" w:ascii="宋体" w:hAnsi="宋体" w:cs="宋体"/>
          <w:szCs w:val="24"/>
        </w:rPr>
        <w:t>1.12.2 投标人应根据招标文件的要求提供投标监理大纲等内容以对招标文件作出响应。</w:t>
      </w:r>
    </w:p>
    <w:p>
      <w:pPr>
        <w:pStyle w:val="46"/>
        <w:ind w:firstLine="0" w:firstLineChars="0"/>
        <w:rPr>
          <w:rFonts w:ascii="宋体" w:hAnsi="宋体" w:cs="宋体"/>
          <w:szCs w:val="24"/>
        </w:rPr>
      </w:pPr>
      <w:r>
        <w:rPr>
          <w:rFonts w:hint="eastAsia" w:ascii="宋体" w:hAnsi="宋体" w:cs="宋体"/>
          <w:szCs w:val="24"/>
        </w:rPr>
        <w:t>1.12.3投标人须知前附表允许投标文件偏离招标文件某些要求的，偏差应当符合招标文件规定的偏差范围和幅度。</w:t>
      </w:r>
    </w:p>
    <w:p>
      <w:pPr>
        <w:spacing w:after="0" w:line="360" w:lineRule="auto"/>
        <w:rPr>
          <w:rFonts w:ascii="宋体" w:hAnsi="宋体" w:eastAsia="宋体" w:cs="宋体"/>
          <w:sz w:val="24"/>
        </w:rPr>
      </w:pPr>
    </w:p>
    <w:p>
      <w:pPr>
        <w:pStyle w:val="91"/>
        <w:rPr>
          <w:rFonts w:ascii="宋体" w:hAnsi="宋体" w:eastAsia="宋体" w:cs="宋体"/>
          <w:sz w:val="24"/>
          <w:szCs w:val="24"/>
        </w:rPr>
      </w:pPr>
      <w:bookmarkStart w:id="62" w:name="_Toc9100"/>
      <w:bookmarkStart w:id="63" w:name="_Toc199515637"/>
      <w:bookmarkStart w:id="64" w:name="_Toc529196533"/>
      <w:bookmarkStart w:id="65" w:name="_Toc26115"/>
      <w:bookmarkStart w:id="66" w:name="_Toc515205206"/>
      <w:r>
        <w:rPr>
          <w:rFonts w:hint="eastAsia" w:ascii="宋体" w:hAnsi="宋体" w:eastAsia="宋体" w:cs="宋体"/>
          <w:sz w:val="24"/>
          <w:szCs w:val="24"/>
        </w:rPr>
        <w:t>2. 招标文件</w:t>
      </w:r>
      <w:bookmarkEnd w:id="62"/>
      <w:bookmarkEnd w:id="63"/>
      <w:bookmarkEnd w:id="64"/>
      <w:bookmarkEnd w:id="65"/>
      <w:bookmarkEnd w:id="66"/>
    </w:p>
    <w:p>
      <w:pPr>
        <w:pStyle w:val="46"/>
        <w:ind w:firstLine="0" w:firstLineChars="0"/>
        <w:rPr>
          <w:rFonts w:ascii="宋体" w:hAnsi="宋体" w:cs="宋体"/>
          <w:b/>
          <w:bCs/>
          <w:szCs w:val="24"/>
        </w:rPr>
      </w:pPr>
      <w:bookmarkStart w:id="67" w:name="_Toc529196534"/>
      <w:bookmarkStart w:id="68" w:name="_Toc515205207"/>
      <w:r>
        <w:rPr>
          <w:rFonts w:hint="eastAsia" w:ascii="宋体" w:hAnsi="宋体" w:cs="宋体"/>
          <w:b/>
          <w:bCs/>
          <w:szCs w:val="24"/>
        </w:rPr>
        <w:t>2.1 招标文件的组成</w:t>
      </w:r>
      <w:bookmarkEnd w:id="67"/>
      <w:bookmarkEnd w:id="68"/>
    </w:p>
    <w:p>
      <w:pPr>
        <w:pStyle w:val="46"/>
        <w:ind w:firstLine="0" w:firstLineChars="0"/>
        <w:rPr>
          <w:rFonts w:ascii="宋体" w:hAnsi="宋体" w:cs="宋体"/>
          <w:szCs w:val="24"/>
        </w:rPr>
      </w:pPr>
      <w:r>
        <w:rPr>
          <w:rFonts w:hint="eastAsia" w:ascii="宋体" w:hAnsi="宋体" w:cs="宋体"/>
          <w:szCs w:val="24"/>
        </w:rPr>
        <w:t>本招标文件包括：</w:t>
      </w:r>
    </w:p>
    <w:p>
      <w:pPr>
        <w:pStyle w:val="46"/>
        <w:ind w:firstLine="0" w:firstLineChars="0"/>
        <w:rPr>
          <w:rFonts w:ascii="宋体" w:hAnsi="宋体" w:cs="宋体"/>
          <w:szCs w:val="24"/>
        </w:rPr>
      </w:pPr>
      <w:r>
        <w:rPr>
          <w:rFonts w:hint="eastAsia" w:ascii="宋体" w:hAnsi="宋体" w:cs="宋体"/>
          <w:szCs w:val="24"/>
        </w:rPr>
        <w:t>（1）招标公告</w:t>
      </w:r>
      <w:r>
        <w:rPr>
          <w:rFonts w:hint="eastAsia" w:ascii="宋体" w:hAnsi="宋体" w:cs="宋体"/>
          <w:strike/>
          <w:szCs w:val="24"/>
        </w:rPr>
        <w:t>（或投标邀请书）</w:t>
      </w:r>
      <w:r>
        <w:rPr>
          <w:rFonts w:hint="eastAsia" w:ascii="宋体" w:hAnsi="宋体" w:cs="宋体"/>
          <w:szCs w:val="24"/>
        </w:rPr>
        <w:t>；</w:t>
      </w:r>
    </w:p>
    <w:p>
      <w:pPr>
        <w:pStyle w:val="46"/>
        <w:ind w:firstLine="0" w:firstLineChars="0"/>
        <w:rPr>
          <w:rFonts w:ascii="宋体" w:hAnsi="宋体" w:cs="宋体"/>
          <w:szCs w:val="24"/>
        </w:rPr>
      </w:pPr>
      <w:r>
        <w:rPr>
          <w:rFonts w:hint="eastAsia" w:ascii="宋体" w:hAnsi="宋体" w:cs="宋体"/>
          <w:szCs w:val="24"/>
        </w:rPr>
        <w:t>（2）投标人须知；</w:t>
      </w:r>
    </w:p>
    <w:p>
      <w:pPr>
        <w:pStyle w:val="46"/>
        <w:ind w:firstLine="0" w:firstLineChars="0"/>
        <w:rPr>
          <w:rFonts w:ascii="宋体" w:hAnsi="宋体" w:cs="宋体"/>
          <w:szCs w:val="24"/>
        </w:rPr>
      </w:pPr>
      <w:r>
        <w:rPr>
          <w:rFonts w:hint="eastAsia" w:ascii="宋体" w:hAnsi="宋体" w:cs="宋体"/>
          <w:szCs w:val="24"/>
        </w:rPr>
        <w:t>（3）评标办法；</w:t>
      </w:r>
    </w:p>
    <w:p>
      <w:pPr>
        <w:pStyle w:val="46"/>
        <w:ind w:firstLine="0" w:firstLineChars="0"/>
        <w:rPr>
          <w:rFonts w:ascii="宋体" w:hAnsi="宋体" w:cs="宋体"/>
          <w:szCs w:val="24"/>
        </w:rPr>
      </w:pPr>
      <w:r>
        <w:rPr>
          <w:rFonts w:hint="eastAsia" w:ascii="宋体" w:hAnsi="宋体" w:cs="宋体"/>
          <w:szCs w:val="24"/>
        </w:rPr>
        <w:t>（4）合同条款及格式；</w:t>
      </w:r>
    </w:p>
    <w:p>
      <w:pPr>
        <w:pStyle w:val="46"/>
        <w:ind w:firstLine="0" w:firstLineChars="0"/>
        <w:rPr>
          <w:rFonts w:ascii="宋体" w:hAnsi="宋体" w:cs="宋体"/>
          <w:szCs w:val="24"/>
        </w:rPr>
      </w:pPr>
      <w:r>
        <w:rPr>
          <w:rFonts w:hint="eastAsia" w:ascii="宋体" w:hAnsi="宋体" w:cs="宋体"/>
          <w:szCs w:val="24"/>
        </w:rPr>
        <w:t>（5）委托人要求；</w:t>
      </w:r>
    </w:p>
    <w:p>
      <w:pPr>
        <w:pStyle w:val="46"/>
        <w:ind w:firstLine="0" w:firstLineChars="0"/>
        <w:rPr>
          <w:rFonts w:ascii="宋体" w:hAnsi="宋体" w:cs="宋体"/>
          <w:szCs w:val="24"/>
        </w:rPr>
      </w:pPr>
      <w:r>
        <w:rPr>
          <w:rFonts w:hint="eastAsia" w:ascii="宋体" w:hAnsi="宋体" w:cs="宋体"/>
          <w:szCs w:val="24"/>
        </w:rPr>
        <w:t>（6）投标文件格式；</w:t>
      </w:r>
    </w:p>
    <w:p>
      <w:pPr>
        <w:pStyle w:val="46"/>
        <w:ind w:firstLine="0" w:firstLineChars="0"/>
        <w:rPr>
          <w:rFonts w:ascii="宋体" w:hAnsi="宋体" w:cs="宋体"/>
          <w:szCs w:val="24"/>
        </w:rPr>
      </w:pPr>
      <w:r>
        <w:rPr>
          <w:rFonts w:hint="eastAsia" w:ascii="宋体" w:hAnsi="宋体" w:cs="宋体"/>
          <w:szCs w:val="24"/>
        </w:rPr>
        <w:t>（7）投标人须知前附表规定的其他资料。</w:t>
      </w:r>
    </w:p>
    <w:p>
      <w:pPr>
        <w:pStyle w:val="46"/>
        <w:ind w:firstLine="0" w:firstLineChars="0"/>
        <w:rPr>
          <w:rFonts w:ascii="宋体" w:hAnsi="宋体" w:cs="宋体"/>
          <w:szCs w:val="24"/>
        </w:rPr>
      </w:pPr>
      <w:r>
        <w:rPr>
          <w:rFonts w:hint="eastAsia" w:ascii="宋体" w:hAnsi="宋体" w:cs="宋体"/>
          <w:szCs w:val="24"/>
        </w:rPr>
        <w:t>根据本章第1.10款、第2.2款和第2.3款对招标文件所作的澄清、修改，构成招标文件的组成部分。</w:t>
      </w:r>
    </w:p>
    <w:p>
      <w:pPr>
        <w:pStyle w:val="46"/>
        <w:ind w:firstLine="0" w:firstLineChars="0"/>
        <w:rPr>
          <w:rFonts w:ascii="宋体" w:hAnsi="宋体" w:cs="宋体"/>
          <w:b/>
          <w:bCs/>
          <w:szCs w:val="24"/>
        </w:rPr>
      </w:pPr>
      <w:bookmarkStart w:id="69" w:name="_Toc529196535"/>
      <w:bookmarkStart w:id="70" w:name="_Toc515205208"/>
      <w:r>
        <w:rPr>
          <w:rFonts w:hint="eastAsia" w:ascii="宋体" w:hAnsi="宋体" w:cs="宋体"/>
          <w:b/>
          <w:bCs/>
          <w:szCs w:val="24"/>
        </w:rPr>
        <w:t>2.2 招标文件的澄清</w:t>
      </w:r>
      <w:bookmarkEnd w:id="69"/>
      <w:bookmarkEnd w:id="70"/>
    </w:p>
    <w:p>
      <w:pPr>
        <w:pStyle w:val="46"/>
        <w:ind w:firstLine="0" w:firstLineChars="0"/>
        <w:rPr>
          <w:rFonts w:ascii="宋体" w:hAnsi="宋体" w:cs="宋体"/>
          <w:szCs w:val="24"/>
        </w:rPr>
      </w:pPr>
      <w:r>
        <w:rPr>
          <w:rFonts w:hint="eastAsia" w:ascii="宋体" w:hAnsi="宋体" w:cs="宋体"/>
          <w:szCs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46"/>
        <w:ind w:firstLine="0" w:firstLineChars="0"/>
        <w:rPr>
          <w:rFonts w:ascii="宋体" w:hAnsi="宋体" w:cs="宋体"/>
          <w:szCs w:val="24"/>
        </w:rPr>
      </w:pPr>
      <w:r>
        <w:rPr>
          <w:rFonts w:hint="eastAsia" w:ascii="宋体" w:hAnsi="宋体" w:cs="宋体"/>
          <w:szCs w:val="24"/>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pStyle w:val="46"/>
        <w:ind w:firstLine="0" w:firstLineChars="0"/>
        <w:rPr>
          <w:rFonts w:ascii="宋体" w:hAnsi="宋体" w:cs="宋体"/>
          <w:szCs w:val="24"/>
        </w:rPr>
      </w:pPr>
      <w:r>
        <w:rPr>
          <w:rFonts w:hint="eastAsia" w:ascii="宋体" w:hAnsi="宋体" w:cs="宋体"/>
          <w:szCs w:val="24"/>
        </w:rPr>
        <w:t>2.2.3 投标人在收到澄清后，应按投标人须知前附表规定的时间和形式通知招标人，确认已收到该澄清。</w:t>
      </w:r>
    </w:p>
    <w:p>
      <w:pPr>
        <w:pStyle w:val="46"/>
        <w:ind w:firstLine="0" w:firstLineChars="0"/>
        <w:rPr>
          <w:rFonts w:ascii="宋体" w:hAnsi="宋体" w:cs="宋体"/>
          <w:szCs w:val="24"/>
        </w:rPr>
      </w:pPr>
      <w:r>
        <w:rPr>
          <w:rFonts w:hint="eastAsia" w:ascii="宋体" w:hAnsi="宋体" w:cs="宋体"/>
          <w:szCs w:val="24"/>
        </w:rPr>
        <w:t>2.2.4 除非招标人认为确有必要答复，否则，招标人有权拒绝回复投标人在本章第2.2.1项规定的时间后的任何澄清要求。</w:t>
      </w:r>
    </w:p>
    <w:p>
      <w:pPr>
        <w:pStyle w:val="46"/>
        <w:ind w:firstLine="0" w:firstLineChars="0"/>
        <w:rPr>
          <w:rFonts w:ascii="宋体" w:hAnsi="宋体" w:cs="宋体"/>
          <w:b/>
          <w:bCs/>
          <w:szCs w:val="24"/>
        </w:rPr>
      </w:pPr>
      <w:bookmarkStart w:id="71" w:name="_Toc529196536"/>
      <w:bookmarkStart w:id="72" w:name="_Toc515205209"/>
      <w:bookmarkStart w:id="73" w:name="_Toc352691479"/>
      <w:r>
        <w:rPr>
          <w:rFonts w:hint="eastAsia" w:ascii="宋体" w:hAnsi="宋体" w:cs="宋体"/>
          <w:b/>
          <w:bCs/>
          <w:szCs w:val="24"/>
        </w:rPr>
        <w:t>2.3 招标文件的修</w:t>
      </w:r>
      <w:bookmarkStart w:id="74" w:name="_Toc16514"/>
      <w:bookmarkStart w:id="75" w:name="_Toc369531521"/>
      <w:r>
        <w:rPr>
          <w:rFonts w:hint="eastAsia" w:ascii="宋体" w:hAnsi="宋体" w:cs="宋体"/>
          <w:b/>
          <w:bCs/>
          <w:szCs w:val="24"/>
        </w:rPr>
        <w:t>改</w:t>
      </w:r>
      <w:bookmarkEnd w:id="71"/>
      <w:bookmarkEnd w:id="72"/>
    </w:p>
    <w:p>
      <w:pPr>
        <w:pStyle w:val="46"/>
        <w:ind w:firstLine="0" w:firstLineChars="0"/>
        <w:rPr>
          <w:rFonts w:ascii="宋体" w:hAnsi="宋体" w:cs="宋体"/>
          <w:szCs w:val="24"/>
        </w:rPr>
      </w:pPr>
      <w:r>
        <w:rPr>
          <w:rFonts w:hint="eastAsia" w:ascii="宋体" w:hAnsi="宋体" w:cs="宋体"/>
          <w:szCs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73"/>
    <w:bookmarkEnd w:id="74"/>
    <w:bookmarkEnd w:id="75"/>
    <w:p>
      <w:pPr>
        <w:pStyle w:val="46"/>
        <w:ind w:firstLine="0" w:firstLineChars="0"/>
        <w:rPr>
          <w:rFonts w:ascii="宋体" w:hAnsi="宋体" w:cs="宋体"/>
          <w:szCs w:val="24"/>
        </w:rPr>
      </w:pPr>
      <w:r>
        <w:rPr>
          <w:rFonts w:hint="eastAsia" w:ascii="宋体" w:hAnsi="宋体" w:cs="宋体"/>
          <w:szCs w:val="24"/>
        </w:rPr>
        <w:t>2.3.2 投标人收到修改内容</w:t>
      </w:r>
      <w:bookmarkStart w:id="76" w:name="_Toc247513961"/>
      <w:bookmarkStart w:id="77" w:name="_Toc300834958"/>
      <w:bookmarkStart w:id="78" w:name="_Toc144974506"/>
      <w:bookmarkStart w:id="79" w:name="_Toc24632"/>
      <w:bookmarkStart w:id="80" w:name="_Toc361508593"/>
      <w:bookmarkStart w:id="81" w:name="_Toc384308218"/>
      <w:bookmarkStart w:id="82" w:name="_Toc247527562"/>
      <w:bookmarkStart w:id="83" w:name="_Toc352691482"/>
      <w:bookmarkStart w:id="84" w:name="_Toc152042314"/>
      <w:bookmarkStart w:id="85" w:name="_Toc369531524"/>
      <w:bookmarkStart w:id="86" w:name="_Toc152045538"/>
      <w:r>
        <w:rPr>
          <w:rFonts w:hint="eastAsia" w:ascii="宋体" w:hAnsi="宋体" w:cs="宋体"/>
          <w:szCs w:val="24"/>
        </w:rPr>
        <w:t>后，</w:t>
      </w:r>
      <w:bookmarkEnd w:id="76"/>
      <w:bookmarkEnd w:id="77"/>
      <w:bookmarkEnd w:id="78"/>
      <w:bookmarkEnd w:id="79"/>
      <w:bookmarkEnd w:id="80"/>
      <w:bookmarkEnd w:id="81"/>
      <w:bookmarkEnd w:id="82"/>
      <w:bookmarkEnd w:id="83"/>
      <w:bookmarkEnd w:id="84"/>
      <w:bookmarkEnd w:id="85"/>
      <w:bookmarkEnd w:id="86"/>
      <w:bookmarkStart w:id="87" w:name="_Toc384308220"/>
      <w:bookmarkStart w:id="88" w:name="_Toc144974508"/>
      <w:bookmarkStart w:id="89" w:name="_Toc247527564"/>
      <w:bookmarkStart w:id="90" w:name="_Toc247513963"/>
      <w:bookmarkStart w:id="91" w:name="_Toc361508595"/>
      <w:bookmarkStart w:id="92" w:name="_Toc16623"/>
      <w:bookmarkStart w:id="93" w:name="_Toc152045540"/>
      <w:bookmarkStart w:id="94" w:name="_Toc369531526"/>
      <w:bookmarkStart w:id="95" w:name="_Toc152042316"/>
      <w:bookmarkStart w:id="96" w:name="_Toc300834960"/>
      <w:bookmarkStart w:id="97" w:name="_Toc352691484"/>
      <w:r>
        <w:rPr>
          <w:rFonts w:hint="eastAsia" w:ascii="宋体" w:hAnsi="宋体" w:cs="宋体"/>
          <w:szCs w:val="24"/>
        </w:rPr>
        <w:t>应按投标人须知前附表规定的时间和形式通知招标人，确认已收到该修改。</w:t>
      </w:r>
    </w:p>
    <w:p>
      <w:pPr>
        <w:pStyle w:val="46"/>
        <w:ind w:firstLine="0" w:firstLineChars="0"/>
        <w:rPr>
          <w:rFonts w:ascii="宋体" w:hAnsi="宋体" w:cs="宋体"/>
          <w:b/>
          <w:bCs/>
          <w:szCs w:val="24"/>
        </w:rPr>
      </w:pPr>
      <w:bookmarkStart w:id="98" w:name="_Toc515205210"/>
      <w:bookmarkStart w:id="99" w:name="_Toc529196537"/>
      <w:r>
        <w:rPr>
          <w:rFonts w:hint="eastAsia" w:ascii="宋体" w:hAnsi="宋体" w:cs="宋体"/>
          <w:b/>
          <w:bCs/>
          <w:szCs w:val="24"/>
        </w:rPr>
        <w:t>2.</w:t>
      </w:r>
      <w:bookmarkEnd w:id="87"/>
      <w:bookmarkEnd w:id="88"/>
      <w:bookmarkEnd w:id="89"/>
      <w:bookmarkEnd w:id="90"/>
      <w:bookmarkEnd w:id="91"/>
      <w:bookmarkEnd w:id="92"/>
      <w:bookmarkEnd w:id="93"/>
      <w:bookmarkEnd w:id="94"/>
      <w:bookmarkEnd w:id="95"/>
      <w:bookmarkEnd w:id="96"/>
      <w:bookmarkEnd w:id="97"/>
      <w:r>
        <w:rPr>
          <w:rFonts w:hint="eastAsia" w:ascii="宋体" w:hAnsi="宋体" w:cs="宋体"/>
          <w:b/>
          <w:bCs/>
          <w:szCs w:val="24"/>
        </w:rPr>
        <w:t>4 招标文件的异议</w:t>
      </w:r>
      <w:bookmarkEnd w:id="98"/>
      <w:bookmarkEnd w:id="99"/>
    </w:p>
    <w:p>
      <w:pPr>
        <w:pStyle w:val="46"/>
        <w:ind w:firstLine="0" w:firstLineChars="0"/>
        <w:rPr>
          <w:rFonts w:ascii="宋体" w:hAnsi="宋体" w:cs="宋体"/>
          <w:szCs w:val="24"/>
        </w:rPr>
      </w:pPr>
      <w:r>
        <w:rPr>
          <w:rFonts w:hint="eastAsia" w:ascii="宋体" w:hAnsi="宋体" w:cs="宋体"/>
          <w:szCs w:val="24"/>
        </w:rPr>
        <w:t>投标人或者其他利害关系人对招标文件有异议的，应当在投标截止时间10日前以书面形式提出。招标人将在收到异议之日起3日内作出答复；作出答复前，将暂停招标投标活动。</w:t>
      </w:r>
    </w:p>
    <w:p>
      <w:pPr>
        <w:pStyle w:val="46"/>
        <w:ind w:firstLine="0" w:firstLineChars="0"/>
        <w:rPr>
          <w:rFonts w:ascii="宋体" w:hAnsi="宋体" w:cs="宋体"/>
          <w:szCs w:val="24"/>
        </w:rPr>
      </w:pPr>
      <w:r>
        <w:rPr>
          <w:rFonts w:hint="eastAsia" w:ascii="宋体" w:hAnsi="宋体" w:cs="宋体"/>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46"/>
        <w:ind w:firstLine="0" w:firstLineChars="0"/>
        <w:rPr>
          <w:rFonts w:ascii="宋体" w:hAnsi="宋体" w:cs="宋体"/>
          <w:szCs w:val="24"/>
        </w:rPr>
      </w:pPr>
    </w:p>
    <w:p>
      <w:pPr>
        <w:pStyle w:val="91"/>
        <w:rPr>
          <w:rFonts w:ascii="宋体" w:hAnsi="宋体" w:eastAsia="宋体" w:cs="宋体"/>
          <w:sz w:val="24"/>
          <w:szCs w:val="24"/>
        </w:rPr>
      </w:pPr>
      <w:bookmarkStart w:id="100" w:name="_Toc529196538"/>
      <w:bookmarkStart w:id="101" w:name="_Toc199515638"/>
      <w:bookmarkStart w:id="102" w:name="_Toc2297"/>
      <w:bookmarkStart w:id="103" w:name="_Toc23640"/>
      <w:bookmarkStart w:id="104" w:name="_Toc515205211"/>
      <w:r>
        <w:rPr>
          <w:rFonts w:hint="eastAsia" w:ascii="宋体" w:hAnsi="宋体" w:eastAsia="宋体" w:cs="宋体"/>
          <w:sz w:val="24"/>
          <w:szCs w:val="24"/>
        </w:rPr>
        <w:t>3. 投标文件</w:t>
      </w:r>
      <w:bookmarkEnd w:id="100"/>
      <w:bookmarkEnd w:id="101"/>
      <w:bookmarkEnd w:id="102"/>
      <w:bookmarkEnd w:id="103"/>
      <w:bookmarkEnd w:id="104"/>
    </w:p>
    <w:p>
      <w:pPr>
        <w:pStyle w:val="46"/>
        <w:ind w:firstLine="0" w:firstLineChars="0"/>
        <w:rPr>
          <w:rFonts w:ascii="宋体" w:hAnsi="宋体" w:cs="宋体"/>
          <w:b/>
          <w:bCs/>
          <w:szCs w:val="24"/>
        </w:rPr>
      </w:pPr>
      <w:bookmarkStart w:id="105" w:name="_Toc529196539"/>
      <w:bookmarkStart w:id="106" w:name="_Toc515205212"/>
      <w:r>
        <w:rPr>
          <w:rFonts w:hint="eastAsia" w:ascii="宋体" w:hAnsi="宋体" w:cs="宋体"/>
          <w:b/>
          <w:bCs/>
          <w:szCs w:val="24"/>
        </w:rPr>
        <w:t>3.1 投标文件的组成</w:t>
      </w:r>
      <w:bookmarkEnd w:id="105"/>
      <w:bookmarkEnd w:id="106"/>
    </w:p>
    <w:p>
      <w:pPr>
        <w:pStyle w:val="46"/>
        <w:ind w:firstLine="0" w:firstLineChars="0"/>
        <w:rPr>
          <w:rFonts w:ascii="宋体" w:hAnsi="宋体" w:cs="宋体"/>
          <w:szCs w:val="24"/>
        </w:rPr>
      </w:pPr>
      <w:bookmarkStart w:id="107" w:name="_Hlk196399390"/>
      <w:r>
        <w:rPr>
          <w:rFonts w:hint="eastAsia" w:ascii="宋体" w:hAnsi="宋体" w:cs="宋体"/>
          <w:szCs w:val="24"/>
        </w:rPr>
        <w:t>3.1.1 投标文件应包括下列内容：</w:t>
      </w:r>
    </w:p>
    <w:p>
      <w:pPr>
        <w:pStyle w:val="46"/>
        <w:ind w:firstLine="0" w:firstLineChars="0"/>
        <w:rPr>
          <w:rFonts w:ascii="宋体" w:hAnsi="宋体" w:cs="宋体"/>
          <w:szCs w:val="24"/>
        </w:rPr>
      </w:pPr>
      <w:r>
        <w:rPr>
          <w:rFonts w:hint="eastAsia" w:ascii="宋体" w:hAnsi="宋体" w:cs="宋体"/>
          <w:szCs w:val="24"/>
        </w:rPr>
        <w:t>（1）投标函及投标函附录；</w:t>
      </w:r>
    </w:p>
    <w:p>
      <w:pPr>
        <w:pStyle w:val="46"/>
        <w:ind w:firstLine="0" w:firstLineChars="0"/>
        <w:rPr>
          <w:rFonts w:ascii="宋体" w:hAnsi="宋体" w:cs="宋体"/>
          <w:szCs w:val="24"/>
        </w:rPr>
      </w:pPr>
      <w:r>
        <w:rPr>
          <w:rFonts w:hint="eastAsia" w:ascii="宋体" w:hAnsi="宋体" w:cs="宋体"/>
          <w:szCs w:val="24"/>
        </w:rPr>
        <w:t>（2）法定代表人身份证明或授权委托书；</w:t>
      </w:r>
    </w:p>
    <w:p>
      <w:pPr>
        <w:pStyle w:val="46"/>
        <w:ind w:firstLine="0" w:firstLineChars="0"/>
        <w:rPr>
          <w:rFonts w:ascii="宋体" w:hAnsi="宋体" w:cs="宋体"/>
          <w:strike/>
          <w:szCs w:val="24"/>
        </w:rPr>
      </w:pPr>
      <w:r>
        <w:rPr>
          <w:rFonts w:hint="eastAsia" w:ascii="宋体" w:hAnsi="宋体" w:cs="宋体"/>
          <w:strike/>
          <w:szCs w:val="24"/>
        </w:rPr>
        <w:t>（3）联合体协议书；</w:t>
      </w:r>
    </w:p>
    <w:p>
      <w:pPr>
        <w:pStyle w:val="46"/>
        <w:ind w:firstLine="0" w:firstLineChars="0"/>
        <w:rPr>
          <w:rFonts w:ascii="宋体" w:hAnsi="宋体" w:cs="宋体"/>
          <w:strike/>
          <w:szCs w:val="24"/>
        </w:rPr>
      </w:pPr>
      <w:r>
        <w:rPr>
          <w:rFonts w:hint="eastAsia" w:ascii="宋体" w:hAnsi="宋体" w:cs="宋体"/>
          <w:strike/>
          <w:szCs w:val="24"/>
        </w:rPr>
        <w:t>（4）投标保证金</w:t>
      </w:r>
    </w:p>
    <w:p>
      <w:pPr>
        <w:pStyle w:val="46"/>
        <w:ind w:firstLine="0" w:firstLineChars="0"/>
        <w:rPr>
          <w:rFonts w:ascii="宋体" w:hAnsi="宋体" w:cs="宋体"/>
          <w:szCs w:val="24"/>
        </w:rPr>
      </w:pPr>
      <w:r>
        <w:rPr>
          <w:rFonts w:hint="eastAsia" w:ascii="宋体" w:hAnsi="宋体" w:cs="宋体"/>
          <w:szCs w:val="24"/>
        </w:rPr>
        <w:t>（5）监理报酬清单</w:t>
      </w:r>
    </w:p>
    <w:p>
      <w:pPr>
        <w:pStyle w:val="46"/>
        <w:ind w:firstLine="0" w:firstLineChars="0"/>
        <w:rPr>
          <w:rFonts w:ascii="宋体" w:hAnsi="宋体" w:cs="宋体"/>
          <w:szCs w:val="24"/>
        </w:rPr>
      </w:pPr>
      <w:r>
        <w:rPr>
          <w:rFonts w:hint="eastAsia" w:ascii="宋体" w:hAnsi="宋体" w:cs="宋体"/>
          <w:szCs w:val="24"/>
        </w:rPr>
        <w:t>（6）资格审查资料（</w:t>
      </w:r>
      <w:r>
        <w:rPr>
          <w:rFonts w:hint="eastAsia" w:ascii="宋体" w:hAnsi="宋体" w:cs="宋体"/>
          <w:b/>
          <w:szCs w:val="24"/>
          <w:u w:val="single"/>
          <w:lang w:bidi="ar"/>
        </w:rPr>
        <w:t>投标人在投标登记时选择了拟投入本项目的总监理工程师，即已满足“资格审查前，投标人须在广州市住建行业信用管理平台建立了企业信用档案及拟担任本工程总监理工程师须是本企业信用档案中的在册人员”的要求，投标人无需提供证明材料。</w:t>
      </w:r>
      <w:r>
        <w:rPr>
          <w:rFonts w:hint="eastAsia" w:ascii="宋体" w:hAnsi="宋体" w:cs="宋体"/>
          <w:szCs w:val="24"/>
        </w:rPr>
        <w:t xml:space="preserve"> ）</w:t>
      </w:r>
    </w:p>
    <w:p>
      <w:pPr>
        <w:pStyle w:val="46"/>
        <w:ind w:firstLine="0" w:firstLineChars="0"/>
        <w:rPr>
          <w:rFonts w:ascii="宋体" w:hAnsi="宋体" w:cs="宋体"/>
          <w:szCs w:val="24"/>
        </w:rPr>
      </w:pPr>
      <w:r>
        <w:rPr>
          <w:rFonts w:hint="eastAsia" w:ascii="宋体" w:hAnsi="宋体" w:cs="宋体"/>
          <w:szCs w:val="24"/>
        </w:rPr>
        <w:t>（7）监理大纲；</w:t>
      </w:r>
    </w:p>
    <w:p>
      <w:pPr>
        <w:pStyle w:val="46"/>
        <w:ind w:firstLine="0" w:firstLineChars="0"/>
        <w:rPr>
          <w:rFonts w:ascii="宋体" w:hAnsi="宋体" w:cs="宋体"/>
          <w:szCs w:val="24"/>
        </w:rPr>
      </w:pPr>
      <w:r>
        <w:rPr>
          <w:rFonts w:hint="eastAsia" w:ascii="宋体" w:hAnsi="宋体" w:cs="宋体"/>
          <w:szCs w:val="24"/>
        </w:rPr>
        <w:t>（8）投标人须知前附表规定的其他资料；</w:t>
      </w:r>
    </w:p>
    <w:bookmarkEnd w:id="107"/>
    <w:p>
      <w:pPr>
        <w:pStyle w:val="46"/>
        <w:ind w:firstLine="0" w:firstLineChars="0"/>
        <w:rPr>
          <w:rFonts w:ascii="宋体" w:hAnsi="宋体" w:cs="宋体"/>
          <w:szCs w:val="24"/>
        </w:rPr>
      </w:pPr>
      <w:r>
        <w:rPr>
          <w:rFonts w:hint="eastAsia" w:ascii="宋体" w:hAnsi="宋体" w:cs="宋体"/>
          <w:szCs w:val="24"/>
        </w:rPr>
        <w:t>投标人在评标过程中作出的符合法律法规和招标文件规定的澄清确认，构成投标文件的组成部分。</w:t>
      </w:r>
    </w:p>
    <w:p>
      <w:pPr>
        <w:pStyle w:val="46"/>
        <w:ind w:firstLine="0" w:firstLineChars="0"/>
        <w:rPr>
          <w:rFonts w:ascii="宋体" w:hAnsi="宋体" w:cs="宋体"/>
          <w:strike/>
          <w:szCs w:val="24"/>
        </w:rPr>
      </w:pPr>
      <w:r>
        <w:rPr>
          <w:rFonts w:hint="eastAsia" w:ascii="宋体" w:hAnsi="宋体" w:cs="宋体"/>
          <w:strike/>
          <w:szCs w:val="24"/>
        </w:rPr>
        <w:t>3.1.2 投标人须知前附表规定不接受联合体投标的，或投标人没有组成联合体的，投标文件不包括本章第3.1.1（3）目所指的联合体协议书。</w:t>
      </w:r>
    </w:p>
    <w:p>
      <w:pPr>
        <w:pStyle w:val="46"/>
        <w:ind w:firstLine="0" w:firstLineChars="0"/>
        <w:rPr>
          <w:rFonts w:ascii="宋体" w:hAnsi="宋体" w:cs="宋体"/>
          <w:strike/>
          <w:szCs w:val="24"/>
        </w:rPr>
      </w:pPr>
      <w:r>
        <w:rPr>
          <w:rFonts w:hint="eastAsia" w:ascii="宋体" w:hAnsi="宋体" w:cs="宋体"/>
          <w:strike/>
          <w:szCs w:val="24"/>
        </w:rPr>
        <w:t>3.1.3 投标人须知前附表未要求提交投标保证金的，投标文件不包括本章第3.1.1（4）目所指的投标保证金。</w:t>
      </w:r>
    </w:p>
    <w:p>
      <w:pPr>
        <w:pStyle w:val="46"/>
        <w:ind w:firstLine="0" w:firstLineChars="0"/>
        <w:rPr>
          <w:rFonts w:ascii="宋体" w:hAnsi="宋体" w:cs="宋体"/>
          <w:b/>
          <w:bCs/>
          <w:szCs w:val="24"/>
        </w:rPr>
      </w:pPr>
      <w:bookmarkStart w:id="108" w:name="_Toc514876754"/>
      <w:bookmarkStart w:id="109" w:name="_Toc529196540"/>
      <w:bookmarkStart w:id="110" w:name="_Toc515205213"/>
      <w:r>
        <w:rPr>
          <w:rFonts w:hint="eastAsia" w:ascii="宋体" w:hAnsi="宋体" w:cs="宋体"/>
          <w:b/>
          <w:bCs/>
          <w:szCs w:val="24"/>
        </w:rPr>
        <w:t>3.2 投标报价</w:t>
      </w:r>
      <w:bookmarkEnd w:id="108"/>
      <w:bookmarkEnd w:id="109"/>
      <w:bookmarkEnd w:id="110"/>
    </w:p>
    <w:p>
      <w:pPr>
        <w:pStyle w:val="46"/>
        <w:ind w:firstLine="0" w:firstLineChars="0"/>
        <w:rPr>
          <w:rFonts w:ascii="宋体" w:hAnsi="宋体" w:cs="宋体"/>
          <w:szCs w:val="24"/>
        </w:rPr>
      </w:pPr>
      <w:r>
        <w:rPr>
          <w:rFonts w:hint="eastAsia" w:ascii="宋体" w:hAnsi="宋体" w:cs="宋体"/>
          <w:szCs w:val="24"/>
        </w:rPr>
        <w:t>3.2.1 投标报价应包括国家规定的增值税税金，除投标人须知前附表另有规定外，增值税税金按一般计税方法计算。投标人应按第六章“投标文件格式”的要求在投标函中进行报价并填写监理报酬清单。</w:t>
      </w:r>
    </w:p>
    <w:p>
      <w:pPr>
        <w:pStyle w:val="46"/>
        <w:ind w:firstLine="0" w:firstLineChars="0"/>
        <w:rPr>
          <w:rFonts w:ascii="宋体" w:hAnsi="宋体" w:cs="宋体"/>
          <w:szCs w:val="24"/>
        </w:rPr>
      </w:pPr>
      <w:r>
        <w:rPr>
          <w:rFonts w:hint="eastAsia" w:ascii="宋体" w:hAnsi="宋体" w:cs="宋体"/>
          <w:szCs w:val="24"/>
        </w:rPr>
        <w:t>3.2.2 投标人应充分了解该项目的总体情况以及影响投标报价的其他要素。</w:t>
      </w:r>
    </w:p>
    <w:p>
      <w:pPr>
        <w:pStyle w:val="46"/>
        <w:ind w:firstLine="0" w:firstLineChars="0"/>
        <w:rPr>
          <w:rFonts w:ascii="宋体" w:hAnsi="宋体" w:cs="宋体"/>
          <w:szCs w:val="24"/>
        </w:rPr>
      </w:pPr>
      <w:r>
        <w:rPr>
          <w:rFonts w:hint="eastAsia" w:ascii="宋体" w:hAnsi="宋体" w:cs="宋体"/>
          <w:szCs w:val="24"/>
        </w:rPr>
        <w:t>3.2.3本项目的报价方式见投标人须知前附表。投标人在投标截止时间前修改投标函中的投标报价总额，应同时修改投标文件“监理报酬清单”中的相应报价。此修改须符合本章第 4.3 款的有关要求。</w:t>
      </w:r>
    </w:p>
    <w:p>
      <w:pPr>
        <w:pStyle w:val="46"/>
        <w:ind w:firstLine="0" w:firstLineChars="0"/>
        <w:rPr>
          <w:rFonts w:ascii="宋体" w:hAnsi="宋体" w:cs="宋体"/>
          <w:szCs w:val="24"/>
        </w:rPr>
      </w:pPr>
      <w:r>
        <w:rPr>
          <w:rFonts w:hint="eastAsia" w:ascii="宋体" w:hAnsi="宋体" w:cs="宋体"/>
          <w:szCs w:val="24"/>
        </w:rPr>
        <w:t>3.2.4．招标人设有最高投标限价的，投标人的投标报价不得超过最高投标限价，最高投标限价在投标人须知前附表中载明。</w:t>
      </w:r>
    </w:p>
    <w:p>
      <w:pPr>
        <w:pStyle w:val="46"/>
        <w:ind w:firstLine="0" w:firstLineChars="0"/>
        <w:rPr>
          <w:rFonts w:ascii="宋体" w:hAnsi="宋体" w:cs="宋体"/>
          <w:szCs w:val="24"/>
        </w:rPr>
      </w:pPr>
      <w:r>
        <w:rPr>
          <w:rFonts w:hint="eastAsia" w:ascii="宋体" w:hAnsi="宋体" w:cs="宋体"/>
          <w:szCs w:val="24"/>
        </w:rPr>
        <w:t>3.2.5 投标报价的其他要求见投标人须知前附表3.2.5。</w:t>
      </w:r>
    </w:p>
    <w:p>
      <w:pPr>
        <w:pStyle w:val="46"/>
        <w:ind w:firstLine="0" w:firstLineChars="0"/>
        <w:rPr>
          <w:rFonts w:ascii="宋体" w:hAnsi="宋体" w:cs="宋体"/>
          <w:b/>
          <w:bCs/>
          <w:szCs w:val="24"/>
        </w:rPr>
      </w:pPr>
      <w:bookmarkStart w:id="111" w:name="_Toc529196541"/>
      <w:bookmarkStart w:id="112" w:name="_Toc515205214"/>
      <w:r>
        <w:rPr>
          <w:rFonts w:hint="eastAsia" w:ascii="宋体" w:hAnsi="宋体" w:cs="宋体"/>
          <w:b/>
          <w:bCs/>
          <w:szCs w:val="24"/>
        </w:rPr>
        <w:t>3.3 投标有效期</w:t>
      </w:r>
      <w:bookmarkEnd w:id="111"/>
      <w:bookmarkEnd w:id="112"/>
    </w:p>
    <w:p>
      <w:pPr>
        <w:pStyle w:val="46"/>
        <w:ind w:firstLine="0" w:firstLineChars="0"/>
        <w:rPr>
          <w:rFonts w:ascii="宋体" w:hAnsi="宋体" w:cs="宋体"/>
          <w:szCs w:val="24"/>
        </w:rPr>
      </w:pPr>
      <w:r>
        <w:rPr>
          <w:rFonts w:hint="eastAsia" w:ascii="宋体" w:hAnsi="宋体" w:cs="宋体"/>
          <w:szCs w:val="24"/>
        </w:rPr>
        <w:t>3.3.1 除投标人须知前附表另有规定外，投标有效期为120天。</w:t>
      </w:r>
    </w:p>
    <w:p>
      <w:pPr>
        <w:pStyle w:val="46"/>
        <w:ind w:firstLine="0" w:firstLineChars="0"/>
        <w:rPr>
          <w:rFonts w:ascii="宋体" w:hAnsi="宋体" w:cs="宋体"/>
          <w:szCs w:val="24"/>
        </w:rPr>
      </w:pPr>
      <w:r>
        <w:rPr>
          <w:rFonts w:hint="eastAsia" w:ascii="宋体" w:hAnsi="宋体" w:cs="宋体"/>
          <w:szCs w:val="24"/>
        </w:rPr>
        <w:t>3.3.2 在投标有效期内，投标人撤销投标文件的，应承担招标文件和法律规定的责任。</w:t>
      </w:r>
    </w:p>
    <w:p>
      <w:pPr>
        <w:pStyle w:val="46"/>
        <w:ind w:firstLine="0" w:firstLineChars="0"/>
        <w:rPr>
          <w:rFonts w:ascii="宋体" w:hAnsi="宋体" w:cs="宋体"/>
          <w:szCs w:val="24"/>
        </w:rPr>
      </w:pPr>
      <w:r>
        <w:rPr>
          <w:rFonts w:hint="eastAsia" w:ascii="宋体" w:hAnsi="宋体" w:cs="宋体"/>
          <w:szCs w:val="24"/>
        </w:rPr>
        <w:t>3.3.3 出现特殊情况需要延长投标有效期的，招标人以书面形式通知所有投标人延长投标有效期。投标人应予以书面答复，同意延长的，</w:t>
      </w:r>
      <w:r>
        <w:rPr>
          <w:rFonts w:hint="eastAsia" w:ascii="宋体" w:hAnsi="宋体" w:cs="宋体"/>
          <w:strike/>
          <w:szCs w:val="24"/>
        </w:rPr>
        <w:t>应相应延长其投标保证金的有效期，但</w:t>
      </w:r>
      <w:r>
        <w:rPr>
          <w:rFonts w:hint="eastAsia" w:ascii="宋体" w:hAnsi="宋体" w:cs="宋体"/>
          <w:szCs w:val="24"/>
        </w:rPr>
        <w:t>不得要求或被允许修改其投标文件；投标人拒绝延长的，其投标失效</w:t>
      </w:r>
      <w:r>
        <w:rPr>
          <w:rFonts w:hint="eastAsia" w:ascii="宋体" w:hAnsi="宋体" w:cs="宋体"/>
          <w:strike/>
          <w:szCs w:val="24"/>
        </w:rPr>
        <w:t>，但投标人有权收回其投标保证金及以现金或者支票形式递交的投标保证金的银行同期存款利息</w:t>
      </w:r>
      <w:r>
        <w:rPr>
          <w:rFonts w:hint="eastAsia" w:ascii="宋体" w:hAnsi="宋体" w:cs="宋体"/>
          <w:szCs w:val="24"/>
        </w:rPr>
        <w:t>。</w:t>
      </w:r>
    </w:p>
    <w:p>
      <w:pPr>
        <w:pStyle w:val="46"/>
        <w:ind w:firstLine="0" w:firstLineChars="0"/>
        <w:rPr>
          <w:rFonts w:ascii="宋体" w:hAnsi="宋体" w:cs="宋体"/>
          <w:b/>
          <w:bCs/>
          <w:szCs w:val="24"/>
        </w:rPr>
      </w:pPr>
      <w:bookmarkStart w:id="113" w:name="_Toc515205215"/>
      <w:bookmarkStart w:id="114" w:name="_Toc529196542"/>
      <w:r>
        <w:rPr>
          <w:rFonts w:hint="eastAsia" w:ascii="宋体" w:hAnsi="宋体" w:cs="宋体"/>
          <w:b/>
          <w:bCs/>
          <w:szCs w:val="24"/>
        </w:rPr>
        <w:t>3.4 投标保证金</w:t>
      </w:r>
      <w:bookmarkEnd w:id="113"/>
      <w:bookmarkEnd w:id="114"/>
      <w:r>
        <w:rPr>
          <w:rFonts w:hint="eastAsia" w:ascii="宋体" w:hAnsi="宋体" w:cs="宋体"/>
          <w:b/>
          <w:bCs/>
          <w:szCs w:val="24"/>
        </w:rPr>
        <w:t>（本项目不需要缴纳投标保证金）</w:t>
      </w:r>
    </w:p>
    <w:p>
      <w:pPr>
        <w:pStyle w:val="46"/>
        <w:ind w:firstLine="0" w:firstLineChars="0"/>
        <w:rPr>
          <w:rFonts w:ascii="宋体" w:hAnsi="宋体" w:cs="宋体"/>
          <w:strike/>
          <w:szCs w:val="24"/>
        </w:rPr>
      </w:pPr>
      <w:r>
        <w:rPr>
          <w:rFonts w:hint="eastAsia" w:ascii="宋体" w:hAnsi="宋体" w:cs="宋体"/>
          <w:strike/>
          <w:szCs w:val="24"/>
        </w:rPr>
        <w:t>3.4.1 投标人在递交投标文件的同时，应按投标人须知前附表规定的金额</w:t>
      </w:r>
      <w:bookmarkStart w:id="115" w:name="_Toc144974513"/>
      <w:bookmarkStart w:id="116" w:name="_Toc352691489"/>
      <w:bookmarkStart w:id="117" w:name="_Toc152042321"/>
      <w:bookmarkStart w:id="118" w:name="_Toc4592"/>
      <w:bookmarkStart w:id="119" w:name="_Toc152045545"/>
      <w:bookmarkStart w:id="120" w:name="_Toc300834966"/>
      <w:bookmarkStart w:id="121" w:name="_Toc361508601"/>
      <w:bookmarkStart w:id="122" w:name="_Toc247527570"/>
      <w:bookmarkStart w:id="123" w:name="_Toc247513969"/>
      <w:bookmarkStart w:id="124" w:name="_Toc384308226"/>
      <w:bookmarkStart w:id="125" w:name="_Toc369531532"/>
      <w:r>
        <w:rPr>
          <w:rFonts w:hint="eastAsia" w:ascii="宋体" w:hAnsi="宋体" w:cs="宋体"/>
          <w:strike/>
          <w:szCs w:val="24"/>
        </w:rPr>
        <w:t>、形式和第六章“投标文</w:t>
      </w:r>
      <w:bookmarkEnd w:id="115"/>
      <w:bookmarkEnd w:id="116"/>
      <w:bookmarkEnd w:id="117"/>
      <w:bookmarkEnd w:id="118"/>
      <w:bookmarkEnd w:id="119"/>
      <w:bookmarkEnd w:id="120"/>
      <w:bookmarkEnd w:id="121"/>
      <w:bookmarkEnd w:id="122"/>
      <w:bookmarkEnd w:id="123"/>
      <w:bookmarkEnd w:id="124"/>
      <w:bookmarkEnd w:id="125"/>
      <w:r>
        <w:rPr>
          <w:rFonts w:hint="eastAsia" w:ascii="宋体" w:hAnsi="宋体" w:cs="宋体"/>
          <w:strike/>
          <w:szCs w:val="24"/>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46"/>
        <w:ind w:firstLine="0" w:firstLineChars="0"/>
        <w:rPr>
          <w:rFonts w:ascii="宋体" w:hAnsi="宋体" w:cs="宋体"/>
          <w:strike/>
          <w:szCs w:val="24"/>
        </w:rPr>
      </w:pPr>
      <w:r>
        <w:rPr>
          <w:rFonts w:hint="eastAsia" w:ascii="宋体" w:hAnsi="宋体" w:cs="宋体"/>
          <w:strike/>
          <w:szCs w:val="24"/>
        </w:rPr>
        <w:t>3.4.2 投标人不按本章第3.4.1项</w:t>
      </w:r>
      <w:bookmarkStart w:id="126" w:name="_Toc29025"/>
      <w:bookmarkStart w:id="127" w:name="_Toc384308227"/>
      <w:bookmarkStart w:id="128" w:name="_Toc352691490"/>
      <w:bookmarkStart w:id="129" w:name="_Toc369531533"/>
      <w:bookmarkStart w:id="130" w:name="_Toc361508602"/>
      <w:r>
        <w:rPr>
          <w:rFonts w:hint="eastAsia" w:ascii="宋体" w:hAnsi="宋体" w:cs="宋体"/>
          <w:strike/>
          <w:szCs w:val="24"/>
        </w:rPr>
        <w:t>要求提交投标保证金的，</w:t>
      </w:r>
      <w:bookmarkEnd w:id="126"/>
      <w:bookmarkEnd w:id="127"/>
      <w:bookmarkEnd w:id="128"/>
      <w:bookmarkEnd w:id="129"/>
      <w:bookmarkEnd w:id="130"/>
      <w:r>
        <w:rPr>
          <w:rFonts w:hint="eastAsia" w:ascii="宋体" w:hAnsi="宋体" w:cs="宋体"/>
          <w:strike/>
          <w:szCs w:val="24"/>
        </w:rPr>
        <w:t>评标委员会将否决其投标。</w:t>
      </w:r>
    </w:p>
    <w:p>
      <w:pPr>
        <w:pStyle w:val="46"/>
        <w:ind w:firstLine="0" w:firstLineChars="0"/>
        <w:rPr>
          <w:rFonts w:ascii="宋体" w:hAnsi="宋体" w:cs="宋体"/>
          <w:szCs w:val="24"/>
        </w:rPr>
      </w:pPr>
      <w:r>
        <w:rPr>
          <w:rFonts w:hint="eastAsia" w:ascii="宋体" w:hAnsi="宋体" w:cs="宋体"/>
          <w:strike/>
          <w:szCs w:val="24"/>
        </w:rPr>
        <w:t>3.4.3 招标人最迟将在与中标人</w:t>
      </w:r>
      <w:bookmarkStart w:id="131" w:name="_Toc300834967"/>
      <w:bookmarkStart w:id="132" w:name="_Toc369531534"/>
      <w:bookmarkStart w:id="133" w:name="_Toc152045546"/>
      <w:bookmarkStart w:id="134" w:name="_Toc14751"/>
      <w:bookmarkStart w:id="135" w:name="_Toc352691491"/>
      <w:bookmarkStart w:id="136" w:name="_Toc247527571"/>
      <w:bookmarkStart w:id="137" w:name="_Toc144974514"/>
      <w:bookmarkStart w:id="138" w:name="_Toc247513970"/>
      <w:bookmarkStart w:id="139" w:name="_Toc384308228"/>
      <w:bookmarkStart w:id="140" w:name="_Toc361508603"/>
      <w:bookmarkStart w:id="141" w:name="_Toc152042322"/>
      <w:r>
        <w:rPr>
          <w:rFonts w:hint="eastAsia" w:ascii="宋体" w:hAnsi="宋体" w:cs="宋体"/>
          <w:strike/>
          <w:szCs w:val="24"/>
        </w:rPr>
        <w:t>签订合同后5日</w:t>
      </w:r>
      <w:bookmarkEnd w:id="131"/>
      <w:bookmarkEnd w:id="132"/>
      <w:bookmarkEnd w:id="133"/>
      <w:bookmarkEnd w:id="134"/>
      <w:bookmarkEnd w:id="135"/>
      <w:bookmarkEnd w:id="136"/>
      <w:bookmarkEnd w:id="137"/>
      <w:bookmarkEnd w:id="138"/>
      <w:bookmarkEnd w:id="139"/>
      <w:bookmarkEnd w:id="140"/>
      <w:bookmarkEnd w:id="141"/>
      <w:r>
        <w:rPr>
          <w:rFonts w:hint="eastAsia" w:ascii="宋体" w:hAnsi="宋体" w:cs="宋体"/>
          <w:strike/>
          <w:szCs w:val="24"/>
        </w:rPr>
        <w:t>内</w:t>
      </w:r>
      <w:bookmarkStart w:id="142" w:name="_Toc247513971"/>
      <w:bookmarkStart w:id="143" w:name="_Toc152042323"/>
      <w:bookmarkStart w:id="144" w:name="_Toc247527572"/>
      <w:bookmarkStart w:id="145" w:name="_Toc384308229"/>
      <w:bookmarkStart w:id="146" w:name="_Toc352691492"/>
      <w:bookmarkStart w:id="147" w:name="_Toc361508604"/>
      <w:bookmarkStart w:id="148" w:name="_Toc369531535"/>
      <w:bookmarkStart w:id="149" w:name="_Toc144974515"/>
      <w:bookmarkStart w:id="150" w:name="_Toc17952"/>
      <w:bookmarkStart w:id="151" w:name="_Toc300834968"/>
      <w:bookmarkStart w:id="152" w:name="_Toc152045547"/>
      <w:r>
        <w:rPr>
          <w:rFonts w:hint="eastAsia" w:ascii="宋体" w:hAnsi="宋体" w:cs="宋体"/>
          <w:strike/>
          <w:szCs w:val="24"/>
        </w:rPr>
        <w:t>，向未中标的投标人和中</w:t>
      </w:r>
      <w:bookmarkEnd w:id="142"/>
      <w:bookmarkEnd w:id="143"/>
      <w:bookmarkEnd w:id="144"/>
      <w:bookmarkEnd w:id="145"/>
      <w:bookmarkEnd w:id="146"/>
      <w:bookmarkEnd w:id="147"/>
      <w:bookmarkEnd w:id="148"/>
      <w:bookmarkEnd w:id="149"/>
      <w:bookmarkEnd w:id="150"/>
      <w:bookmarkEnd w:id="151"/>
      <w:bookmarkEnd w:id="152"/>
      <w:r>
        <w:rPr>
          <w:rFonts w:hint="eastAsia" w:ascii="宋体" w:hAnsi="宋体" w:cs="宋体"/>
          <w:strike/>
          <w:szCs w:val="24"/>
        </w:rPr>
        <w:t>标人退还投标保证金。投标保证金以现金或者支票形式递交的，还应退还银行同期存款利息</w:t>
      </w:r>
      <w:r>
        <w:rPr>
          <w:rFonts w:hint="eastAsia" w:ascii="宋体" w:hAnsi="宋体" w:cs="宋体"/>
          <w:szCs w:val="24"/>
        </w:rPr>
        <w:t>。</w:t>
      </w:r>
    </w:p>
    <w:p>
      <w:pPr>
        <w:pStyle w:val="46"/>
        <w:ind w:firstLine="0" w:firstLineChars="0"/>
        <w:rPr>
          <w:rFonts w:ascii="宋体" w:hAnsi="宋体" w:cs="宋体"/>
          <w:strike/>
          <w:szCs w:val="24"/>
        </w:rPr>
      </w:pPr>
      <w:r>
        <w:rPr>
          <w:rFonts w:hint="eastAsia" w:ascii="宋体" w:hAnsi="宋体" w:cs="宋体"/>
          <w:strike/>
          <w:szCs w:val="24"/>
        </w:rPr>
        <w:t>3.4.4 有下列情形之一的，投标保证金将不予退还：</w:t>
      </w:r>
    </w:p>
    <w:p>
      <w:pPr>
        <w:pStyle w:val="46"/>
        <w:ind w:firstLine="0" w:firstLineChars="0"/>
        <w:rPr>
          <w:rFonts w:ascii="宋体" w:hAnsi="宋体" w:cs="宋体"/>
          <w:strike/>
          <w:szCs w:val="24"/>
        </w:rPr>
      </w:pPr>
      <w:r>
        <w:rPr>
          <w:rFonts w:hint="eastAsia" w:ascii="宋体" w:hAnsi="宋体" w:cs="宋体"/>
          <w:strike/>
          <w:szCs w:val="24"/>
        </w:rPr>
        <w:t>（1）投标人在投标有效期内撤销投标文件；</w:t>
      </w:r>
    </w:p>
    <w:p>
      <w:pPr>
        <w:pStyle w:val="46"/>
        <w:ind w:firstLine="0" w:firstLineChars="0"/>
        <w:rPr>
          <w:rFonts w:ascii="宋体" w:hAnsi="宋体" w:cs="宋体"/>
          <w:strike/>
          <w:szCs w:val="24"/>
        </w:rPr>
      </w:pPr>
      <w:r>
        <w:rPr>
          <w:rFonts w:hint="eastAsia" w:ascii="宋体" w:hAnsi="宋体" w:cs="宋体"/>
          <w:strike/>
          <w:szCs w:val="24"/>
        </w:rPr>
        <w:t>（2）中标人在收到中标通知书后，无正当理由不与招标人订立合同，在签订合同时向招标人提出附加条件，或者不按照招标文件要求提交履约保证金；</w:t>
      </w:r>
    </w:p>
    <w:p>
      <w:pPr>
        <w:pStyle w:val="46"/>
        <w:ind w:firstLine="0" w:firstLineChars="0"/>
        <w:rPr>
          <w:rFonts w:ascii="宋体" w:hAnsi="宋体" w:cs="宋体"/>
          <w:szCs w:val="24"/>
        </w:rPr>
      </w:pPr>
      <w:r>
        <w:rPr>
          <w:rFonts w:hint="eastAsia" w:ascii="宋体" w:hAnsi="宋体" w:cs="宋体"/>
          <w:strike/>
          <w:szCs w:val="24"/>
        </w:rPr>
        <w:t>（3）发生投标人须知前附表规定的其他可以不予退还投标保证金的情形。</w:t>
      </w:r>
    </w:p>
    <w:p>
      <w:pPr>
        <w:pStyle w:val="46"/>
        <w:ind w:firstLine="0" w:firstLineChars="0"/>
        <w:rPr>
          <w:rFonts w:ascii="宋体" w:hAnsi="宋体" w:cs="宋体"/>
          <w:b/>
          <w:bCs/>
          <w:strike/>
          <w:szCs w:val="24"/>
        </w:rPr>
      </w:pPr>
      <w:bookmarkStart w:id="153" w:name="_Toc515205216"/>
      <w:bookmarkStart w:id="154" w:name="_Toc529196543"/>
      <w:r>
        <w:rPr>
          <w:rFonts w:hint="eastAsia" w:ascii="宋体" w:hAnsi="宋体" w:cs="宋体"/>
          <w:b/>
          <w:bCs/>
          <w:strike/>
          <w:szCs w:val="24"/>
        </w:rPr>
        <w:t>3.5 资格审查资料（适用于已进行资格预审的）</w:t>
      </w:r>
      <w:bookmarkEnd w:id="153"/>
      <w:bookmarkEnd w:id="154"/>
    </w:p>
    <w:p>
      <w:pPr>
        <w:pStyle w:val="46"/>
        <w:ind w:firstLine="0" w:firstLineChars="0"/>
        <w:rPr>
          <w:rFonts w:ascii="宋体" w:hAnsi="宋体" w:cs="宋体"/>
          <w:strike/>
          <w:szCs w:val="24"/>
        </w:rPr>
      </w:pPr>
      <w:r>
        <w:rPr>
          <w:rFonts w:hint="eastAsia" w:ascii="宋体" w:hAnsi="宋体" w:cs="宋体"/>
          <w:strike/>
          <w:szCs w:val="24"/>
        </w:rPr>
        <w:t>投标人在递交投标文件前，发生可能影响其投标资格的新情况的，应更新或补充其在申请资格预审时提供的资料，以证实其各项资格条件仍能继续满足资格预审文件的要求，且没有实质性降低。</w:t>
      </w:r>
    </w:p>
    <w:p>
      <w:pPr>
        <w:pStyle w:val="46"/>
        <w:ind w:firstLine="0" w:firstLineChars="0"/>
        <w:rPr>
          <w:rFonts w:ascii="宋体" w:hAnsi="宋体" w:cs="宋体"/>
          <w:b/>
          <w:bCs/>
          <w:szCs w:val="24"/>
        </w:rPr>
      </w:pPr>
      <w:bookmarkStart w:id="155" w:name="_Toc529196544"/>
      <w:bookmarkStart w:id="156" w:name="_Toc515205217"/>
      <w:r>
        <w:rPr>
          <w:rFonts w:hint="eastAsia" w:ascii="宋体" w:hAnsi="宋体" w:cs="宋体"/>
          <w:b/>
          <w:bCs/>
          <w:szCs w:val="24"/>
        </w:rPr>
        <w:t>3.5 资格审查资料（适用于未进行资格预审的）</w:t>
      </w:r>
      <w:bookmarkEnd w:id="155"/>
      <w:bookmarkEnd w:id="156"/>
    </w:p>
    <w:p>
      <w:pPr>
        <w:pStyle w:val="46"/>
        <w:ind w:firstLine="0" w:firstLineChars="0"/>
        <w:rPr>
          <w:rFonts w:ascii="宋体" w:hAnsi="宋体" w:cs="宋体"/>
          <w:szCs w:val="24"/>
        </w:rPr>
      </w:pPr>
      <w:r>
        <w:rPr>
          <w:rFonts w:hint="eastAsia" w:ascii="宋体" w:hAnsi="宋体" w:cs="宋体"/>
          <w:szCs w:val="24"/>
        </w:rPr>
        <w:t>除投标人须知前附表另有规定外，投标人应按下列规定提供资格审查资料，以证明其满足本章第 1.4 款规定的资质、财务、业绩、信誉等要求。</w:t>
      </w:r>
    </w:p>
    <w:p>
      <w:pPr>
        <w:pStyle w:val="46"/>
        <w:ind w:firstLine="0" w:firstLineChars="0"/>
        <w:rPr>
          <w:rFonts w:ascii="宋体" w:hAnsi="宋体" w:cs="宋体"/>
          <w:szCs w:val="24"/>
        </w:rPr>
      </w:pPr>
      <w:r>
        <w:rPr>
          <w:rFonts w:hint="eastAsia" w:ascii="宋体" w:hAnsi="宋体" w:cs="宋体"/>
          <w:szCs w:val="24"/>
        </w:rPr>
        <w:t>3.5.1 “投标人基本情况表”应附投标人营业执照</w:t>
      </w:r>
      <w:r>
        <w:rPr>
          <w:rFonts w:hint="eastAsia" w:ascii="宋体" w:hAnsi="宋体" w:cs="宋体"/>
          <w:strike/>
          <w:szCs w:val="24"/>
        </w:rPr>
        <w:t>和组织机构代码证</w:t>
      </w:r>
      <w:r>
        <w:rPr>
          <w:rFonts w:hint="eastAsia" w:ascii="宋体" w:hAnsi="宋体" w:cs="宋体"/>
          <w:szCs w:val="24"/>
        </w:rPr>
        <w:t>的扫描件（按照“三证合一”或“五证合一”登记制度进行登记的，可仅提供营业执照扫描件）、投标人监理资质证书副本等材料的扫描件。</w:t>
      </w:r>
    </w:p>
    <w:p>
      <w:pPr>
        <w:pStyle w:val="46"/>
        <w:ind w:firstLine="0" w:firstLineChars="0"/>
        <w:rPr>
          <w:rFonts w:ascii="宋体" w:hAnsi="宋体" w:cs="宋体"/>
          <w:strike/>
          <w:szCs w:val="24"/>
        </w:rPr>
      </w:pPr>
      <w:r>
        <w:rPr>
          <w:rFonts w:hint="eastAsia" w:ascii="宋体" w:hAnsi="宋体" w:cs="宋体"/>
          <w:strike/>
          <w:szCs w:val="24"/>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pStyle w:val="46"/>
        <w:ind w:firstLine="0" w:firstLineChars="0"/>
        <w:rPr>
          <w:rFonts w:ascii="宋体" w:hAnsi="宋体" w:cs="宋体"/>
          <w:szCs w:val="24"/>
        </w:rPr>
      </w:pPr>
      <w:r>
        <w:rPr>
          <w:rFonts w:hint="eastAsia" w:ascii="宋体" w:hAnsi="宋体" w:cs="宋体"/>
          <w:szCs w:val="24"/>
        </w:rPr>
        <w:t>3.5.3 “近年完成的类似监理项目情况表”应附中标通知书和（或）合同协议书、委托人出具的证明文件；具体时间要求见投标人须知前附表，每张表格只填写一个项目，并标明序号。</w:t>
      </w:r>
    </w:p>
    <w:p>
      <w:pPr>
        <w:pStyle w:val="46"/>
        <w:ind w:firstLine="0" w:firstLineChars="0"/>
        <w:rPr>
          <w:rFonts w:ascii="宋体" w:hAnsi="宋体" w:cs="宋体"/>
          <w:strike/>
          <w:szCs w:val="24"/>
        </w:rPr>
      </w:pPr>
      <w:r>
        <w:rPr>
          <w:rFonts w:hint="eastAsia" w:ascii="宋体" w:hAnsi="宋体" w:cs="宋体"/>
          <w:strike/>
          <w:szCs w:val="24"/>
        </w:rPr>
        <w:t>3.5.4 “正在监理和新承接的项目情况表”应附中标通知书和（或）合同协议书扫描件。每张表格只填写一个项目，并标明序号。</w:t>
      </w:r>
    </w:p>
    <w:p>
      <w:pPr>
        <w:pStyle w:val="46"/>
        <w:ind w:firstLine="0" w:firstLineChars="0"/>
        <w:rPr>
          <w:rFonts w:ascii="宋体" w:hAnsi="宋体" w:cs="宋体"/>
          <w:strike/>
          <w:szCs w:val="24"/>
        </w:rPr>
      </w:pPr>
      <w:r>
        <w:rPr>
          <w:rFonts w:hint="eastAsia" w:ascii="宋体" w:hAnsi="宋体" w:cs="宋体"/>
          <w:strike/>
          <w:szCs w:val="24"/>
        </w:rPr>
        <w:t>3.5.5 “近年发生的诉讼及仲裁情况”应说明投标人败诉的监理合同的相关情况，并附法院或仲裁机构作出的判决、裁决等有关法律文书扫描件，具体时间要求见投标人须知前附表。</w:t>
      </w:r>
    </w:p>
    <w:p>
      <w:pPr>
        <w:pStyle w:val="46"/>
        <w:ind w:firstLine="0" w:firstLineChars="0"/>
        <w:rPr>
          <w:rFonts w:ascii="宋体" w:hAnsi="宋体" w:cs="宋体"/>
          <w:strike/>
          <w:szCs w:val="24"/>
        </w:rPr>
      </w:pPr>
      <w:r>
        <w:rPr>
          <w:rFonts w:hint="eastAsia" w:ascii="宋体" w:hAnsi="宋体" w:cs="宋体"/>
          <w:szCs w:val="24"/>
        </w:rPr>
        <w:t>3.5.6 “拟委任的主要人员汇总表”应填报满足本章第 1.4.1 项规定的总监理工程师和其他主要人员的相关信息。</w:t>
      </w:r>
      <w:r>
        <w:rPr>
          <w:rFonts w:hint="eastAsia" w:ascii="宋体" w:hAnsi="宋体" w:cs="宋体"/>
          <w:strike/>
          <w:szCs w:val="24"/>
        </w:rPr>
        <w:t>“主要人员简历表”中总监理工程师应附身份证、学历证、职称证、注册监</w:t>
      </w:r>
      <w:bookmarkStart w:id="157" w:name="page28"/>
      <w:bookmarkEnd w:id="157"/>
      <w:r>
        <w:rPr>
          <w:rFonts w:hint="eastAsia" w:ascii="宋体" w:hAnsi="宋体" w:cs="宋体"/>
          <w:strike/>
          <w:szCs w:val="24"/>
        </w:rPr>
        <w:t>理工程师执业证书和社保缴费证明扫描件，管理过的项目业绩须附合同协议书扫描件；其他主要人员应附身份证、学历证、职称证、有关证书和社保缴费证明扫描件。</w:t>
      </w:r>
    </w:p>
    <w:p>
      <w:pPr>
        <w:pStyle w:val="46"/>
        <w:ind w:firstLine="0" w:firstLineChars="0"/>
        <w:rPr>
          <w:rFonts w:ascii="宋体" w:hAnsi="宋体" w:cs="宋体"/>
          <w:strike/>
          <w:szCs w:val="24"/>
        </w:rPr>
      </w:pPr>
      <w:r>
        <w:rPr>
          <w:rFonts w:hint="eastAsia" w:ascii="宋体" w:hAnsi="宋体" w:cs="宋体"/>
          <w:strike/>
          <w:szCs w:val="24"/>
        </w:rPr>
        <w:t>3.5.7 “拟投入本项目的主要试验检测仪器设备表”应填报满足本章第 1.4.1 项规定的试验检测仪器设备。</w:t>
      </w:r>
    </w:p>
    <w:p>
      <w:pPr>
        <w:pStyle w:val="46"/>
        <w:ind w:firstLine="0" w:firstLineChars="0"/>
        <w:rPr>
          <w:rFonts w:ascii="宋体" w:hAnsi="宋体" w:cs="宋体"/>
          <w:strike/>
          <w:szCs w:val="24"/>
        </w:rPr>
      </w:pPr>
      <w:r>
        <w:rPr>
          <w:rFonts w:hint="eastAsia" w:ascii="宋体" w:hAnsi="宋体" w:cs="宋体"/>
          <w:strike/>
          <w:szCs w:val="24"/>
        </w:rPr>
        <w:t>3.5.8 投标人须知前附表规定接受联合体投标的，本章第 3.5.1 项至第 3.5.7 项规定的表格和资料应包括联合体各方相关情况。</w:t>
      </w:r>
    </w:p>
    <w:p>
      <w:pPr>
        <w:pStyle w:val="46"/>
        <w:ind w:firstLine="0" w:firstLineChars="0"/>
        <w:rPr>
          <w:rFonts w:ascii="宋体" w:hAnsi="宋体" w:cs="宋体"/>
          <w:b/>
          <w:bCs/>
          <w:szCs w:val="24"/>
        </w:rPr>
      </w:pPr>
      <w:bookmarkStart w:id="158" w:name="_Toc529196545"/>
      <w:bookmarkStart w:id="159" w:name="_Toc515205218"/>
      <w:r>
        <w:rPr>
          <w:rFonts w:hint="eastAsia" w:ascii="宋体" w:hAnsi="宋体" w:cs="宋体"/>
          <w:b/>
          <w:bCs/>
          <w:szCs w:val="24"/>
        </w:rPr>
        <w:t>3.6 备选投标方案</w:t>
      </w:r>
      <w:bookmarkEnd w:id="158"/>
      <w:bookmarkEnd w:id="159"/>
    </w:p>
    <w:p>
      <w:pPr>
        <w:pStyle w:val="46"/>
        <w:ind w:firstLine="0" w:firstLineChars="0"/>
        <w:rPr>
          <w:rFonts w:ascii="宋体" w:hAnsi="宋体" w:cs="宋体"/>
          <w:szCs w:val="24"/>
        </w:rPr>
      </w:pPr>
      <w:r>
        <w:rPr>
          <w:rFonts w:hint="eastAsia" w:ascii="宋体" w:hAnsi="宋体" w:cs="宋体"/>
          <w:szCs w:val="24"/>
        </w:rPr>
        <w:t>3.6.1 除投标人须知前附表规定允许外，投标人不得递交备选投标方案，否则其投标将被否决。</w:t>
      </w:r>
    </w:p>
    <w:p>
      <w:pPr>
        <w:pStyle w:val="46"/>
        <w:ind w:firstLine="0" w:firstLineChars="0"/>
        <w:rPr>
          <w:rFonts w:ascii="宋体" w:hAnsi="宋体" w:cs="宋体"/>
          <w:szCs w:val="24"/>
        </w:rPr>
      </w:pPr>
      <w:r>
        <w:rPr>
          <w:rFonts w:hint="eastAsia" w:ascii="宋体" w:hAnsi="宋体" w:cs="宋体"/>
          <w:szCs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6"/>
        <w:ind w:firstLine="0" w:firstLineChars="0"/>
        <w:rPr>
          <w:rFonts w:ascii="宋体" w:hAnsi="宋体" w:cs="宋体"/>
          <w:szCs w:val="24"/>
        </w:rPr>
      </w:pPr>
      <w:r>
        <w:rPr>
          <w:rFonts w:hint="eastAsia" w:ascii="宋体" w:hAnsi="宋体" w:cs="宋体"/>
          <w:szCs w:val="24"/>
        </w:rPr>
        <w:t>3.6.3 投标人提供两个或两个以上投标报价，或者在投标文件中提供一个报价，但同时提供两个或两个以上</w:t>
      </w:r>
      <w:bookmarkStart w:id="160" w:name="_Toc361508607"/>
      <w:bookmarkStart w:id="161" w:name="_Toc247513974"/>
      <w:bookmarkStart w:id="162" w:name="_Toc247527575"/>
      <w:bookmarkStart w:id="163" w:name="_Toc384308232"/>
      <w:bookmarkStart w:id="164" w:name="_Toc369531538"/>
      <w:bookmarkStart w:id="165" w:name="_Toc29902"/>
      <w:bookmarkStart w:id="166" w:name="_Toc300834971"/>
      <w:bookmarkStart w:id="167" w:name="_Toc352691495"/>
      <w:bookmarkStart w:id="168" w:name="_Toc152042326"/>
      <w:bookmarkStart w:id="169" w:name="_Toc152045550"/>
      <w:bookmarkStart w:id="170" w:name="_Toc144974518"/>
      <w:r>
        <w:rPr>
          <w:rFonts w:hint="eastAsia" w:ascii="宋体" w:hAnsi="宋体" w:cs="宋体"/>
          <w:szCs w:val="24"/>
        </w:rPr>
        <w:t>监理方案的</w:t>
      </w:r>
      <w:bookmarkEnd w:id="160"/>
      <w:bookmarkEnd w:id="161"/>
      <w:bookmarkEnd w:id="162"/>
      <w:bookmarkEnd w:id="163"/>
      <w:bookmarkEnd w:id="164"/>
      <w:bookmarkEnd w:id="165"/>
      <w:bookmarkEnd w:id="166"/>
      <w:bookmarkEnd w:id="167"/>
      <w:bookmarkEnd w:id="168"/>
      <w:bookmarkEnd w:id="169"/>
      <w:bookmarkEnd w:id="170"/>
      <w:r>
        <w:rPr>
          <w:rFonts w:hint="eastAsia" w:ascii="宋体" w:hAnsi="宋体" w:cs="宋体"/>
          <w:szCs w:val="24"/>
        </w:rPr>
        <w:t>，视为提供备选方案。</w:t>
      </w:r>
    </w:p>
    <w:p>
      <w:pPr>
        <w:pStyle w:val="46"/>
        <w:ind w:firstLine="0" w:firstLineChars="0"/>
        <w:rPr>
          <w:rFonts w:ascii="宋体" w:hAnsi="宋体" w:cs="宋体"/>
          <w:b/>
          <w:bCs/>
          <w:szCs w:val="24"/>
        </w:rPr>
      </w:pPr>
      <w:bookmarkStart w:id="171" w:name="_Toc529196546"/>
      <w:bookmarkStart w:id="172" w:name="_Toc515205219"/>
      <w:r>
        <w:rPr>
          <w:rFonts w:hint="eastAsia" w:ascii="宋体" w:hAnsi="宋体" w:cs="宋体"/>
          <w:b/>
          <w:bCs/>
          <w:szCs w:val="24"/>
        </w:rPr>
        <w:t>3.7 投标文件的编制</w:t>
      </w:r>
      <w:bookmarkEnd w:id="171"/>
      <w:bookmarkEnd w:id="172"/>
    </w:p>
    <w:p>
      <w:pPr>
        <w:pStyle w:val="46"/>
        <w:ind w:firstLine="0" w:firstLineChars="0"/>
        <w:rPr>
          <w:rFonts w:ascii="宋体" w:hAnsi="宋体" w:cs="宋体"/>
          <w:szCs w:val="24"/>
        </w:rPr>
      </w:pPr>
      <w:r>
        <w:rPr>
          <w:rFonts w:hint="eastAsia" w:ascii="宋体" w:hAnsi="宋体" w:cs="宋体"/>
          <w:szCs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pStyle w:val="46"/>
        <w:ind w:firstLine="0" w:firstLineChars="0"/>
        <w:rPr>
          <w:rFonts w:ascii="宋体" w:hAnsi="宋体" w:cs="宋体"/>
          <w:szCs w:val="24"/>
        </w:rPr>
      </w:pPr>
      <w:r>
        <w:rPr>
          <w:rFonts w:hint="eastAsia" w:ascii="宋体" w:hAnsi="宋体" w:cs="宋体"/>
          <w:szCs w:val="24"/>
        </w:rPr>
        <w:t>3.7.2 投标文件应当对招标文件有关监理服务期限、投标有效期、委托人要求、招标范围等实质性内容作出响应。</w:t>
      </w:r>
    </w:p>
    <w:p>
      <w:pPr>
        <w:pStyle w:val="46"/>
        <w:ind w:firstLine="0" w:firstLineChars="0"/>
        <w:rPr>
          <w:rFonts w:ascii="宋体" w:hAnsi="宋体" w:cs="宋体"/>
          <w:strike/>
          <w:szCs w:val="24"/>
        </w:rPr>
      </w:pPr>
      <w:r>
        <w:rPr>
          <w:rFonts w:hint="eastAsia" w:ascii="宋体" w:hAnsi="宋体" w:cs="宋体"/>
          <w:strike/>
          <w:szCs w:val="24"/>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pStyle w:val="46"/>
        <w:ind w:firstLine="0" w:firstLineChars="0"/>
        <w:rPr>
          <w:rFonts w:ascii="宋体" w:hAnsi="宋体" w:cs="宋体"/>
          <w:strike/>
          <w:szCs w:val="24"/>
        </w:rPr>
      </w:pPr>
      <w:r>
        <w:rPr>
          <w:rFonts w:hint="eastAsia" w:ascii="宋体" w:hAnsi="宋体" w:cs="宋体"/>
          <w:strike/>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Style w:val="46"/>
        <w:ind w:firstLine="0" w:firstLineChars="0"/>
        <w:rPr>
          <w:rFonts w:ascii="宋体" w:hAnsi="宋体" w:cs="宋体"/>
          <w:strike/>
          <w:szCs w:val="24"/>
        </w:rPr>
      </w:pPr>
      <w:r>
        <w:rPr>
          <w:rFonts w:hint="eastAsia" w:ascii="宋体" w:hAnsi="宋体" w:cs="宋体"/>
          <w:strike/>
          <w:szCs w:val="24"/>
        </w:rPr>
        <w:t>（3）投标文件的正本与副本应分别装订，并编制目录，投标文件需分册装订的，具体分册装订要求见投标人须知前附表规定。</w:t>
      </w:r>
    </w:p>
    <w:p>
      <w:pPr>
        <w:pStyle w:val="46"/>
        <w:ind w:firstLine="0" w:firstLineChars="0"/>
        <w:rPr>
          <w:rFonts w:ascii="宋体" w:hAnsi="宋体" w:cs="宋体"/>
          <w:szCs w:val="24"/>
        </w:rPr>
      </w:pPr>
      <w:bookmarkStart w:id="173" w:name="_Toc514946914"/>
      <w:r>
        <w:rPr>
          <w:rFonts w:hint="eastAsia" w:ascii="宋体" w:hAnsi="宋体" w:cs="宋体"/>
          <w:szCs w:val="24"/>
        </w:rPr>
        <w:t>3.7.3（B）投标文件全部采用电子文档，除投标人须知前附表另有规定外，投标文件所附证书证件均为原件扫描件，并采用单位和个人数字证书，对投标文件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73"/>
    </w:p>
    <w:p>
      <w:pPr>
        <w:spacing w:after="0" w:line="360" w:lineRule="auto"/>
        <w:rPr>
          <w:rFonts w:ascii="宋体" w:hAnsi="宋体" w:eastAsia="宋体" w:cs="宋体"/>
          <w:sz w:val="24"/>
        </w:rPr>
      </w:pPr>
    </w:p>
    <w:p>
      <w:pPr>
        <w:pStyle w:val="91"/>
        <w:rPr>
          <w:rFonts w:ascii="宋体" w:hAnsi="宋体" w:eastAsia="宋体" w:cs="宋体"/>
          <w:sz w:val="24"/>
          <w:szCs w:val="24"/>
        </w:rPr>
      </w:pPr>
      <w:bookmarkStart w:id="174" w:name="_Toc515205220"/>
      <w:bookmarkStart w:id="175" w:name="_Toc199515639"/>
      <w:bookmarkStart w:id="176" w:name="_Toc529196547"/>
      <w:bookmarkStart w:id="177" w:name="_Toc4813"/>
      <w:bookmarkStart w:id="178" w:name="_Toc27823"/>
      <w:r>
        <w:rPr>
          <w:rFonts w:hint="eastAsia" w:ascii="宋体" w:hAnsi="宋体" w:eastAsia="宋体" w:cs="宋体"/>
          <w:sz w:val="24"/>
          <w:szCs w:val="24"/>
        </w:rPr>
        <w:t>4. 投标</w:t>
      </w:r>
      <w:bookmarkEnd w:id="174"/>
      <w:bookmarkEnd w:id="175"/>
      <w:bookmarkEnd w:id="176"/>
      <w:bookmarkEnd w:id="177"/>
      <w:bookmarkEnd w:id="178"/>
    </w:p>
    <w:p>
      <w:pPr>
        <w:pStyle w:val="46"/>
        <w:ind w:firstLine="0" w:firstLineChars="0"/>
        <w:rPr>
          <w:rFonts w:ascii="宋体" w:hAnsi="宋体" w:cs="宋体"/>
          <w:b/>
          <w:bCs/>
          <w:szCs w:val="24"/>
        </w:rPr>
      </w:pPr>
      <w:bookmarkStart w:id="179" w:name="_Toc515205221"/>
      <w:bookmarkStart w:id="180" w:name="_Toc529196548"/>
      <w:r>
        <w:rPr>
          <w:rFonts w:hint="eastAsia" w:ascii="宋体" w:hAnsi="宋体" w:cs="宋体"/>
          <w:b/>
          <w:bCs/>
          <w:szCs w:val="24"/>
        </w:rPr>
        <w:t>4.1 投标文件的密封和标记</w:t>
      </w:r>
      <w:bookmarkEnd w:id="179"/>
      <w:bookmarkEnd w:id="180"/>
    </w:p>
    <w:p>
      <w:pPr>
        <w:pStyle w:val="46"/>
        <w:ind w:firstLine="0" w:firstLineChars="0"/>
        <w:rPr>
          <w:rFonts w:ascii="宋体" w:hAnsi="宋体" w:cs="宋体"/>
          <w:strike/>
          <w:szCs w:val="24"/>
        </w:rPr>
      </w:pPr>
      <w:r>
        <w:rPr>
          <w:rFonts w:hint="eastAsia" w:ascii="宋体" w:hAnsi="宋体" w:cs="宋体"/>
          <w:strike/>
          <w:szCs w:val="24"/>
        </w:rPr>
        <w:t>4.1.1 （A）投标文件应密封包装，并在封套的封口处加盖投标人单位章或由投标人的法定代表人或其授权的代理人签字。</w:t>
      </w:r>
    </w:p>
    <w:p>
      <w:pPr>
        <w:pStyle w:val="46"/>
        <w:ind w:firstLine="0" w:firstLineChars="0"/>
        <w:rPr>
          <w:rFonts w:ascii="宋体" w:hAnsi="宋体" w:cs="宋体"/>
          <w:szCs w:val="24"/>
        </w:rPr>
      </w:pPr>
      <w:r>
        <w:rPr>
          <w:rFonts w:hint="eastAsia" w:ascii="宋体" w:hAnsi="宋体" w:cs="宋体"/>
          <w:szCs w:val="24"/>
        </w:rPr>
        <w:t>4.1.1 （B）投标人应当按照招标文件和电子招标投标交易平台的要求加密投标文件，具体要求见投标人须知前附表。</w:t>
      </w:r>
    </w:p>
    <w:p>
      <w:pPr>
        <w:pStyle w:val="46"/>
        <w:ind w:firstLine="0" w:firstLineChars="0"/>
        <w:rPr>
          <w:rFonts w:ascii="宋体" w:hAnsi="宋体" w:cs="宋体"/>
          <w:szCs w:val="24"/>
        </w:rPr>
      </w:pPr>
      <w:r>
        <w:rPr>
          <w:rFonts w:hint="eastAsia" w:ascii="宋体" w:hAnsi="宋体" w:cs="宋体"/>
          <w:szCs w:val="24"/>
        </w:rPr>
        <w:t>4.1.2 投标文件封套上应写明的内容见投标人须知前附表。</w:t>
      </w:r>
    </w:p>
    <w:p>
      <w:pPr>
        <w:pStyle w:val="46"/>
        <w:ind w:firstLine="0" w:firstLineChars="0"/>
        <w:rPr>
          <w:rFonts w:ascii="宋体" w:hAnsi="宋体" w:cs="宋体"/>
          <w:szCs w:val="24"/>
        </w:rPr>
      </w:pPr>
      <w:r>
        <w:rPr>
          <w:rFonts w:hint="eastAsia" w:ascii="宋体" w:hAnsi="宋体" w:cs="宋体"/>
          <w:szCs w:val="24"/>
        </w:rPr>
        <w:t>4.1.3 未按本章第4.1.1项要求密封的投标文件，招标人将予以拒收。</w:t>
      </w:r>
    </w:p>
    <w:p>
      <w:pPr>
        <w:pStyle w:val="46"/>
        <w:ind w:firstLine="0" w:firstLineChars="0"/>
        <w:rPr>
          <w:rFonts w:ascii="宋体" w:hAnsi="宋体" w:cs="宋体"/>
          <w:b/>
          <w:bCs/>
          <w:szCs w:val="24"/>
        </w:rPr>
      </w:pPr>
      <w:bookmarkStart w:id="181" w:name="_Toc515205222"/>
      <w:bookmarkStart w:id="182" w:name="_Toc529196549"/>
      <w:r>
        <w:rPr>
          <w:rFonts w:hint="eastAsia" w:ascii="宋体" w:hAnsi="宋体" w:cs="宋体"/>
          <w:b/>
          <w:bCs/>
          <w:szCs w:val="24"/>
        </w:rPr>
        <w:t>4.2 投标文件的递交</w:t>
      </w:r>
      <w:bookmarkEnd w:id="181"/>
      <w:bookmarkEnd w:id="182"/>
    </w:p>
    <w:p>
      <w:pPr>
        <w:pStyle w:val="46"/>
        <w:ind w:firstLine="0" w:firstLineChars="0"/>
        <w:rPr>
          <w:rFonts w:ascii="宋体" w:hAnsi="宋体" w:cs="宋体"/>
          <w:szCs w:val="24"/>
        </w:rPr>
      </w:pPr>
      <w:r>
        <w:rPr>
          <w:rFonts w:hint="eastAsia" w:ascii="宋体" w:hAnsi="宋体" w:cs="宋体"/>
          <w:szCs w:val="24"/>
        </w:rPr>
        <w:t>4.2.1 投标人应在投标人须知前附表规定的投标截止时间前递交投标文件。</w:t>
      </w:r>
    </w:p>
    <w:p>
      <w:pPr>
        <w:pStyle w:val="46"/>
        <w:ind w:firstLine="0" w:firstLineChars="0"/>
        <w:rPr>
          <w:rFonts w:ascii="宋体" w:hAnsi="宋体" w:cs="宋体"/>
          <w:strike/>
          <w:szCs w:val="24"/>
        </w:rPr>
      </w:pPr>
      <w:r>
        <w:rPr>
          <w:rFonts w:hint="eastAsia" w:ascii="宋体" w:hAnsi="宋体" w:cs="宋体"/>
          <w:strike/>
          <w:szCs w:val="24"/>
        </w:rPr>
        <w:t>4.2.2 （A）投标人递交投标文件的地点：见投标人须知前附表。</w:t>
      </w:r>
    </w:p>
    <w:p>
      <w:pPr>
        <w:pStyle w:val="46"/>
        <w:ind w:firstLine="0" w:firstLineChars="0"/>
        <w:rPr>
          <w:rFonts w:ascii="宋体" w:hAnsi="宋体" w:cs="宋体"/>
          <w:szCs w:val="24"/>
        </w:rPr>
      </w:pPr>
      <w:r>
        <w:rPr>
          <w:rFonts w:hint="eastAsia" w:ascii="宋体" w:hAnsi="宋体" w:cs="宋体"/>
          <w:szCs w:val="24"/>
        </w:rPr>
        <w:t>4.2.2 （B）投标人通过下载招标文件的电子招标投标交易平台递交电子投标文件。</w:t>
      </w:r>
    </w:p>
    <w:p>
      <w:pPr>
        <w:pStyle w:val="46"/>
        <w:ind w:firstLine="0" w:firstLineChars="0"/>
        <w:rPr>
          <w:rFonts w:ascii="宋体" w:hAnsi="宋体" w:cs="宋体"/>
          <w:szCs w:val="24"/>
        </w:rPr>
      </w:pPr>
      <w:r>
        <w:rPr>
          <w:rFonts w:hint="eastAsia" w:ascii="宋体" w:hAnsi="宋体" w:cs="宋体"/>
          <w:szCs w:val="24"/>
        </w:rPr>
        <w:t>4.2.3 除投标人须知前附表另有规定外，投标人所递交的投标文件不予退还。</w:t>
      </w:r>
    </w:p>
    <w:p>
      <w:pPr>
        <w:pStyle w:val="46"/>
        <w:ind w:firstLine="0" w:firstLineChars="0"/>
        <w:rPr>
          <w:rFonts w:ascii="宋体" w:hAnsi="宋体" w:cs="宋体"/>
          <w:strike/>
          <w:szCs w:val="24"/>
        </w:rPr>
      </w:pPr>
      <w:r>
        <w:rPr>
          <w:rFonts w:hint="eastAsia" w:ascii="宋体" w:hAnsi="宋体" w:cs="宋体"/>
          <w:strike/>
          <w:szCs w:val="24"/>
        </w:rPr>
        <w:t>4.2.4 （A）招标人收到投标文件后，向投标人出具签收凭证。</w:t>
      </w:r>
    </w:p>
    <w:p>
      <w:pPr>
        <w:pStyle w:val="46"/>
        <w:ind w:firstLine="0" w:firstLineChars="0"/>
        <w:rPr>
          <w:rFonts w:ascii="宋体" w:hAnsi="宋体" w:cs="宋体"/>
          <w:szCs w:val="24"/>
        </w:rPr>
      </w:pPr>
      <w:r>
        <w:rPr>
          <w:rFonts w:hint="eastAsia" w:ascii="宋体" w:hAnsi="宋体" w:cs="宋体"/>
          <w:szCs w:val="24"/>
        </w:rPr>
        <w:t>4.2.4 （B）投标人完成电子投标文件上传后，电子招标投标交易平台即时向投标人发出递交回执通知。递交时间以递交回执通知载明的传输完成时间为准。</w:t>
      </w:r>
    </w:p>
    <w:p>
      <w:pPr>
        <w:pStyle w:val="46"/>
        <w:ind w:firstLine="0" w:firstLineChars="0"/>
        <w:rPr>
          <w:rFonts w:ascii="宋体" w:hAnsi="宋体" w:cs="宋体"/>
          <w:strike/>
          <w:szCs w:val="24"/>
        </w:rPr>
      </w:pPr>
      <w:r>
        <w:rPr>
          <w:rFonts w:hint="eastAsia" w:ascii="宋体" w:hAnsi="宋体" w:cs="宋体"/>
          <w:strike/>
          <w:szCs w:val="24"/>
        </w:rPr>
        <w:t>4.2.5 （A）逾期送达的投标文件，招标人将予以拒收。</w:t>
      </w:r>
    </w:p>
    <w:p>
      <w:pPr>
        <w:pStyle w:val="46"/>
        <w:ind w:firstLine="0" w:firstLineChars="0"/>
        <w:rPr>
          <w:rFonts w:ascii="宋体" w:hAnsi="宋体" w:cs="宋体"/>
          <w:szCs w:val="24"/>
        </w:rPr>
      </w:pPr>
      <w:r>
        <w:rPr>
          <w:rFonts w:hint="eastAsia" w:ascii="宋体" w:hAnsi="宋体" w:cs="宋体"/>
          <w:szCs w:val="24"/>
        </w:rPr>
        <w:t>4.2.5 （B）逾期送达的投标文件，电子招标投标交易平台将予以拒收。</w:t>
      </w:r>
    </w:p>
    <w:p>
      <w:pPr>
        <w:pStyle w:val="46"/>
        <w:ind w:firstLine="0" w:firstLineChars="0"/>
        <w:rPr>
          <w:rFonts w:ascii="宋体" w:hAnsi="宋体" w:cs="宋体"/>
          <w:b/>
          <w:bCs/>
          <w:szCs w:val="24"/>
        </w:rPr>
      </w:pPr>
      <w:bookmarkStart w:id="183" w:name="_Toc529196550"/>
      <w:bookmarkStart w:id="184" w:name="_Toc515205223"/>
      <w:r>
        <w:rPr>
          <w:rFonts w:hint="eastAsia" w:ascii="宋体" w:hAnsi="宋体" w:cs="宋体"/>
          <w:b/>
          <w:bCs/>
          <w:szCs w:val="24"/>
        </w:rPr>
        <w:t>4.3 投标文件的修改与撤回</w:t>
      </w:r>
      <w:bookmarkEnd w:id="183"/>
      <w:bookmarkEnd w:id="184"/>
    </w:p>
    <w:p>
      <w:pPr>
        <w:pStyle w:val="46"/>
        <w:ind w:firstLine="0" w:firstLineChars="0"/>
        <w:rPr>
          <w:rFonts w:ascii="宋体" w:hAnsi="宋体" w:cs="宋体"/>
          <w:szCs w:val="24"/>
        </w:rPr>
      </w:pPr>
      <w:r>
        <w:rPr>
          <w:rFonts w:hint="eastAsia" w:ascii="宋体" w:hAnsi="宋体" w:cs="宋体"/>
          <w:szCs w:val="24"/>
        </w:rPr>
        <w:t>4.3.1 在本章第4.2.1项规定的投标截止时间前，投标人可以修改或撤回已递交的投标文件，但应以书面形式通知招标人。</w:t>
      </w:r>
    </w:p>
    <w:p>
      <w:pPr>
        <w:pStyle w:val="46"/>
        <w:ind w:firstLine="0" w:firstLineChars="0"/>
        <w:rPr>
          <w:rFonts w:ascii="宋体" w:hAnsi="宋体" w:cs="宋体"/>
          <w:strike/>
          <w:szCs w:val="24"/>
        </w:rPr>
      </w:pPr>
      <w:r>
        <w:rPr>
          <w:rFonts w:hint="eastAsia" w:ascii="宋体" w:hAnsi="宋体" w:cs="宋体"/>
          <w:strike/>
          <w:szCs w:val="24"/>
        </w:rPr>
        <w:t>4.3.2 （A）投标人修改或撤回已递交投标文件的书面通知应按照本章第3.7.3（A）项的要求签字或盖章。招标人收到书面通知后，向投标人出具签收凭证。</w:t>
      </w:r>
    </w:p>
    <w:p>
      <w:pPr>
        <w:pStyle w:val="46"/>
        <w:ind w:firstLine="0" w:firstLineChars="0"/>
        <w:rPr>
          <w:rFonts w:ascii="宋体" w:hAnsi="宋体" w:cs="宋体"/>
          <w:szCs w:val="24"/>
        </w:rPr>
      </w:pPr>
      <w:r>
        <w:rPr>
          <w:rFonts w:hint="eastAsia" w:ascii="宋体" w:hAnsi="宋体" w:cs="宋体"/>
          <w:szCs w:val="24"/>
        </w:rPr>
        <w:t>4.3.2 （B）投标人修改或撤回已递交投标文件的通知，应按照本章第3.7.3（B）项的要求加盖电子印章。电子招标投标交易平台收到通知后，即时向投标人发出确认回执通知。</w:t>
      </w:r>
    </w:p>
    <w:p>
      <w:pPr>
        <w:pStyle w:val="46"/>
        <w:ind w:firstLine="0" w:firstLineChars="0"/>
        <w:rPr>
          <w:rFonts w:ascii="宋体" w:hAnsi="宋体" w:cs="宋体"/>
          <w:strike/>
          <w:szCs w:val="24"/>
        </w:rPr>
      </w:pPr>
      <w:r>
        <w:rPr>
          <w:rFonts w:hint="eastAsia" w:ascii="宋体" w:hAnsi="宋体" w:cs="宋体"/>
          <w:strike/>
          <w:szCs w:val="24"/>
        </w:rPr>
        <w:t>4.3.3 投标人撤回投标文件的，招标人自收到投标人书面撤回通知之日起5日内退还已收取的投标保证金。</w:t>
      </w:r>
    </w:p>
    <w:p>
      <w:pPr>
        <w:pStyle w:val="46"/>
        <w:ind w:firstLine="0" w:firstLineChars="0"/>
        <w:rPr>
          <w:rFonts w:ascii="宋体" w:hAnsi="宋体" w:cs="宋体"/>
          <w:szCs w:val="24"/>
        </w:rPr>
      </w:pPr>
      <w:r>
        <w:rPr>
          <w:rFonts w:hint="eastAsia" w:ascii="宋体" w:hAnsi="宋体" w:cs="宋体"/>
          <w:szCs w:val="24"/>
        </w:rPr>
        <w:t>4.3.</w:t>
      </w:r>
      <w:bookmarkStart w:id="185" w:name="_Toc247527578"/>
      <w:bookmarkStart w:id="186" w:name="_Toc300834974"/>
      <w:bookmarkStart w:id="187" w:name="_Toc384308235"/>
      <w:bookmarkStart w:id="188" w:name="_Toc152042329"/>
      <w:bookmarkStart w:id="189" w:name="_Toc361508610"/>
      <w:bookmarkStart w:id="190" w:name="_Toc247513977"/>
      <w:bookmarkStart w:id="191" w:name="_Toc152045553"/>
      <w:bookmarkStart w:id="192" w:name="_Toc352691497"/>
      <w:bookmarkStart w:id="193" w:name="_Toc369531541"/>
      <w:bookmarkStart w:id="194" w:name="_Toc144974521"/>
      <w:bookmarkStart w:id="195" w:name="_Toc19203"/>
      <w:r>
        <w:rPr>
          <w:rFonts w:hint="eastAsia" w:ascii="宋体" w:hAnsi="宋体" w:cs="宋体"/>
          <w:szCs w:val="24"/>
        </w:rPr>
        <w:t>4 修改的内容为投标</w:t>
      </w:r>
      <w:bookmarkEnd w:id="185"/>
      <w:bookmarkEnd w:id="186"/>
      <w:bookmarkEnd w:id="187"/>
      <w:bookmarkEnd w:id="188"/>
      <w:bookmarkEnd w:id="189"/>
      <w:bookmarkEnd w:id="190"/>
      <w:bookmarkEnd w:id="191"/>
      <w:bookmarkEnd w:id="192"/>
      <w:bookmarkEnd w:id="193"/>
      <w:bookmarkEnd w:id="194"/>
      <w:bookmarkEnd w:id="195"/>
      <w:r>
        <w:rPr>
          <w:rFonts w:hint="eastAsia" w:ascii="宋体" w:hAnsi="宋体" w:cs="宋体"/>
          <w:szCs w:val="24"/>
        </w:rPr>
        <w:t>文件的组成部分。修改的投标文件应按照本章第3条、第4条的规定进行编制、密封、标记和递交，并标明“修改”字样。</w:t>
      </w:r>
    </w:p>
    <w:p>
      <w:pPr>
        <w:spacing w:after="0" w:line="360" w:lineRule="auto"/>
        <w:rPr>
          <w:rFonts w:ascii="宋体" w:hAnsi="宋体" w:eastAsia="宋体" w:cs="宋体"/>
          <w:sz w:val="24"/>
        </w:rPr>
      </w:pPr>
    </w:p>
    <w:p>
      <w:pPr>
        <w:pStyle w:val="91"/>
        <w:rPr>
          <w:rFonts w:ascii="宋体" w:hAnsi="宋体" w:eastAsia="宋体" w:cs="宋体"/>
          <w:sz w:val="24"/>
          <w:szCs w:val="24"/>
        </w:rPr>
      </w:pPr>
      <w:bookmarkStart w:id="196" w:name="_Toc8712"/>
      <w:bookmarkStart w:id="197" w:name="_Toc32129"/>
      <w:bookmarkStart w:id="198" w:name="_Toc515205224"/>
      <w:bookmarkStart w:id="199" w:name="_Toc529196551"/>
      <w:bookmarkStart w:id="200" w:name="_Toc199515640"/>
      <w:r>
        <w:rPr>
          <w:rFonts w:hint="eastAsia" w:ascii="宋体" w:hAnsi="宋体" w:eastAsia="宋体" w:cs="宋体"/>
          <w:sz w:val="24"/>
          <w:szCs w:val="24"/>
        </w:rPr>
        <w:t>5. 开标</w:t>
      </w:r>
      <w:bookmarkEnd w:id="196"/>
      <w:bookmarkEnd w:id="197"/>
      <w:bookmarkEnd w:id="198"/>
      <w:bookmarkEnd w:id="199"/>
      <w:bookmarkEnd w:id="200"/>
    </w:p>
    <w:p>
      <w:pPr>
        <w:pStyle w:val="46"/>
        <w:ind w:firstLine="0" w:firstLineChars="0"/>
        <w:rPr>
          <w:rFonts w:ascii="宋体" w:hAnsi="宋体" w:cs="宋体"/>
          <w:b/>
          <w:bCs/>
          <w:strike/>
          <w:szCs w:val="24"/>
        </w:rPr>
      </w:pPr>
      <w:bookmarkStart w:id="201" w:name="_Toc515205225"/>
      <w:bookmarkStart w:id="202" w:name="_Toc529196552"/>
      <w:r>
        <w:rPr>
          <w:rFonts w:hint="eastAsia" w:ascii="宋体" w:hAnsi="宋体" w:cs="宋体"/>
          <w:b/>
          <w:bCs/>
          <w:strike/>
          <w:szCs w:val="24"/>
        </w:rPr>
        <w:t>5.1 开标时间和地点（A）</w:t>
      </w:r>
      <w:bookmarkEnd w:id="201"/>
      <w:bookmarkEnd w:id="202"/>
    </w:p>
    <w:p>
      <w:pPr>
        <w:pStyle w:val="46"/>
        <w:ind w:firstLine="0" w:firstLineChars="0"/>
        <w:rPr>
          <w:rFonts w:ascii="宋体" w:hAnsi="宋体" w:cs="宋体"/>
          <w:strike/>
          <w:szCs w:val="24"/>
        </w:rPr>
      </w:pPr>
      <w:r>
        <w:rPr>
          <w:rFonts w:hint="eastAsia" w:ascii="宋体" w:hAnsi="宋体" w:cs="宋体"/>
          <w:strike/>
          <w:szCs w:val="24"/>
        </w:rPr>
        <w:t>招标人在本章第4.2.1项规定的投标截止时间（开标时间）和投标人须知前附表规定的地点公开开标，并邀请所有投标人的法定代表人或其委托代理人准时参加。</w:t>
      </w:r>
    </w:p>
    <w:p>
      <w:pPr>
        <w:pStyle w:val="46"/>
        <w:ind w:firstLine="0" w:firstLineChars="0"/>
        <w:rPr>
          <w:rFonts w:ascii="宋体" w:hAnsi="宋体" w:cs="宋体"/>
          <w:b/>
          <w:bCs/>
          <w:szCs w:val="24"/>
        </w:rPr>
      </w:pPr>
      <w:bookmarkStart w:id="203" w:name="_Toc529196553"/>
      <w:bookmarkStart w:id="204" w:name="_Toc515205226"/>
      <w:r>
        <w:rPr>
          <w:rFonts w:hint="eastAsia" w:ascii="宋体" w:hAnsi="宋体" w:cs="宋体"/>
          <w:b/>
          <w:bCs/>
          <w:szCs w:val="24"/>
        </w:rPr>
        <w:t>5.1 开标时间和地点（B）</w:t>
      </w:r>
      <w:bookmarkEnd w:id="203"/>
      <w:bookmarkEnd w:id="204"/>
    </w:p>
    <w:p>
      <w:pPr>
        <w:pStyle w:val="46"/>
        <w:ind w:firstLine="0" w:firstLineChars="0"/>
        <w:rPr>
          <w:rFonts w:ascii="宋体" w:hAnsi="宋体" w:cs="宋体"/>
          <w:szCs w:val="24"/>
        </w:rPr>
      </w:pPr>
      <w:r>
        <w:rPr>
          <w:rFonts w:hint="eastAsia" w:ascii="宋体" w:hAnsi="宋体" w:cs="宋体"/>
          <w:szCs w:val="24"/>
        </w:rPr>
        <w:t>招标人在本章第4.2.1项规定的投标截止时间（开标时间）,通过电子招标投标交易平台公开开标，所有投标人的法定代表人或其委托代理人应当准时参加。</w:t>
      </w:r>
    </w:p>
    <w:p>
      <w:pPr>
        <w:pStyle w:val="46"/>
        <w:ind w:firstLine="0" w:firstLineChars="0"/>
        <w:rPr>
          <w:rFonts w:ascii="宋体" w:hAnsi="宋体" w:cs="宋体"/>
          <w:b/>
          <w:bCs/>
          <w:szCs w:val="24"/>
        </w:rPr>
      </w:pPr>
      <w:bookmarkStart w:id="205" w:name="_Toc515205227"/>
      <w:bookmarkStart w:id="206" w:name="_Toc529196554"/>
      <w:r>
        <w:rPr>
          <w:rFonts w:hint="eastAsia" w:ascii="宋体" w:hAnsi="宋体" w:cs="宋体"/>
          <w:b/>
          <w:bCs/>
          <w:szCs w:val="24"/>
        </w:rPr>
        <w:t>5.2 开标程序</w:t>
      </w:r>
      <w:bookmarkEnd w:id="205"/>
      <w:bookmarkEnd w:id="206"/>
    </w:p>
    <w:p>
      <w:pPr>
        <w:pStyle w:val="46"/>
        <w:ind w:firstLine="0" w:firstLineChars="0"/>
        <w:rPr>
          <w:rFonts w:ascii="宋体" w:hAnsi="宋体" w:cs="宋体"/>
          <w:szCs w:val="24"/>
        </w:rPr>
      </w:pPr>
      <w:r>
        <w:rPr>
          <w:rFonts w:hint="eastAsia" w:ascii="宋体" w:hAnsi="宋体" w:cs="宋体"/>
          <w:szCs w:val="24"/>
        </w:rPr>
        <w:t>主持人按下列程序进行开标：</w:t>
      </w:r>
    </w:p>
    <w:p>
      <w:pPr>
        <w:pStyle w:val="46"/>
        <w:ind w:firstLine="0" w:firstLineChars="0"/>
        <w:rPr>
          <w:rFonts w:ascii="宋体" w:hAnsi="宋体" w:cs="宋体"/>
          <w:szCs w:val="24"/>
        </w:rPr>
      </w:pPr>
      <w:r>
        <w:rPr>
          <w:rFonts w:hint="eastAsia" w:ascii="宋体" w:hAnsi="宋体" w:cs="宋体"/>
          <w:szCs w:val="24"/>
        </w:rPr>
        <w:t>（1）宣布开标纪律；</w:t>
      </w:r>
    </w:p>
    <w:p>
      <w:pPr>
        <w:pStyle w:val="46"/>
        <w:ind w:firstLine="0" w:firstLineChars="0"/>
        <w:rPr>
          <w:rFonts w:ascii="宋体" w:hAnsi="宋体" w:cs="宋体"/>
          <w:szCs w:val="24"/>
        </w:rPr>
      </w:pPr>
      <w:r>
        <w:rPr>
          <w:rFonts w:hint="eastAsia" w:ascii="宋体" w:hAnsi="宋体" w:cs="宋体"/>
          <w:szCs w:val="24"/>
        </w:rPr>
        <w:t>（2）公布在投标截止时间前递交投标文件的投标人名称；</w:t>
      </w:r>
    </w:p>
    <w:p>
      <w:pPr>
        <w:pStyle w:val="46"/>
        <w:ind w:firstLine="0" w:firstLineChars="0"/>
        <w:rPr>
          <w:rFonts w:ascii="宋体" w:hAnsi="宋体" w:cs="宋体"/>
          <w:szCs w:val="24"/>
        </w:rPr>
      </w:pPr>
      <w:r>
        <w:rPr>
          <w:rFonts w:hint="eastAsia" w:ascii="宋体" w:hAnsi="宋体" w:cs="宋体"/>
          <w:szCs w:val="24"/>
        </w:rPr>
        <w:t>（3）宣布</w:t>
      </w:r>
      <w:bookmarkStart w:id="207" w:name="_Toc144974522"/>
      <w:bookmarkStart w:id="208" w:name="_Toc352691498"/>
      <w:bookmarkStart w:id="209" w:name="_Toc300834975"/>
      <w:bookmarkStart w:id="210" w:name="_Toc152045554"/>
      <w:bookmarkStart w:id="211" w:name="_Toc152042330"/>
      <w:bookmarkStart w:id="212" w:name="_Toc361508611"/>
      <w:bookmarkStart w:id="213" w:name="_Toc247527579"/>
      <w:bookmarkStart w:id="214" w:name="_Toc247513978"/>
      <w:bookmarkStart w:id="215" w:name="_Toc384308236"/>
      <w:bookmarkStart w:id="216" w:name="_Toc22119"/>
      <w:bookmarkStart w:id="217" w:name="_Toc369531542"/>
      <w:r>
        <w:rPr>
          <w:rFonts w:hint="eastAsia" w:ascii="宋体" w:hAnsi="宋体" w:cs="宋体"/>
          <w:szCs w:val="24"/>
        </w:rPr>
        <w:t>开标人、唱标人、记录人</w:t>
      </w:r>
      <w:bookmarkEnd w:id="207"/>
      <w:bookmarkEnd w:id="208"/>
      <w:bookmarkEnd w:id="209"/>
      <w:bookmarkEnd w:id="210"/>
      <w:bookmarkEnd w:id="211"/>
      <w:bookmarkEnd w:id="212"/>
      <w:bookmarkEnd w:id="213"/>
      <w:bookmarkEnd w:id="214"/>
      <w:bookmarkEnd w:id="215"/>
      <w:bookmarkEnd w:id="216"/>
      <w:bookmarkEnd w:id="217"/>
      <w:r>
        <w:rPr>
          <w:rFonts w:hint="eastAsia" w:ascii="宋体" w:hAnsi="宋体" w:cs="宋体"/>
          <w:szCs w:val="24"/>
        </w:rPr>
        <w:t>、监标人等有关人员姓名；</w:t>
      </w:r>
    </w:p>
    <w:p>
      <w:pPr>
        <w:pStyle w:val="46"/>
        <w:ind w:firstLine="0" w:firstLineChars="0"/>
        <w:rPr>
          <w:rFonts w:ascii="宋体" w:hAnsi="宋体" w:cs="宋体"/>
          <w:strike/>
          <w:szCs w:val="24"/>
        </w:rPr>
      </w:pPr>
      <w:r>
        <w:rPr>
          <w:rFonts w:hint="eastAsia" w:ascii="宋体" w:hAnsi="宋体" w:cs="宋体"/>
          <w:strike/>
          <w:szCs w:val="24"/>
        </w:rPr>
        <w:t>（4）（A）检查投标文件的密封情况，按照投标人须知前附表规定的开标顺序当众开标，公布招标项目名称、投标人名称、投标保证金的递交情况、投标报价、监理服务期限及其他内容，并记录在案；</w:t>
      </w:r>
    </w:p>
    <w:p>
      <w:pPr>
        <w:pStyle w:val="46"/>
        <w:ind w:firstLine="0" w:firstLineChars="0"/>
        <w:rPr>
          <w:rFonts w:ascii="宋体" w:hAnsi="宋体" w:cs="宋体"/>
          <w:szCs w:val="24"/>
        </w:rPr>
      </w:pPr>
      <w:r>
        <w:rPr>
          <w:rFonts w:hint="eastAsia" w:ascii="宋体" w:hAnsi="宋体" w:cs="宋体"/>
          <w:szCs w:val="24"/>
        </w:rPr>
        <w:t>（4）（B）投标人通过电子招标投标交易平台对已递交的电子投标文件进行解密，公布招标项目名称、投标人名称、投标保证金的递交情况、投标报价、监理服务期限及其他内容，并记录在案；</w:t>
      </w:r>
    </w:p>
    <w:p>
      <w:pPr>
        <w:pStyle w:val="46"/>
        <w:ind w:firstLine="0" w:firstLineChars="0"/>
        <w:rPr>
          <w:rFonts w:ascii="宋体" w:hAnsi="宋体" w:cs="宋体"/>
          <w:strike/>
          <w:szCs w:val="24"/>
        </w:rPr>
      </w:pPr>
      <w:r>
        <w:rPr>
          <w:rFonts w:hint="eastAsia" w:ascii="宋体" w:hAnsi="宋体" w:cs="宋体"/>
          <w:strike/>
          <w:szCs w:val="24"/>
        </w:rPr>
        <w:t>（5）（A）投标人代表、招标人代表、监标人、记录人等有关人员在开标记录上签字确认；</w:t>
      </w:r>
    </w:p>
    <w:p>
      <w:pPr>
        <w:pStyle w:val="46"/>
        <w:ind w:firstLine="0" w:firstLineChars="0"/>
        <w:rPr>
          <w:rFonts w:ascii="宋体" w:hAnsi="宋体" w:cs="宋体"/>
          <w:szCs w:val="24"/>
        </w:rPr>
      </w:pPr>
      <w:r>
        <w:rPr>
          <w:rFonts w:hint="eastAsia" w:ascii="宋体" w:hAnsi="宋体" w:cs="宋体"/>
          <w:szCs w:val="24"/>
        </w:rPr>
        <w:t>（5）（B）投标人代表、招标人代表、监标人、记录人等有关人员使用本人的电子印章在开标记录上签字确认；</w:t>
      </w:r>
    </w:p>
    <w:p>
      <w:pPr>
        <w:pStyle w:val="46"/>
        <w:ind w:firstLine="0" w:firstLineChars="0"/>
        <w:rPr>
          <w:rFonts w:ascii="宋体" w:hAnsi="宋体" w:cs="宋体"/>
          <w:szCs w:val="24"/>
        </w:rPr>
      </w:pPr>
      <w:r>
        <w:rPr>
          <w:rFonts w:hint="eastAsia" w:ascii="宋体" w:hAnsi="宋体" w:cs="宋体"/>
          <w:szCs w:val="24"/>
        </w:rPr>
        <w:t>（6）开标结束。</w:t>
      </w:r>
    </w:p>
    <w:p>
      <w:pPr>
        <w:pStyle w:val="46"/>
        <w:ind w:firstLine="0" w:firstLineChars="0"/>
        <w:rPr>
          <w:rFonts w:ascii="宋体" w:hAnsi="宋体" w:cs="宋体"/>
          <w:b/>
          <w:bCs/>
          <w:szCs w:val="24"/>
        </w:rPr>
      </w:pPr>
      <w:bookmarkStart w:id="218" w:name="_Toc515205228"/>
      <w:bookmarkStart w:id="219" w:name="_Toc529196555"/>
      <w:r>
        <w:rPr>
          <w:rFonts w:hint="eastAsia" w:ascii="宋体" w:hAnsi="宋体" w:cs="宋体"/>
          <w:b/>
          <w:bCs/>
          <w:szCs w:val="24"/>
        </w:rPr>
        <w:t>5.3 开标异议</w:t>
      </w:r>
      <w:bookmarkEnd w:id="218"/>
      <w:bookmarkEnd w:id="219"/>
    </w:p>
    <w:p>
      <w:pPr>
        <w:pStyle w:val="46"/>
        <w:ind w:firstLine="0" w:firstLineChars="0"/>
        <w:rPr>
          <w:rFonts w:ascii="宋体" w:hAnsi="宋体" w:cs="宋体"/>
          <w:szCs w:val="24"/>
        </w:rPr>
      </w:pPr>
      <w:r>
        <w:rPr>
          <w:rFonts w:hint="eastAsia" w:ascii="宋体" w:hAnsi="宋体" w:cs="宋体"/>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after="0" w:line="360" w:lineRule="auto"/>
        <w:rPr>
          <w:rFonts w:ascii="宋体" w:hAnsi="宋体" w:eastAsia="宋体" w:cs="宋体"/>
          <w:sz w:val="24"/>
        </w:rPr>
      </w:pPr>
    </w:p>
    <w:p>
      <w:pPr>
        <w:pStyle w:val="91"/>
        <w:rPr>
          <w:rFonts w:ascii="宋体" w:hAnsi="宋体" w:eastAsia="宋体" w:cs="宋体"/>
          <w:sz w:val="24"/>
          <w:szCs w:val="24"/>
        </w:rPr>
      </w:pPr>
      <w:bookmarkStart w:id="220" w:name="_Toc17370"/>
      <w:bookmarkStart w:id="221" w:name="_Toc529196556"/>
      <w:bookmarkStart w:id="222" w:name="_Toc515205229"/>
      <w:bookmarkStart w:id="223" w:name="_Toc19262"/>
      <w:bookmarkStart w:id="224" w:name="_Toc199515641"/>
      <w:r>
        <w:rPr>
          <w:rFonts w:hint="eastAsia" w:ascii="宋体" w:hAnsi="宋体" w:eastAsia="宋体" w:cs="宋体"/>
          <w:sz w:val="24"/>
          <w:szCs w:val="24"/>
        </w:rPr>
        <w:t>6. 评标</w:t>
      </w:r>
      <w:bookmarkEnd w:id="220"/>
      <w:bookmarkEnd w:id="221"/>
      <w:bookmarkEnd w:id="222"/>
      <w:bookmarkEnd w:id="223"/>
      <w:bookmarkEnd w:id="224"/>
    </w:p>
    <w:p>
      <w:pPr>
        <w:pStyle w:val="46"/>
        <w:ind w:firstLine="0" w:firstLineChars="0"/>
        <w:rPr>
          <w:rFonts w:ascii="宋体" w:hAnsi="宋体" w:cs="宋体"/>
          <w:b/>
          <w:bCs/>
          <w:szCs w:val="24"/>
        </w:rPr>
      </w:pPr>
      <w:bookmarkStart w:id="225" w:name="_Toc529196557"/>
      <w:bookmarkStart w:id="226" w:name="_Toc515205230"/>
      <w:r>
        <w:rPr>
          <w:rFonts w:hint="eastAsia" w:ascii="宋体" w:hAnsi="宋体" w:cs="宋体"/>
          <w:b/>
          <w:bCs/>
          <w:szCs w:val="24"/>
        </w:rPr>
        <w:t>6.1 评标委员会</w:t>
      </w:r>
      <w:bookmarkEnd w:id="225"/>
      <w:bookmarkEnd w:id="226"/>
    </w:p>
    <w:p>
      <w:pPr>
        <w:pStyle w:val="46"/>
        <w:ind w:firstLine="0" w:firstLineChars="0"/>
        <w:rPr>
          <w:rFonts w:ascii="宋体" w:hAnsi="宋体" w:cs="宋体"/>
          <w:szCs w:val="24"/>
        </w:rPr>
      </w:pPr>
      <w:r>
        <w:rPr>
          <w:rFonts w:hint="eastAsia" w:ascii="宋体" w:hAnsi="宋体" w:cs="宋体"/>
          <w:szCs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46"/>
        <w:ind w:firstLine="0" w:firstLineChars="0"/>
        <w:rPr>
          <w:rFonts w:ascii="宋体" w:hAnsi="宋体" w:cs="宋体"/>
          <w:szCs w:val="24"/>
        </w:rPr>
      </w:pPr>
      <w:r>
        <w:rPr>
          <w:rFonts w:hint="eastAsia" w:ascii="宋体" w:hAnsi="宋体" w:cs="宋体"/>
          <w:szCs w:val="24"/>
        </w:rPr>
        <w:t>6.1.2 评标委员会成员有下列情形之一的，应当回避：</w:t>
      </w:r>
    </w:p>
    <w:p>
      <w:pPr>
        <w:pStyle w:val="46"/>
        <w:ind w:firstLine="0" w:firstLineChars="0"/>
        <w:rPr>
          <w:rFonts w:ascii="宋体" w:hAnsi="宋体" w:cs="宋体"/>
          <w:szCs w:val="24"/>
        </w:rPr>
      </w:pPr>
      <w:r>
        <w:rPr>
          <w:rFonts w:hint="eastAsia" w:ascii="宋体" w:hAnsi="宋体" w:cs="宋体"/>
          <w:szCs w:val="24"/>
        </w:rPr>
        <w:t>（1）投标人或投标人主要负责人的近亲属；</w:t>
      </w:r>
    </w:p>
    <w:p>
      <w:pPr>
        <w:pStyle w:val="46"/>
        <w:ind w:firstLine="0" w:firstLineChars="0"/>
        <w:rPr>
          <w:rFonts w:ascii="宋体" w:hAnsi="宋体" w:cs="宋体"/>
          <w:szCs w:val="24"/>
        </w:rPr>
      </w:pPr>
      <w:r>
        <w:rPr>
          <w:rFonts w:hint="eastAsia" w:ascii="宋体" w:hAnsi="宋体" w:cs="宋体"/>
          <w:szCs w:val="24"/>
        </w:rPr>
        <w:t>（2）项目主管部门或者行政监督部门的人员；</w:t>
      </w:r>
    </w:p>
    <w:p>
      <w:pPr>
        <w:pStyle w:val="46"/>
        <w:ind w:firstLine="0" w:firstLineChars="0"/>
        <w:rPr>
          <w:rFonts w:ascii="宋体" w:hAnsi="宋体" w:cs="宋体"/>
          <w:szCs w:val="24"/>
        </w:rPr>
      </w:pPr>
      <w:r>
        <w:rPr>
          <w:rFonts w:hint="eastAsia" w:ascii="宋体" w:hAnsi="宋体" w:cs="宋体"/>
          <w:szCs w:val="24"/>
        </w:rPr>
        <w:t>（3）与投标人有经济利益关系，可能影响对投标公正评审的；</w:t>
      </w:r>
    </w:p>
    <w:p>
      <w:pPr>
        <w:pStyle w:val="46"/>
        <w:ind w:firstLine="0" w:firstLineChars="0"/>
        <w:rPr>
          <w:rFonts w:ascii="宋体" w:hAnsi="宋体" w:cs="宋体"/>
          <w:szCs w:val="24"/>
        </w:rPr>
      </w:pPr>
      <w:r>
        <w:rPr>
          <w:rFonts w:hint="eastAsia" w:ascii="宋体" w:hAnsi="宋体" w:cs="宋体"/>
          <w:szCs w:val="24"/>
        </w:rPr>
        <w:t>（4）曾因在招标、评</w:t>
      </w:r>
      <w:bookmarkStart w:id="227" w:name="_Toc369531543"/>
      <w:bookmarkStart w:id="228" w:name="_Toc152042331"/>
      <w:bookmarkStart w:id="229" w:name="_Toc152045555"/>
      <w:bookmarkStart w:id="230" w:name="_Toc384308237"/>
      <w:bookmarkStart w:id="231" w:name="_Toc352691499"/>
      <w:bookmarkStart w:id="232" w:name="_Toc300834976"/>
      <w:bookmarkStart w:id="233" w:name="_Toc361508612"/>
      <w:bookmarkStart w:id="234" w:name="_Toc144974523"/>
      <w:bookmarkStart w:id="235" w:name="_Toc6230"/>
      <w:bookmarkStart w:id="236" w:name="_Toc247513979"/>
      <w:bookmarkStart w:id="237" w:name="_Toc247527580"/>
      <w:r>
        <w:rPr>
          <w:rFonts w:hint="eastAsia" w:ascii="宋体" w:hAnsi="宋体" w:cs="宋体"/>
          <w:szCs w:val="24"/>
        </w:rPr>
        <w:t>标以及其他</w:t>
      </w:r>
      <w:bookmarkEnd w:id="227"/>
      <w:bookmarkEnd w:id="228"/>
      <w:bookmarkEnd w:id="229"/>
      <w:bookmarkEnd w:id="230"/>
      <w:bookmarkEnd w:id="231"/>
      <w:bookmarkEnd w:id="232"/>
      <w:bookmarkEnd w:id="233"/>
      <w:bookmarkEnd w:id="234"/>
      <w:bookmarkEnd w:id="235"/>
      <w:bookmarkEnd w:id="236"/>
      <w:bookmarkEnd w:id="237"/>
      <w:r>
        <w:rPr>
          <w:rFonts w:hint="eastAsia" w:ascii="宋体" w:hAnsi="宋体" w:cs="宋体"/>
          <w:szCs w:val="24"/>
        </w:rPr>
        <w:t>与</w:t>
      </w:r>
      <w:bookmarkStart w:id="238" w:name="_Toc152042332"/>
      <w:bookmarkStart w:id="239" w:name="_Toc152045556"/>
      <w:bookmarkStart w:id="240" w:name="_Toc361508613"/>
      <w:bookmarkStart w:id="241" w:name="_Toc144974524"/>
      <w:bookmarkStart w:id="242" w:name="_Toc384308238"/>
      <w:bookmarkStart w:id="243" w:name="_Toc247513980"/>
      <w:bookmarkStart w:id="244" w:name="_Toc17703"/>
      <w:bookmarkStart w:id="245" w:name="_Toc247527581"/>
      <w:bookmarkStart w:id="246" w:name="_Toc300834977"/>
      <w:bookmarkStart w:id="247" w:name="_Toc369531544"/>
      <w:bookmarkStart w:id="248" w:name="_Toc352691500"/>
      <w:r>
        <w:rPr>
          <w:rFonts w:hint="eastAsia" w:ascii="宋体" w:hAnsi="宋体" w:cs="宋体"/>
          <w:szCs w:val="24"/>
        </w:rPr>
        <w:t>招标投标有关活动中从事违法行</w:t>
      </w:r>
      <w:bookmarkEnd w:id="238"/>
      <w:bookmarkEnd w:id="239"/>
      <w:bookmarkEnd w:id="240"/>
      <w:bookmarkEnd w:id="241"/>
      <w:bookmarkEnd w:id="242"/>
      <w:bookmarkEnd w:id="243"/>
      <w:bookmarkEnd w:id="244"/>
      <w:bookmarkEnd w:id="245"/>
      <w:bookmarkEnd w:id="246"/>
      <w:bookmarkEnd w:id="247"/>
      <w:bookmarkEnd w:id="248"/>
      <w:r>
        <w:rPr>
          <w:rFonts w:hint="eastAsia" w:ascii="宋体" w:hAnsi="宋体" w:cs="宋体"/>
          <w:szCs w:val="24"/>
        </w:rPr>
        <w:t>为而受过行政处罚或刑事处罚的；</w:t>
      </w:r>
    </w:p>
    <w:p>
      <w:pPr>
        <w:spacing w:after="0" w:line="360" w:lineRule="auto"/>
        <w:rPr>
          <w:rFonts w:ascii="宋体" w:hAnsi="宋体" w:eastAsia="宋体" w:cs="宋体"/>
          <w:sz w:val="24"/>
          <w:u w:val="single"/>
        </w:rPr>
      </w:pPr>
      <w:r>
        <w:rPr>
          <w:rFonts w:hint="eastAsia" w:ascii="宋体" w:hAnsi="宋体" w:eastAsia="宋体" w:cs="宋体"/>
          <w:sz w:val="24"/>
          <w:u w:val="single"/>
        </w:rPr>
        <w:t>（5）招标项目的招标人</w:t>
      </w:r>
      <w:r>
        <w:rPr>
          <w:rFonts w:hint="eastAsia" w:ascii="宋体" w:hAnsi="宋体" w:eastAsia="宋体" w:cs="宋体"/>
          <w:sz w:val="24"/>
          <w:u w:val="single"/>
          <w:lang w:bidi="ar"/>
        </w:rPr>
        <w:t>【除组成评标委员会的招标人或其委托的招标代理机构熟悉相关业务的代表外（如有）】</w:t>
      </w:r>
      <w:r>
        <w:rPr>
          <w:rFonts w:hint="eastAsia" w:ascii="宋体" w:hAnsi="宋体" w:eastAsia="宋体" w:cs="宋体"/>
          <w:sz w:val="24"/>
          <w:u w:val="single"/>
        </w:rPr>
        <w:t>、退休或离职未满3年的人员；</w:t>
      </w:r>
    </w:p>
    <w:p>
      <w:pPr>
        <w:spacing w:after="0" w:line="360" w:lineRule="auto"/>
        <w:rPr>
          <w:rFonts w:ascii="宋体" w:hAnsi="宋体" w:eastAsia="宋体" w:cs="宋体"/>
          <w:sz w:val="24"/>
        </w:rPr>
      </w:pPr>
      <w:r>
        <w:rPr>
          <w:rFonts w:hint="eastAsia" w:ascii="宋体" w:hAnsi="宋体" w:eastAsia="宋体" w:cs="宋体"/>
          <w:sz w:val="24"/>
        </w:rPr>
        <w:t>（6）与投标人有其他利害关系；</w:t>
      </w:r>
    </w:p>
    <w:p>
      <w:pPr>
        <w:spacing w:after="0" w:line="360" w:lineRule="auto"/>
        <w:rPr>
          <w:rFonts w:ascii="宋体" w:hAnsi="宋体" w:eastAsia="宋体" w:cs="宋体"/>
          <w:sz w:val="24"/>
          <w:u w:val="single"/>
        </w:rPr>
      </w:pPr>
      <w:r>
        <w:rPr>
          <w:rFonts w:hint="eastAsia" w:ascii="宋体" w:hAnsi="宋体" w:eastAsia="宋体" w:cs="宋体"/>
          <w:sz w:val="24"/>
          <w:u w:val="single"/>
        </w:rPr>
        <w:t>（7）法律法规规定的其他情形。</w:t>
      </w:r>
    </w:p>
    <w:p>
      <w:pPr>
        <w:pStyle w:val="46"/>
        <w:ind w:firstLine="0" w:firstLineChars="0"/>
        <w:rPr>
          <w:rFonts w:ascii="宋体" w:hAnsi="宋体" w:cs="宋体"/>
          <w:szCs w:val="24"/>
        </w:rPr>
      </w:pPr>
      <w:r>
        <w:rPr>
          <w:rFonts w:hint="eastAsia" w:ascii="宋体" w:hAnsi="宋体" w:cs="宋体"/>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6"/>
        <w:ind w:firstLine="0" w:firstLineChars="0"/>
        <w:rPr>
          <w:rFonts w:ascii="宋体" w:hAnsi="宋体" w:cs="宋体"/>
          <w:b/>
          <w:bCs/>
          <w:szCs w:val="24"/>
        </w:rPr>
      </w:pPr>
      <w:bookmarkStart w:id="249" w:name="_Toc515205231"/>
      <w:bookmarkStart w:id="250" w:name="_Toc529196558"/>
      <w:r>
        <w:rPr>
          <w:rFonts w:hint="eastAsia" w:ascii="宋体" w:hAnsi="宋体" w:cs="宋体"/>
          <w:b/>
          <w:bCs/>
          <w:szCs w:val="24"/>
        </w:rPr>
        <w:t>6.2 评标原则</w:t>
      </w:r>
      <w:bookmarkEnd w:id="249"/>
      <w:bookmarkEnd w:id="250"/>
    </w:p>
    <w:p>
      <w:pPr>
        <w:pStyle w:val="46"/>
        <w:ind w:firstLine="0" w:firstLineChars="0"/>
        <w:rPr>
          <w:rFonts w:ascii="宋体" w:hAnsi="宋体" w:cs="宋体"/>
          <w:szCs w:val="24"/>
        </w:rPr>
      </w:pPr>
      <w:r>
        <w:rPr>
          <w:rFonts w:hint="eastAsia" w:ascii="宋体" w:hAnsi="宋体" w:cs="宋体"/>
          <w:szCs w:val="24"/>
        </w:rPr>
        <w:t>评标活动遵循公平、公正、科学和择优的原</w:t>
      </w:r>
      <w:bookmarkStart w:id="251" w:name="_Toc152045557"/>
      <w:bookmarkStart w:id="252" w:name="_Toc352691501"/>
      <w:bookmarkStart w:id="253" w:name="_Toc144974525"/>
      <w:bookmarkStart w:id="254" w:name="_Toc152042333"/>
      <w:bookmarkStart w:id="255" w:name="_Toc247513981"/>
      <w:bookmarkStart w:id="256" w:name="_Toc361508614"/>
      <w:bookmarkStart w:id="257" w:name="_Toc369531545"/>
      <w:bookmarkStart w:id="258" w:name="_Toc18949"/>
      <w:bookmarkStart w:id="259" w:name="_Toc247527582"/>
      <w:bookmarkStart w:id="260" w:name="_Toc384308239"/>
      <w:bookmarkStart w:id="261" w:name="_Toc300834978"/>
      <w:r>
        <w:rPr>
          <w:rFonts w:hint="eastAsia" w:ascii="宋体" w:hAnsi="宋体" w:cs="宋体"/>
          <w:szCs w:val="24"/>
        </w:rPr>
        <w:t>则。</w:t>
      </w:r>
    </w:p>
    <w:p>
      <w:pPr>
        <w:spacing w:after="0" w:line="360" w:lineRule="auto"/>
        <w:rPr>
          <w:rFonts w:ascii="宋体" w:hAnsi="宋体" w:eastAsia="宋体" w:cs="宋体"/>
          <w:sz w:val="24"/>
        </w:rPr>
      </w:pPr>
      <w:r>
        <w:rPr>
          <w:rFonts w:hint="eastAsia" w:ascii="宋体" w:hAnsi="宋体" w:eastAsia="宋体" w:cs="宋体"/>
          <w:sz w:val="24"/>
          <w:lang w:bidi="ar"/>
        </w:rPr>
        <w:t>评标委员会在开始评标前，应了解评标专家的职责及守则，认真阅读附件七《评标委员会成员声明》的内容并签名，签字后方可进行评标。</w:t>
      </w:r>
    </w:p>
    <w:p>
      <w:pPr>
        <w:pStyle w:val="46"/>
        <w:ind w:firstLine="0" w:firstLineChars="0"/>
        <w:rPr>
          <w:rFonts w:ascii="宋体" w:hAnsi="宋体" w:cs="宋体"/>
          <w:b/>
          <w:bCs/>
          <w:szCs w:val="24"/>
        </w:rPr>
      </w:pPr>
      <w:bookmarkStart w:id="262" w:name="_Toc529196559"/>
      <w:bookmarkStart w:id="263" w:name="_Toc515205232"/>
      <w:r>
        <w:rPr>
          <w:rFonts w:hint="eastAsia" w:ascii="宋体" w:hAnsi="宋体" w:cs="宋体"/>
          <w:b/>
          <w:bCs/>
          <w:szCs w:val="24"/>
        </w:rPr>
        <w:t>6.3 评标</w:t>
      </w:r>
      <w:bookmarkEnd w:id="262"/>
      <w:bookmarkEnd w:id="263"/>
    </w:p>
    <w:p>
      <w:pPr>
        <w:pStyle w:val="46"/>
        <w:ind w:firstLine="0" w:firstLineChars="0"/>
        <w:rPr>
          <w:rFonts w:ascii="宋体" w:hAnsi="宋体" w:cs="宋体"/>
          <w:szCs w:val="24"/>
        </w:rPr>
      </w:pPr>
      <w:r>
        <w:rPr>
          <w:rFonts w:hint="eastAsia" w:ascii="宋体" w:hAnsi="宋体" w:cs="宋体"/>
          <w:szCs w:val="24"/>
        </w:rPr>
        <w:t>6</w:t>
      </w:r>
      <w:bookmarkEnd w:id="251"/>
      <w:bookmarkEnd w:id="252"/>
      <w:bookmarkEnd w:id="253"/>
      <w:bookmarkEnd w:id="254"/>
      <w:bookmarkEnd w:id="255"/>
      <w:bookmarkEnd w:id="256"/>
      <w:bookmarkEnd w:id="257"/>
      <w:bookmarkEnd w:id="258"/>
      <w:bookmarkEnd w:id="259"/>
      <w:bookmarkEnd w:id="260"/>
      <w:bookmarkEnd w:id="261"/>
      <w:r>
        <w:rPr>
          <w:rFonts w:hint="eastAsia" w:ascii="宋体" w:hAnsi="宋体" w:cs="宋体"/>
          <w:szCs w:val="24"/>
        </w:rPr>
        <w:t>.3.1评标委员会按照第三章“评标办法”规定的方法、评审因素、标准和程序对投标文件进行评审。第三章“评标办法”没有规定的方法、评审因素和标准，不作为评标依据。</w:t>
      </w:r>
    </w:p>
    <w:p>
      <w:pPr>
        <w:pStyle w:val="46"/>
        <w:ind w:firstLine="0" w:firstLineChars="0"/>
        <w:rPr>
          <w:rFonts w:ascii="宋体" w:hAnsi="宋体" w:cs="宋体"/>
          <w:szCs w:val="24"/>
        </w:rPr>
      </w:pPr>
      <w:r>
        <w:rPr>
          <w:rFonts w:hint="eastAsia" w:ascii="宋体" w:hAnsi="宋体" w:cs="宋体"/>
          <w:szCs w:val="24"/>
        </w:rPr>
        <w:t>6.3.2评标完成后，评标委员会应当向招标人提交书面评标报告和中标候选人名单。评标委员会推荐中标</w:t>
      </w:r>
      <w:bookmarkStart w:id="264" w:name="_Toc12259"/>
      <w:bookmarkStart w:id="265" w:name="_Toc247513982"/>
      <w:bookmarkStart w:id="266" w:name="_Toc361508615"/>
      <w:bookmarkStart w:id="267" w:name="_Toc384308240"/>
      <w:bookmarkStart w:id="268" w:name="_Toc152042334"/>
      <w:bookmarkStart w:id="269" w:name="_Toc152045558"/>
      <w:bookmarkStart w:id="270" w:name="_Toc300834979"/>
      <w:bookmarkStart w:id="271" w:name="_Toc369531546"/>
      <w:bookmarkStart w:id="272" w:name="_Toc144974526"/>
      <w:bookmarkStart w:id="273" w:name="_Toc247527583"/>
      <w:bookmarkStart w:id="274" w:name="_Toc352691502"/>
      <w:r>
        <w:rPr>
          <w:rFonts w:hint="eastAsia" w:ascii="宋体" w:hAnsi="宋体" w:cs="宋体"/>
          <w:szCs w:val="24"/>
        </w:rPr>
        <w:t>候选人的人数见投标人须知前附</w:t>
      </w:r>
      <w:bookmarkEnd w:id="264"/>
      <w:bookmarkEnd w:id="265"/>
      <w:bookmarkEnd w:id="266"/>
      <w:bookmarkEnd w:id="267"/>
      <w:bookmarkEnd w:id="268"/>
      <w:bookmarkEnd w:id="269"/>
      <w:bookmarkEnd w:id="270"/>
      <w:bookmarkEnd w:id="271"/>
      <w:bookmarkEnd w:id="272"/>
      <w:bookmarkEnd w:id="273"/>
      <w:bookmarkEnd w:id="274"/>
      <w:r>
        <w:rPr>
          <w:rFonts w:hint="eastAsia" w:ascii="宋体" w:hAnsi="宋体" w:cs="宋体"/>
          <w:szCs w:val="24"/>
        </w:rPr>
        <w:t>表。</w:t>
      </w:r>
    </w:p>
    <w:p>
      <w:pPr>
        <w:pStyle w:val="46"/>
        <w:ind w:firstLine="0" w:firstLineChars="0"/>
        <w:rPr>
          <w:rFonts w:ascii="宋体" w:hAnsi="宋体" w:cs="宋体"/>
          <w:szCs w:val="24"/>
        </w:rPr>
      </w:pPr>
      <w:bookmarkStart w:id="275" w:name="_Toc515205233"/>
      <w:bookmarkStart w:id="276" w:name="_Toc529196560"/>
    </w:p>
    <w:p>
      <w:pPr>
        <w:pStyle w:val="91"/>
        <w:rPr>
          <w:rFonts w:ascii="宋体" w:hAnsi="宋体" w:eastAsia="宋体" w:cs="宋体"/>
          <w:sz w:val="24"/>
          <w:szCs w:val="24"/>
        </w:rPr>
      </w:pPr>
      <w:bookmarkStart w:id="277" w:name="_Toc199515642"/>
      <w:bookmarkStart w:id="278" w:name="_Toc29646"/>
      <w:bookmarkStart w:id="279" w:name="_Toc2918"/>
      <w:r>
        <w:rPr>
          <w:rFonts w:hint="eastAsia" w:ascii="宋体" w:hAnsi="宋体" w:eastAsia="宋体" w:cs="宋体"/>
          <w:sz w:val="24"/>
          <w:szCs w:val="24"/>
        </w:rPr>
        <w:t>7. 合同授予</w:t>
      </w:r>
      <w:bookmarkEnd w:id="275"/>
      <w:bookmarkEnd w:id="276"/>
      <w:bookmarkEnd w:id="277"/>
      <w:bookmarkEnd w:id="278"/>
      <w:bookmarkEnd w:id="279"/>
    </w:p>
    <w:p>
      <w:pPr>
        <w:pStyle w:val="46"/>
        <w:ind w:firstLine="0" w:firstLineChars="0"/>
        <w:rPr>
          <w:rFonts w:ascii="宋体" w:hAnsi="宋体" w:cs="宋体"/>
          <w:b/>
          <w:bCs/>
          <w:szCs w:val="24"/>
        </w:rPr>
      </w:pPr>
      <w:bookmarkStart w:id="280" w:name="_Toc529196561"/>
      <w:bookmarkStart w:id="281" w:name="_Toc515205234"/>
      <w:r>
        <w:rPr>
          <w:rFonts w:hint="eastAsia" w:ascii="宋体" w:hAnsi="宋体" w:cs="宋体"/>
          <w:b/>
          <w:bCs/>
          <w:szCs w:val="24"/>
        </w:rPr>
        <w:t>7.1 中标候选人公示</w:t>
      </w:r>
      <w:bookmarkEnd w:id="280"/>
      <w:bookmarkEnd w:id="281"/>
    </w:p>
    <w:p>
      <w:pPr>
        <w:pStyle w:val="46"/>
        <w:ind w:firstLine="0" w:firstLineChars="0"/>
        <w:rPr>
          <w:rFonts w:ascii="宋体" w:hAnsi="宋体" w:cs="宋体"/>
          <w:szCs w:val="24"/>
        </w:rPr>
      </w:pPr>
      <w:r>
        <w:rPr>
          <w:rFonts w:hint="eastAsia" w:ascii="宋体" w:hAnsi="宋体" w:cs="宋体"/>
          <w:szCs w:val="24"/>
        </w:rPr>
        <w:t>招标人在收到评标报告之日起3日内，按照投标人须知前附表规定的公示媒介和期限公示中标候选人，公示期不得少于3天。</w:t>
      </w:r>
    </w:p>
    <w:p>
      <w:pPr>
        <w:pStyle w:val="46"/>
        <w:ind w:firstLine="0" w:firstLineChars="0"/>
        <w:rPr>
          <w:rFonts w:ascii="宋体" w:hAnsi="宋体" w:cs="宋体"/>
          <w:b/>
          <w:bCs/>
          <w:szCs w:val="24"/>
        </w:rPr>
      </w:pPr>
      <w:bookmarkStart w:id="282" w:name="_Toc529196562"/>
      <w:bookmarkStart w:id="283" w:name="_Toc515205235"/>
      <w:r>
        <w:rPr>
          <w:rFonts w:hint="eastAsia" w:ascii="宋体" w:hAnsi="宋体" w:cs="宋体"/>
          <w:b/>
          <w:bCs/>
          <w:szCs w:val="24"/>
        </w:rPr>
        <w:t>7.2 评标结果异议</w:t>
      </w:r>
      <w:bookmarkEnd w:id="282"/>
      <w:bookmarkEnd w:id="283"/>
    </w:p>
    <w:p>
      <w:pPr>
        <w:pStyle w:val="46"/>
        <w:ind w:firstLine="0" w:firstLineChars="0"/>
        <w:rPr>
          <w:rFonts w:ascii="宋体" w:hAnsi="宋体" w:cs="宋体"/>
          <w:szCs w:val="24"/>
        </w:rPr>
      </w:pPr>
      <w:r>
        <w:rPr>
          <w:rFonts w:hint="eastAsia" w:ascii="宋体" w:hAnsi="宋体" w:cs="宋体"/>
          <w:szCs w:val="24"/>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pPr>
        <w:pStyle w:val="46"/>
        <w:ind w:firstLine="0" w:firstLineChars="0"/>
        <w:rPr>
          <w:rFonts w:ascii="宋体" w:hAnsi="宋体" w:cs="宋体"/>
          <w:b/>
          <w:bCs/>
          <w:szCs w:val="24"/>
        </w:rPr>
      </w:pPr>
      <w:bookmarkStart w:id="284" w:name="_Toc515205236"/>
      <w:bookmarkStart w:id="285" w:name="_Toc529196563"/>
      <w:r>
        <w:rPr>
          <w:rFonts w:hint="eastAsia" w:ascii="宋体" w:hAnsi="宋体" w:cs="宋体"/>
          <w:b/>
          <w:bCs/>
          <w:szCs w:val="24"/>
        </w:rPr>
        <w:t>7.3 中标候选人履约能力审查</w:t>
      </w:r>
      <w:bookmarkEnd w:id="284"/>
      <w:bookmarkEnd w:id="285"/>
    </w:p>
    <w:p>
      <w:pPr>
        <w:pStyle w:val="46"/>
        <w:ind w:firstLine="0" w:firstLineChars="0"/>
        <w:rPr>
          <w:rFonts w:ascii="宋体" w:hAnsi="宋体" w:cs="宋体"/>
          <w:szCs w:val="24"/>
        </w:rPr>
      </w:pPr>
      <w:r>
        <w:rPr>
          <w:rFonts w:hint="eastAsia" w:ascii="宋体" w:hAnsi="宋体" w:cs="宋体"/>
          <w:szCs w:val="24"/>
        </w:rPr>
        <w:t>中标候选人的经营、财务状况发生较大变化或存在违法行为，招标人认为可能影响其履约能力的，将在发出中标通知书前提请原评标委员会按照招标文件规定的标准和方法进行审查确认。</w:t>
      </w:r>
    </w:p>
    <w:p>
      <w:pPr>
        <w:pStyle w:val="46"/>
        <w:ind w:firstLine="0" w:firstLineChars="0"/>
        <w:rPr>
          <w:rFonts w:ascii="宋体" w:hAnsi="宋体" w:cs="宋体"/>
          <w:b/>
          <w:bCs/>
          <w:szCs w:val="24"/>
        </w:rPr>
      </w:pPr>
      <w:bookmarkStart w:id="286" w:name="_Toc515205237"/>
      <w:bookmarkStart w:id="287" w:name="_Toc529196564"/>
      <w:r>
        <w:rPr>
          <w:rFonts w:hint="eastAsia" w:ascii="宋体" w:hAnsi="宋体" w:cs="宋体"/>
          <w:b/>
          <w:bCs/>
          <w:szCs w:val="24"/>
        </w:rPr>
        <w:t>7.4 定标</w:t>
      </w:r>
      <w:bookmarkEnd w:id="286"/>
      <w:bookmarkEnd w:id="287"/>
    </w:p>
    <w:p>
      <w:pPr>
        <w:pStyle w:val="46"/>
        <w:ind w:firstLine="0" w:firstLineChars="0"/>
        <w:rPr>
          <w:rFonts w:ascii="宋体" w:hAnsi="宋体" w:cs="宋体"/>
          <w:szCs w:val="24"/>
        </w:rPr>
      </w:pPr>
      <w:r>
        <w:rPr>
          <w:rFonts w:hint="eastAsia" w:ascii="宋体" w:hAnsi="宋体" w:cs="宋体"/>
          <w:szCs w:val="24"/>
        </w:rPr>
        <w:t>按照投标人须知前附表的规定，招标人或招标人授权的评标委员会依法确定中标人。</w:t>
      </w:r>
    </w:p>
    <w:p>
      <w:pPr>
        <w:pStyle w:val="46"/>
        <w:ind w:firstLine="0" w:firstLineChars="0"/>
        <w:rPr>
          <w:rFonts w:ascii="宋体" w:hAnsi="宋体" w:cs="宋体"/>
          <w:b/>
          <w:bCs/>
          <w:szCs w:val="24"/>
        </w:rPr>
      </w:pPr>
      <w:bookmarkStart w:id="288" w:name="_Toc529196565"/>
      <w:bookmarkStart w:id="289" w:name="_Toc515205238"/>
      <w:r>
        <w:rPr>
          <w:rFonts w:hint="eastAsia" w:ascii="宋体" w:hAnsi="宋体" w:cs="宋体"/>
          <w:b/>
          <w:bCs/>
          <w:szCs w:val="24"/>
        </w:rPr>
        <w:t>7.5 中标通知</w:t>
      </w:r>
      <w:bookmarkEnd w:id="288"/>
      <w:bookmarkEnd w:id="289"/>
    </w:p>
    <w:p>
      <w:pPr>
        <w:pStyle w:val="46"/>
        <w:ind w:firstLine="0" w:firstLineChars="0"/>
        <w:rPr>
          <w:rFonts w:ascii="宋体" w:hAnsi="宋体" w:cs="宋体"/>
          <w:szCs w:val="24"/>
        </w:rPr>
      </w:pPr>
      <w:r>
        <w:rPr>
          <w:rFonts w:hint="eastAsia" w:ascii="宋体" w:hAnsi="宋体" w:cs="宋体"/>
          <w:szCs w:val="24"/>
        </w:rPr>
        <w:t>在本章第3.3款规定的投标有效期内，招标人以书面形式向中标人发出中标</w:t>
      </w:r>
      <w:bookmarkStart w:id="290" w:name="_Toc352691506"/>
      <w:bookmarkStart w:id="291" w:name="_Toc300834983"/>
      <w:bookmarkStart w:id="292" w:name="_Toc361508619"/>
      <w:bookmarkStart w:id="293" w:name="_Toc5668"/>
      <w:bookmarkStart w:id="294" w:name="_Toc369531550"/>
      <w:bookmarkStart w:id="295" w:name="_Toc384308244"/>
      <w:r>
        <w:rPr>
          <w:rFonts w:hint="eastAsia" w:ascii="宋体" w:hAnsi="宋体" w:cs="宋体"/>
          <w:szCs w:val="24"/>
        </w:rPr>
        <w:t>通知书，同时将中</w:t>
      </w:r>
      <w:bookmarkEnd w:id="290"/>
      <w:bookmarkEnd w:id="291"/>
      <w:bookmarkEnd w:id="292"/>
      <w:bookmarkEnd w:id="293"/>
      <w:bookmarkEnd w:id="294"/>
      <w:bookmarkEnd w:id="295"/>
      <w:r>
        <w:rPr>
          <w:rFonts w:hint="eastAsia" w:ascii="宋体" w:hAnsi="宋体" w:cs="宋体"/>
          <w:szCs w:val="24"/>
        </w:rPr>
        <w:t>标结果通知未中标的投标人。</w:t>
      </w:r>
    </w:p>
    <w:p>
      <w:pPr>
        <w:pStyle w:val="46"/>
        <w:ind w:firstLine="0" w:firstLineChars="0"/>
        <w:rPr>
          <w:rFonts w:ascii="宋体" w:hAnsi="宋体" w:cs="宋体"/>
          <w:b/>
          <w:bCs/>
          <w:szCs w:val="24"/>
        </w:rPr>
      </w:pPr>
      <w:bookmarkStart w:id="296" w:name="_Toc515205239"/>
      <w:bookmarkStart w:id="297" w:name="_Toc529196566"/>
      <w:r>
        <w:rPr>
          <w:rFonts w:hint="eastAsia" w:ascii="宋体" w:hAnsi="宋体" w:cs="宋体"/>
          <w:b/>
          <w:bCs/>
          <w:szCs w:val="24"/>
        </w:rPr>
        <w:t>7.6 履约保证金</w:t>
      </w:r>
      <w:bookmarkEnd w:id="296"/>
      <w:bookmarkEnd w:id="297"/>
    </w:p>
    <w:p>
      <w:pPr>
        <w:pStyle w:val="46"/>
        <w:ind w:firstLine="0" w:firstLineChars="0"/>
        <w:rPr>
          <w:rFonts w:ascii="宋体" w:hAnsi="宋体" w:cs="宋体"/>
          <w:szCs w:val="24"/>
        </w:rPr>
      </w:pPr>
      <w:r>
        <w:rPr>
          <w:rFonts w:hint="eastAsia" w:ascii="宋体" w:hAnsi="宋体" w:cs="宋体"/>
          <w:szCs w:val="24"/>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ascii="宋体" w:hAnsi="宋体" w:cs="宋体"/>
          <w:strike/>
          <w:szCs w:val="24"/>
        </w:rPr>
        <w:t>联合体中标的，其履约保证金以联合体各方或者联合体中牵头人的名义提交。</w:t>
      </w:r>
    </w:p>
    <w:p>
      <w:pPr>
        <w:pStyle w:val="46"/>
        <w:ind w:firstLine="0" w:firstLineChars="0"/>
        <w:rPr>
          <w:rFonts w:ascii="宋体" w:hAnsi="宋体" w:cs="宋体"/>
          <w:szCs w:val="24"/>
        </w:rPr>
      </w:pPr>
      <w:r>
        <w:rPr>
          <w:rFonts w:hint="eastAsia" w:ascii="宋体" w:hAnsi="宋体" w:cs="宋体"/>
          <w:szCs w:val="24"/>
        </w:rPr>
        <w:t>7.6.2 中标人不能按本章第7.6.1项要求提交履约保证金的，视为放弃中标，并按第二章投标人须知前附表10.1条的约定处理。给招标人造成损失的，中标人还应当对损失部分予以赔偿。</w:t>
      </w:r>
    </w:p>
    <w:p>
      <w:pPr>
        <w:pStyle w:val="46"/>
        <w:ind w:firstLine="0" w:firstLineChars="0"/>
        <w:rPr>
          <w:rFonts w:ascii="宋体" w:hAnsi="宋体" w:cs="宋体"/>
          <w:b/>
          <w:bCs/>
          <w:szCs w:val="24"/>
        </w:rPr>
      </w:pPr>
      <w:bookmarkStart w:id="298" w:name="_Toc515205240"/>
      <w:bookmarkStart w:id="299" w:name="_Toc529196567"/>
      <w:r>
        <w:rPr>
          <w:rFonts w:hint="eastAsia" w:ascii="宋体" w:hAnsi="宋体" w:cs="宋体"/>
          <w:b/>
          <w:bCs/>
          <w:szCs w:val="24"/>
        </w:rPr>
        <w:t>7.7 签订合同</w:t>
      </w:r>
      <w:bookmarkEnd w:id="298"/>
      <w:bookmarkEnd w:id="299"/>
    </w:p>
    <w:p>
      <w:pPr>
        <w:pStyle w:val="46"/>
        <w:ind w:firstLine="0" w:firstLineChars="0"/>
        <w:rPr>
          <w:rFonts w:ascii="宋体" w:hAnsi="宋体" w:cs="宋体"/>
          <w:szCs w:val="24"/>
        </w:rPr>
      </w:pPr>
      <w:r>
        <w:rPr>
          <w:rFonts w:hint="eastAsia" w:ascii="宋体" w:hAnsi="宋体" w:cs="宋体"/>
          <w:szCs w:val="24"/>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并按第二章投标人须知前附表10.1条的约定处理；给招标人造成的损失的，中标人还应当对损失部分予以赔偿。</w:t>
      </w:r>
    </w:p>
    <w:p>
      <w:pPr>
        <w:pStyle w:val="46"/>
        <w:ind w:firstLine="0" w:firstLineChars="0"/>
        <w:rPr>
          <w:rFonts w:ascii="宋体" w:hAnsi="宋体" w:cs="宋体"/>
          <w:szCs w:val="24"/>
        </w:rPr>
      </w:pPr>
      <w:r>
        <w:rPr>
          <w:rFonts w:hint="eastAsia" w:ascii="宋体" w:hAnsi="宋体" w:cs="宋体"/>
          <w:szCs w:val="24"/>
        </w:rPr>
        <w:t>7.7.2 发出中标通知书后，招标人无正当理由拒签合同，或者在签订合同时向中标人提出附加条件</w:t>
      </w:r>
      <w:r>
        <w:rPr>
          <w:rFonts w:hint="eastAsia" w:ascii="宋体" w:hAnsi="宋体" w:cs="宋体"/>
          <w:strike/>
          <w:szCs w:val="24"/>
        </w:rPr>
        <w:t>的，招标人向中标人退还投标保证金；</w:t>
      </w:r>
      <w:r>
        <w:rPr>
          <w:rFonts w:hint="eastAsia" w:ascii="宋体" w:hAnsi="宋体" w:cs="宋体"/>
          <w:szCs w:val="24"/>
        </w:rPr>
        <w:t>给中标人造成损失的，还应当赔偿损失。</w:t>
      </w:r>
    </w:p>
    <w:p>
      <w:pPr>
        <w:pStyle w:val="46"/>
        <w:ind w:firstLine="0" w:firstLineChars="0"/>
        <w:rPr>
          <w:rFonts w:ascii="宋体" w:hAnsi="宋体" w:cs="宋体"/>
          <w:strike/>
          <w:szCs w:val="24"/>
        </w:rPr>
      </w:pPr>
      <w:r>
        <w:rPr>
          <w:rFonts w:hint="eastAsia" w:ascii="宋体" w:hAnsi="宋体" w:cs="宋体"/>
          <w:strike/>
          <w:szCs w:val="24"/>
        </w:rPr>
        <w:t>7.7.3联合体中标的，联合体各方应当共同与招标人签订合同，就中标项目向招标人承担连带责任。</w:t>
      </w:r>
    </w:p>
    <w:p>
      <w:pPr>
        <w:spacing w:after="0" w:line="360" w:lineRule="auto"/>
        <w:rPr>
          <w:rFonts w:ascii="宋体" w:hAnsi="宋体" w:eastAsia="宋体" w:cs="宋体"/>
          <w:sz w:val="24"/>
        </w:rPr>
      </w:pPr>
    </w:p>
    <w:p>
      <w:pPr>
        <w:pStyle w:val="91"/>
        <w:rPr>
          <w:rFonts w:ascii="宋体" w:hAnsi="宋体" w:eastAsia="宋体" w:cs="宋体"/>
          <w:sz w:val="24"/>
          <w:szCs w:val="24"/>
        </w:rPr>
      </w:pPr>
      <w:bookmarkStart w:id="300" w:name="_Toc384308252"/>
      <w:bookmarkStart w:id="301" w:name="_Toc361508627"/>
      <w:bookmarkStart w:id="302" w:name="_Toc24067"/>
      <w:bookmarkStart w:id="303" w:name="_Toc19894"/>
      <w:bookmarkStart w:id="304" w:name="_Toc529196568"/>
      <w:bookmarkStart w:id="305" w:name="_Toc199515643"/>
      <w:bookmarkStart w:id="306" w:name="_Toc6955"/>
      <w:bookmarkStart w:id="307" w:name="_Toc515205241"/>
      <w:bookmarkStart w:id="308" w:name="_Toc247513992"/>
      <w:bookmarkStart w:id="309" w:name="_Toc300834991"/>
      <w:bookmarkStart w:id="310" w:name="_Toc152045568"/>
      <w:bookmarkStart w:id="311" w:name="_Toc152042344"/>
      <w:bookmarkStart w:id="312" w:name="_Toc144974536"/>
      <w:bookmarkStart w:id="313" w:name="_Toc247527593"/>
      <w:r>
        <w:rPr>
          <w:rFonts w:hint="eastAsia" w:ascii="宋体" w:hAnsi="宋体" w:eastAsia="宋体" w:cs="宋体"/>
          <w:sz w:val="24"/>
          <w:szCs w:val="24"/>
        </w:rPr>
        <w:t>8.</w:t>
      </w:r>
      <w:bookmarkEnd w:id="300"/>
      <w:bookmarkEnd w:id="301"/>
      <w:bookmarkEnd w:id="302"/>
      <w:r>
        <w:rPr>
          <w:rFonts w:hint="eastAsia" w:ascii="宋体" w:hAnsi="宋体" w:eastAsia="宋体" w:cs="宋体"/>
          <w:sz w:val="24"/>
          <w:szCs w:val="24"/>
        </w:rPr>
        <w:t>纪律和监督</w:t>
      </w:r>
      <w:bookmarkEnd w:id="303"/>
      <w:bookmarkEnd w:id="304"/>
      <w:bookmarkEnd w:id="305"/>
      <w:bookmarkEnd w:id="306"/>
      <w:bookmarkEnd w:id="307"/>
    </w:p>
    <w:p>
      <w:pPr>
        <w:pStyle w:val="46"/>
        <w:ind w:firstLine="0" w:firstLineChars="0"/>
        <w:rPr>
          <w:rFonts w:ascii="宋体" w:hAnsi="宋体" w:cs="宋体"/>
          <w:b/>
          <w:bCs/>
          <w:szCs w:val="24"/>
        </w:rPr>
      </w:pPr>
      <w:bookmarkStart w:id="314" w:name="_Toc515205242"/>
      <w:bookmarkStart w:id="315" w:name="_Toc529196569"/>
      <w:r>
        <w:rPr>
          <w:rFonts w:hint="eastAsia" w:ascii="宋体" w:hAnsi="宋体" w:cs="宋体"/>
          <w:b/>
          <w:bCs/>
          <w:szCs w:val="24"/>
        </w:rPr>
        <w:t>8.1 对招标人的纪律要求</w:t>
      </w:r>
      <w:bookmarkEnd w:id="314"/>
      <w:bookmarkEnd w:id="315"/>
    </w:p>
    <w:p>
      <w:pPr>
        <w:pStyle w:val="46"/>
        <w:ind w:firstLine="0" w:firstLineChars="0"/>
        <w:rPr>
          <w:rFonts w:ascii="宋体" w:hAnsi="宋体" w:cs="宋体"/>
          <w:szCs w:val="24"/>
        </w:rPr>
      </w:pPr>
      <w:r>
        <w:rPr>
          <w:rFonts w:hint="eastAsia" w:ascii="宋体" w:hAnsi="宋体" w:cs="宋体"/>
          <w:szCs w:val="24"/>
        </w:rPr>
        <w:t>招标人不得泄露招标投标活动中应当保密的情况和资料，不得与投标人串通损害国家利益、社会公共利益或者他人合法权益。</w:t>
      </w:r>
    </w:p>
    <w:p>
      <w:pPr>
        <w:pStyle w:val="46"/>
        <w:ind w:firstLine="0" w:firstLineChars="0"/>
        <w:rPr>
          <w:rFonts w:ascii="宋体" w:hAnsi="宋体" w:cs="宋体"/>
          <w:b/>
          <w:bCs/>
          <w:szCs w:val="24"/>
        </w:rPr>
      </w:pPr>
      <w:bookmarkStart w:id="316" w:name="_Toc529196570"/>
      <w:bookmarkStart w:id="317" w:name="_Toc515205243"/>
      <w:r>
        <w:rPr>
          <w:rFonts w:hint="eastAsia" w:ascii="宋体" w:hAnsi="宋体" w:cs="宋体"/>
          <w:b/>
          <w:bCs/>
          <w:szCs w:val="24"/>
        </w:rPr>
        <w:t>8.2 对投标人的纪律要求</w:t>
      </w:r>
      <w:bookmarkEnd w:id="316"/>
      <w:bookmarkEnd w:id="317"/>
    </w:p>
    <w:p>
      <w:pPr>
        <w:pStyle w:val="46"/>
        <w:ind w:firstLine="0" w:firstLineChars="0"/>
        <w:rPr>
          <w:rFonts w:ascii="宋体" w:hAnsi="宋体" w:cs="宋体"/>
          <w:szCs w:val="24"/>
        </w:rPr>
      </w:pPr>
      <w:r>
        <w:rPr>
          <w:rFonts w:hint="eastAsia" w:ascii="宋体" w:hAnsi="宋体" w:cs="宋体"/>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6"/>
        <w:ind w:firstLine="0" w:firstLineChars="0"/>
        <w:rPr>
          <w:rFonts w:ascii="宋体" w:hAnsi="宋体" w:cs="宋体"/>
          <w:b/>
          <w:bCs/>
          <w:szCs w:val="24"/>
        </w:rPr>
      </w:pPr>
      <w:bookmarkStart w:id="318" w:name="_Toc529196571"/>
      <w:bookmarkStart w:id="319" w:name="_Toc515205244"/>
      <w:r>
        <w:rPr>
          <w:rFonts w:hint="eastAsia" w:ascii="宋体" w:hAnsi="宋体" w:cs="宋体"/>
          <w:b/>
          <w:bCs/>
          <w:szCs w:val="24"/>
        </w:rPr>
        <w:t>8.3 对评标委员会成员的纪律要求</w:t>
      </w:r>
      <w:bookmarkEnd w:id="318"/>
      <w:bookmarkEnd w:id="319"/>
    </w:p>
    <w:p>
      <w:pPr>
        <w:pStyle w:val="46"/>
        <w:ind w:firstLine="0" w:firstLineChars="0"/>
        <w:rPr>
          <w:rFonts w:ascii="宋体" w:hAnsi="宋体" w:cs="宋体"/>
          <w:szCs w:val="24"/>
        </w:rPr>
      </w:pPr>
      <w:r>
        <w:rPr>
          <w:rFonts w:hint="eastAsia" w:ascii="宋体" w:hAnsi="宋体" w:cs="宋体"/>
          <w:szCs w:val="24"/>
        </w:rPr>
        <w:t>评标委员会成员不得收受他人的财物或者其他好处，不得向他人透露对投标文件的评审</w:t>
      </w:r>
      <w:bookmarkStart w:id="320" w:name="_Toc361508628"/>
      <w:bookmarkStart w:id="321" w:name="_Toc369531559"/>
      <w:bookmarkStart w:id="322" w:name="_Toc384308253"/>
      <w:bookmarkStart w:id="323" w:name="_Toc13644"/>
      <w:bookmarkStart w:id="324" w:name="_Toc352691515"/>
      <w:r>
        <w:rPr>
          <w:rFonts w:hint="eastAsia" w:ascii="宋体" w:hAnsi="宋体" w:cs="宋体"/>
          <w:szCs w:val="24"/>
        </w:rPr>
        <w:t>和比较、中标候选人</w:t>
      </w:r>
      <w:bookmarkEnd w:id="308"/>
      <w:bookmarkEnd w:id="309"/>
      <w:bookmarkEnd w:id="310"/>
      <w:bookmarkEnd w:id="311"/>
      <w:bookmarkEnd w:id="312"/>
      <w:bookmarkEnd w:id="313"/>
      <w:bookmarkEnd w:id="320"/>
      <w:bookmarkEnd w:id="321"/>
      <w:bookmarkEnd w:id="322"/>
      <w:bookmarkEnd w:id="323"/>
      <w:bookmarkEnd w:id="324"/>
      <w:r>
        <w:rPr>
          <w:rFonts w:hint="eastAsia" w:ascii="宋体" w:hAnsi="宋体" w:cs="宋体"/>
          <w:szCs w:val="24"/>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6"/>
        <w:ind w:firstLine="0" w:firstLineChars="0"/>
        <w:rPr>
          <w:rFonts w:ascii="宋体" w:hAnsi="宋体" w:cs="宋体"/>
          <w:b/>
          <w:bCs/>
          <w:szCs w:val="24"/>
        </w:rPr>
      </w:pPr>
      <w:bookmarkStart w:id="325" w:name="_Toc529196572"/>
      <w:bookmarkStart w:id="326" w:name="_Toc515205245"/>
      <w:r>
        <w:rPr>
          <w:rFonts w:hint="eastAsia" w:ascii="宋体" w:hAnsi="宋体" w:cs="宋体"/>
          <w:b/>
          <w:bCs/>
          <w:szCs w:val="24"/>
        </w:rPr>
        <w:t>8.4 对与评标活动有关的工作人员的纪律要求</w:t>
      </w:r>
      <w:bookmarkEnd w:id="325"/>
      <w:bookmarkEnd w:id="326"/>
    </w:p>
    <w:p>
      <w:pPr>
        <w:pStyle w:val="46"/>
        <w:ind w:firstLine="0" w:firstLineChars="0"/>
        <w:rPr>
          <w:rFonts w:ascii="宋体" w:hAnsi="宋体" w:cs="宋体"/>
          <w:szCs w:val="24"/>
        </w:rPr>
      </w:pPr>
      <w:r>
        <w:rPr>
          <w:rFonts w:hint="eastAsia" w:ascii="宋体" w:hAnsi="宋体" w:cs="宋体"/>
          <w:szCs w:val="24"/>
        </w:rPr>
        <w:t>与评标活动有关的工作人员不得收受他人的财物或者其他好处，不得向他人透露对投标文件</w:t>
      </w:r>
      <w:bookmarkStart w:id="327" w:name="_Toc144974537"/>
      <w:bookmarkStart w:id="328" w:name="_Toc19429"/>
      <w:bookmarkStart w:id="329" w:name="_Toc352691516"/>
      <w:bookmarkStart w:id="330" w:name="_Toc300834992"/>
      <w:bookmarkStart w:id="331" w:name="_Toc247527594"/>
      <w:bookmarkStart w:id="332" w:name="_Toc247513993"/>
      <w:bookmarkStart w:id="333" w:name="_Toc369531560"/>
      <w:bookmarkStart w:id="334" w:name="_Toc152042345"/>
      <w:bookmarkStart w:id="335" w:name="_Toc361508629"/>
      <w:bookmarkStart w:id="336" w:name="_Toc384308254"/>
      <w:bookmarkStart w:id="337" w:name="_Toc152045569"/>
      <w:r>
        <w:rPr>
          <w:rFonts w:hint="eastAsia" w:ascii="宋体" w:hAnsi="宋体" w:cs="宋体"/>
          <w:szCs w:val="24"/>
        </w:rPr>
        <w:t>的评审和比较、中标</w:t>
      </w:r>
      <w:bookmarkEnd w:id="327"/>
      <w:bookmarkEnd w:id="328"/>
      <w:bookmarkEnd w:id="329"/>
      <w:bookmarkEnd w:id="330"/>
      <w:bookmarkEnd w:id="331"/>
      <w:bookmarkEnd w:id="332"/>
      <w:bookmarkEnd w:id="333"/>
      <w:bookmarkEnd w:id="334"/>
      <w:bookmarkEnd w:id="335"/>
      <w:bookmarkEnd w:id="336"/>
      <w:bookmarkEnd w:id="337"/>
      <w:r>
        <w:rPr>
          <w:rFonts w:hint="eastAsia" w:ascii="宋体" w:hAnsi="宋体" w:cs="宋体"/>
          <w:szCs w:val="24"/>
        </w:rPr>
        <w:t>候选人的推荐情况以及评标有关的其他情况。在评标活动中，与评标活动有关的工作人员不得擅离职守，影响评标程序正常进行。</w:t>
      </w:r>
    </w:p>
    <w:p>
      <w:pPr>
        <w:pStyle w:val="46"/>
        <w:ind w:firstLine="0" w:firstLineChars="0"/>
        <w:rPr>
          <w:rFonts w:ascii="宋体" w:hAnsi="宋体" w:cs="宋体"/>
          <w:b/>
          <w:bCs/>
          <w:szCs w:val="24"/>
        </w:rPr>
      </w:pPr>
      <w:bookmarkStart w:id="338" w:name="_Toc529196573"/>
      <w:bookmarkStart w:id="339" w:name="_Toc515205246"/>
      <w:r>
        <w:rPr>
          <w:rFonts w:hint="eastAsia" w:ascii="宋体" w:hAnsi="宋体" w:cs="宋体"/>
          <w:b/>
          <w:bCs/>
          <w:szCs w:val="24"/>
        </w:rPr>
        <w:t>8.5 投诉</w:t>
      </w:r>
      <w:bookmarkEnd w:id="338"/>
      <w:bookmarkEnd w:id="339"/>
    </w:p>
    <w:p>
      <w:pPr>
        <w:pStyle w:val="46"/>
        <w:ind w:firstLine="0" w:firstLineChars="0"/>
        <w:rPr>
          <w:rFonts w:ascii="宋体" w:hAnsi="宋体" w:cs="宋体"/>
          <w:szCs w:val="24"/>
        </w:rPr>
      </w:pPr>
      <w:r>
        <w:rPr>
          <w:rFonts w:hint="eastAsia" w:ascii="宋体" w:hAnsi="宋体" w:cs="宋体"/>
          <w:szCs w:val="24"/>
        </w:rPr>
        <w:t>8.5.1 投标人或者其他利害关系人认为招标投标活动不符合法律、行政法规规定的，可以自知道或者应当知道之日起10日内向有关行政监督部门投诉。投诉应当有明确的请求和必要的证明材料。</w:t>
      </w:r>
    </w:p>
    <w:p>
      <w:pPr>
        <w:pStyle w:val="46"/>
        <w:ind w:firstLine="0" w:firstLineChars="0"/>
        <w:rPr>
          <w:rFonts w:ascii="宋体" w:hAnsi="宋体" w:cs="宋体"/>
          <w:szCs w:val="24"/>
        </w:rPr>
      </w:pPr>
      <w:r>
        <w:rPr>
          <w:rFonts w:hint="eastAsia" w:ascii="宋体" w:hAnsi="宋体" w:cs="宋体"/>
          <w:szCs w:val="24"/>
        </w:rPr>
        <w:t>8.5.2 投标人或者其他利害关系人对招标文件、开标和评标结果提出投诉的，应当按照投标人须知第2.4款、第5.3款和第7.2款的规定先向招标人提出异议。异议答复期间</w:t>
      </w:r>
      <w:bookmarkStart w:id="340" w:name="_Toc369531561"/>
      <w:bookmarkStart w:id="341" w:name="_Toc300834993"/>
      <w:bookmarkStart w:id="342" w:name="_Toc12776"/>
      <w:bookmarkStart w:id="343" w:name="_Toc152045570"/>
      <w:bookmarkStart w:id="344" w:name="_Toc384308255"/>
      <w:bookmarkStart w:id="345" w:name="_Toc361508630"/>
      <w:bookmarkStart w:id="346" w:name="_Toc247527595"/>
      <w:bookmarkStart w:id="347" w:name="_Toc144974538"/>
      <w:bookmarkStart w:id="348" w:name="_Toc247513994"/>
      <w:bookmarkStart w:id="349" w:name="_Toc152042346"/>
      <w:bookmarkStart w:id="350" w:name="_Toc352691517"/>
      <w:r>
        <w:rPr>
          <w:rFonts w:hint="eastAsia" w:ascii="宋体" w:hAnsi="宋体" w:cs="宋体"/>
          <w:szCs w:val="24"/>
        </w:rPr>
        <w:t>不计算在第8.5.</w:t>
      </w:r>
      <w:bookmarkEnd w:id="340"/>
      <w:bookmarkEnd w:id="341"/>
      <w:bookmarkEnd w:id="342"/>
      <w:bookmarkEnd w:id="343"/>
      <w:bookmarkEnd w:id="344"/>
      <w:bookmarkEnd w:id="345"/>
      <w:bookmarkEnd w:id="346"/>
      <w:bookmarkEnd w:id="347"/>
      <w:bookmarkEnd w:id="348"/>
      <w:bookmarkEnd w:id="349"/>
      <w:bookmarkEnd w:id="350"/>
      <w:r>
        <w:rPr>
          <w:rFonts w:hint="eastAsia" w:ascii="宋体" w:hAnsi="宋体" w:cs="宋体"/>
          <w:szCs w:val="24"/>
        </w:rPr>
        <w:t>1项规定的期限内。</w:t>
      </w:r>
    </w:p>
    <w:p>
      <w:pPr>
        <w:pStyle w:val="46"/>
        <w:ind w:firstLine="0" w:firstLineChars="0"/>
        <w:rPr>
          <w:rFonts w:ascii="宋体" w:hAnsi="宋体" w:cs="宋体"/>
          <w:szCs w:val="24"/>
        </w:rPr>
      </w:pPr>
      <w:bookmarkStart w:id="351" w:name="_Toc515205247"/>
      <w:bookmarkStart w:id="352" w:name="_Toc529196574"/>
      <w:bookmarkStart w:id="353" w:name="_Toc477134992"/>
    </w:p>
    <w:p>
      <w:pPr>
        <w:pStyle w:val="91"/>
        <w:rPr>
          <w:rFonts w:ascii="宋体" w:hAnsi="宋体" w:eastAsia="宋体" w:cs="宋体"/>
          <w:sz w:val="24"/>
          <w:szCs w:val="24"/>
        </w:rPr>
      </w:pPr>
      <w:bookmarkStart w:id="354" w:name="_Toc22034"/>
      <w:bookmarkStart w:id="355" w:name="_Toc17572"/>
      <w:bookmarkStart w:id="356" w:name="_Toc199515644"/>
      <w:r>
        <w:rPr>
          <w:rFonts w:hint="eastAsia" w:ascii="宋体" w:hAnsi="宋体" w:eastAsia="宋体" w:cs="宋体"/>
          <w:sz w:val="24"/>
          <w:szCs w:val="24"/>
        </w:rPr>
        <w:t>9. 是否采用电子招标投标</w:t>
      </w:r>
      <w:bookmarkEnd w:id="351"/>
      <w:bookmarkEnd w:id="352"/>
      <w:bookmarkEnd w:id="353"/>
      <w:bookmarkEnd w:id="354"/>
      <w:bookmarkEnd w:id="355"/>
      <w:bookmarkEnd w:id="356"/>
    </w:p>
    <w:p>
      <w:pPr>
        <w:pStyle w:val="46"/>
        <w:ind w:firstLine="0" w:firstLineChars="0"/>
        <w:rPr>
          <w:rFonts w:ascii="宋体" w:hAnsi="宋体" w:cs="宋体"/>
          <w:szCs w:val="24"/>
        </w:rPr>
      </w:pPr>
      <w:r>
        <w:rPr>
          <w:rFonts w:hint="eastAsia" w:ascii="宋体" w:hAnsi="宋体" w:cs="宋体"/>
          <w:szCs w:val="24"/>
        </w:rPr>
        <w:t>本招标项目是否采用电子招标投标方式，见投标人须知前附表。</w:t>
      </w:r>
    </w:p>
    <w:p>
      <w:pPr>
        <w:spacing w:after="0" w:line="360" w:lineRule="auto"/>
        <w:rPr>
          <w:rFonts w:ascii="宋体" w:hAnsi="宋体" w:eastAsia="宋体" w:cs="宋体"/>
          <w:sz w:val="24"/>
        </w:rPr>
      </w:pPr>
    </w:p>
    <w:p>
      <w:pPr>
        <w:pStyle w:val="91"/>
        <w:rPr>
          <w:rFonts w:ascii="宋体" w:hAnsi="宋体" w:eastAsia="宋体" w:cs="宋体"/>
          <w:sz w:val="24"/>
          <w:szCs w:val="24"/>
        </w:rPr>
      </w:pPr>
      <w:bookmarkStart w:id="357" w:name="_Toc515205248"/>
      <w:bookmarkStart w:id="358" w:name="_Toc20073"/>
      <w:bookmarkStart w:id="359" w:name="_Toc5021"/>
      <w:bookmarkStart w:id="360" w:name="_Toc529196575"/>
      <w:bookmarkStart w:id="361" w:name="_Toc199515645"/>
      <w:r>
        <w:rPr>
          <w:rFonts w:hint="eastAsia" w:ascii="宋体" w:hAnsi="宋体" w:eastAsia="宋体" w:cs="宋体"/>
          <w:sz w:val="24"/>
          <w:szCs w:val="24"/>
        </w:rPr>
        <w:t>10. 需要补充的其他内容</w:t>
      </w:r>
      <w:bookmarkEnd w:id="357"/>
      <w:bookmarkEnd w:id="358"/>
      <w:bookmarkEnd w:id="359"/>
      <w:bookmarkEnd w:id="360"/>
      <w:bookmarkEnd w:id="361"/>
    </w:p>
    <w:p>
      <w:pPr>
        <w:pStyle w:val="46"/>
        <w:ind w:firstLine="0" w:firstLineChars="0"/>
        <w:rPr>
          <w:rFonts w:ascii="宋体" w:hAnsi="宋体" w:cs="宋体"/>
          <w:szCs w:val="24"/>
        </w:rPr>
      </w:pPr>
      <w:r>
        <w:rPr>
          <w:rFonts w:hint="eastAsia" w:ascii="宋体" w:hAnsi="宋体" w:cs="宋体"/>
          <w:szCs w:val="24"/>
        </w:rPr>
        <w:t>见投标人须知前附表。</w:t>
      </w:r>
    </w:p>
    <w:p>
      <w:pPr>
        <w:pStyle w:val="46"/>
        <w:ind w:firstLine="0" w:firstLineChars="0"/>
        <w:rPr>
          <w:rFonts w:ascii="宋体" w:hAnsi="宋体" w:cs="宋体"/>
          <w:szCs w:val="24"/>
        </w:rPr>
        <w:sectPr>
          <w:footerReference r:id="rId6" w:type="default"/>
          <w:pgSz w:w="12240" w:h="15840"/>
          <w:pgMar w:top="1440" w:right="1800" w:bottom="1440" w:left="1800" w:header="567" w:footer="567" w:gutter="0"/>
          <w:cols w:space="720" w:num="1"/>
          <w:rtlGutter w:val="1"/>
          <w:docGrid w:linePitch="286" w:charSpace="0"/>
        </w:sectPr>
      </w:pPr>
    </w:p>
    <w:p>
      <w:pPr>
        <w:pStyle w:val="91"/>
        <w:rPr>
          <w:rFonts w:ascii="宋体" w:hAnsi="宋体" w:eastAsia="宋体" w:cs="宋体"/>
          <w:sz w:val="24"/>
          <w:szCs w:val="24"/>
          <w:lang w:eastAsia="zh-CN"/>
        </w:rPr>
      </w:pPr>
      <w:bookmarkStart w:id="362" w:name="_Toc196490485"/>
      <w:bookmarkStart w:id="363" w:name="_Toc1628"/>
      <w:bookmarkStart w:id="364" w:name="_Toc199515646"/>
      <w:bookmarkStart w:id="365" w:name="_Toc29484"/>
      <w:r>
        <w:rPr>
          <w:rFonts w:hint="eastAsia" w:ascii="宋体" w:hAnsi="宋体" w:eastAsia="宋体" w:cs="宋体"/>
          <w:sz w:val="24"/>
          <w:szCs w:val="24"/>
        </w:rPr>
        <w:t>附件</w:t>
      </w:r>
      <w:bookmarkEnd w:id="362"/>
      <w:bookmarkEnd w:id="363"/>
      <w:bookmarkEnd w:id="364"/>
      <w:bookmarkEnd w:id="365"/>
    </w:p>
    <w:p>
      <w:pPr>
        <w:spacing w:after="0" w:line="360" w:lineRule="auto"/>
        <w:rPr>
          <w:rFonts w:ascii="宋体" w:hAnsi="宋体" w:eastAsia="宋体" w:cs="宋体"/>
          <w:sz w:val="24"/>
        </w:rPr>
      </w:pPr>
    </w:p>
    <w:p>
      <w:pPr>
        <w:pStyle w:val="46"/>
        <w:ind w:firstLine="0" w:firstLineChars="0"/>
        <w:rPr>
          <w:rFonts w:ascii="宋体" w:hAnsi="宋体" w:cs="宋体"/>
          <w:b/>
          <w:bCs/>
          <w:szCs w:val="24"/>
        </w:rPr>
      </w:pPr>
      <w:bookmarkStart w:id="366" w:name="_Toc530470624"/>
      <w:bookmarkStart w:id="367" w:name="_Toc529196576"/>
      <w:bookmarkStart w:id="368" w:name="_Toc535938714"/>
      <w:r>
        <w:rPr>
          <w:rFonts w:hint="eastAsia" w:ascii="宋体" w:hAnsi="宋体" w:cs="宋体"/>
          <w:b/>
          <w:bCs/>
          <w:szCs w:val="24"/>
        </w:rPr>
        <w:t>附件一：开标记录表</w:t>
      </w:r>
      <w:bookmarkEnd w:id="366"/>
      <w:bookmarkEnd w:id="367"/>
      <w:bookmarkEnd w:id="368"/>
    </w:p>
    <w:p>
      <w:pPr>
        <w:pStyle w:val="46"/>
        <w:ind w:firstLine="0" w:firstLineChars="0"/>
        <w:rPr>
          <w:rFonts w:ascii="宋体" w:hAnsi="宋体" w:cs="宋体"/>
          <w:szCs w:val="24"/>
        </w:rPr>
      </w:pPr>
      <w:r>
        <w:rPr>
          <w:rFonts w:hint="eastAsia" w:ascii="宋体" w:hAnsi="宋体" w:cs="宋体"/>
          <w:szCs w:val="24"/>
        </w:rPr>
        <w:t>（按广州交易集团有限公司（广州公共资源交易中心）系统导出为准）</w:t>
      </w:r>
    </w:p>
    <w:p>
      <w:pPr>
        <w:spacing w:after="0" w:line="360" w:lineRule="auto"/>
        <w:rPr>
          <w:rFonts w:ascii="宋体" w:hAnsi="宋体" w:eastAsia="宋体" w:cs="宋体"/>
          <w:sz w:val="24"/>
        </w:rPr>
      </w:pPr>
    </w:p>
    <w:p>
      <w:pPr>
        <w:pStyle w:val="46"/>
        <w:ind w:firstLine="0" w:firstLineChars="0"/>
        <w:rPr>
          <w:rFonts w:ascii="宋体" w:hAnsi="宋体" w:cs="宋体"/>
          <w:b/>
          <w:bCs/>
          <w:szCs w:val="24"/>
        </w:rPr>
      </w:pPr>
      <w:bookmarkStart w:id="369" w:name="_Toc535938715"/>
      <w:bookmarkStart w:id="370" w:name="_Toc529196577"/>
      <w:bookmarkStart w:id="371" w:name="_Toc530470625"/>
      <w:r>
        <w:rPr>
          <w:rFonts w:hint="eastAsia" w:ascii="宋体" w:hAnsi="宋体" w:cs="宋体"/>
          <w:b/>
          <w:bCs/>
          <w:szCs w:val="24"/>
        </w:rPr>
        <w:t>附件二：问题澄清通知</w:t>
      </w:r>
    </w:p>
    <w:p>
      <w:pPr>
        <w:pStyle w:val="46"/>
        <w:ind w:firstLine="0" w:firstLineChars="0"/>
        <w:rPr>
          <w:rFonts w:ascii="宋体" w:hAnsi="宋体" w:cs="宋体"/>
          <w:szCs w:val="24"/>
        </w:rPr>
      </w:pPr>
      <w:r>
        <w:rPr>
          <w:rFonts w:hint="eastAsia" w:ascii="宋体" w:hAnsi="宋体" w:cs="宋体"/>
          <w:szCs w:val="24"/>
        </w:rPr>
        <w:t>（按广州交易集团有限公司（广州公共资源交易中心）问题澄清通知格式）</w:t>
      </w:r>
      <w:bookmarkEnd w:id="369"/>
      <w:bookmarkEnd w:id="370"/>
      <w:bookmarkEnd w:id="371"/>
      <w:bookmarkStart w:id="372" w:name="_Toc152042355"/>
      <w:bookmarkStart w:id="373" w:name="_Toc144974546"/>
    </w:p>
    <w:p>
      <w:pPr>
        <w:spacing w:after="0" w:line="360" w:lineRule="auto"/>
        <w:rPr>
          <w:rFonts w:ascii="宋体" w:hAnsi="宋体" w:eastAsia="宋体" w:cs="宋体"/>
          <w:sz w:val="24"/>
        </w:rPr>
      </w:pPr>
    </w:p>
    <w:p>
      <w:pPr>
        <w:pStyle w:val="46"/>
        <w:ind w:firstLine="0" w:firstLineChars="0"/>
        <w:rPr>
          <w:rFonts w:ascii="宋体" w:hAnsi="宋体" w:cs="宋体"/>
          <w:b/>
          <w:bCs/>
          <w:szCs w:val="24"/>
        </w:rPr>
      </w:pPr>
      <w:bookmarkStart w:id="374" w:name="_Toc530470626"/>
      <w:bookmarkStart w:id="375" w:name="_Toc529196578"/>
      <w:bookmarkStart w:id="376" w:name="_Toc535938716"/>
      <w:r>
        <w:rPr>
          <w:rFonts w:hint="eastAsia" w:ascii="宋体" w:hAnsi="宋体" w:cs="宋体"/>
          <w:b/>
          <w:bCs/>
          <w:szCs w:val="24"/>
        </w:rPr>
        <w:t>附件三：问题的澄清</w:t>
      </w:r>
      <w:bookmarkEnd w:id="372"/>
      <w:bookmarkStart w:id="377" w:name="_Toc369531568"/>
      <w:bookmarkStart w:id="378" w:name="_Toc247527604"/>
      <w:bookmarkStart w:id="379" w:name="_Toc352691524"/>
      <w:bookmarkStart w:id="380" w:name="_Toc361508637"/>
      <w:bookmarkStart w:id="381" w:name="_Toc247514003"/>
      <w:bookmarkStart w:id="382" w:name="_Toc152042356"/>
      <w:bookmarkStart w:id="383" w:name="_Toc300834999"/>
      <w:bookmarkStart w:id="384" w:name="_Toc152045579"/>
      <w:bookmarkStart w:id="385" w:name="_Toc3622"/>
      <w:bookmarkStart w:id="386" w:name="_Toc384308263"/>
    </w:p>
    <w:p>
      <w:pPr>
        <w:pStyle w:val="46"/>
        <w:ind w:firstLine="0" w:firstLineChars="0"/>
        <w:rPr>
          <w:rFonts w:ascii="宋体" w:hAnsi="宋体" w:cs="宋体"/>
          <w:szCs w:val="24"/>
        </w:rPr>
      </w:pPr>
      <w:r>
        <w:rPr>
          <w:rFonts w:hint="eastAsia" w:ascii="宋体" w:hAnsi="宋体" w:cs="宋体"/>
          <w:szCs w:val="24"/>
        </w:rPr>
        <w:t>（按广州交易集团有限公司（广州公共资源交易中心）问题澄清格式）</w:t>
      </w:r>
      <w:bookmarkEnd w:id="374"/>
      <w:bookmarkEnd w:id="375"/>
      <w:bookmarkEnd w:id="376"/>
    </w:p>
    <w:p>
      <w:pPr>
        <w:spacing w:after="0" w:line="360" w:lineRule="auto"/>
        <w:rPr>
          <w:rFonts w:ascii="宋体" w:hAnsi="宋体" w:eastAsia="宋体" w:cs="宋体"/>
          <w:sz w:val="24"/>
        </w:rPr>
      </w:pPr>
    </w:p>
    <w:bookmarkEnd w:id="373"/>
    <w:bookmarkEnd w:id="377"/>
    <w:bookmarkEnd w:id="378"/>
    <w:bookmarkEnd w:id="379"/>
    <w:bookmarkEnd w:id="380"/>
    <w:bookmarkEnd w:id="381"/>
    <w:bookmarkEnd w:id="382"/>
    <w:bookmarkEnd w:id="383"/>
    <w:bookmarkEnd w:id="384"/>
    <w:bookmarkEnd w:id="385"/>
    <w:bookmarkEnd w:id="386"/>
    <w:p>
      <w:pPr>
        <w:pStyle w:val="46"/>
        <w:ind w:firstLine="0" w:firstLineChars="0"/>
        <w:rPr>
          <w:rFonts w:ascii="宋体" w:hAnsi="宋体" w:cs="宋体"/>
          <w:b/>
          <w:bCs/>
          <w:szCs w:val="24"/>
        </w:rPr>
      </w:pPr>
      <w:bookmarkStart w:id="387" w:name="_Toc492300623"/>
      <w:bookmarkStart w:id="388" w:name="_Toc530470627"/>
      <w:bookmarkStart w:id="389" w:name="_Toc529196579"/>
      <w:bookmarkStart w:id="390" w:name="_Toc535938718"/>
      <w:r>
        <w:rPr>
          <w:rFonts w:hint="eastAsia" w:ascii="宋体" w:hAnsi="宋体" w:cs="宋体"/>
          <w:b/>
          <w:bCs/>
          <w:szCs w:val="24"/>
        </w:rPr>
        <w:t>附件四：中标通知书</w:t>
      </w:r>
      <w:bookmarkEnd w:id="387"/>
    </w:p>
    <w:p>
      <w:pPr>
        <w:pStyle w:val="46"/>
        <w:ind w:firstLine="0" w:firstLineChars="0"/>
        <w:rPr>
          <w:rFonts w:ascii="宋体" w:hAnsi="宋体" w:cs="宋体"/>
          <w:szCs w:val="24"/>
        </w:rPr>
      </w:pPr>
      <w:r>
        <w:rPr>
          <w:rFonts w:hint="eastAsia" w:ascii="宋体" w:hAnsi="宋体" w:cs="宋体"/>
          <w:szCs w:val="24"/>
        </w:rPr>
        <w:t>（按广州交易集团有限公司（广州公共资源交易中心）中标通知书格式）</w:t>
      </w:r>
      <w:bookmarkEnd w:id="388"/>
      <w:bookmarkEnd w:id="389"/>
      <w:bookmarkEnd w:id="390"/>
    </w:p>
    <w:p>
      <w:pPr>
        <w:spacing w:after="0" w:line="360" w:lineRule="auto"/>
        <w:rPr>
          <w:rFonts w:ascii="宋体" w:hAnsi="宋体" w:eastAsia="宋体" w:cs="宋体"/>
          <w:sz w:val="24"/>
        </w:rPr>
      </w:pPr>
    </w:p>
    <w:p>
      <w:pPr>
        <w:pStyle w:val="46"/>
        <w:ind w:firstLine="0" w:firstLineChars="0"/>
        <w:rPr>
          <w:rFonts w:ascii="宋体" w:hAnsi="宋体" w:cs="宋体"/>
          <w:b/>
          <w:bCs/>
          <w:szCs w:val="24"/>
        </w:rPr>
      </w:pPr>
      <w:bookmarkStart w:id="391" w:name="_Toc492300625"/>
      <w:bookmarkStart w:id="392" w:name="_Toc492300624"/>
      <w:bookmarkStart w:id="393" w:name="_Toc529196580"/>
      <w:bookmarkStart w:id="394" w:name="_Toc530470628"/>
      <w:bookmarkStart w:id="395" w:name="_Toc535938719"/>
      <w:r>
        <w:rPr>
          <w:rFonts w:hint="eastAsia" w:ascii="宋体" w:hAnsi="宋体" w:cs="宋体"/>
          <w:b/>
          <w:bCs/>
          <w:szCs w:val="24"/>
        </w:rPr>
        <w:t>附件五：</w:t>
      </w:r>
      <w:bookmarkEnd w:id="391"/>
      <w:r>
        <w:rPr>
          <w:rFonts w:hint="eastAsia" w:ascii="宋体" w:hAnsi="宋体" w:cs="宋体"/>
          <w:b/>
          <w:bCs/>
          <w:szCs w:val="24"/>
        </w:rPr>
        <w:t>中标结果通知书</w:t>
      </w:r>
      <w:bookmarkEnd w:id="392"/>
    </w:p>
    <w:p>
      <w:pPr>
        <w:pStyle w:val="46"/>
        <w:ind w:firstLine="0" w:firstLineChars="0"/>
        <w:rPr>
          <w:rFonts w:ascii="宋体" w:hAnsi="宋体" w:cs="宋体"/>
          <w:szCs w:val="24"/>
        </w:rPr>
      </w:pPr>
      <w:r>
        <w:rPr>
          <w:rFonts w:hint="eastAsia" w:ascii="宋体" w:hAnsi="宋体" w:cs="宋体"/>
          <w:szCs w:val="24"/>
        </w:rPr>
        <w:t>（按广州交易集团有限公司（广州公共资源交易中心）中标结果通知书格式）</w:t>
      </w:r>
      <w:bookmarkEnd w:id="393"/>
      <w:bookmarkEnd w:id="394"/>
      <w:bookmarkEnd w:id="395"/>
    </w:p>
    <w:p>
      <w:pPr>
        <w:spacing w:after="0" w:line="360" w:lineRule="auto"/>
        <w:rPr>
          <w:rFonts w:ascii="宋体" w:hAnsi="宋体" w:eastAsia="宋体" w:cs="宋体"/>
          <w:sz w:val="24"/>
        </w:rPr>
      </w:pPr>
    </w:p>
    <w:p>
      <w:pPr>
        <w:pStyle w:val="46"/>
        <w:ind w:firstLine="0" w:firstLineChars="0"/>
        <w:rPr>
          <w:rFonts w:ascii="宋体" w:hAnsi="宋体" w:cs="宋体"/>
          <w:b/>
          <w:bCs/>
          <w:szCs w:val="24"/>
        </w:rPr>
      </w:pPr>
      <w:r>
        <w:rPr>
          <w:rFonts w:hint="eastAsia" w:ascii="宋体" w:hAnsi="宋体" w:cs="宋体"/>
          <w:b/>
          <w:bCs/>
          <w:szCs w:val="24"/>
        </w:rPr>
        <w:t>附件六：确认通知</w:t>
      </w:r>
    </w:p>
    <w:p>
      <w:pPr>
        <w:pStyle w:val="46"/>
        <w:ind w:firstLine="0" w:firstLineChars="0"/>
        <w:rPr>
          <w:rFonts w:ascii="宋体" w:hAnsi="宋体" w:cs="宋体"/>
          <w:szCs w:val="24"/>
        </w:rPr>
      </w:pPr>
      <w:r>
        <w:rPr>
          <w:rFonts w:hint="eastAsia" w:ascii="宋体" w:hAnsi="宋体" w:cs="宋体"/>
          <w:szCs w:val="24"/>
        </w:rPr>
        <w:t>（按广州交易集团有限公司（广州公共资源交易中心）确认通知格式）</w:t>
      </w:r>
    </w:p>
    <w:p>
      <w:pPr>
        <w:pStyle w:val="46"/>
        <w:ind w:firstLine="0" w:firstLineChars="0"/>
        <w:rPr>
          <w:rFonts w:ascii="宋体" w:hAnsi="宋体" w:cs="宋体"/>
          <w:szCs w:val="24"/>
        </w:rPr>
      </w:pPr>
    </w:p>
    <w:p>
      <w:pPr>
        <w:spacing w:after="0" w:line="360" w:lineRule="auto"/>
        <w:rPr>
          <w:rFonts w:ascii="宋体" w:hAnsi="宋体" w:eastAsia="宋体" w:cs="宋体"/>
          <w:sz w:val="24"/>
        </w:rPr>
      </w:pPr>
      <w:r>
        <w:rPr>
          <w:rFonts w:hint="eastAsia" w:ascii="宋体" w:hAnsi="宋体" w:eastAsia="宋体" w:cs="宋体"/>
          <w:sz w:val="24"/>
        </w:rPr>
        <w:br w:type="page"/>
      </w:r>
    </w:p>
    <w:p>
      <w:bookmarkStart w:id="396" w:name="_Toc199515647"/>
      <w:r>
        <w:rPr>
          <w:rFonts w:hint="eastAsia"/>
        </w:rPr>
        <w:t>附件七：</w:t>
      </w:r>
      <w:bookmarkEnd w:id="396"/>
    </w:p>
    <w:p>
      <w:pPr>
        <w:pStyle w:val="131"/>
        <w:widowControl/>
        <w:spacing w:line="360" w:lineRule="auto"/>
        <w:ind w:left="440"/>
        <w:jc w:val="left"/>
        <w:rPr>
          <w:rFonts w:ascii="宋体" w:hAnsi="宋体" w:cs="宋体"/>
          <w:b/>
          <w:sz w:val="24"/>
          <w:szCs w:val="24"/>
        </w:rPr>
      </w:pPr>
      <w:r>
        <w:rPr>
          <w:rFonts w:hint="eastAsia" w:ascii="宋体" w:hAnsi="宋体" w:cs="宋体"/>
          <w:b/>
          <w:sz w:val="24"/>
          <w:szCs w:val="24"/>
        </w:rPr>
        <w:t>评标委员会成员声明</w:t>
      </w:r>
    </w:p>
    <w:p>
      <w:pPr>
        <w:pStyle w:val="131"/>
        <w:widowControl/>
        <w:spacing w:line="360" w:lineRule="auto"/>
        <w:ind w:left="440"/>
        <w:jc w:val="left"/>
        <w:rPr>
          <w:rFonts w:ascii="宋体" w:hAnsi="宋体" w:cs="宋体"/>
          <w:b/>
          <w:sz w:val="24"/>
          <w:szCs w:val="24"/>
          <w:u w:val="single"/>
        </w:rPr>
      </w:pPr>
    </w:p>
    <w:p>
      <w:pPr>
        <w:pStyle w:val="131"/>
        <w:widowControl/>
        <w:spacing w:line="360" w:lineRule="auto"/>
        <w:ind w:left="440"/>
        <w:jc w:val="left"/>
        <w:rPr>
          <w:rFonts w:ascii="宋体" w:hAnsi="宋体" w:cs="宋体"/>
          <w:b/>
          <w:sz w:val="24"/>
          <w:szCs w:val="24"/>
        </w:rPr>
      </w:pPr>
      <w:r>
        <w:rPr>
          <w:rFonts w:hint="eastAsia" w:ascii="宋体" w:hAnsi="宋体" w:cs="宋体"/>
          <w:b/>
          <w:sz w:val="24"/>
          <w:szCs w:val="24"/>
          <w:u w:val="single"/>
        </w:rPr>
        <w:t xml:space="preserve">   本项目招标人  </w:t>
      </w:r>
      <w:r>
        <w:rPr>
          <w:rFonts w:hint="eastAsia" w:ascii="宋体" w:hAnsi="宋体" w:cs="宋体"/>
          <w:b/>
          <w:sz w:val="24"/>
          <w:szCs w:val="24"/>
        </w:rPr>
        <w:t>：</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本人就参与</w:t>
      </w:r>
      <w:r>
        <w:rPr>
          <w:rFonts w:hint="eastAsia" w:ascii="宋体" w:hAnsi="宋体" w:eastAsia="宋体" w:cs="宋体"/>
          <w:sz w:val="24"/>
          <w:u w:val="single"/>
          <w:lang w:bidi="ar"/>
        </w:rPr>
        <w:t xml:space="preserve">               </w:t>
      </w:r>
      <w:r>
        <w:rPr>
          <w:rFonts w:hint="eastAsia" w:ascii="宋体" w:hAnsi="宋体" w:eastAsia="宋体" w:cs="宋体"/>
          <w:sz w:val="24"/>
          <w:lang w:bidi="ar"/>
        </w:rPr>
        <w:t>项目的评标工作，作出郑重声明：</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adjustRightInd w:val="0"/>
        <w:snapToGrid w:val="0"/>
        <w:spacing w:after="0" w:line="360" w:lineRule="auto"/>
        <w:rPr>
          <w:rFonts w:ascii="宋体" w:hAnsi="宋体" w:eastAsia="宋体" w:cs="宋体"/>
          <w:b/>
          <w:sz w:val="24"/>
        </w:rPr>
      </w:pPr>
      <w:r>
        <w:rPr>
          <w:rFonts w:hint="eastAsia" w:ascii="宋体" w:hAnsi="宋体" w:eastAsia="宋体" w:cs="宋体"/>
          <w:sz w:val="24"/>
          <w:lang w:bidi="ar"/>
        </w:rPr>
        <w:t xml:space="preserve">如果本人违反上述声明内容，造成的后果由本人自行承担。   </w:t>
      </w:r>
      <w:r>
        <w:rPr>
          <w:rFonts w:hint="eastAsia" w:ascii="宋体" w:hAnsi="宋体" w:eastAsia="宋体" w:cs="宋体"/>
          <w:b/>
          <w:sz w:val="24"/>
          <w:lang w:bidi="ar"/>
        </w:rPr>
        <w:t xml:space="preserve">                          </w:t>
      </w:r>
    </w:p>
    <w:p>
      <w:pPr>
        <w:pStyle w:val="131"/>
        <w:widowControl/>
        <w:spacing w:line="360" w:lineRule="auto"/>
        <w:ind w:left="440"/>
        <w:jc w:val="left"/>
        <w:rPr>
          <w:rFonts w:ascii="宋体" w:hAnsi="宋体" w:cs="宋体"/>
          <w:b/>
          <w:sz w:val="24"/>
          <w:szCs w:val="24"/>
        </w:rPr>
      </w:pPr>
    </w:p>
    <w:p>
      <w:pPr>
        <w:pStyle w:val="131"/>
        <w:widowControl/>
        <w:spacing w:line="360" w:lineRule="auto"/>
        <w:ind w:left="-13" w:leftChars="-6"/>
        <w:jc w:val="left"/>
        <w:rPr>
          <w:rFonts w:ascii="宋体" w:hAnsi="宋体" w:cs="宋体"/>
          <w:b/>
          <w:sz w:val="24"/>
          <w:szCs w:val="24"/>
        </w:rPr>
      </w:pPr>
      <w:r>
        <w:rPr>
          <w:rFonts w:hint="eastAsia" w:ascii="宋体" w:hAnsi="宋体" w:cs="宋体"/>
          <w:b/>
          <w:sz w:val="24"/>
          <w:szCs w:val="24"/>
        </w:rPr>
        <w:t>声明人：</w:t>
      </w:r>
      <w:r>
        <w:rPr>
          <w:rFonts w:hint="eastAsia" w:ascii="宋体" w:hAnsi="宋体" w:cs="宋体"/>
          <w:b/>
          <w:sz w:val="24"/>
          <w:szCs w:val="24"/>
          <w:u w:val="single"/>
        </w:rPr>
        <w:t xml:space="preserve"> （签名）</w:t>
      </w:r>
    </w:p>
    <w:p>
      <w:pPr>
        <w:pStyle w:val="93"/>
        <w:jc w:val="center"/>
        <w:rPr>
          <w:rFonts w:ascii="宋体" w:hAnsi="宋体" w:cs="宋体"/>
          <w:szCs w:val="24"/>
        </w:rPr>
      </w:pPr>
      <w:r>
        <w:rPr>
          <w:rFonts w:hint="eastAsia" w:ascii="宋体" w:hAnsi="宋体" w:cs="宋体"/>
          <w:szCs w:val="24"/>
        </w:rPr>
        <w:br w:type="page"/>
      </w:r>
      <w:bookmarkStart w:id="397" w:name="_Toc188"/>
      <w:r>
        <w:rPr>
          <w:rFonts w:hint="eastAsia" w:ascii="宋体" w:hAnsi="宋体" w:cs="宋体"/>
          <w:sz w:val="32"/>
          <w:szCs w:val="32"/>
          <w:lang w:eastAsia="zh-CN"/>
          <w14:ligatures w14:val="standardContextual"/>
        </w:rPr>
        <w:t>第三章 评标办法（“评定分离”定标办法）</w:t>
      </w:r>
      <w:bookmarkEnd w:id="397"/>
    </w:p>
    <w:p>
      <w:pPr>
        <w:pStyle w:val="46"/>
        <w:ind w:firstLine="0" w:firstLineChars="0"/>
        <w:rPr>
          <w:rFonts w:ascii="宋体" w:hAnsi="宋体" w:cs="宋体"/>
          <w:szCs w:val="24"/>
        </w:rPr>
      </w:pPr>
      <w:bookmarkStart w:id="398" w:name="_Toc11850344"/>
      <w:bookmarkStart w:id="399" w:name="_Toc8656911"/>
    </w:p>
    <w:p>
      <w:pPr>
        <w:pStyle w:val="91"/>
        <w:rPr>
          <w:rFonts w:ascii="宋体" w:hAnsi="宋体" w:eastAsia="宋体" w:cs="宋体"/>
          <w:sz w:val="24"/>
          <w:szCs w:val="24"/>
          <w:lang w:eastAsia="zh-CN"/>
        </w:rPr>
      </w:pPr>
      <w:bookmarkStart w:id="400" w:name="_Toc6222"/>
      <w:bookmarkStart w:id="401" w:name="_Toc199515649"/>
      <w:bookmarkStart w:id="402" w:name="_Toc13552"/>
      <w:r>
        <w:rPr>
          <w:rFonts w:hint="eastAsia" w:ascii="宋体" w:hAnsi="宋体" w:eastAsia="宋体" w:cs="宋体"/>
          <w:sz w:val="24"/>
          <w:szCs w:val="24"/>
        </w:rPr>
        <w:t>评标</w:t>
      </w:r>
      <w:r>
        <w:rPr>
          <w:rFonts w:hint="eastAsia" w:ascii="宋体" w:hAnsi="宋体" w:eastAsia="宋体" w:cs="宋体"/>
          <w:sz w:val="24"/>
          <w:szCs w:val="24"/>
          <w:u w:val="single"/>
        </w:rPr>
        <w:t>和定标</w:t>
      </w:r>
      <w:r>
        <w:rPr>
          <w:rFonts w:hint="eastAsia" w:ascii="宋体" w:hAnsi="宋体" w:eastAsia="宋体" w:cs="宋体"/>
          <w:sz w:val="24"/>
          <w:szCs w:val="24"/>
        </w:rPr>
        <w:t>办法前附表</w:t>
      </w:r>
      <w:bookmarkEnd w:id="400"/>
      <w:bookmarkEnd w:id="401"/>
      <w:bookmarkEnd w:id="402"/>
    </w:p>
    <w:p>
      <w:pPr>
        <w:spacing w:after="0" w:line="360" w:lineRule="auto"/>
        <w:rPr>
          <w:rFonts w:ascii="宋体" w:hAnsi="宋体" w:eastAsia="宋体" w:cs="宋体"/>
          <w:sz w:val="24"/>
        </w:rPr>
      </w:pPr>
    </w:p>
    <w:tbl>
      <w:tblPr>
        <w:tblStyle w:val="39"/>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699"/>
        <w:gridCol w:w="1702"/>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03" w:type="dxa"/>
            <w:gridSpan w:val="2"/>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4"/>
              <w:widowControl/>
              <w:spacing w:line="360" w:lineRule="auto"/>
              <w:rPr>
                <w:rFonts w:ascii="宋体" w:hAnsi="宋体" w:eastAsia="宋体" w:cs="宋体"/>
                <w:b/>
                <w:bCs/>
                <w:sz w:val="24"/>
                <w:szCs w:val="24"/>
              </w:rPr>
            </w:pPr>
            <w:r>
              <w:rPr>
                <w:rFonts w:hint="eastAsia" w:ascii="宋体" w:hAnsi="宋体" w:eastAsia="宋体" w:cs="宋体"/>
                <w:b/>
                <w:bCs/>
                <w:sz w:val="24"/>
                <w:szCs w:val="24"/>
              </w:rPr>
              <w:t>条款号</w:t>
            </w:r>
          </w:p>
        </w:tc>
        <w:tc>
          <w:tcPr>
            <w:tcW w:w="1702" w:type="dxa"/>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4"/>
              <w:widowControl/>
              <w:spacing w:line="360" w:lineRule="auto"/>
              <w:rPr>
                <w:rFonts w:ascii="宋体" w:hAnsi="宋体" w:eastAsia="宋体" w:cs="宋体"/>
                <w:b/>
                <w:bCs/>
                <w:sz w:val="24"/>
                <w:szCs w:val="24"/>
              </w:rPr>
            </w:pPr>
            <w:r>
              <w:rPr>
                <w:rFonts w:hint="eastAsia" w:ascii="宋体" w:hAnsi="宋体" w:eastAsia="宋体" w:cs="宋体"/>
                <w:b/>
                <w:bCs/>
                <w:sz w:val="24"/>
                <w:szCs w:val="24"/>
              </w:rPr>
              <w:t>评审因素</w:t>
            </w:r>
          </w:p>
        </w:tc>
        <w:tc>
          <w:tcPr>
            <w:tcW w:w="6133" w:type="dxa"/>
            <w:tcBorders>
              <w:top w:val="single" w:color="auto" w:sz="12"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4"/>
              <w:widowControl/>
              <w:spacing w:line="360" w:lineRule="auto"/>
              <w:rPr>
                <w:rFonts w:ascii="宋体" w:hAnsi="宋体" w:eastAsia="宋体" w:cs="宋体"/>
                <w:b/>
                <w:bCs/>
                <w:sz w:val="24"/>
                <w:szCs w:val="24"/>
              </w:rPr>
            </w:pPr>
            <w:r>
              <w:rPr>
                <w:rFonts w:hint="eastAsia" w:ascii="宋体" w:hAnsi="宋体" w:eastAsia="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4"/>
              <w:widowControl/>
              <w:spacing w:line="360" w:lineRule="auto"/>
              <w:rPr>
                <w:rFonts w:ascii="宋体" w:hAnsi="宋体" w:eastAsia="宋体" w:cs="宋体"/>
                <w:sz w:val="24"/>
                <w:szCs w:val="24"/>
              </w:rPr>
            </w:pPr>
            <w:r>
              <w:rPr>
                <w:rFonts w:hint="eastAsia" w:ascii="宋体" w:hAnsi="宋体" w:eastAsia="宋体" w:cs="宋体"/>
                <w:sz w:val="24"/>
                <w:szCs w:val="24"/>
              </w:rPr>
              <w:t>1</w:t>
            </w:r>
          </w:p>
        </w:tc>
        <w:tc>
          <w:tcPr>
            <w:tcW w:w="699" w:type="dxa"/>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4"/>
              <w:widowControl/>
              <w:spacing w:line="360" w:lineRule="auto"/>
              <w:rPr>
                <w:rFonts w:ascii="宋体" w:hAnsi="宋体" w:eastAsia="宋体" w:cs="宋体"/>
                <w:sz w:val="24"/>
                <w:szCs w:val="24"/>
              </w:rPr>
            </w:pPr>
            <w:r>
              <w:rPr>
                <w:rFonts w:hint="eastAsia" w:ascii="宋体" w:hAnsi="宋体" w:eastAsia="宋体" w:cs="宋体"/>
                <w:sz w:val="24"/>
                <w:szCs w:val="24"/>
              </w:rPr>
              <w:t>评标方法</w:t>
            </w:r>
          </w:p>
        </w:tc>
        <w:tc>
          <w:tcPr>
            <w:tcW w:w="1702" w:type="dxa"/>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中标候选人排序方法</w:t>
            </w:r>
          </w:p>
        </w:tc>
        <w:tc>
          <w:tcPr>
            <w:tcW w:w="6133" w:type="dxa"/>
            <w:tcBorders>
              <w:top w:val="single" w:color="auto" w:sz="12"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4"/>
              <w:widowControl/>
              <w:numPr>
                <w:ilvl w:val="255"/>
                <w:numId w:val="0"/>
              </w:numPr>
              <w:spacing w:line="360" w:lineRule="auto"/>
              <w:rPr>
                <w:rFonts w:ascii="宋体" w:hAnsi="宋体" w:eastAsia="宋体" w:cs="宋体"/>
                <w:kern w:val="2"/>
                <w:sz w:val="24"/>
                <w:szCs w:val="24"/>
                <w14:ligatures w14:val="standardContextual"/>
              </w:rPr>
            </w:pPr>
            <w:r>
              <w:rPr>
                <w:rFonts w:hint="eastAsia" w:ascii="宋体" w:hAnsi="宋体" w:eastAsia="宋体" w:cs="宋体"/>
                <w:kern w:val="2"/>
                <w:sz w:val="24"/>
                <w:szCs w:val="24"/>
                <w:lang w:bidi="ar"/>
              </w:rPr>
              <w:t>本项目采用评定分离定标办法，其中：评标采用“通过制”评标办法，所有通过初步评审（形式评审、资格评审、响应性评审）的投标人全部被推荐为合格的中标候选人，进入定标阶段【合格的中标候选人按其统一社会信用代码后4位（除校验码外）从大到小进行排位，不排序（如统一社会信用代码后4位出现字母情况的，字母以“0”进行代替大小排位；如出现后4位（除校验码外）大小一致的，则随机排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restart"/>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4"/>
              <w:widowControl/>
              <w:spacing w:line="360" w:lineRule="auto"/>
              <w:rPr>
                <w:rFonts w:ascii="宋体" w:hAnsi="宋体" w:eastAsia="宋体" w:cs="宋体"/>
                <w:sz w:val="24"/>
                <w:szCs w:val="24"/>
              </w:rPr>
            </w:pPr>
            <w:r>
              <w:rPr>
                <w:rFonts w:hint="eastAsia" w:ascii="宋体" w:hAnsi="宋体" w:eastAsia="宋体" w:cs="宋体"/>
                <w:sz w:val="24"/>
                <w:szCs w:val="24"/>
              </w:rPr>
              <w:t>2.1.1</w:t>
            </w:r>
          </w:p>
        </w:tc>
        <w:tc>
          <w:tcPr>
            <w:tcW w:w="699" w:type="dxa"/>
            <w:vMerge w:val="restart"/>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4"/>
              <w:widowControl/>
              <w:spacing w:line="360" w:lineRule="auto"/>
              <w:rPr>
                <w:rFonts w:ascii="宋体" w:hAnsi="宋体" w:eastAsia="宋体" w:cs="宋体"/>
                <w:sz w:val="24"/>
                <w:szCs w:val="24"/>
              </w:rPr>
            </w:pPr>
            <w:r>
              <w:rPr>
                <w:rFonts w:hint="eastAsia" w:ascii="宋体" w:hAnsi="宋体" w:eastAsia="宋体" w:cs="宋体"/>
                <w:sz w:val="24"/>
                <w:szCs w:val="24"/>
              </w:rPr>
              <w:t>形式评审标准</w:t>
            </w:r>
          </w:p>
        </w:tc>
        <w:tc>
          <w:tcPr>
            <w:tcW w:w="1702"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投标人名称</w:t>
            </w:r>
          </w:p>
        </w:tc>
        <w:tc>
          <w:tcPr>
            <w:tcW w:w="6133"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kern w:val="2"/>
                <w:sz w:val="24"/>
                <w:szCs w:val="24"/>
                <w:lang w:bidi="ar"/>
              </w:rPr>
            </w:pPr>
            <w:r>
              <w:rPr>
                <w:rFonts w:hint="eastAsia" w:ascii="宋体" w:hAnsi="宋体" w:eastAsia="宋体" w:cs="宋体"/>
                <w:kern w:val="2"/>
                <w:sz w:val="24"/>
                <w:szCs w:val="24"/>
                <w:lang w:bidi="ar"/>
              </w:rPr>
              <w:t>法定代表人身份证明及授权委托书</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kern w:val="2"/>
                <w:sz w:val="24"/>
                <w:szCs w:val="24"/>
                <w:lang w:bidi="ar"/>
              </w:rPr>
            </w:pPr>
            <w:r>
              <w:rPr>
                <w:rFonts w:hint="eastAsia" w:ascii="宋体" w:hAnsi="宋体" w:eastAsia="宋体" w:cs="宋体"/>
                <w:kern w:val="2"/>
                <w:sz w:val="24"/>
                <w:szCs w:val="24"/>
                <w:lang w:bidi="ar"/>
              </w:rPr>
              <w:t>投标文件由法定代表人签字（或盖章）的，应附法定代表人身份证明；由被授权人签字（或盖章）的，应附授权委托书、法定代表人身份证明。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投标文件格式</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46"/>
              <w:ind w:firstLine="0" w:firstLineChars="0"/>
              <w:rPr>
                <w:rFonts w:ascii="宋体" w:hAnsi="宋体" w:cs="宋体"/>
                <w:szCs w:val="24"/>
              </w:rPr>
            </w:pPr>
            <w:r>
              <w:rPr>
                <w:rFonts w:hint="eastAsia" w:ascii="宋体" w:hAnsi="宋体" w:cs="宋体"/>
                <w:szCs w:val="24"/>
                <w:lang w:bidi="ar"/>
              </w:rPr>
              <w:t>符合第六章“投标文件格式”格式一、格式六①～⑤的规定。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备选投标方案</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bookmarkStart w:id="403" w:name="OLE_LINK1"/>
            <w:r>
              <w:rPr>
                <w:rFonts w:hint="eastAsia" w:ascii="宋体" w:hAnsi="宋体" w:eastAsia="宋体" w:cs="宋体"/>
                <w:kern w:val="2"/>
                <w:sz w:val="24"/>
                <w:szCs w:val="24"/>
                <w:lang w:bidi="ar"/>
              </w:rPr>
              <w:t>不接受备选投标方案。</w:t>
            </w:r>
            <w:bookmarkEnd w:id="4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联合体投标人</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投标人机器码</w:t>
            </w:r>
          </w:p>
        </w:tc>
        <w:tc>
          <w:tcPr>
            <w:tcW w:w="6133"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本项目不同投标人机器码相同，视为不合格。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restart"/>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4"/>
              <w:widowControl/>
              <w:spacing w:line="360" w:lineRule="auto"/>
              <w:rPr>
                <w:rFonts w:ascii="宋体" w:hAnsi="宋体" w:eastAsia="宋体" w:cs="宋体"/>
                <w:sz w:val="24"/>
                <w:szCs w:val="24"/>
              </w:rPr>
            </w:pPr>
            <w:r>
              <w:rPr>
                <w:rFonts w:hint="eastAsia" w:ascii="宋体" w:hAnsi="宋体" w:eastAsia="宋体" w:cs="宋体"/>
                <w:sz w:val="24"/>
                <w:szCs w:val="24"/>
              </w:rPr>
              <w:t>2.1.2</w:t>
            </w:r>
          </w:p>
        </w:tc>
        <w:tc>
          <w:tcPr>
            <w:tcW w:w="699" w:type="dxa"/>
            <w:vMerge w:val="restart"/>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widowControl/>
              <w:spacing w:line="360" w:lineRule="auto"/>
              <w:rPr>
                <w:rFonts w:ascii="宋体" w:hAnsi="宋体" w:eastAsia="宋体" w:cs="宋体"/>
                <w:sz w:val="24"/>
                <w:szCs w:val="24"/>
              </w:rPr>
            </w:pPr>
            <w:r>
              <w:rPr>
                <w:rFonts w:hint="eastAsia" w:ascii="宋体" w:hAnsi="宋体" w:eastAsia="宋体" w:cs="宋体"/>
                <w:sz w:val="24"/>
                <w:szCs w:val="24"/>
              </w:rPr>
              <w:t>资格评审标准</w:t>
            </w:r>
          </w:p>
        </w:tc>
        <w:tc>
          <w:tcPr>
            <w:tcW w:w="1702"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营业执照</w:t>
            </w:r>
          </w:p>
        </w:tc>
        <w:tc>
          <w:tcPr>
            <w:tcW w:w="6133"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符合第二章“投标人须知”第3.5.1项规定，具备有效的营业执照。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704"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资质要求</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704"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财务要求</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704"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业绩要求</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704"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信誉要求</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704"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总监理工程师</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704"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其他主要人员</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试验检测仪器设备</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04"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其他要求</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704"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联合体投标人</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不存在禁止</w:t>
            </w:r>
          </w:p>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投标的情形</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restart"/>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4"/>
              <w:widowControl/>
              <w:spacing w:line="360" w:lineRule="auto"/>
              <w:rPr>
                <w:rFonts w:ascii="宋体" w:hAnsi="宋体" w:eastAsia="宋体" w:cs="宋体"/>
                <w:sz w:val="24"/>
                <w:szCs w:val="24"/>
              </w:rPr>
            </w:pPr>
            <w:r>
              <w:rPr>
                <w:rFonts w:hint="eastAsia" w:ascii="宋体" w:hAnsi="宋体" w:eastAsia="宋体" w:cs="宋体"/>
                <w:sz w:val="24"/>
                <w:szCs w:val="24"/>
              </w:rPr>
              <w:t>2.1.3</w:t>
            </w:r>
          </w:p>
        </w:tc>
        <w:tc>
          <w:tcPr>
            <w:tcW w:w="699" w:type="dxa"/>
            <w:vMerge w:val="restart"/>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4"/>
              <w:widowControl/>
              <w:spacing w:line="360" w:lineRule="auto"/>
              <w:rPr>
                <w:rFonts w:ascii="宋体" w:hAnsi="宋体" w:eastAsia="宋体" w:cs="宋体"/>
                <w:sz w:val="24"/>
                <w:szCs w:val="24"/>
              </w:rPr>
            </w:pPr>
            <w:r>
              <w:rPr>
                <w:rFonts w:hint="eastAsia" w:ascii="宋体" w:hAnsi="宋体" w:eastAsia="宋体" w:cs="宋体"/>
                <w:sz w:val="24"/>
                <w:szCs w:val="24"/>
              </w:rPr>
              <w:t>响应性评审标准</w:t>
            </w:r>
          </w:p>
        </w:tc>
        <w:tc>
          <w:tcPr>
            <w:tcW w:w="1702"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投标文件</w:t>
            </w:r>
          </w:p>
        </w:tc>
        <w:tc>
          <w:tcPr>
            <w:tcW w:w="6133"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投标报价</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符合第二章“投标人须知”第3.2款规定，对同一招标项目没有出现：两个或以上的投标报价且修正无依据；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投标内容</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符合第二章“投标人须知”第1.3.1项规定，投标文件按规定的格式填写，内容齐全或关键字迹清晰、容易辩认。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监理服务期限</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质量标准</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投标有效期</w:t>
            </w:r>
          </w:p>
        </w:tc>
        <w:tc>
          <w:tcPr>
            <w:tcW w:w="613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top w:val="single" w:color="auto" w:sz="12" w:space="0"/>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vMerge w:val="continue"/>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170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串通投标情形</w:t>
            </w:r>
          </w:p>
        </w:tc>
        <w:tc>
          <w:tcPr>
            <w:tcW w:w="6133"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不存在串通投标情形（串通投标情形以《广东省实施&lt;中华人民共和国招标投标法&gt;》第十六条的规定为准）。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restart"/>
            <w:tcBorders>
              <w:top w:val="single" w:color="auto" w:sz="12" w:space="0"/>
              <w:left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r>
              <w:rPr>
                <w:rFonts w:hint="eastAsia" w:ascii="宋体" w:hAnsi="宋体" w:eastAsia="宋体" w:cs="宋体"/>
                <w:sz w:val="24"/>
              </w:rPr>
              <w:t>3.4</w:t>
            </w:r>
          </w:p>
        </w:tc>
        <w:tc>
          <w:tcPr>
            <w:tcW w:w="699" w:type="dxa"/>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lang w:bidi="ar"/>
                <w14:ligatures w14:val="none"/>
              </w:rPr>
            </w:pPr>
            <w:r>
              <w:rPr>
                <w:rFonts w:hint="eastAsia" w:ascii="宋体" w:hAnsi="宋体" w:eastAsia="宋体" w:cs="宋体"/>
                <w:sz w:val="24"/>
                <w:lang w:bidi="ar"/>
                <w14:ligatures w14:val="none"/>
              </w:rPr>
              <w:t>3.4.1</w:t>
            </w:r>
          </w:p>
        </w:tc>
        <w:tc>
          <w:tcPr>
            <w:tcW w:w="7835" w:type="dxa"/>
            <w:gridSpan w:val="2"/>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kern w:val="2"/>
                <w:sz w:val="24"/>
                <w:szCs w:val="24"/>
                <w:lang w:bidi="ar"/>
              </w:rPr>
            </w:pPr>
            <w:r>
              <w:rPr>
                <w:rFonts w:hint="eastAsia" w:ascii="宋体" w:hAnsi="宋体" w:eastAsia="宋体" w:cs="宋体"/>
                <w:kern w:val="2"/>
                <w:sz w:val="24"/>
                <w:szCs w:val="24"/>
                <w:lang w:bidi="ar"/>
              </w:rPr>
              <w:t>评标委员会按照招标文件规定完成初步评审（形式评审、资格评审、响应性评审），向招标人推荐合格的中标候选人，进入定标阶段【合格的中标候选人按其统一社会信用代码后4位（除校验码外）从大到小进行排位，不排序（如统一社会信用代码后4位出现字母情况的，字母以“0”进行代替大小排位；如出现后4位（除校验码外）大小一致的，则随机排位）】。合格的中标候选人少于3家的，应当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Merge w:val="continue"/>
            <w:tcBorders>
              <w:left w:val="single" w:color="auto" w:sz="12"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rPr>
            </w:pPr>
          </w:p>
        </w:tc>
        <w:tc>
          <w:tcPr>
            <w:tcW w:w="699" w:type="dxa"/>
            <w:tcBorders>
              <w:top w:val="single" w:color="auto" w:sz="12" w:space="0"/>
              <w:left w:val="single" w:color="auto" w:sz="4" w:space="0"/>
              <w:bottom w:val="single" w:color="auto" w:sz="12" w:space="0"/>
              <w:right w:val="single" w:color="auto" w:sz="4" w:space="0"/>
            </w:tcBorders>
            <w:shd w:val="clear" w:color="auto" w:fill="FFFFFF"/>
            <w:tcMar>
              <w:left w:w="108" w:type="dxa"/>
              <w:right w:w="108" w:type="dxa"/>
            </w:tcMar>
            <w:vAlign w:val="center"/>
          </w:tcPr>
          <w:p>
            <w:pPr>
              <w:spacing w:after="0" w:line="360" w:lineRule="auto"/>
              <w:rPr>
                <w:rFonts w:ascii="宋体" w:hAnsi="宋体" w:eastAsia="宋体" w:cs="宋体"/>
                <w:sz w:val="24"/>
                <w:lang w:bidi="ar"/>
                <w14:ligatures w14:val="none"/>
              </w:rPr>
            </w:pPr>
            <w:r>
              <w:rPr>
                <w:rFonts w:hint="eastAsia" w:ascii="宋体" w:hAnsi="宋体" w:eastAsia="宋体" w:cs="宋体"/>
                <w:sz w:val="24"/>
                <w:lang w:bidi="ar"/>
                <w14:ligatures w14:val="none"/>
              </w:rPr>
              <w:t>3.4.2</w:t>
            </w:r>
          </w:p>
        </w:tc>
        <w:tc>
          <w:tcPr>
            <w:tcW w:w="7835" w:type="dxa"/>
            <w:gridSpan w:val="2"/>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kern w:val="2"/>
                <w:sz w:val="24"/>
                <w:szCs w:val="24"/>
                <w:lang w:bidi="ar"/>
              </w:rPr>
            </w:pPr>
            <w:r>
              <w:rPr>
                <w:rFonts w:hint="eastAsia" w:ascii="宋体" w:hAnsi="宋体" w:eastAsia="宋体" w:cs="宋体"/>
                <w:kern w:val="2"/>
                <w:sz w:val="24"/>
                <w:szCs w:val="24"/>
                <w:lang w:bidi="ar"/>
              </w:rPr>
              <w:t>评标委员会完成评标后，应当向招标人提交书面评标报告和合格的中标候选人名单，随后即告解散。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tcBorders>
              <w:top w:val="single" w:color="auto" w:sz="12" w:space="0"/>
              <w:left w:val="single" w:color="auto" w:sz="12" w:space="0"/>
              <w:bottom w:val="single" w:color="auto" w:sz="12" w:space="0"/>
              <w:right w:val="single" w:color="auto" w:sz="4" w:space="0"/>
            </w:tcBorders>
            <w:shd w:val="clear" w:color="auto" w:fill="FFFFFF"/>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4</w:t>
            </w:r>
          </w:p>
        </w:tc>
        <w:tc>
          <w:tcPr>
            <w:tcW w:w="699" w:type="dxa"/>
            <w:tcBorders>
              <w:top w:val="single" w:color="auto" w:sz="12" w:space="0"/>
              <w:left w:val="single" w:color="auto" w:sz="4" w:space="0"/>
              <w:bottom w:val="single" w:color="auto" w:sz="12" w:space="0"/>
              <w:right w:val="single" w:color="auto" w:sz="4" w:space="0"/>
            </w:tcBorders>
            <w:shd w:val="clear" w:color="auto" w:fill="FFFFFF"/>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定标办法</w:t>
            </w:r>
          </w:p>
        </w:tc>
        <w:tc>
          <w:tcPr>
            <w:tcW w:w="7835" w:type="dxa"/>
            <w:gridSpan w:val="2"/>
            <w:tcBorders>
              <w:top w:val="single" w:color="auto" w:sz="12"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4.1 定标委员会的组成</w:t>
            </w:r>
          </w:p>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（1）定标委员会：定标委员会由招标人依法组建。</w:t>
            </w:r>
          </w:p>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（2）定标会召开的时间地点：定标会召开时间在合格的中标候选人公示完成后10个工作日内在广州公共资源交易中心举行，定标会全程在广州公共资源交易中心见证人员见证下进行。</w:t>
            </w:r>
          </w:p>
          <w:p>
            <w:pPr>
              <w:pStyle w:val="34"/>
              <w:spacing w:line="360" w:lineRule="auto"/>
              <w:rPr>
                <w:rFonts w:ascii="宋体" w:hAnsi="宋体" w:eastAsia="宋体" w:cs="宋体"/>
                <w:kern w:val="2"/>
                <w:sz w:val="24"/>
                <w:szCs w:val="24"/>
                <w:lang w:bidi="ar"/>
              </w:rPr>
            </w:pPr>
            <w:r>
              <w:rPr>
                <w:rFonts w:hint="eastAsia" w:ascii="宋体" w:hAnsi="宋体" w:eastAsia="宋体" w:cs="宋体"/>
                <w:kern w:val="2"/>
                <w:sz w:val="24"/>
                <w:szCs w:val="24"/>
                <w:lang w:bidi="ar"/>
              </w:rPr>
              <w:t>4.2 定标原则：具体详见本附表附件1。</w:t>
            </w:r>
          </w:p>
          <w:p>
            <w:pPr>
              <w:pStyle w:val="34"/>
              <w:spacing w:line="360" w:lineRule="auto"/>
              <w:rPr>
                <w:rFonts w:ascii="宋体" w:hAnsi="宋体" w:eastAsia="宋体" w:cs="宋体"/>
                <w:sz w:val="24"/>
                <w:szCs w:val="24"/>
              </w:rPr>
            </w:pPr>
            <w:r>
              <w:rPr>
                <w:rFonts w:hint="eastAsia" w:ascii="宋体" w:hAnsi="宋体" w:eastAsia="宋体" w:cs="宋体"/>
                <w:kern w:val="2"/>
                <w:sz w:val="24"/>
                <w:szCs w:val="24"/>
                <w:lang w:bidi="ar"/>
              </w:rPr>
              <w:t>4.3 定标表格：具体详见本附表附件2、3。</w:t>
            </w:r>
          </w:p>
        </w:tc>
      </w:tr>
    </w:tbl>
    <w:p>
      <w:pPr>
        <w:pStyle w:val="25"/>
        <w:spacing w:after="0" w:line="360" w:lineRule="auto"/>
        <w:jc w:val="left"/>
        <w:rPr>
          <w:rFonts w:ascii="宋体" w:hAnsi="宋体" w:eastAsia="宋体" w:cs="宋体"/>
          <w:sz w:val="24"/>
          <w:szCs w:val="24"/>
        </w:rPr>
      </w:pPr>
    </w:p>
    <w:bookmarkEnd w:id="398"/>
    <w:bookmarkEnd w:id="399"/>
    <w:p>
      <w:pPr>
        <w:pStyle w:val="46"/>
        <w:ind w:firstLine="0" w:firstLineChars="0"/>
        <w:rPr>
          <w:rFonts w:ascii="宋体" w:hAnsi="宋体" w:cs="宋体"/>
          <w:szCs w:val="24"/>
        </w:rPr>
      </w:pPr>
    </w:p>
    <w:p>
      <w:pPr>
        <w:widowControl/>
        <w:spacing w:after="0" w:line="360" w:lineRule="auto"/>
        <w:rPr>
          <w:rFonts w:ascii="宋体" w:hAnsi="宋体" w:eastAsia="宋体" w:cs="宋体"/>
          <w:sz w:val="24"/>
        </w:rPr>
      </w:pPr>
      <w:bookmarkStart w:id="404" w:name="_Hlk179899393"/>
      <w:r>
        <w:rPr>
          <w:rFonts w:hint="eastAsia" w:ascii="宋体" w:hAnsi="宋体" w:eastAsia="宋体" w:cs="宋体"/>
          <w:sz w:val="24"/>
        </w:rPr>
        <w:br w:type="page"/>
      </w:r>
    </w:p>
    <w:p>
      <w:pPr>
        <w:pStyle w:val="46"/>
        <w:ind w:firstLine="0" w:firstLineChars="0"/>
        <w:rPr>
          <w:rFonts w:ascii="宋体" w:hAnsi="宋体" w:cs="宋体"/>
          <w:b/>
          <w:bCs/>
          <w:szCs w:val="24"/>
        </w:rPr>
      </w:pPr>
      <w:r>
        <w:rPr>
          <w:rFonts w:hint="eastAsia" w:ascii="宋体" w:hAnsi="宋体" w:cs="宋体"/>
          <w:b/>
          <w:bCs/>
          <w:szCs w:val="24"/>
        </w:rPr>
        <w:t>附件1：定标原则</w:t>
      </w:r>
    </w:p>
    <w:p>
      <w:pPr>
        <w:pStyle w:val="87"/>
        <w:jc w:val="left"/>
        <w:rPr>
          <w:rFonts w:ascii="宋体" w:hAnsi="宋体" w:eastAsia="宋体" w:cs="宋体"/>
          <w:sz w:val="24"/>
          <w:lang w:eastAsia="zh-CN"/>
        </w:rPr>
      </w:pPr>
      <w:r>
        <w:rPr>
          <w:rFonts w:hint="eastAsia" w:ascii="宋体" w:hAnsi="宋体" w:eastAsia="宋体" w:cs="宋体"/>
          <w:sz w:val="24"/>
        </w:rPr>
        <w:t>定标原则</w:t>
      </w:r>
    </w:p>
    <w:p>
      <w:pPr>
        <w:pStyle w:val="46"/>
        <w:ind w:firstLine="0" w:firstLineChars="0"/>
        <w:rPr>
          <w:rFonts w:ascii="宋体" w:hAnsi="宋体" w:cs="宋体"/>
          <w:b/>
          <w:bCs/>
          <w:szCs w:val="24"/>
        </w:rPr>
      </w:pPr>
      <w:r>
        <w:rPr>
          <w:rFonts w:hint="eastAsia" w:ascii="宋体" w:hAnsi="宋体" w:cs="宋体"/>
          <w:b/>
          <w:bCs/>
          <w:szCs w:val="24"/>
        </w:rPr>
        <w:t>1、本项目定标办法采用“记名投票+撰写评语”。</w:t>
      </w:r>
    </w:p>
    <w:p>
      <w:pPr>
        <w:pStyle w:val="46"/>
        <w:ind w:firstLine="0" w:firstLineChars="0"/>
        <w:rPr>
          <w:rFonts w:ascii="宋体" w:hAnsi="宋体" w:cs="宋体"/>
          <w:szCs w:val="24"/>
        </w:rPr>
      </w:pPr>
      <w:r>
        <w:rPr>
          <w:rFonts w:hint="eastAsia" w:ascii="宋体" w:hAnsi="宋体" w:cs="宋体"/>
          <w:szCs w:val="24"/>
        </w:rPr>
        <w:t>定标委员会成员根据评标过程资料，对比合格的中标候选人的投标文件等情况，综合考虑各中标候选人的情况，根据定标因素对各合格的中标候选人进行评审比较后，采用以差额选举逐轮淘汰投票计数法的“记名投票+撰写评语”方式确定中标人。</w:t>
      </w:r>
    </w:p>
    <w:p>
      <w:pPr>
        <w:pStyle w:val="46"/>
        <w:ind w:firstLine="0" w:firstLineChars="0"/>
        <w:rPr>
          <w:rFonts w:ascii="宋体" w:hAnsi="宋体" w:cs="宋体"/>
          <w:szCs w:val="24"/>
        </w:rPr>
      </w:pPr>
    </w:p>
    <w:p>
      <w:pPr>
        <w:pStyle w:val="46"/>
        <w:ind w:firstLine="0" w:firstLineChars="0"/>
        <w:rPr>
          <w:rFonts w:ascii="宋体" w:hAnsi="宋体" w:cs="宋体"/>
          <w:b/>
          <w:bCs/>
          <w:szCs w:val="24"/>
        </w:rPr>
      </w:pPr>
      <w:r>
        <w:rPr>
          <w:rFonts w:hint="eastAsia" w:ascii="宋体" w:hAnsi="宋体" w:cs="宋体"/>
          <w:b/>
          <w:bCs/>
          <w:szCs w:val="24"/>
        </w:rPr>
        <w:t>2、定标细则</w:t>
      </w:r>
    </w:p>
    <w:p>
      <w:pPr>
        <w:pStyle w:val="46"/>
        <w:ind w:firstLine="0" w:firstLineChars="0"/>
        <w:rPr>
          <w:rFonts w:ascii="宋体" w:hAnsi="宋体" w:cs="宋体"/>
          <w:szCs w:val="24"/>
        </w:rPr>
      </w:pPr>
      <w:r>
        <w:rPr>
          <w:rFonts w:hint="eastAsia" w:ascii="宋体" w:hAnsi="宋体" w:cs="宋体"/>
          <w:szCs w:val="24"/>
        </w:rPr>
        <w:t>（1）定标委员会阅读评标委员会提交的评标报告及清标工作小组出具的清标报告。</w:t>
      </w:r>
    </w:p>
    <w:p>
      <w:pPr>
        <w:pStyle w:val="46"/>
        <w:ind w:firstLine="0" w:firstLineChars="0"/>
        <w:rPr>
          <w:rFonts w:ascii="宋体" w:hAnsi="宋体" w:cs="宋体"/>
          <w:szCs w:val="24"/>
        </w:rPr>
      </w:pPr>
      <w:r>
        <w:rPr>
          <w:rFonts w:hint="eastAsia" w:ascii="宋体" w:hAnsi="宋体" w:cs="宋体"/>
          <w:szCs w:val="24"/>
        </w:rPr>
        <w:t>（2）定标委员会根据定标因素对各合格的中标候选人进行综合评审。本项目按以下因素进行定标：</w:t>
      </w:r>
    </w:p>
    <w:tbl>
      <w:tblPr>
        <w:tblStyle w:val="39"/>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19"/>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rPr>
                <w:rFonts w:ascii="宋体" w:hAnsi="宋体" w:eastAsia="宋体" w:cs="宋体"/>
                <w:b/>
                <w:bCs/>
                <w:sz w:val="24"/>
              </w:rPr>
            </w:pPr>
            <w:bookmarkStart w:id="405" w:name="_Hlk197695722"/>
            <w:r>
              <w:rPr>
                <w:rFonts w:hint="eastAsia" w:ascii="宋体" w:hAnsi="宋体" w:eastAsia="宋体" w:cs="宋体"/>
                <w:b/>
                <w:bCs/>
                <w:sz w:val="24"/>
                <w:lang w:bidi="ar"/>
              </w:rPr>
              <w:t>序号</w:t>
            </w:r>
          </w:p>
        </w:tc>
        <w:tc>
          <w:tcPr>
            <w:tcW w:w="1719"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b/>
                <w:bCs/>
                <w:sz w:val="24"/>
              </w:rPr>
            </w:pPr>
            <w:r>
              <w:rPr>
                <w:rFonts w:hint="eastAsia" w:ascii="宋体" w:hAnsi="宋体" w:eastAsia="宋体" w:cs="宋体"/>
                <w:b/>
                <w:bCs/>
                <w:sz w:val="24"/>
                <w:lang w:bidi="ar"/>
              </w:rPr>
              <w:t>评审因素</w:t>
            </w:r>
          </w:p>
        </w:tc>
        <w:tc>
          <w:tcPr>
            <w:tcW w:w="6343"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b/>
                <w:bCs/>
                <w:sz w:val="24"/>
              </w:rPr>
            </w:pPr>
            <w:r>
              <w:rPr>
                <w:rFonts w:hint="eastAsia" w:ascii="宋体" w:hAnsi="宋体" w:eastAsia="宋体" w:cs="宋体"/>
                <w:b/>
                <w:bCs/>
                <w:sz w:val="24"/>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宋体" w:hAnsi="宋体" w:eastAsia="宋体" w:cs="宋体"/>
                <w:sz w:val="24"/>
              </w:rPr>
            </w:pPr>
            <w:r>
              <w:rPr>
                <w:rFonts w:hint="eastAsia" w:ascii="宋体" w:hAnsi="宋体" w:eastAsia="宋体" w:cs="宋体"/>
                <w:sz w:val="24"/>
                <w:lang w:bidi="ar"/>
              </w:rPr>
              <w:t>1</w:t>
            </w:r>
          </w:p>
        </w:tc>
        <w:tc>
          <w:tcPr>
            <w:tcW w:w="1719"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sz w:val="24"/>
                <w:lang w:bidi="ar"/>
              </w:rPr>
            </w:pPr>
            <w:r>
              <w:rPr>
                <w:rFonts w:hint="eastAsia" w:ascii="宋体" w:hAnsi="宋体" w:eastAsia="宋体" w:cs="宋体"/>
                <w:sz w:val="24"/>
                <w:lang w:bidi="ar"/>
              </w:rPr>
              <w:t>价格因素</w:t>
            </w:r>
          </w:p>
        </w:tc>
        <w:tc>
          <w:tcPr>
            <w:tcW w:w="6343"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lang w:bidi="ar"/>
              </w:rPr>
              <w:t>对评审合格的中标候选人投标报价进行分析，结合中标候选人报价的合理性进行评审。</w:t>
            </w:r>
          </w:p>
          <w:p>
            <w:pPr>
              <w:spacing w:after="0" w:line="360" w:lineRule="auto"/>
              <w:rPr>
                <w:rFonts w:ascii="宋体" w:hAnsi="宋体" w:eastAsia="宋体" w:cs="宋体"/>
                <w:b/>
                <w:kern w:val="0"/>
                <w:sz w:val="24"/>
                <w:shd w:val="clear" w:color="auto" w:fill="FFFFFF"/>
                <w:lang w:bidi="ar"/>
              </w:rPr>
            </w:pPr>
            <w:r>
              <w:rPr>
                <w:rFonts w:hint="eastAsia" w:ascii="宋体" w:hAnsi="宋体" w:eastAsia="宋体" w:cs="宋体"/>
                <w:b/>
                <w:kern w:val="0"/>
                <w:sz w:val="24"/>
                <w:shd w:val="clear" w:color="auto" w:fill="FFFFFF"/>
                <w:lang w:bidi="ar"/>
              </w:rPr>
              <w:t>【优】投入的人员团队水平、监理服务质量和技术支持程度与报价的匹配度高。</w:t>
            </w:r>
          </w:p>
          <w:p>
            <w:pPr>
              <w:spacing w:after="0" w:line="360" w:lineRule="auto"/>
              <w:rPr>
                <w:rFonts w:ascii="宋体" w:hAnsi="宋体" w:eastAsia="宋体" w:cs="宋体"/>
                <w:b/>
                <w:kern w:val="0"/>
                <w:sz w:val="24"/>
                <w:shd w:val="clear" w:color="auto" w:fill="FFFFFF"/>
                <w:lang w:bidi="ar"/>
              </w:rPr>
            </w:pPr>
            <w:r>
              <w:rPr>
                <w:rFonts w:hint="eastAsia" w:ascii="宋体" w:hAnsi="宋体" w:eastAsia="宋体" w:cs="宋体"/>
                <w:b/>
                <w:kern w:val="0"/>
                <w:sz w:val="24"/>
                <w:shd w:val="clear" w:color="auto" w:fill="FFFFFF"/>
                <w:lang w:bidi="ar"/>
              </w:rPr>
              <w:t>【中】投入的人员团队水平、监理服务质量和技术支持程度与报价的匹配度一般。</w:t>
            </w:r>
          </w:p>
          <w:p>
            <w:pPr>
              <w:spacing w:after="0" w:line="360" w:lineRule="auto"/>
              <w:rPr>
                <w:rFonts w:ascii="宋体" w:hAnsi="宋体" w:eastAsia="宋体" w:cs="宋体"/>
                <w:sz w:val="24"/>
                <w:lang w:bidi="ar"/>
              </w:rPr>
            </w:pPr>
            <w:r>
              <w:rPr>
                <w:rFonts w:hint="eastAsia" w:ascii="宋体" w:hAnsi="宋体" w:eastAsia="宋体" w:cs="宋体"/>
                <w:b/>
                <w:kern w:val="0"/>
                <w:sz w:val="24"/>
                <w:shd w:val="clear" w:color="auto" w:fill="FFFFFF"/>
                <w:lang w:bidi="ar"/>
              </w:rPr>
              <w:t>【差】投入的人员团队水平、监理服务质量和技术支持程度与报价的匹配度较低。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宋体" w:hAnsi="宋体" w:eastAsia="宋体" w:cs="宋体"/>
                <w:sz w:val="24"/>
                <w:lang w:bidi="ar"/>
              </w:rPr>
            </w:pPr>
            <w:r>
              <w:rPr>
                <w:rFonts w:hint="eastAsia" w:ascii="宋体" w:hAnsi="宋体" w:eastAsia="宋体" w:cs="宋体"/>
                <w:sz w:val="24"/>
                <w:lang w:bidi="ar"/>
              </w:rPr>
              <w:t>2</w:t>
            </w:r>
          </w:p>
        </w:tc>
        <w:tc>
          <w:tcPr>
            <w:tcW w:w="1719"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sz w:val="24"/>
                <w:lang w:bidi="ar"/>
              </w:rPr>
            </w:pPr>
            <w:r>
              <w:rPr>
                <w:rFonts w:hint="eastAsia" w:ascii="宋体" w:hAnsi="宋体" w:eastAsia="宋体" w:cs="宋体"/>
                <w:sz w:val="24"/>
                <w:lang w:bidi="ar"/>
              </w:rPr>
              <w:t>资信因素</w:t>
            </w:r>
          </w:p>
        </w:tc>
        <w:tc>
          <w:tcPr>
            <w:tcW w:w="6343"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sz w:val="24"/>
                <w:lang w:bidi="ar"/>
              </w:rPr>
            </w:pPr>
            <w:r>
              <w:rPr>
                <w:rFonts w:hint="eastAsia" w:ascii="宋体" w:hAnsi="宋体" w:eastAsia="宋体" w:cs="宋体"/>
                <w:sz w:val="24"/>
                <w:lang w:bidi="ar"/>
              </w:rPr>
              <w:t>对合格的中标候选人企业综合能力及信誉、业绩、获奖情况进行评审。</w:t>
            </w:r>
          </w:p>
          <w:p>
            <w:pPr>
              <w:spacing w:after="0" w:line="360" w:lineRule="auto"/>
              <w:rPr>
                <w:rFonts w:ascii="宋体" w:hAnsi="宋体" w:eastAsia="宋体" w:cs="宋体"/>
                <w:b/>
                <w:bCs/>
                <w:sz w:val="24"/>
                <w:lang w:bidi="ar"/>
              </w:rPr>
            </w:pPr>
            <w:r>
              <w:rPr>
                <w:rFonts w:hint="eastAsia" w:ascii="宋体" w:hAnsi="宋体" w:eastAsia="宋体" w:cs="宋体"/>
                <w:b/>
                <w:bCs/>
                <w:sz w:val="24"/>
                <w:lang w:bidi="ar"/>
              </w:rPr>
              <w:t>（1）ISO认证情况</w:t>
            </w:r>
          </w:p>
          <w:p>
            <w:pPr>
              <w:spacing w:after="0" w:line="360" w:lineRule="auto"/>
              <w:rPr>
                <w:rFonts w:ascii="宋体" w:hAnsi="宋体" w:eastAsia="宋体" w:cs="宋体"/>
                <w:sz w:val="24"/>
                <w:lang w:bidi="ar"/>
              </w:rPr>
            </w:pPr>
            <w:r>
              <w:rPr>
                <w:rFonts w:hint="eastAsia" w:ascii="宋体" w:hAnsi="宋体" w:eastAsia="宋体" w:cs="宋体"/>
                <w:sz w:val="24"/>
                <w:lang w:bidi="ar"/>
              </w:rPr>
              <w:t>【优】同时具备有效期内的质量管理体系、环境管理体系、职业健康安全管理体系、信息安全管理体系、企业知识产权管理体系（知识产权合规管理体系）</w:t>
            </w:r>
            <w:r>
              <w:rPr>
                <w:rFonts w:hint="eastAsia" w:ascii="宋体" w:hAnsi="宋体" w:eastAsia="宋体" w:cs="宋体"/>
                <w:sz w:val="24"/>
              </w:rPr>
              <w:t>、</w:t>
            </w:r>
            <w:r>
              <w:rPr>
                <w:rFonts w:hint="eastAsia" w:ascii="宋体" w:hAnsi="宋体" w:eastAsia="宋体" w:cs="宋体"/>
                <w:sz w:val="24"/>
                <w:lang w:bidi="ar"/>
              </w:rPr>
              <w:t>诚信管理体系认证。</w:t>
            </w:r>
          </w:p>
          <w:p>
            <w:pPr>
              <w:spacing w:after="0" w:line="360" w:lineRule="auto"/>
              <w:rPr>
                <w:rFonts w:ascii="宋体" w:hAnsi="宋体" w:eastAsia="宋体" w:cs="宋体"/>
                <w:sz w:val="24"/>
                <w:lang w:bidi="ar"/>
              </w:rPr>
            </w:pPr>
            <w:r>
              <w:rPr>
                <w:rFonts w:hint="eastAsia" w:ascii="宋体" w:hAnsi="宋体" w:eastAsia="宋体" w:cs="宋体"/>
                <w:sz w:val="24"/>
                <w:lang w:bidi="ar"/>
              </w:rPr>
              <w:t>【中】同时具备质量管理体系、环境管理体系、职业健康安全管理体系、信息安全管理体系、企业知识产权管理体系（知识产权合规管理体系）</w:t>
            </w:r>
            <w:r>
              <w:rPr>
                <w:rFonts w:hint="eastAsia" w:ascii="宋体" w:hAnsi="宋体" w:eastAsia="宋体" w:cs="宋体"/>
                <w:sz w:val="24"/>
              </w:rPr>
              <w:t>、</w:t>
            </w:r>
            <w:r>
              <w:rPr>
                <w:rFonts w:hint="eastAsia" w:ascii="宋体" w:hAnsi="宋体" w:eastAsia="宋体" w:cs="宋体"/>
                <w:sz w:val="24"/>
                <w:lang w:bidi="ar"/>
              </w:rPr>
              <w:t>诚信管理体系认证其中3～5个。</w:t>
            </w:r>
          </w:p>
          <w:p>
            <w:pPr>
              <w:spacing w:after="0" w:line="360" w:lineRule="auto"/>
              <w:rPr>
                <w:rFonts w:ascii="宋体" w:hAnsi="宋体" w:eastAsia="宋体" w:cs="宋体"/>
                <w:sz w:val="24"/>
                <w:lang w:bidi="ar"/>
              </w:rPr>
            </w:pPr>
            <w:r>
              <w:rPr>
                <w:rFonts w:hint="eastAsia" w:ascii="宋体" w:hAnsi="宋体" w:eastAsia="宋体" w:cs="宋体"/>
                <w:sz w:val="24"/>
                <w:lang w:bidi="ar"/>
              </w:rPr>
              <w:t>【差】同时具备有效期内的质量管理体系、环境管理体系、职业健康安全管理体系认证证书、信息安全管理体系认证、企业知识产权管理体系（知识产权合规管理体系）认证其中0～2个</w:t>
            </w:r>
          </w:p>
          <w:p>
            <w:pPr>
              <w:spacing w:after="0" w:line="360" w:lineRule="auto"/>
              <w:rPr>
                <w:rFonts w:ascii="宋体" w:hAnsi="宋体" w:eastAsia="宋体" w:cs="宋体"/>
                <w:sz w:val="24"/>
                <w:lang w:bidi="ar"/>
              </w:rPr>
            </w:pPr>
            <w:r>
              <w:rPr>
                <w:rFonts w:hint="eastAsia" w:ascii="宋体" w:hAnsi="宋体" w:eastAsia="宋体" w:cs="宋体"/>
                <w:sz w:val="24"/>
                <w:lang w:bidi="ar"/>
              </w:rPr>
              <w:t>注：管理体系认证证书需提供证书清晰扫描件，认证证书需在有效期内。</w:t>
            </w:r>
          </w:p>
          <w:p>
            <w:pPr>
              <w:spacing w:after="0" w:line="360" w:lineRule="auto"/>
              <w:rPr>
                <w:rFonts w:ascii="宋体" w:hAnsi="宋体" w:eastAsia="宋体" w:cs="宋体"/>
                <w:b/>
                <w:bCs/>
                <w:sz w:val="24"/>
                <w:lang w:bidi="ar"/>
              </w:rPr>
            </w:pPr>
            <w:r>
              <w:rPr>
                <w:rFonts w:hint="eastAsia" w:ascii="宋体" w:hAnsi="宋体" w:eastAsia="宋体" w:cs="宋体"/>
                <w:b/>
                <w:bCs/>
                <w:sz w:val="24"/>
                <w:lang w:bidi="ar"/>
              </w:rPr>
              <w:t>（2）纳税情况</w:t>
            </w:r>
          </w:p>
          <w:p>
            <w:pPr>
              <w:spacing w:after="0" w:line="360" w:lineRule="auto"/>
              <w:rPr>
                <w:rFonts w:ascii="宋体" w:hAnsi="宋体" w:eastAsia="宋体" w:cs="宋体"/>
                <w:sz w:val="24"/>
                <w:lang w:bidi="ar"/>
              </w:rPr>
            </w:pPr>
            <w:r>
              <w:rPr>
                <w:rFonts w:hint="eastAsia" w:ascii="宋体" w:hAnsi="宋体" w:eastAsia="宋体" w:cs="宋体"/>
                <w:sz w:val="24"/>
                <w:lang w:bidi="ar"/>
              </w:rPr>
              <w:t>【优】投标人连续5个年度或以上获得过“纳税信用A级纳税人”称号（须含2024评审年度）。</w:t>
            </w:r>
          </w:p>
          <w:p>
            <w:pPr>
              <w:spacing w:after="0" w:line="360" w:lineRule="auto"/>
              <w:rPr>
                <w:rFonts w:ascii="宋体" w:hAnsi="宋体" w:eastAsia="宋体" w:cs="宋体"/>
                <w:sz w:val="24"/>
                <w:lang w:bidi="ar"/>
              </w:rPr>
            </w:pPr>
            <w:r>
              <w:rPr>
                <w:rFonts w:hint="eastAsia" w:ascii="宋体" w:hAnsi="宋体" w:eastAsia="宋体" w:cs="宋体"/>
                <w:sz w:val="24"/>
                <w:lang w:bidi="ar"/>
              </w:rPr>
              <w:t>【中】投标人连续1～4个年度获得过“纳税信用A级纳税人”称号（须含2024评审年度）。</w:t>
            </w:r>
          </w:p>
          <w:p>
            <w:pPr>
              <w:spacing w:after="0" w:line="360" w:lineRule="auto"/>
              <w:rPr>
                <w:rFonts w:ascii="宋体" w:hAnsi="宋体" w:eastAsia="宋体" w:cs="宋体"/>
                <w:sz w:val="24"/>
                <w:lang w:bidi="ar"/>
              </w:rPr>
            </w:pPr>
            <w:r>
              <w:rPr>
                <w:rFonts w:hint="eastAsia" w:ascii="宋体" w:hAnsi="宋体" w:eastAsia="宋体" w:cs="宋体"/>
                <w:sz w:val="24"/>
                <w:lang w:bidi="ar"/>
              </w:rPr>
              <w:t>【差】投标人没有获得过“纳税信用A级纳税人”称号的。</w:t>
            </w:r>
          </w:p>
          <w:p>
            <w:pPr>
              <w:spacing w:after="0" w:line="360" w:lineRule="auto"/>
              <w:rPr>
                <w:rFonts w:ascii="宋体" w:hAnsi="宋体" w:eastAsia="宋体" w:cs="宋体"/>
                <w:sz w:val="24"/>
                <w:lang w:bidi="ar"/>
              </w:rPr>
            </w:pPr>
            <w:r>
              <w:rPr>
                <w:rFonts w:hint="eastAsia" w:ascii="宋体" w:hAnsi="宋体" w:eastAsia="宋体" w:cs="宋体"/>
                <w:sz w:val="24"/>
                <w:lang w:bidi="ar"/>
              </w:rPr>
              <w:t>注：投标人须同时提交纳税信用A级纳税人证书扫描件或省级或以上国家税务局官网（含在国家税务局官网单列的城市）纳税信用信息查询结果（查询结果只计算投标人自身，不计算投标人的分公司、子公司和分支机构）的网页截图，并加盖投标单位电子印章。</w:t>
            </w:r>
            <w:r>
              <w:rPr>
                <w:rFonts w:hint="eastAsia" w:ascii="宋体" w:hAnsi="宋体" w:eastAsia="宋体" w:cs="宋体"/>
                <w:sz w:val="24"/>
              </w:rPr>
              <w:t>时间以证书</w:t>
            </w:r>
            <w:r>
              <w:rPr>
                <w:rFonts w:hint="eastAsia" w:ascii="宋体" w:hAnsi="宋体" w:eastAsia="宋体" w:cs="宋体"/>
                <w:b/>
                <w:bCs/>
                <w:sz w:val="24"/>
                <w:u w:val="single"/>
              </w:rPr>
              <w:t>或查询结果网页截图</w:t>
            </w:r>
            <w:r>
              <w:rPr>
                <w:rFonts w:hint="eastAsia" w:ascii="宋体" w:hAnsi="宋体" w:eastAsia="宋体" w:cs="宋体"/>
                <w:sz w:val="24"/>
              </w:rPr>
              <w:t>上注明的公示评价（评定）年度为准</w:t>
            </w:r>
            <w:r>
              <w:rPr>
                <w:rFonts w:hint="eastAsia" w:ascii="宋体" w:hAnsi="宋体" w:eastAsia="宋体" w:cs="宋体"/>
                <w:sz w:val="24"/>
                <w:lang w:bidi="ar"/>
              </w:rPr>
              <w:t>。</w:t>
            </w:r>
          </w:p>
          <w:p>
            <w:pPr>
              <w:spacing w:after="0" w:line="360" w:lineRule="auto"/>
              <w:rPr>
                <w:rFonts w:ascii="宋体" w:hAnsi="宋体" w:eastAsia="宋体" w:cs="宋体"/>
                <w:b/>
                <w:bCs/>
                <w:sz w:val="24"/>
                <w:lang w:bidi="ar"/>
              </w:rPr>
            </w:pPr>
            <w:r>
              <w:rPr>
                <w:rFonts w:hint="eastAsia" w:ascii="宋体" w:hAnsi="宋体" w:eastAsia="宋体" w:cs="宋体"/>
                <w:b/>
                <w:bCs/>
                <w:sz w:val="24"/>
                <w:lang w:bidi="ar"/>
              </w:rPr>
              <w:t>（3）监理业绩情况</w:t>
            </w:r>
          </w:p>
          <w:p>
            <w:pPr>
              <w:spacing w:after="0" w:line="360" w:lineRule="auto"/>
              <w:rPr>
                <w:rFonts w:ascii="宋体" w:hAnsi="宋体" w:eastAsia="宋体" w:cs="宋体"/>
                <w:sz w:val="24"/>
                <w:lang w:bidi="ar"/>
              </w:rPr>
            </w:pPr>
            <w:r>
              <w:rPr>
                <w:rFonts w:hint="eastAsia" w:ascii="宋体" w:hAnsi="宋体" w:eastAsia="宋体" w:cs="宋体"/>
                <w:sz w:val="24"/>
                <w:lang w:bidi="ar"/>
              </w:rPr>
              <w:t>【优】自2022年1月1日至今完成过3个或以上质量合格的类似监理项目。</w:t>
            </w:r>
          </w:p>
          <w:p>
            <w:pPr>
              <w:spacing w:after="0" w:line="360" w:lineRule="auto"/>
              <w:rPr>
                <w:rFonts w:ascii="宋体" w:hAnsi="宋体" w:eastAsia="宋体" w:cs="宋体"/>
                <w:sz w:val="24"/>
                <w:lang w:bidi="ar"/>
              </w:rPr>
            </w:pPr>
            <w:r>
              <w:rPr>
                <w:rFonts w:hint="eastAsia" w:ascii="宋体" w:hAnsi="宋体" w:eastAsia="宋体" w:cs="宋体"/>
                <w:sz w:val="24"/>
                <w:lang w:bidi="ar"/>
              </w:rPr>
              <w:t>【中】自2022年1月1日至今完成过1-2个质量合格的类似监理项目。</w:t>
            </w:r>
          </w:p>
          <w:p>
            <w:pPr>
              <w:spacing w:after="0" w:line="360" w:lineRule="auto"/>
              <w:rPr>
                <w:rFonts w:ascii="宋体" w:hAnsi="宋体" w:eastAsia="宋体" w:cs="宋体"/>
                <w:sz w:val="24"/>
                <w:lang w:bidi="ar"/>
              </w:rPr>
            </w:pPr>
            <w:r>
              <w:rPr>
                <w:rFonts w:hint="eastAsia" w:ascii="宋体" w:hAnsi="宋体" w:eastAsia="宋体" w:cs="宋体"/>
                <w:sz w:val="24"/>
                <w:lang w:bidi="ar"/>
              </w:rPr>
              <w:t>【差】自2022年1月1日至今没有完成过质量合格的类似监理项目。</w:t>
            </w:r>
          </w:p>
          <w:p>
            <w:pPr>
              <w:spacing w:after="0" w:line="360" w:lineRule="auto"/>
              <w:rPr>
                <w:rFonts w:ascii="宋体" w:hAnsi="宋体" w:eastAsia="宋体" w:cs="宋体"/>
                <w:sz w:val="24"/>
                <w:lang w:bidi="ar"/>
              </w:rPr>
            </w:pPr>
            <w:r>
              <w:rPr>
                <w:rFonts w:hint="eastAsia" w:ascii="宋体" w:hAnsi="宋体" w:eastAsia="宋体" w:cs="宋体"/>
                <w:sz w:val="24"/>
                <w:lang w:bidi="ar"/>
              </w:rPr>
              <w:t>注：类似监理项目是指中标金额大于或等于</w:t>
            </w:r>
            <w:r>
              <w:rPr>
                <w:rFonts w:hint="eastAsia" w:ascii="宋体" w:hAnsi="宋体" w:eastAsia="宋体" w:cs="宋体"/>
                <w:sz w:val="24"/>
                <w:lang w:val="en-US" w:eastAsia="zh-CN" w:bidi="ar"/>
              </w:rPr>
              <w:t>3</w:t>
            </w:r>
            <w:r>
              <w:rPr>
                <w:rFonts w:hint="eastAsia" w:ascii="宋体" w:hAnsi="宋体" w:eastAsia="宋体" w:cs="宋体"/>
                <w:sz w:val="24"/>
                <w:lang w:bidi="ar"/>
              </w:rPr>
              <w:t>00万元的房屋建筑工程监理项目，需同时提供中标通知书或免招标的相关证明、施工监理合同、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中标金额以中标通知书为准，中标通知书上没有金额或免招标的，以监理合同（不含补充合同）为准，以联合体形式完成的监理项目、全过程项目管理或全过程咨询（含监理）等未能体现监理金额的，需提供相关能符合上述业绩要求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宋体" w:hAnsi="宋体" w:eastAsia="宋体" w:cs="宋体"/>
                <w:sz w:val="24"/>
              </w:rPr>
            </w:pPr>
            <w:r>
              <w:rPr>
                <w:rFonts w:hint="eastAsia" w:ascii="宋体" w:hAnsi="宋体" w:eastAsia="宋体" w:cs="宋体"/>
                <w:sz w:val="24"/>
              </w:rPr>
              <w:t>3</w:t>
            </w:r>
          </w:p>
        </w:tc>
        <w:tc>
          <w:tcPr>
            <w:tcW w:w="1719"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sz w:val="24"/>
              </w:rPr>
            </w:pPr>
            <w:r>
              <w:rPr>
                <w:rFonts w:hint="eastAsia" w:ascii="宋体" w:hAnsi="宋体" w:eastAsia="宋体" w:cs="宋体"/>
                <w:sz w:val="24"/>
                <w:lang w:bidi="ar"/>
              </w:rPr>
              <w:t>方案因素</w:t>
            </w:r>
          </w:p>
        </w:tc>
        <w:tc>
          <w:tcPr>
            <w:tcW w:w="6343"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sz w:val="24"/>
              </w:rPr>
            </w:pPr>
            <w:r>
              <w:rPr>
                <w:rFonts w:hint="eastAsia" w:ascii="宋体" w:hAnsi="宋体" w:eastAsia="宋体" w:cs="宋体"/>
                <w:sz w:val="24"/>
              </w:rPr>
              <w:t>对各阶段监理方案、对本项目重点及难点分析及解决措施等监理大纲内容的合理性、可行性进行评审。</w:t>
            </w:r>
          </w:p>
          <w:p>
            <w:pPr>
              <w:spacing w:after="0" w:line="360" w:lineRule="auto"/>
              <w:rPr>
                <w:rFonts w:ascii="宋体" w:hAnsi="宋体" w:eastAsia="宋体" w:cs="宋体"/>
                <w:sz w:val="24"/>
              </w:rPr>
            </w:pPr>
            <w:r>
              <w:rPr>
                <w:rFonts w:hint="eastAsia" w:ascii="宋体" w:hAnsi="宋体" w:eastAsia="宋体" w:cs="宋体"/>
                <w:sz w:val="24"/>
              </w:rPr>
              <w:t>（1）施工监理方案</w:t>
            </w:r>
          </w:p>
          <w:p>
            <w:pPr>
              <w:spacing w:after="0" w:line="360" w:lineRule="auto"/>
              <w:rPr>
                <w:rFonts w:ascii="宋体" w:hAnsi="宋体" w:eastAsia="宋体" w:cs="宋体"/>
                <w:sz w:val="24"/>
              </w:rPr>
            </w:pPr>
            <w:r>
              <w:rPr>
                <w:rFonts w:hint="eastAsia" w:ascii="宋体" w:hAnsi="宋体" w:eastAsia="宋体" w:cs="宋体"/>
                <w:sz w:val="24"/>
              </w:rPr>
              <w:t>【优】监理工作目标明确，监理工作依据、制度、流程完善；监理工作内容及管理手段合理可行、措施具体、针对性强。</w:t>
            </w:r>
          </w:p>
          <w:p>
            <w:pPr>
              <w:spacing w:after="0" w:line="360" w:lineRule="auto"/>
              <w:rPr>
                <w:rFonts w:ascii="宋体" w:hAnsi="宋体" w:eastAsia="宋体" w:cs="宋体"/>
                <w:sz w:val="24"/>
              </w:rPr>
            </w:pPr>
            <w:r>
              <w:rPr>
                <w:rFonts w:hint="eastAsia" w:ascii="宋体" w:hAnsi="宋体" w:eastAsia="宋体" w:cs="宋体"/>
                <w:sz w:val="24"/>
              </w:rPr>
              <w:t>【中】监理工作目标一般明确，监理工作依据、制度、流程一般完善；监理工作内容及管理手段一般合理可行、措施一般具体、针对性一般。</w:t>
            </w:r>
          </w:p>
          <w:p>
            <w:pPr>
              <w:spacing w:after="0" w:line="360" w:lineRule="auto"/>
              <w:rPr>
                <w:rFonts w:ascii="宋体" w:hAnsi="宋体" w:eastAsia="宋体" w:cs="宋体"/>
                <w:sz w:val="24"/>
              </w:rPr>
            </w:pPr>
            <w:r>
              <w:rPr>
                <w:rFonts w:hint="eastAsia" w:ascii="宋体" w:hAnsi="宋体" w:eastAsia="宋体" w:cs="宋体"/>
                <w:sz w:val="24"/>
              </w:rPr>
              <w:t>【差】监理工作目标不明确，监理工作依据、制度、流程不完善；监理工作内容及管理手段不可行、措施不具体、缺乏针对性。</w:t>
            </w:r>
          </w:p>
          <w:p>
            <w:pPr>
              <w:numPr>
                <w:ilvl w:val="0"/>
                <w:numId w:val="1"/>
              </w:numPr>
              <w:spacing w:after="0" w:line="360" w:lineRule="auto"/>
              <w:rPr>
                <w:rFonts w:ascii="宋体" w:hAnsi="宋体" w:eastAsia="宋体" w:cs="宋体"/>
                <w:sz w:val="24"/>
              </w:rPr>
            </w:pPr>
            <w:r>
              <w:rPr>
                <w:rFonts w:hint="eastAsia" w:ascii="宋体" w:hAnsi="宋体" w:eastAsia="宋体" w:cs="宋体"/>
                <w:sz w:val="24"/>
              </w:rPr>
              <w:t>对本项目重点及难点分析及解决措施</w:t>
            </w:r>
          </w:p>
          <w:p>
            <w:pPr>
              <w:spacing w:after="0" w:line="360" w:lineRule="auto"/>
              <w:rPr>
                <w:rFonts w:ascii="宋体" w:hAnsi="宋体" w:eastAsia="宋体" w:cs="宋体"/>
                <w:sz w:val="24"/>
              </w:rPr>
            </w:pPr>
            <w:r>
              <w:rPr>
                <w:rFonts w:hint="eastAsia" w:ascii="宋体" w:hAnsi="宋体" w:eastAsia="宋体" w:cs="宋体"/>
                <w:sz w:val="24"/>
              </w:rPr>
              <w:t>【优】针对本项目建设特点进行监理的重点难点分析、提出相关解决技术措施方案、措施全面具体、针对性强。</w:t>
            </w:r>
          </w:p>
          <w:p>
            <w:pPr>
              <w:spacing w:after="0" w:line="360" w:lineRule="auto"/>
              <w:rPr>
                <w:rFonts w:ascii="宋体" w:hAnsi="宋体" w:eastAsia="宋体" w:cs="宋体"/>
                <w:sz w:val="24"/>
              </w:rPr>
            </w:pPr>
            <w:r>
              <w:rPr>
                <w:rFonts w:hint="eastAsia" w:ascii="宋体" w:hAnsi="宋体" w:eastAsia="宋体" w:cs="宋体"/>
                <w:sz w:val="24"/>
              </w:rPr>
              <w:t>【中】针对本项目建设特点进行监理的重点难点分析、提出相关解决技术措施方案、措施一般具体、针对性一般。</w:t>
            </w:r>
          </w:p>
          <w:p>
            <w:pPr>
              <w:spacing w:after="0" w:line="360" w:lineRule="auto"/>
              <w:rPr>
                <w:rFonts w:ascii="宋体" w:hAnsi="宋体" w:eastAsia="宋体" w:cs="宋体"/>
                <w:sz w:val="24"/>
              </w:rPr>
            </w:pPr>
            <w:r>
              <w:rPr>
                <w:rFonts w:hint="eastAsia" w:ascii="宋体" w:hAnsi="宋体" w:eastAsia="宋体" w:cs="宋体"/>
                <w:sz w:val="24"/>
              </w:rPr>
              <w:t>【差】针对本项目建设特点进行监理的重点难点分析、提出相关解决技术措施方案、措施不具体、缺乏针对性。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宋体" w:hAnsi="宋体" w:eastAsia="宋体" w:cs="宋体"/>
                <w:sz w:val="24"/>
              </w:rPr>
            </w:pPr>
            <w:r>
              <w:rPr>
                <w:rFonts w:hint="eastAsia" w:ascii="宋体" w:hAnsi="宋体" w:eastAsia="宋体" w:cs="宋体"/>
                <w:sz w:val="24"/>
              </w:rPr>
              <w:t>4</w:t>
            </w:r>
          </w:p>
        </w:tc>
        <w:tc>
          <w:tcPr>
            <w:tcW w:w="1719"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sz w:val="24"/>
              </w:rPr>
            </w:pPr>
            <w:r>
              <w:rPr>
                <w:rFonts w:hint="eastAsia" w:ascii="宋体" w:hAnsi="宋体" w:eastAsia="宋体" w:cs="宋体"/>
                <w:sz w:val="24"/>
                <w:lang w:bidi="ar"/>
              </w:rPr>
              <w:t>团队因素</w:t>
            </w:r>
          </w:p>
        </w:tc>
        <w:tc>
          <w:tcPr>
            <w:tcW w:w="6343"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sz w:val="24"/>
              </w:rPr>
            </w:pPr>
            <w:r>
              <w:rPr>
                <w:rFonts w:hint="eastAsia" w:ascii="宋体" w:hAnsi="宋体" w:eastAsia="宋体" w:cs="宋体"/>
                <w:sz w:val="24"/>
              </w:rPr>
              <w:t>【优】拟投入监理机构人员配备合理，满足招标文件《监理机构人员配备基本要求表》基本要求，具有</w:t>
            </w:r>
            <w:r>
              <w:rPr>
                <w:rFonts w:hint="eastAsia" w:ascii="宋体" w:hAnsi="宋体" w:eastAsia="宋体" w:cs="宋体"/>
                <w:sz w:val="24"/>
                <w:lang w:bidi="ar"/>
              </w:rPr>
              <w:t>工程监理人员任职承诺书</w:t>
            </w:r>
            <w:r>
              <w:rPr>
                <w:rFonts w:hint="eastAsia" w:ascii="宋体" w:hAnsi="宋体" w:eastAsia="宋体" w:cs="宋体"/>
                <w:sz w:val="24"/>
              </w:rPr>
              <w:t>。</w:t>
            </w:r>
          </w:p>
          <w:p>
            <w:pPr>
              <w:spacing w:after="0" w:line="360" w:lineRule="auto"/>
              <w:rPr>
                <w:rFonts w:ascii="宋体" w:hAnsi="宋体" w:eastAsia="宋体" w:cs="宋体"/>
                <w:sz w:val="24"/>
              </w:rPr>
            </w:pPr>
            <w:r>
              <w:rPr>
                <w:rFonts w:hint="eastAsia" w:ascii="宋体" w:hAnsi="宋体" w:eastAsia="宋体" w:cs="宋体"/>
                <w:sz w:val="24"/>
              </w:rPr>
              <w:t>【中】拟投入监理机构人员配备较合理，基本满足招标文件《监理机构人员配备基本要求表》基本要求，具有</w:t>
            </w:r>
            <w:r>
              <w:rPr>
                <w:rFonts w:hint="eastAsia" w:ascii="宋体" w:hAnsi="宋体" w:eastAsia="宋体" w:cs="宋体"/>
                <w:sz w:val="24"/>
                <w:lang w:bidi="ar"/>
              </w:rPr>
              <w:t>工程监理人员任职承诺书</w:t>
            </w:r>
            <w:r>
              <w:rPr>
                <w:rFonts w:hint="eastAsia" w:ascii="宋体" w:hAnsi="宋体" w:eastAsia="宋体" w:cs="宋体"/>
                <w:sz w:val="24"/>
              </w:rPr>
              <w:t>。</w:t>
            </w:r>
          </w:p>
          <w:p>
            <w:pPr>
              <w:spacing w:after="0" w:line="360" w:lineRule="auto"/>
              <w:rPr>
                <w:rFonts w:ascii="宋体" w:hAnsi="宋体" w:eastAsia="宋体" w:cs="宋体"/>
                <w:sz w:val="24"/>
              </w:rPr>
            </w:pPr>
            <w:r>
              <w:rPr>
                <w:rFonts w:hint="eastAsia" w:ascii="宋体" w:hAnsi="宋体" w:eastAsia="宋体" w:cs="宋体"/>
                <w:sz w:val="24"/>
              </w:rPr>
              <w:t>【差】拟投入监理机构人员配备不合理，不满足招标文件《监理机构人员配备基本要求表》基本要求，没有</w:t>
            </w:r>
            <w:r>
              <w:rPr>
                <w:rFonts w:hint="eastAsia" w:ascii="宋体" w:hAnsi="宋体" w:eastAsia="宋体" w:cs="宋体"/>
                <w:sz w:val="24"/>
                <w:lang w:bidi="ar"/>
              </w:rPr>
              <w:t>工程监理人员任职承诺书</w:t>
            </w:r>
            <w:r>
              <w:rPr>
                <w:rFonts w:hint="eastAsia" w:ascii="宋体" w:hAnsi="宋体" w:eastAsia="宋体" w:cs="宋体"/>
                <w:sz w:val="24"/>
              </w:rPr>
              <w:t>。</w:t>
            </w:r>
          </w:p>
        </w:tc>
      </w:tr>
      <w:bookmarkEnd w:id="405"/>
    </w:tbl>
    <w:p>
      <w:pPr>
        <w:pStyle w:val="34"/>
        <w:snapToGrid w:val="0"/>
        <w:spacing w:line="360" w:lineRule="auto"/>
        <w:rPr>
          <w:rFonts w:ascii="宋体" w:hAnsi="宋体" w:eastAsia="宋体" w:cs="宋体"/>
          <w:sz w:val="24"/>
          <w:szCs w:val="24"/>
          <w:lang w:bidi="ar"/>
        </w:rPr>
      </w:pPr>
      <w:r>
        <w:rPr>
          <w:rFonts w:hint="eastAsia" w:ascii="宋体" w:hAnsi="宋体" w:eastAsia="宋体" w:cs="宋体"/>
          <w:sz w:val="24"/>
          <w:szCs w:val="24"/>
          <w:lang w:bidi="ar"/>
        </w:rPr>
        <w:t>（3）定标委员会根据定标因素对各合格的中标候选人进行评审比较后，采用以差额选举逐轮淘汰投票计数法的“记名投票+撰写评语”方式确定中标人。</w:t>
      </w:r>
    </w:p>
    <w:p>
      <w:pPr>
        <w:pStyle w:val="34"/>
        <w:snapToGrid w:val="0"/>
        <w:spacing w:line="360" w:lineRule="auto"/>
        <w:rPr>
          <w:rFonts w:ascii="宋体" w:hAnsi="宋体" w:eastAsia="宋体" w:cs="宋体"/>
          <w:sz w:val="24"/>
          <w:szCs w:val="24"/>
          <w:lang w:bidi="ar"/>
        </w:rPr>
      </w:pPr>
      <w:r>
        <w:rPr>
          <w:rFonts w:hint="eastAsia" w:ascii="宋体" w:hAnsi="宋体" w:eastAsia="宋体" w:cs="宋体"/>
          <w:sz w:val="24"/>
          <w:szCs w:val="24"/>
          <w:lang w:bidi="ar"/>
        </w:rPr>
        <w:t>（4）定标委员会中的各成员应独立行使投票权。</w:t>
      </w:r>
    </w:p>
    <w:p>
      <w:pPr>
        <w:pStyle w:val="34"/>
        <w:snapToGrid w:val="0"/>
        <w:spacing w:line="360" w:lineRule="auto"/>
        <w:rPr>
          <w:rFonts w:ascii="宋体" w:hAnsi="宋体" w:eastAsia="宋体" w:cs="宋体"/>
          <w:sz w:val="24"/>
          <w:szCs w:val="24"/>
          <w:lang w:bidi="ar"/>
        </w:rPr>
      </w:pPr>
      <w:r>
        <w:rPr>
          <w:rFonts w:hint="eastAsia" w:ascii="宋体" w:hAnsi="宋体" w:eastAsia="宋体" w:cs="宋体"/>
          <w:sz w:val="24"/>
          <w:szCs w:val="24"/>
          <w:lang w:bidi="ar"/>
        </w:rPr>
        <w:t>（5）定标委员会根据投票情况确定中标人后，撰写、签署定标报告。定标报告由定标委员会全体成员签字，对定标结论持有异议的成员应以书面方式阐述其不同意见和理由。</w:t>
      </w:r>
    </w:p>
    <w:p>
      <w:pPr>
        <w:pStyle w:val="34"/>
        <w:snapToGrid w:val="0"/>
        <w:spacing w:line="360" w:lineRule="auto"/>
        <w:rPr>
          <w:rFonts w:ascii="宋体" w:hAnsi="宋体" w:eastAsia="宋体" w:cs="宋体"/>
          <w:sz w:val="24"/>
          <w:szCs w:val="24"/>
          <w:lang w:bidi="ar"/>
        </w:rPr>
      </w:pPr>
      <w:r>
        <w:rPr>
          <w:rFonts w:hint="eastAsia" w:ascii="宋体" w:hAnsi="宋体" w:eastAsia="宋体" w:cs="宋体"/>
          <w:sz w:val="24"/>
          <w:szCs w:val="24"/>
          <w:lang w:bidi="ar"/>
        </w:rPr>
        <w:t>（6）定标委员会向招标人提交书面定标报告后即解散，定标过程中使用的文件、表格以及其他资料不得私自带离。</w:t>
      </w:r>
    </w:p>
    <w:p>
      <w:pPr>
        <w:pStyle w:val="34"/>
        <w:snapToGrid w:val="0"/>
        <w:spacing w:line="360" w:lineRule="auto"/>
        <w:rPr>
          <w:rFonts w:ascii="宋体" w:hAnsi="宋体" w:eastAsia="宋体" w:cs="宋体"/>
          <w:sz w:val="24"/>
          <w:szCs w:val="24"/>
          <w:lang w:bidi="ar"/>
        </w:rPr>
      </w:pPr>
      <w:r>
        <w:rPr>
          <w:rFonts w:hint="eastAsia" w:ascii="宋体" w:hAnsi="宋体" w:eastAsia="宋体" w:cs="宋体"/>
          <w:sz w:val="24"/>
          <w:szCs w:val="24"/>
          <w:lang w:bidi="ar"/>
        </w:rPr>
        <w:t>3、（1）定标后出现中标人放弃中标、因不可抗力不能履行合同或不符合法定情形的，可从其他合格的中标候选人中采用原定标办法，由原定标委员会重新确定中标人，也可以重新招标。</w:t>
      </w:r>
    </w:p>
    <w:p>
      <w:pPr>
        <w:pStyle w:val="34"/>
        <w:snapToGrid w:val="0"/>
        <w:spacing w:line="360" w:lineRule="auto"/>
        <w:rPr>
          <w:rFonts w:ascii="宋体" w:hAnsi="宋体" w:eastAsia="宋体" w:cs="宋体"/>
          <w:sz w:val="24"/>
          <w:szCs w:val="24"/>
          <w:lang w:bidi="ar"/>
        </w:rPr>
      </w:pPr>
      <w:r>
        <w:rPr>
          <w:rFonts w:hint="eastAsia" w:ascii="宋体" w:hAnsi="宋体" w:eastAsia="宋体" w:cs="宋体"/>
          <w:sz w:val="24"/>
          <w:szCs w:val="24"/>
          <w:lang w:bidi="ar"/>
        </w:rPr>
        <w:t>（2）因质疑或投诉生效，需要重新评标或定标的，评标、定标信息（含业绩、奖项等）仍以投标截止时投标人的信息为准。因特殊原因需要延长投标有效期，投标人拒绝延长投标有效期的，仍参与评标、定标，但不被推荐为中标人。</w:t>
      </w:r>
    </w:p>
    <w:p>
      <w:pPr>
        <w:pStyle w:val="34"/>
        <w:snapToGrid w:val="0"/>
        <w:spacing w:line="360" w:lineRule="auto"/>
        <w:rPr>
          <w:rFonts w:ascii="宋体" w:hAnsi="宋体" w:eastAsia="宋体" w:cs="宋体"/>
          <w:sz w:val="24"/>
          <w:szCs w:val="24"/>
          <w:lang w:bidi="ar"/>
        </w:rPr>
      </w:pPr>
      <w:r>
        <w:rPr>
          <w:rFonts w:hint="eastAsia" w:ascii="宋体" w:hAnsi="宋体" w:eastAsia="宋体" w:cs="宋体"/>
          <w:sz w:val="24"/>
          <w:szCs w:val="24"/>
          <w:lang w:bidi="ar"/>
        </w:rPr>
        <w:t>（3）投标人如在本项目中存在串通投标、弄虚作假、行贿情形且在评标过程中未被发现的，其投标不改变本项目评标结果。招标人按照《中华人民共和国招标投标法实施条例》第五十五条的规定重新确定中标人或重新招标。</w:t>
      </w:r>
      <w:r>
        <w:rPr>
          <w:rFonts w:hint="eastAsia" w:ascii="宋体" w:hAnsi="宋体" w:eastAsia="宋体" w:cs="宋体"/>
          <w:sz w:val="24"/>
          <w:szCs w:val="24"/>
          <w:lang w:bidi="ar"/>
        </w:rPr>
        <w:br w:type="page"/>
      </w:r>
    </w:p>
    <w:p>
      <w:pPr>
        <w:pStyle w:val="46"/>
        <w:ind w:firstLine="0" w:firstLineChars="0"/>
        <w:rPr>
          <w:rFonts w:ascii="宋体" w:hAnsi="宋体" w:cs="宋体"/>
          <w:b/>
          <w:bCs/>
          <w:szCs w:val="24"/>
        </w:rPr>
      </w:pPr>
      <w:r>
        <w:rPr>
          <w:rFonts w:hint="eastAsia" w:ascii="宋体" w:hAnsi="宋体" w:cs="宋体"/>
          <w:b/>
          <w:bCs/>
          <w:szCs w:val="24"/>
        </w:rPr>
        <w:t>附件2：定标评语</w:t>
      </w:r>
    </w:p>
    <w:p>
      <w:pPr>
        <w:pStyle w:val="46"/>
        <w:ind w:firstLine="0" w:firstLineChars="0"/>
        <w:rPr>
          <w:rFonts w:ascii="宋体" w:hAnsi="宋体" w:cs="宋体"/>
          <w:b/>
          <w:bCs/>
          <w:szCs w:val="24"/>
        </w:rPr>
      </w:pPr>
      <w:r>
        <w:rPr>
          <w:rFonts w:hint="eastAsia" w:ascii="宋体" w:hAnsi="宋体" w:cs="宋体"/>
          <w:b/>
          <w:bCs/>
          <w:szCs w:val="24"/>
        </w:rPr>
        <w:t>定标评语</w:t>
      </w:r>
    </w:p>
    <w:p>
      <w:pPr>
        <w:pStyle w:val="46"/>
        <w:ind w:firstLine="0" w:firstLineChars="0"/>
        <w:rPr>
          <w:rFonts w:ascii="宋体" w:hAnsi="宋体" w:cs="宋体"/>
          <w:szCs w:val="24"/>
        </w:rPr>
      </w:pPr>
      <w:r>
        <w:rPr>
          <w:rFonts w:hint="eastAsia" w:ascii="宋体" w:hAnsi="宋体" w:cs="宋体"/>
          <w:szCs w:val="24"/>
        </w:rPr>
        <w:t xml:space="preserve">项目名称：                             </w:t>
      </w:r>
    </w:p>
    <w:tbl>
      <w:tblPr>
        <w:tblStyle w:val="39"/>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395"/>
        <w:gridCol w:w="1290"/>
        <w:gridCol w:w="3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7"/>
              <w:jc w:val="left"/>
              <w:rPr>
                <w:rFonts w:ascii="宋体" w:hAnsi="宋体" w:eastAsia="宋体" w:cs="宋体"/>
                <w:sz w:val="24"/>
              </w:rPr>
            </w:pPr>
            <w:r>
              <w:rPr>
                <w:rFonts w:hint="eastAsia" w:ascii="宋体" w:hAnsi="宋体" w:eastAsia="宋体" w:cs="宋体"/>
                <w:sz w:val="24"/>
              </w:rPr>
              <w:t>社会信用代码后4 位（除校验码外）</w:t>
            </w:r>
          </w:p>
        </w:tc>
        <w:tc>
          <w:tcPr>
            <w:tcW w:w="2395" w:type="dxa"/>
            <w:tcBorders>
              <w:top w:val="single" w:color="auto" w:sz="4" w:space="0"/>
              <w:left w:val="nil"/>
              <w:bottom w:val="single" w:color="auto" w:sz="4" w:space="0"/>
              <w:right w:val="single" w:color="auto" w:sz="4" w:space="0"/>
            </w:tcBorders>
            <w:shd w:val="clear" w:color="auto" w:fill="auto"/>
            <w:vAlign w:val="center"/>
          </w:tcPr>
          <w:p>
            <w:pPr>
              <w:pStyle w:val="87"/>
              <w:jc w:val="left"/>
              <w:rPr>
                <w:rFonts w:ascii="宋体" w:hAnsi="宋体" w:eastAsia="宋体" w:cs="宋体"/>
                <w:sz w:val="24"/>
              </w:rPr>
            </w:pPr>
            <w:r>
              <w:rPr>
                <w:rFonts w:hint="eastAsia" w:ascii="宋体" w:hAnsi="宋体" w:eastAsia="宋体" w:cs="宋体"/>
                <w:sz w:val="24"/>
              </w:rPr>
              <w:t>合格中标候选人名称</w:t>
            </w:r>
          </w:p>
        </w:tc>
        <w:tc>
          <w:tcPr>
            <w:tcW w:w="4966" w:type="dxa"/>
            <w:gridSpan w:val="2"/>
            <w:tcBorders>
              <w:top w:val="single" w:color="auto" w:sz="4" w:space="0"/>
              <w:left w:val="nil"/>
              <w:bottom w:val="single" w:color="auto" w:sz="4" w:space="0"/>
              <w:right w:val="single" w:color="auto" w:sz="4" w:space="0"/>
            </w:tcBorders>
            <w:shd w:val="clear" w:color="auto" w:fill="auto"/>
            <w:vAlign w:val="center"/>
          </w:tcPr>
          <w:p>
            <w:pPr>
              <w:pStyle w:val="87"/>
              <w:jc w:val="left"/>
              <w:rPr>
                <w:rFonts w:ascii="宋体" w:hAnsi="宋体" w:eastAsia="宋体" w:cs="宋体"/>
                <w:sz w:val="24"/>
              </w:rPr>
            </w:pPr>
            <w:r>
              <w:rPr>
                <w:rFonts w:hint="eastAsia" w:ascii="宋体" w:hAnsi="宋体" w:eastAsia="宋体" w:cs="宋体"/>
                <w:sz w:val="24"/>
              </w:rPr>
              <w:t>评语（针对价格因素、资信因素、方案因素、团队因素、答辩因素撰写评语）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555" w:type="dxa"/>
            <w:vMerge w:val="restart"/>
            <w:tcBorders>
              <w:top w:val="nil"/>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2395" w:type="dxa"/>
            <w:vMerge w:val="restart"/>
            <w:tcBorders>
              <w:top w:val="nil"/>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1290"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价格因素</w:t>
            </w:r>
          </w:p>
        </w:tc>
        <w:tc>
          <w:tcPr>
            <w:tcW w:w="3676"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555" w:type="dxa"/>
            <w:vMerge w:val="continue"/>
            <w:tcBorders>
              <w:top w:val="nil"/>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2395" w:type="dxa"/>
            <w:vMerge w:val="continue"/>
            <w:tcBorders>
              <w:top w:val="nil"/>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1290"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资信因素</w:t>
            </w:r>
          </w:p>
        </w:tc>
        <w:tc>
          <w:tcPr>
            <w:tcW w:w="3676"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555" w:type="dxa"/>
            <w:vMerge w:val="continue"/>
            <w:tcBorders>
              <w:top w:val="nil"/>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2395" w:type="dxa"/>
            <w:vMerge w:val="continue"/>
            <w:tcBorders>
              <w:top w:val="nil"/>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1290"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方案因素</w:t>
            </w:r>
          </w:p>
        </w:tc>
        <w:tc>
          <w:tcPr>
            <w:tcW w:w="3676"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555" w:type="dxa"/>
            <w:vMerge w:val="continue"/>
            <w:tcBorders>
              <w:top w:val="nil"/>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2395" w:type="dxa"/>
            <w:vMerge w:val="continue"/>
            <w:tcBorders>
              <w:top w:val="nil"/>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1290"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团队因素</w:t>
            </w:r>
          </w:p>
        </w:tc>
        <w:tc>
          <w:tcPr>
            <w:tcW w:w="3676"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555" w:type="dxa"/>
            <w:vMerge w:val="restart"/>
            <w:tcBorders>
              <w:top w:val="nil"/>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2395" w:type="dxa"/>
            <w:vMerge w:val="restart"/>
            <w:tcBorders>
              <w:top w:val="nil"/>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1290"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价格因素</w:t>
            </w:r>
          </w:p>
        </w:tc>
        <w:tc>
          <w:tcPr>
            <w:tcW w:w="3676"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555" w:type="dxa"/>
            <w:vMerge w:val="continue"/>
            <w:tcBorders>
              <w:top w:val="nil"/>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2395" w:type="dxa"/>
            <w:vMerge w:val="continue"/>
            <w:tcBorders>
              <w:top w:val="nil"/>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1290"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资信因素</w:t>
            </w:r>
          </w:p>
        </w:tc>
        <w:tc>
          <w:tcPr>
            <w:tcW w:w="3676"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555" w:type="dxa"/>
            <w:vMerge w:val="continue"/>
            <w:tcBorders>
              <w:top w:val="nil"/>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2395" w:type="dxa"/>
            <w:vMerge w:val="continue"/>
            <w:tcBorders>
              <w:top w:val="nil"/>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1290"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方案因素</w:t>
            </w:r>
          </w:p>
        </w:tc>
        <w:tc>
          <w:tcPr>
            <w:tcW w:w="3676"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555" w:type="dxa"/>
            <w:vMerge w:val="continue"/>
            <w:tcBorders>
              <w:top w:val="nil"/>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2395" w:type="dxa"/>
            <w:vMerge w:val="continue"/>
            <w:tcBorders>
              <w:top w:val="nil"/>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1290"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团队因素</w:t>
            </w:r>
          </w:p>
        </w:tc>
        <w:tc>
          <w:tcPr>
            <w:tcW w:w="3676"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w:t>
            </w:r>
          </w:p>
        </w:tc>
        <w:tc>
          <w:tcPr>
            <w:tcW w:w="2395"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1290"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w:t>
            </w:r>
          </w:p>
        </w:tc>
        <w:tc>
          <w:tcPr>
            <w:tcW w:w="3676" w:type="dxa"/>
            <w:tcBorders>
              <w:top w:val="single" w:color="auto" w:sz="4" w:space="0"/>
              <w:left w:val="nil"/>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r>
    </w:tbl>
    <w:p>
      <w:pPr>
        <w:pStyle w:val="46"/>
        <w:ind w:firstLine="0" w:firstLineChars="0"/>
        <w:rPr>
          <w:rFonts w:ascii="宋体" w:hAnsi="宋体" w:cs="宋体"/>
          <w:szCs w:val="24"/>
        </w:rPr>
      </w:pPr>
      <w:r>
        <w:rPr>
          <w:rFonts w:hint="eastAsia" w:ascii="宋体" w:hAnsi="宋体" w:cs="宋体"/>
          <w:szCs w:val="24"/>
        </w:rPr>
        <w:t xml:space="preserve"> </w:t>
      </w:r>
    </w:p>
    <w:p>
      <w:pPr>
        <w:pStyle w:val="46"/>
        <w:ind w:firstLine="0" w:firstLineChars="0"/>
        <w:rPr>
          <w:rFonts w:ascii="宋体" w:hAnsi="宋体" w:cs="宋体"/>
          <w:szCs w:val="24"/>
        </w:rPr>
      </w:pPr>
      <w:r>
        <w:rPr>
          <w:rFonts w:hint="eastAsia" w:ascii="宋体" w:hAnsi="宋体" w:cs="宋体"/>
          <w:szCs w:val="24"/>
        </w:rPr>
        <w:t xml:space="preserve"> </w:t>
      </w:r>
    </w:p>
    <w:p>
      <w:pPr>
        <w:pStyle w:val="46"/>
        <w:ind w:firstLine="0" w:firstLineChars="0"/>
        <w:rPr>
          <w:rFonts w:ascii="宋体" w:hAnsi="宋体" w:cs="宋体"/>
          <w:szCs w:val="24"/>
        </w:rPr>
      </w:pPr>
      <w:r>
        <w:rPr>
          <w:rFonts w:hint="eastAsia" w:ascii="宋体" w:hAnsi="宋体" w:cs="宋体"/>
          <w:szCs w:val="24"/>
        </w:rPr>
        <w:t>签名：                                 日期：     年    月    日</w:t>
      </w:r>
    </w:p>
    <w:p>
      <w:pPr>
        <w:pStyle w:val="46"/>
        <w:ind w:firstLine="0" w:firstLineChars="0"/>
        <w:rPr>
          <w:rFonts w:ascii="宋体" w:hAnsi="宋体" w:cs="宋体"/>
          <w:szCs w:val="24"/>
        </w:rPr>
      </w:pPr>
      <w:r>
        <w:rPr>
          <w:rFonts w:hint="eastAsia" w:ascii="宋体" w:hAnsi="宋体" w:cs="宋体"/>
          <w:szCs w:val="24"/>
        </w:rPr>
        <w:t xml:space="preserve"> </w:t>
      </w:r>
    </w:p>
    <w:p>
      <w:pPr>
        <w:pStyle w:val="46"/>
        <w:ind w:firstLine="0" w:firstLineChars="0"/>
        <w:rPr>
          <w:rFonts w:ascii="宋体" w:hAnsi="宋体" w:cs="宋体"/>
          <w:szCs w:val="24"/>
        </w:rPr>
      </w:pPr>
      <w:r>
        <w:rPr>
          <w:rFonts w:hint="eastAsia" w:ascii="宋体" w:hAnsi="宋体" w:cs="宋体"/>
          <w:szCs w:val="24"/>
        </w:rPr>
        <w:br w:type="page"/>
      </w:r>
    </w:p>
    <w:p>
      <w:pPr>
        <w:pStyle w:val="21"/>
        <w:spacing w:after="0" w:line="360" w:lineRule="auto"/>
        <w:rPr>
          <w:rFonts w:hAnsi="宋体" w:eastAsia="宋体" w:cs="宋体"/>
          <w:b/>
          <w:bCs/>
          <w:sz w:val="24"/>
        </w:rPr>
      </w:pPr>
      <w:r>
        <w:rPr>
          <w:rFonts w:hint="eastAsia" w:hAnsi="宋体" w:eastAsia="宋体" w:cs="宋体"/>
          <w:b/>
          <w:bCs/>
          <w:sz w:val="24"/>
        </w:rPr>
        <w:t>附件3：投票表格</w:t>
      </w:r>
    </w:p>
    <w:p>
      <w:pPr>
        <w:pStyle w:val="46"/>
        <w:ind w:firstLine="0" w:firstLineChars="0"/>
        <w:rPr>
          <w:rFonts w:ascii="宋体" w:hAnsi="宋体" w:cs="宋体"/>
          <w:b/>
          <w:bCs/>
          <w:szCs w:val="24"/>
        </w:rPr>
      </w:pPr>
      <w:r>
        <w:rPr>
          <w:rFonts w:hint="eastAsia" w:ascii="宋体" w:hAnsi="宋体" w:cs="宋体"/>
          <w:b/>
          <w:bCs/>
          <w:szCs w:val="24"/>
        </w:rPr>
        <w:t>投票表格</w:t>
      </w:r>
    </w:p>
    <w:p>
      <w:pPr>
        <w:pStyle w:val="46"/>
        <w:ind w:firstLine="0" w:firstLineChars="0"/>
        <w:rPr>
          <w:rFonts w:ascii="宋体" w:hAnsi="宋体" w:cs="宋体"/>
          <w:szCs w:val="24"/>
        </w:rPr>
      </w:pPr>
      <w:r>
        <w:rPr>
          <w:rFonts w:hint="eastAsia" w:ascii="宋体" w:hAnsi="宋体" w:cs="宋体"/>
          <w:szCs w:val="24"/>
        </w:rPr>
        <w:t xml:space="preserve">项目名称：                             </w:t>
      </w:r>
    </w:p>
    <w:tbl>
      <w:tblPr>
        <w:tblStyle w:val="39"/>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893"/>
        <w:gridCol w:w="1893"/>
        <w:gridCol w:w="1893"/>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pPr>
              <w:pStyle w:val="87"/>
              <w:jc w:val="left"/>
              <w:rPr>
                <w:rFonts w:ascii="宋体" w:hAnsi="宋体" w:eastAsia="宋体" w:cs="宋体"/>
                <w:sz w:val="24"/>
              </w:rPr>
            </w:pPr>
            <w:r>
              <w:rPr>
                <w:rFonts w:hint="eastAsia" w:ascii="宋体" w:hAnsi="宋体" w:eastAsia="宋体" w:cs="宋体"/>
                <w:sz w:val="24"/>
              </w:rPr>
              <w:t>第    轮</w:t>
            </w:r>
          </w:p>
        </w:tc>
        <w:tc>
          <w:tcPr>
            <w:tcW w:w="1893" w:type="dxa"/>
            <w:tcBorders>
              <w:top w:val="double" w:color="auto" w:sz="2" w:space="0"/>
              <w:left w:val="nil"/>
              <w:bottom w:val="double" w:color="auto" w:sz="2" w:space="0"/>
              <w:right w:val="single" w:color="auto" w:sz="4" w:space="0"/>
            </w:tcBorders>
            <w:shd w:val="clear" w:color="auto" w:fill="auto"/>
          </w:tcPr>
          <w:p>
            <w:pPr>
              <w:pStyle w:val="46"/>
              <w:ind w:firstLine="0" w:firstLineChars="0"/>
              <w:rPr>
                <w:rFonts w:ascii="宋体" w:hAnsi="宋体" w:cs="宋体"/>
                <w:szCs w:val="24"/>
              </w:rPr>
            </w:pPr>
          </w:p>
        </w:tc>
        <w:tc>
          <w:tcPr>
            <w:tcW w:w="1893" w:type="dxa"/>
            <w:tcBorders>
              <w:top w:val="double" w:color="auto" w:sz="2" w:space="0"/>
              <w:left w:val="single" w:color="auto" w:sz="4" w:space="0"/>
              <w:bottom w:val="double" w:color="auto" w:sz="2" w:space="0"/>
              <w:right w:val="single" w:color="auto" w:sz="4" w:space="0"/>
            </w:tcBorders>
            <w:shd w:val="clear" w:color="auto" w:fill="auto"/>
          </w:tcPr>
          <w:p>
            <w:pPr>
              <w:pStyle w:val="46"/>
              <w:ind w:firstLine="0" w:firstLineChars="0"/>
              <w:rPr>
                <w:rFonts w:ascii="宋体" w:hAnsi="宋体" w:cs="宋体"/>
                <w:szCs w:val="24"/>
              </w:rPr>
            </w:pPr>
          </w:p>
        </w:tc>
        <w:tc>
          <w:tcPr>
            <w:tcW w:w="1893" w:type="dxa"/>
            <w:tcBorders>
              <w:top w:val="double" w:color="auto" w:sz="2" w:space="0"/>
              <w:left w:val="single" w:color="auto" w:sz="4" w:space="0"/>
              <w:bottom w:val="double" w:color="auto" w:sz="2" w:space="0"/>
              <w:right w:val="single" w:color="auto" w:sz="4" w:space="0"/>
            </w:tcBorders>
            <w:shd w:val="clear" w:color="auto" w:fill="auto"/>
          </w:tcPr>
          <w:p>
            <w:pPr>
              <w:pStyle w:val="46"/>
              <w:ind w:firstLine="0" w:firstLineChars="0"/>
              <w:rPr>
                <w:rFonts w:ascii="宋体" w:hAnsi="宋体" w:cs="宋体"/>
                <w:szCs w:val="24"/>
              </w:rPr>
            </w:pPr>
          </w:p>
        </w:tc>
        <w:tc>
          <w:tcPr>
            <w:tcW w:w="1893" w:type="dxa"/>
            <w:tcBorders>
              <w:top w:val="double" w:color="auto" w:sz="2" w:space="0"/>
              <w:left w:val="single" w:color="auto" w:sz="4" w:space="0"/>
              <w:bottom w:val="double" w:color="auto" w:sz="2" w:space="0"/>
              <w:right w:val="double" w:color="auto" w:sz="2" w:space="0"/>
            </w:tcBorders>
            <w:shd w:val="clear" w:color="auto" w:fill="auto"/>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pPr>
              <w:pStyle w:val="87"/>
              <w:jc w:val="left"/>
              <w:rPr>
                <w:rFonts w:ascii="宋体" w:hAnsi="宋体" w:eastAsia="宋体" w:cs="宋体"/>
                <w:sz w:val="24"/>
              </w:rPr>
            </w:pPr>
            <w:r>
              <w:rPr>
                <w:rFonts w:hint="eastAsia" w:ascii="宋体" w:hAnsi="宋体" w:eastAsia="宋体" w:cs="宋体"/>
                <w:sz w:val="24"/>
              </w:rPr>
              <w:t>第    轮</w:t>
            </w:r>
          </w:p>
        </w:tc>
        <w:tc>
          <w:tcPr>
            <w:tcW w:w="3786" w:type="dxa"/>
            <w:gridSpan w:val="2"/>
            <w:tcBorders>
              <w:top w:val="double" w:color="auto" w:sz="2" w:space="0"/>
              <w:left w:val="nil"/>
              <w:bottom w:val="double" w:color="auto" w:sz="2" w:space="0"/>
              <w:right w:val="single" w:color="auto" w:sz="4" w:space="0"/>
            </w:tcBorders>
            <w:shd w:val="clear" w:color="auto" w:fill="auto"/>
          </w:tcPr>
          <w:p>
            <w:pPr>
              <w:pStyle w:val="46"/>
              <w:ind w:firstLine="0" w:firstLineChars="0"/>
              <w:rPr>
                <w:rFonts w:ascii="宋体" w:hAnsi="宋体" w:cs="宋体"/>
                <w:szCs w:val="24"/>
              </w:rPr>
            </w:pPr>
          </w:p>
        </w:tc>
        <w:tc>
          <w:tcPr>
            <w:tcW w:w="3786" w:type="dxa"/>
            <w:gridSpan w:val="2"/>
            <w:tcBorders>
              <w:top w:val="double" w:color="auto" w:sz="2" w:space="0"/>
              <w:left w:val="single" w:color="auto" w:sz="4" w:space="0"/>
              <w:bottom w:val="double" w:color="auto" w:sz="2" w:space="0"/>
              <w:right w:val="double" w:color="auto" w:sz="2" w:space="0"/>
            </w:tcBorders>
            <w:shd w:val="clear" w:color="auto" w:fill="auto"/>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pPr>
              <w:pStyle w:val="87"/>
              <w:jc w:val="left"/>
              <w:rPr>
                <w:rFonts w:ascii="宋体" w:hAnsi="宋体" w:eastAsia="宋体" w:cs="宋体"/>
                <w:sz w:val="24"/>
              </w:rPr>
            </w:pPr>
            <w:r>
              <w:rPr>
                <w:rFonts w:hint="eastAsia" w:ascii="宋体" w:hAnsi="宋体" w:eastAsia="宋体" w:cs="宋体"/>
                <w:sz w:val="24"/>
              </w:rPr>
              <w:t>第    轮</w:t>
            </w:r>
          </w:p>
        </w:tc>
        <w:tc>
          <w:tcPr>
            <w:tcW w:w="7572" w:type="dxa"/>
            <w:gridSpan w:val="4"/>
            <w:tcBorders>
              <w:top w:val="double" w:color="auto" w:sz="2" w:space="0"/>
              <w:left w:val="nil"/>
              <w:bottom w:val="double" w:color="auto" w:sz="2" w:space="0"/>
              <w:right w:val="double" w:color="auto" w:sz="2" w:space="0"/>
            </w:tcBorders>
            <w:shd w:val="clear" w:color="auto" w:fill="auto"/>
          </w:tcPr>
          <w:p>
            <w:pPr>
              <w:pStyle w:val="46"/>
              <w:ind w:firstLine="0" w:firstLineChars="0"/>
              <w:rPr>
                <w:rFonts w:ascii="宋体" w:hAnsi="宋体" w:cs="宋体"/>
                <w:szCs w:val="24"/>
              </w:rPr>
            </w:pPr>
          </w:p>
        </w:tc>
      </w:tr>
    </w:tbl>
    <w:p>
      <w:pPr>
        <w:pStyle w:val="46"/>
        <w:ind w:firstLine="0" w:firstLineChars="0"/>
        <w:rPr>
          <w:rFonts w:ascii="宋体" w:hAnsi="宋体" w:cs="宋体"/>
          <w:szCs w:val="24"/>
        </w:rPr>
      </w:pPr>
      <w:r>
        <w:rPr>
          <w:rFonts w:hint="eastAsia" w:ascii="宋体" w:hAnsi="宋体" w:cs="宋体"/>
          <w:szCs w:val="24"/>
        </w:rPr>
        <w:t>正式投票规则：以上表格用于正式投票，从上到下每轮投票限使用一行空格，每个空格限填一个单位名称，同一行的空格内的单位名称不得重复。每轮投票允许选择的总数即下一轮候选总数，以得票多的投标单位当选为下一轮投票的候选投标单位。不能进入下一轮（或名次）的投标单位，根据本轮得票数量确定名次。遇票数相等不能确定入选下一轮的投标单位时，应进行附加投票，以确定名次。每轮正式投票允许选择投标单位总数如下：</w:t>
      </w:r>
    </w:p>
    <w:tbl>
      <w:tblPr>
        <w:tblStyle w:val="39"/>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06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tcPr>
          <w:p>
            <w:pPr>
              <w:pStyle w:val="87"/>
              <w:jc w:val="left"/>
              <w:rPr>
                <w:rFonts w:ascii="宋体" w:hAnsi="宋体" w:eastAsia="宋体" w:cs="宋体"/>
                <w:sz w:val="24"/>
              </w:rPr>
            </w:pPr>
          </w:p>
        </w:tc>
        <w:tc>
          <w:tcPr>
            <w:tcW w:w="6120" w:type="dxa"/>
            <w:gridSpan w:val="2"/>
            <w:tcBorders>
              <w:top w:val="single" w:color="auto" w:sz="4" w:space="0"/>
              <w:left w:val="single" w:color="auto" w:sz="4" w:space="0"/>
              <w:bottom w:val="single" w:color="auto" w:sz="4" w:space="0"/>
              <w:right w:val="single" w:color="auto" w:sz="4" w:space="0"/>
            </w:tcBorders>
            <w:shd w:val="clear" w:color="auto" w:fill="auto"/>
          </w:tcPr>
          <w:p>
            <w:pPr>
              <w:pStyle w:val="87"/>
              <w:jc w:val="left"/>
              <w:rPr>
                <w:rFonts w:ascii="宋体" w:hAnsi="宋体" w:eastAsia="宋体" w:cs="宋体"/>
                <w:sz w:val="24"/>
              </w:rPr>
            </w:pPr>
            <w:r>
              <w:rPr>
                <w:rFonts w:hint="eastAsia" w:ascii="宋体" w:hAnsi="宋体" w:eastAsia="宋体" w:cs="宋体"/>
                <w:sz w:val="24"/>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7"/>
              <w:jc w:val="left"/>
              <w:rPr>
                <w:rFonts w:ascii="宋体" w:hAnsi="宋体" w:eastAsia="宋体" w:cs="宋体"/>
                <w:sz w:val="24"/>
              </w:rPr>
            </w:pPr>
            <w:r>
              <w:rPr>
                <w:rFonts w:hint="eastAsia" w:ascii="宋体" w:hAnsi="宋体" w:eastAsia="宋体" w:cs="宋体"/>
                <w:sz w:val="24"/>
              </w:rPr>
              <w:t>投标人数</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3至4</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5名及以上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7"/>
              <w:jc w:val="left"/>
              <w:rPr>
                <w:rFonts w:ascii="宋体" w:hAnsi="宋体" w:eastAsia="宋体" w:cs="宋体"/>
                <w:sz w:val="24"/>
              </w:rPr>
            </w:pPr>
            <w:r>
              <w:rPr>
                <w:rFonts w:hint="eastAsia" w:ascii="宋体" w:hAnsi="宋体" w:eastAsia="宋体" w:cs="宋体"/>
                <w:sz w:val="24"/>
              </w:rPr>
              <w:t>第1轮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2</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7"/>
              <w:jc w:val="left"/>
              <w:rPr>
                <w:rFonts w:ascii="宋体" w:hAnsi="宋体" w:eastAsia="宋体" w:cs="宋体"/>
                <w:sz w:val="24"/>
              </w:rPr>
            </w:pPr>
            <w:r>
              <w:rPr>
                <w:rFonts w:hint="eastAsia" w:ascii="宋体" w:hAnsi="宋体" w:eastAsia="宋体" w:cs="宋体"/>
                <w:sz w:val="24"/>
              </w:rPr>
              <w:t>第2轮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1</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7"/>
              <w:jc w:val="left"/>
              <w:rPr>
                <w:rFonts w:ascii="宋体" w:hAnsi="宋体" w:eastAsia="宋体" w:cs="宋体"/>
                <w:sz w:val="24"/>
              </w:rPr>
            </w:pPr>
            <w:r>
              <w:rPr>
                <w:rFonts w:hint="eastAsia" w:ascii="宋体" w:hAnsi="宋体" w:eastAsia="宋体" w:cs="宋体"/>
                <w:sz w:val="24"/>
              </w:rPr>
              <w:t>第3轮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firstLineChars="0"/>
              <w:rPr>
                <w:rFonts w:ascii="宋体" w:hAnsi="宋体" w:cs="宋体"/>
                <w:szCs w:val="24"/>
              </w:rPr>
            </w:pPr>
            <w:r>
              <w:rPr>
                <w:rFonts w:hint="eastAsia" w:ascii="宋体" w:hAnsi="宋体" w:cs="宋体"/>
                <w:szCs w:val="24"/>
              </w:rPr>
              <w:t>1</w:t>
            </w:r>
          </w:p>
        </w:tc>
      </w:tr>
    </w:tbl>
    <w:p>
      <w:pPr>
        <w:pStyle w:val="46"/>
        <w:ind w:firstLine="0" w:firstLineChars="0"/>
        <w:rPr>
          <w:rFonts w:ascii="宋体" w:hAnsi="宋体" w:cs="宋体"/>
          <w:kern w:val="0"/>
          <w:szCs w:val="24"/>
        </w:rPr>
      </w:pPr>
      <w:r>
        <w:rPr>
          <w:rFonts w:hint="eastAsia" w:ascii="宋体" w:hAnsi="宋体" w:cs="宋体"/>
          <w:kern w:val="0"/>
          <w:szCs w:val="24"/>
        </w:rPr>
        <w:t>(1)投票结束后，点票人员对投票人数、票数和每票应选方案总数加以核对和统计，作废的选票不得统计，并向定标委员会报告。</w:t>
      </w:r>
    </w:p>
    <w:p>
      <w:pPr>
        <w:pStyle w:val="46"/>
        <w:ind w:firstLine="0" w:firstLineChars="0"/>
        <w:rPr>
          <w:rFonts w:ascii="宋体" w:hAnsi="宋体" w:cs="宋体"/>
          <w:kern w:val="0"/>
          <w:szCs w:val="24"/>
        </w:rPr>
      </w:pPr>
      <w:r>
        <w:rPr>
          <w:rFonts w:hint="eastAsia" w:ascii="宋体" w:hAnsi="宋体" w:cs="宋体"/>
          <w:kern w:val="0"/>
          <w:szCs w:val="24"/>
        </w:rPr>
        <w:t>(2)定标委员会成员应当独立投票，自投票开始至最终排名统计结果公布期间，任何人不得非法干预、影响投票过程，不得透露、协商、改变投票结果，不得使用通信联络工具。</w:t>
      </w:r>
    </w:p>
    <w:p>
      <w:pPr>
        <w:pStyle w:val="46"/>
        <w:ind w:firstLine="0" w:firstLineChars="0"/>
        <w:rPr>
          <w:rFonts w:ascii="宋体" w:hAnsi="宋体" w:cs="宋体"/>
          <w:szCs w:val="24"/>
        </w:rPr>
      </w:pPr>
      <w:r>
        <w:rPr>
          <w:rFonts w:hint="eastAsia" w:ascii="宋体" w:hAnsi="宋体" w:cs="宋体"/>
          <w:szCs w:val="24"/>
        </w:rPr>
        <w:t xml:space="preserve"> </w:t>
      </w:r>
    </w:p>
    <w:p>
      <w:pPr>
        <w:pStyle w:val="46"/>
        <w:ind w:firstLine="0" w:firstLineChars="0"/>
        <w:rPr>
          <w:rFonts w:ascii="宋体" w:hAnsi="宋体" w:cs="宋体"/>
          <w:szCs w:val="24"/>
        </w:rPr>
      </w:pPr>
      <w:r>
        <w:rPr>
          <w:rFonts w:hint="eastAsia" w:ascii="宋体" w:hAnsi="宋体" w:cs="宋体"/>
          <w:szCs w:val="24"/>
        </w:rPr>
        <w:t xml:space="preserve"> </w:t>
      </w:r>
    </w:p>
    <w:p>
      <w:pPr>
        <w:pStyle w:val="46"/>
        <w:ind w:firstLine="0" w:firstLineChars="0"/>
        <w:rPr>
          <w:rFonts w:ascii="宋体" w:hAnsi="宋体" w:cs="宋体"/>
          <w:szCs w:val="24"/>
        </w:rPr>
      </w:pPr>
      <w:r>
        <w:rPr>
          <w:rFonts w:hint="eastAsia" w:ascii="宋体" w:hAnsi="宋体" w:cs="宋体"/>
          <w:szCs w:val="24"/>
        </w:rPr>
        <w:t>签名：                              日期：     年    月    日</w:t>
      </w:r>
    </w:p>
    <w:p>
      <w:pPr>
        <w:pStyle w:val="46"/>
        <w:ind w:firstLine="0" w:firstLineChars="0"/>
        <w:rPr>
          <w:rFonts w:ascii="宋体" w:hAnsi="宋体" w:cs="宋体"/>
          <w:szCs w:val="24"/>
        </w:rPr>
      </w:pPr>
      <w:r>
        <w:rPr>
          <w:rFonts w:hint="eastAsia" w:ascii="宋体" w:hAnsi="宋体" w:cs="宋体"/>
          <w:szCs w:val="24"/>
        </w:rPr>
        <w:br w:type="page"/>
      </w:r>
    </w:p>
    <w:bookmarkEnd w:id="404"/>
    <w:p>
      <w:pPr>
        <w:pStyle w:val="46"/>
        <w:ind w:firstLine="0" w:firstLineChars="0"/>
        <w:rPr>
          <w:rFonts w:ascii="宋体" w:hAnsi="宋体" w:cs="宋体"/>
          <w:b/>
          <w:bCs/>
          <w:szCs w:val="24"/>
        </w:rPr>
      </w:pPr>
      <w:r>
        <w:rPr>
          <w:rFonts w:hint="eastAsia" w:ascii="宋体" w:hAnsi="宋体" w:cs="宋体"/>
          <w:b/>
          <w:bCs/>
          <w:szCs w:val="24"/>
        </w:rPr>
        <w:t>（第三章正文详见《中华人民共和国标准监理招标文件》（2017版））</w:t>
      </w:r>
    </w:p>
    <w:p>
      <w:pPr>
        <w:pStyle w:val="46"/>
        <w:ind w:firstLine="0" w:firstLineChars="0"/>
        <w:rPr>
          <w:rFonts w:ascii="宋体" w:hAnsi="宋体" w:cs="宋体"/>
          <w:szCs w:val="24"/>
        </w:rPr>
      </w:pPr>
    </w:p>
    <w:p>
      <w:pPr>
        <w:pStyle w:val="91"/>
        <w:rPr>
          <w:rFonts w:ascii="宋体" w:hAnsi="宋体" w:eastAsia="宋体" w:cs="宋体"/>
          <w:sz w:val="24"/>
          <w:szCs w:val="24"/>
        </w:rPr>
      </w:pPr>
      <w:bookmarkStart w:id="406" w:name="_Toc28020"/>
      <w:bookmarkStart w:id="407" w:name="_Toc20570"/>
      <w:bookmarkStart w:id="408" w:name="_Toc529196583"/>
      <w:bookmarkStart w:id="409" w:name="_Toc515205256"/>
      <w:bookmarkStart w:id="410" w:name="_Toc199515650"/>
      <w:r>
        <w:rPr>
          <w:rFonts w:hint="eastAsia" w:ascii="宋体" w:hAnsi="宋体" w:eastAsia="宋体" w:cs="宋体"/>
          <w:sz w:val="24"/>
          <w:szCs w:val="24"/>
        </w:rPr>
        <w:t>1. 评标方法</w:t>
      </w:r>
      <w:bookmarkEnd w:id="406"/>
      <w:bookmarkEnd w:id="407"/>
      <w:bookmarkEnd w:id="408"/>
      <w:bookmarkEnd w:id="409"/>
      <w:bookmarkEnd w:id="410"/>
    </w:p>
    <w:p>
      <w:pPr>
        <w:pStyle w:val="46"/>
        <w:ind w:firstLine="0" w:firstLineChars="0"/>
        <w:rPr>
          <w:rFonts w:ascii="宋体" w:hAnsi="宋体" w:cs="宋体"/>
          <w:szCs w:val="24"/>
        </w:rPr>
      </w:pPr>
      <w:r>
        <w:rPr>
          <w:rFonts w:hint="eastAsia" w:ascii="宋体" w:hAnsi="宋体" w:cs="宋体"/>
          <w:szCs w:val="24"/>
          <w:lang w:bidi="ar"/>
        </w:rPr>
        <w:t>本项目采用评定分离定标办法，其中：评标采用“通过制”评标办法，所有通过初步评审（形式评审、资格评审、响应性评审）的投标人全部被推荐为合格的中标候选人，进入定标阶段【合格的中标候选人按其统一社会信用代码后4位（除校验码外）从大到小进行排位，不排序（如统一社会信用代码后4位出现字母情况的，字母以“0”进行代替大小排位；如出现后4位（除校验码外）大小一致的，则随机排位）】。</w:t>
      </w:r>
    </w:p>
    <w:p>
      <w:pPr>
        <w:pStyle w:val="46"/>
        <w:ind w:firstLine="0" w:firstLineChars="0"/>
        <w:rPr>
          <w:rFonts w:ascii="宋体" w:hAnsi="宋体" w:cs="宋体"/>
          <w:szCs w:val="24"/>
        </w:rPr>
      </w:pPr>
    </w:p>
    <w:p>
      <w:pPr>
        <w:pStyle w:val="91"/>
        <w:rPr>
          <w:rFonts w:ascii="宋体" w:hAnsi="宋体" w:eastAsia="宋体" w:cs="宋体"/>
          <w:sz w:val="24"/>
          <w:szCs w:val="24"/>
        </w:rPr>
      </w:pPr>
      <w:bookmarkStart w:id="411" w:name="_Toc529196584"/>
      <w:bookmarkStart w:id="412" w:name="_Toc199515651"/>
      <w:bookmarkStart w:id="413" w:name="_Toc10751"/>
      <w:bookmarkStart w:id="414" w:name="_Toc19089"/>
      <w:bookmarkStart w:id="415" w:name="_Toc515205257"/>
      <w:r>
        <w:rPr>
          <w:rFonts w:hint="eastAsia" w:ascii="宋体" w:hAnsi="宋体" w:eastAsia="宋体" w:cs="宋体"/>
          <w:sz w:val="24"/>
          <w:szCs w:val="24"/>
        </w:rPr>
        <w:t>2. 评审标准</w:t>
      </w:r>
      <w:bookmarkEnd w:id="411"/>
      <w:bookmarkEnd w:id="412"/>
      <w:bookmarkEnd w:id="413"/>
      <w:bookmarkEnd w:id="414"/>
      <w:bookmarkEnd w:id="415"/>
    </w:p>
    <w:p>
      <w:pPr>
        <w:pStyle w:val="46"/>
        <w:ind w:firstLine="0" w:firstLineChars="0"/>
        <w:rPr>
          <w:rFonts w:ascii="宋体" w:hAnsi="宋体" w:cs="宋体"/>
          <w:b/>
          <w:bCs/>
          <w:szCs w:val="24"/>
        </w:rPr>
      </w:pPr>
      <w:bookmarkStart w:id="416" w:name="_Toc529196585"/>
      <w:bookmarkStart w:id="417" w:name="_Toc515205258"/>
      <w:r>
        <w:rPr>
          <w:rFonts w:hint="eastAsia" w:ascii="宋体" w:hAnsi="宋体" w:cs="宋体"/>
          <w:b/>
          <w:bCs/>
          <w:szCs w:val="24"/>
        </w:rPr>
        <w:t>2.1 初步评审标准</w:t>
      </w:r>
      <w:bookmarkEnd w:id="416"/>
      <w:bookmarkEnd w:id="417"/>
    </w:p>
    <w:p>
      <w:pPr>
        <w:pStyle w:val="46"/>
        <w:ind w:firstLine="0" w:firstLineChars="0"/>
        <w:rPr>
          <w:rFonts w:ascii="宋体" w:hAnsi="宋体" w:cs="宋体"/>
          <w:szCs w:val="24"/>
        </w:rPr>
      </w:pPr>
      <w:r>
        <w:rPr>
          <w:rFonts w:hint="eastAsia" w:ascii="宋体" w:hAnsi="宋体" w:cs="宋体"/>
          <w:szCs w:val="24"/>
        </w:rPr>
        <w:t>2.1.1 形式评审标准：见评标办法前附表。</w:t>
      </w:r>
    </w:p>
    <w:p>
      <w:pPr>
        <w:pStyle w:val="46"/>
        <w:ind w:firstLine="0" w:firstLineChars="0"/>
        <w:rPr>
          <w:rFonts w:ascii="宋体" w:hAnsi="宋体" w:cs="宋体"/>
          <w:szCs w:val="24"/>
        </w:rPr>
      </w:pPr>
      <w:r>
        <w:rPr>
          <w:rFonts w:hint="eastAsia" w:ascii="宋体" w:hAnsi="宋体" w:cs="宋体"/>
          <w:szCs w:val="24"/>
        </w:rPr>
        <w:t>2.1.2 资格评审标准：见评标办法前附表。</w:t>
      </w:r>
    </w:p>
    <w:p>
      <w:pPr>
        <w:pStyle w:val="46"/>
        <w:ind w:firstLine="0" w:firstLineChars="0"/>
        <w:rPr>
          <w:rFonts w:ascii="宋体" w:hAnsi="宋体" w:cs="宋体"/>
          <w:szCs w:val="24"/>
        </w:rPr>
      </w:pPr>
      <w:r>
        <w:rPr>
          <w:rFonts w:hint="eastAsia" w:ascii="宋体" w:hAnsi="宋体" w:cs="宋体"/>
          <w:szCs w:val="24"/>
        </w:rPr>
        <w:t>2.1.3 响应性评审标准：见评标办法前附表。</w:t>
      </w:r>
    </w:p>
    <w:p>
      <w:pPr>
        <w:pStyle w:val="46"/>
        <w:ind w:firstLine="0" w:firstLineChars="0"/>
        <w:rPr>
          <w:rFonts w:ascii="宋体" w:hAnsi="宋体" w:cs="宋体"/>
          <w:b/>
          <w:bCs/>
          <w:strike/>
          <w:szCs w:val="24"/>
        </w:rPr>
      </w:pPr>
      <w:bookmarkStart w:id="418" w:name="_Toc529196586"/>
      <w:bookmarkStart w:id="419" w:name="_Toc515205259"/>
      <w:r>
        <w:rPr>
          <w:rFonts w:hint="eastAsia" w:ascii="宋体" w:hAnsi="宋体" w:cs="宋体"/>
          <w:b/>
          <w:bCs/>
          <w:strike/>
          <w:szCs w:val="24"/>
        </w:rPr>
        <w:t>2.2 分值构成与评分标准</w:t>
      </w:r>
      <w:bookmarkEnd w:id="418"/>
      <w:bookmarkEnd w:id="419"/>
    </w:p>
    <w:p>
      <w:pPr>
        <w:pStyle w:val="46"/>
        <w:ind w:firstLine="0" w:firstLineChars="0"/>
        <w:rPr>
          <w:rFonts w:ascii="宋体" w:hAnsi="宋体" w:cs="宋体"/>
          <w:strike/>
          <w:szCs w:val="24"/>
        </w:rPr>
      </w:pPr>
      <w:r>
        <w:rPr>
          <w:rFonts w:hint="eastAsia" w:ascii="宋体" w:hAnsi="宋体" w:cs="宋体"/>
          <w:strike/>
          <w:szCs w:val="24"/>
        </w:rPr>
        <w:t>2.2.1 分值构成：</w:t>
      </w:r>
    </w:p>
    <w:p>
      <w:pPr>
        <w:pStyle w:val="46"/>
        <w:ind w:firstLine="0" w:firstLineChars="0"/>
        <w:rPr>
          <w:rFonts w:ascii="宋体" w:hAnsi="宋体" w:cs="宋体"/>
          <w:strike/>
          <w:szCs w:val="24"/>
        </w:rPr>
      </w:pPr>
      <w:r>
        <w:rPr>
          <w:rFonts w:hint="eastAsia" w:ascii="宋体" w:hAnsi="宋体" w:cs="宋体"/>
          <w:strike/>
          <w:szCs w:val="24"/>
        </w:rPr>
        <w:t>（1）资信业绩部分：见评标办法前附表；</w:t>
      </w:r>
    </w:p>
    <w:p>
      <w:pPr>
        <w:pStyle w:val="46"/>
        <w:ind w:firstLine="0" w:firstLineChars="0"/>
        <w:rPr>
          <w:rFonts w:ascii="宋体" w:hAnsi="宋体" w:cs="宋体"/>
          <w:strike/>
          <w:szCs w:val="24"/>
        </w:rPr>
      </w:pPr>
      <w:r>
        <w:rPr>
          <w:rFonts w:hint="eastAsia" w:ascii="宋体" w:hAnsi="宋体" w:cs="宋体"/>
          <w:strike/>
          <w:szCs w:val="24"/>
        </w:rPr>
        <w:t>（2）监理大纲部分：见评标办法前附表；</w:t>
      </w:r>
    </w:p>
    <w:p>
      <w:pPr>
        <w:pStyle w:val="46"/>
        <w:ind w:firstLine="0" w:firstLineChars="0"/>
        <w:rPr>
          <w:rFonts w:ascii="宋体" w:hAnsi="宋体" w:cs="宋体"/>
          <w:strike/>
          <w:szCs w:val="24"/>
        </w:rPr>
      </w:pPr>
      <w:r>
        <w:rPr>
          <w:rFonts w:hint="eastAsia" w:ascii="宋体" w:hAnsi="宋体" w:cs="宋体"/>
          <w:strike/>
          <w:szCs w:val="24"/>
        </w:rPr>
        <w:t>（3）投标报价：见评标办法前附表；</w:t>
      </w:r>
    </w:p>
    <w:p>
      <w:pPr>
        <w:pStyle w:val="46"/>
        <w:ind w:firstLine="0" w:firstLineChars="0"/>
        <w:rPr>
          <w:rFonts w:ascii="宋体" w:hAnsi="宋体" w:cs="宋体"/>
          <w:strike/>
          <w:szCs w:val="24"/>
        </w:rPr>
      </w:pPr>
      <w:r>
        <w:rPr>
          <w:rFonts w:hint="eastAsia" w:ascii="宋体" w:hAnsi="宋体" w:cs="宋体"/>
          <w:strike/>
          <w:szCs w:val="24"/>
        </w:rPr>
        <w:t>（4）其他评分因素：见评标办法前附表。</w:t>
      </w:r>
    </w:p>
    <w:p>
      <w:pPr>
        <w:pStyle w:val="46"/>
        <w:ind w:firstLine="0" w:firstLineChars="0"/>
        <w:rPr>
          <w:rFonts w:ascii="宋体" w:hAnsi="宋体" w:cs="宋体"/>
          <w:strike/>
          <w:szCs w:val="24"/>
        </w:rPr>
      </w:pPr>
      <w:r>
        <w:rPr>
          <w:rFonts w:hint="eastAsia" w:ascii="宋体" w:hAnsi="宋体" w:cs="宋体"/>
          <w:strike/>
          <w:szCs w:val="24"/>
        </w:rPr>
        <w:t>2.2.2 评标基准价计算</w:t>
      </w:r>
    </w:p>
    <w:p>
      <w:pPr>
        <w:pStyle w:val="46"/>
        <w:ind w:firstLine="0" w:firstLineChars="0"/>
        <w:rPr>
          <w:rFonts w:ascii="宋体" w:hAnsi="宋体" w:cs="宋体"/>
          <w:strike/>
          <w:szCs w:val="24"/>
        </w:rPr>
      </w:pPr>
      <w:r>
        <w:rPr>
          <w:rFonts w:hint="eastAsia" w:ascii="宋体" w:hAnsi="宋体" w:cs="宋体"/>
          <w:strike/>
          <w:szCs w:val="24"/>
        </w:rPr>
        <w:t>评标基准价计算方法：见评标办法前附表。</w:t>
      </w:r>
    </w:p>
    <w:p>
      <w:pPr>
        <w:pStyle w:val="46"/>
        <w:ind w:firstLine="0" w:firstLineChars="0"/>
        <w:rPr>
          <w:rFonts w:ascii="宋体" w:hAnsi="宋体" w:cs="宋体"/>
          <w:strike/>
          <w:szCs w:val="24"/>
        </w:rPr>
      </w:pPr>
      <w:r>
        <w:rPr>
          <w:rFonts w:hint="eastAsia" w:ascii="宋体" w:hAnsi="宋体" w:cs="宋体"/>
          <w:strike/>
          <w:szCs w:val="24"/>
        </w:rPr>
        <w:t>2.2.3 投标报价的偏差率计算</w:t>
      </w:r>
    </w:p>
    <w:p>
      <w:pPr>
        <w:pStyle w:val="46"/>
        <w:ind w:firstLine="0" w:firstLineChars="0"/>
        <w:rPr>
          <w:rFonts w:ascii="宋体" w:hAnsi="宋体" w:cs="宋体"/>
          <w:strike/>
          <w:szCs w:val="24"/>
        </w:rPr>
      </w:pPr>
      <w:r>
        <w:rPr>
          <w:rFonts w:hint="eastAsia" w:ascii="宋体" w:hAnsi="宋体" w:cs="宋体"/>
          <w:strike/>
          <w:szCs w:val="24"/>
        </w:rPr>
        <w:t>投标报价的偏差率计算公式：见评标办法前附表。</w:t>
      </w:r>
    </w:p>
    <w:p>
      <w:pPr>
        <w:pStyle w:val="46"/>
        <w:ind w:firstLine="0" w:firstLineChars="0"/>
        <w:rPr>
          <w:rFonts w:ascii="宋体" w:hAnsi="宋体" w:cs="宋体"/>
          <w:strike/>
          <w:szCs w:val="24"/>
        </w:rPr>
      </w:pPr>
      <w:r>
        <w:rPr>
          <w:rFonts w:hint="eastAsia" w:ascii="宋体" w:hAnsi="宋体" w:cs="宋体"/>
          <w:strike/>
          <w:szCs w:val="24"/>
        </w:rPr>
        <w:t>2.2.4 评分标准</w:t>
      </w:r>
    </w:p>
    <w:p>
      <w:pPr>
        <w:pStyle w:val="46"/>
        <w:ind w:firstLine="0" w:firstLineChars="0"/>
        <w:rPr>
          <w:rFonts w:ascii="宋体" w:hAnsi="宋体" w:cs="宋体"/>
          <w:strike/>
          <w:szCs w:val="24"/>
        </w:rPr>
      </w:pPr>
      <w:r>
        <w:rPr>
          <w:rFonts w:hint="eastAsia" w:ascii="宋体" w:hAnsi="宋体" w:cs="宋体"/>
          <w:strike/>
          <w:szCs w:val="24"/>
        </w:rPr>
        <w:t>（1）资信业绩评分标准：见评标办法前附表；</w:t>
      </w:r>
    </w:p>
    <w:p>
      <w:pPr>
        <w:pStyle w:val="46"/>
        <w:ind w:firstLine="0" w:firstLineChars="0"/>
        <w:rPr>
          <w:rFonts w:ascii="宋体" w:hAnsi="宋体" w:cs="宋体"/>
          <w:strike/>
          <w:szCs w:val="24"/>
        </w:rPr>
      </w:pPr>
      <w:r>
        <w:rPr>
          <w:rFonts w:hint="eastAsia" w:ascii="宋体" w:hAnsi="宋体" w:cs="宋体"/>
          <w:strike/>
          <w:szCs w:val="24"/>
        </w:rPr>
        <w:t>（2）监理大纲评分标准：见评标办法前附表；</w:t>
      </w:r>
    </w:p>
    <w:p>
      <w:pPr>
        <w:pStyle w:val="46"/>
        <w:ind w:firstLine="0" w:firstLineChars="0"/>
        <w:rPr>
          <w:rFonts w:ascii="宋体" w:hAnsi="宋体" w:cs="宋体"/>
          <w:strike/>
          <w:szCs w:val="24"/>
        </w:rPr>
      </w:pPr>
      <w:r>
        <w:rPr>
          <w:rFonts w:hint="eastAsia" w:ascii="宋体" w:hAnsi="宋体" w:cs="宋体"/>
          <w:strike/>
          <w:szCs w:val="24"/>
        </w:rPr>
        <w:t>（3）投标报价评分标准：见评标办法前附表；</w:t>
      </w:r>
    </w:p>
    <w:p>
      <w:pPr>
        <w:pStyle w:val="46"/>
        <w:ind w:firstLine="0" w:firstLineChars="0"/>
        <w:rPr>
          <w:rFonts w:ascii="宋体" w:hAnsi="宋体" w:cs="宋体"/>
          <w:strike/>
          <w:szCs w:val="24"/>
        </w:rPr>
      </w:pPr>
      <w:r>
        <w:rPr>
          <w:rFonts w:hint="eastAsia" w:ascii="宋体" w:hAnsi="宋体" w:cs="宋体"/>
          <w:strike/>
          <w:szCs w:val="24"/>
        </w:rPr>
        <w:t>（4）其他因素评分标准：见评标办法前附表。</w:t>
      </w:r>
    </w:p>
    <w:p>
      <w:pPr>
        <w:pStyle w:val="46"/>
        <w:ind w:firstLine="0" w:firstLineChars="0"/>
        <w:rPr>
          <w:rFonts w:ascii="宋体" w:hAnsi="宋体" w:cs="宋体"/>
          <w:szCs w:val="24"/>
        </w:rPr>
      </w:pPr>
    </w:p>
    <w:p>
      <w:pPr>
        <w:pStyle w:val="91"/>
        <w:rPr>
          <w:rFonts w:ascii="宋体" w:hAnsi="宋体" w:eastAsia="宋体" w:cs="宋体"/>
          <w:sz w:val="24"/>
          <w:szCs w:val="24"/>
        </w:rPr>
      </w:pPr>
      <w:bookmarkStart w:id="420" w:name="_Toc529196587"/>
      <w:bookmarkStart w:id="421" w:name="_Toc23958"/>
      <w:bookmarkStart w:id="422" w:name="_Toc11198"/>
      <w:bookmarkStart w:id="423" w:name="_Toc199515652"/>
      <w:bookmarkStart w:id="424" w:name="_Toc515205260"/>
      <w:r>
        <w:rPr>
          <w:rFonts w:hint="eastAsia" w:ascii="宋体" w:hAnsi="宋体" w:eastAsia="宋体" w:cs="宋体"/>
          <w:sz w:val="24"/>
          <w:szCs w:val="24"/>
        </w:rPr>
        <w:t>3. 评标程序</w:t>
      </w:r>
      <w:bookmarkEnd w:id="420"/>
      <w:bookmarkEnd w:id="421"/>
      <w:bookmarkEnd w:id="422"/>
      <w:bookmarkEnd w:id="423"/>
      <w:bookmarkEnd w:id="424"/>
    </w:p>
    <w:p>
      <w:pPr>
        <w:pStyle w:val="46"/>
        <w:ind w:firstLine="0" w:firstLineChars="0"/>
        <w:rPr>
          <w:rFonts w:ascii="宋体" w:hAnsi="宋体" w:cs="宋体"/>
          <w:b/>
          <w:bCs/>
          <w:szCs w:val="24"/>
        </w:rPr>
      </w:pPr>
      <w:bookmarkStart w:id="425" w:name="_Toc529196588"/>
      <w:bookmarkStart w:id="426" w:name="_Toc515205261"/>
      <w:r>
        <w:rPr>
          <w:rFonts w:hint="eastAsia" w:ascii="宋体" w:hAnsi="宋体" w:cs="宋体"/>
          <w:b/>
          <w:bCs/>
          <w:szCs w:val="24"/>
        </w:rPr>
        <w:t>3.1 初步评审</w:t>
      </w:r>
      <w:bookmarkEnd w:id="425"/>
      <w:bookmarkEnd w:id="426"/>
    </w:p>
    <w:p>
      <w:pPr>
        <w:pStyle w:val="46"/>
        <w:ind w:firstLine="0" w:firstLineChars="0"/>
        <w:rPr>
          <w:rFonts w:ascii="宋体" w:hAnsi="宋体" w:cs="宋体"/>
          <w:szCs w:val="24"/>
        </w:rPr>
      </w:pPr>
      <w:r>
        <w:rPr>
          <w:rFonts w:hint="eastAsia" w:ascii="宋体" w:hAnsi="宋体" w:cs="宋体"/>
          <w:szCs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pStyle w:val="46"/>
        <w:ind w:firstLine="0" w:firstLineChars="0"/>
        <w:rPr>
          <w:rFonts w:ascii="宋体" w:hAnsi="宋体" w:cs="宋体"/>
          <w:szCs w:val="24"/>
        </w:rPr>
      </w:pPr>
      <w:r>
        <w:rPr>
          <w:rFonts w:hint="eastAsia" w:ascii="宋体" w:hAnsi="宋体" w:cs="宋体"/>
          <w:szCs w:val="24"/>
        </w:rPr>
        <w:t>3.1.2 投标人有以下情形之一的，评标委员会应当否决其投标：</w:t>
      </w:r>
    </w:p>
    <w:p>
      <w:pPr>
        <w:pStyle w:val="46"/>
        <w:ind w:firstLine="0" w:firstLineChars="0"/>
        <w:rPr>
          <w:rFonts w:ascii="宋体" w:hAnsi="宋体" w:cs="宋体"/>
          <w:szCs w:val="24"/>
        </w:rPr>
      </w:pPr>
      <w:r>
        <w:rPr>
          <w:rFonts w:hint="eastAsia" w:ascii="宋体" w:hAnsi="宋体" w:cs="宋体"/>
          <w:szCs w:val="24"/>
        </w:rPr>
        <w:t>（1）投标文件没有对招标文件的实质性要求和条件作出响应，或者对招标文件的偏差超出招标文件规定的偏差范围或最高项数；</w:t>
      </w:r>
    </w:p>
    <w:p>
      <w:pPr>
        <w:pStyle w:val="46"/>
        <w:ind w:firstLine="0" w:firstLineChars="0"/>
        <w:rPr>
          <w:rFonts w:ascii="宋体" w:hAnsi="宋体" w:cs="宋体"/>
          <w:szCs w:val="24"/>
        </w:rPr>
      </w:pPr>
      <w:r>
        <w:rPr>
          <w:rFonts w:hint="eastAsia" w:ascii="宋体" w:hAnsi="宋体" w:cs="宋体"/>
          <w:szCs w:val="24"/>
        </w:rPr>
        <w:t>（2）有串通投标、弄虚作假、行贿等违法行为。</w:t>
      </w:r>
    </w:p>
    <w:p>
      <w:pPr>
        <w:pStyle w:val="46"/>
        <w:ind w:firstLine="0" w:firstLineChars="0"/>
        <w:rPr>
          <w:rFonts w:ascii="宋体" w:hAnsi="宋体" w:cs="宋体"/>
          <w:szCs w:val="24"/>
        </w:rPr>
      </w:pPr>
      <w:r>
        <w:rPr>
          <w:rFonts w:hint="eastAsia" w:ascii="宋体" w:hAnsi="宋体" w:cs="宋体"/>
          <w:szCs w:val="24"/>
        </w:rPr>
        <w:t>3.1.3 投标报价有算术错误及其他错误的，评标委员会按以下原则要求投标人对投标报价进</w:t>
      </w:r>
      <w:bookmarkStart w:id="427" w:name="_Toc152045603"/>
      <w:bookmarkStart w:id="428" w:name="_Toc361508651"/>
      <w:bookmarkStart w:id="429" w:name="_Toc384308277"/>
      <w:bookmarkStart w:id="430" w:name="_Toc247527628"/>
      <w:bookmarkStart w:id="431" w:name="_Toc300835013"/>
      <w:bookmarkStart w:id="432" w:name="_Toc352691538"/>
      <w:bookmarkStart w:id="433" w:name="_Toc152042380"/>
      <w:bookmarkStart w:id="434" w:name="_Toc2907"/>
      <w:bookmarkStart w:id="435" w:name="_Toc369531582"/>
      <w:bookmarkStart w:id="436" w:name="_Toc144974570"/>
      <w:bookmarkStart w:id="437" w:name="_Toc247514027"/>
      <w:r>
        <w:rPr>
          <w:rFonts w:hint="eastAsia" w:ascii="宋体" w:hAnsi="宋体" w:cs="宋体"/>
          <w:szCs w:val="24"/>
        </w:rPr>
        <w:t>行修正，并要求投标人书面澄清确认。</w:t>
      </w:r>
      <w:bookmarkEnd w:id="427"/>
      <w:bookmarkEnd w:id="428"/>
      <w:bookmarkEnd w:id="429"/>
      <w:bookmarkEnd w:id="430"/>
      <w:bookmarkEnd w:id="431"/>
      <w:bookmarkEnd w:id="432"/>
      <w:bookmarkEnd w:id="433"/>
      <w:bookmarkEnd w:id="434"/>
      <w:bookmarkEnd w:id="435"/>
      <w:bookmarkEnd w:id="436"/>
      <w:bookmarkEnd w:id="437"/>
      <w:r>
        <w:rPr>
          <w:rFonts w:hint="eastAsia" w:ascii="宋体" w:hAnsi="宋体" w:cs="宋体"/>
          <w:szCs w:val="24"/>
        </w:rPr>
        <w:t>投标人拒不澄清确认的，评标委员会应当否决其投标：</w:t>
      </w:r>
    </w:p>
    <w:p>
      <w:pPr>
        <w:pStyle w:val="46"/>
        <w:ind w:firstLine="0" w:firstLineChars="0"/>
        <w:rPr>
          <w:rFonts w:ascii="宋体" w:hAnsi="宋体" w:cs="宋体"/>
          <w:szCs w:val="24"/>
        </w:rPr>
      </w:pPr>
      <w:r>
        <w:rPr>
          <w:rFonts w:hint="eastAsia" w:ascii="宋体" w:hAnsi="宋体" w:cs="宋体"/>
          <w:szCs w:val="24"/>
        </w:rPr>
        <w:t>（1）投标文件中的大写金额与小写金额不一致的，以大写金额为准；</w:t>
      </w:r>
    </w:p>
    <w:p>
      <w:pPr>
        <w:pStyle w:val="46"/>
        <w:ind w:firstLine="0" w:firstLineChars="0"/>
        <w:rPr>
          <w:rFonts w:ascii="宋体" w:hAnsi="宋体" w:cs="宋体"/>
          <w:szCs w:val="24"/>
        </w:rPr>
      </w:pPr>
      <w:r>
        <w:rPr>
          <w:rFonts w:hint="eastAsia" w:ascii="宋体" w:hAnsi="宋体" w:cs="宋体"/>
          <w:szCs w:val="24"/>
        </w:rPr>
        <w:t>（2）总价金额与单价金额不一致的，以单价金额为准，但单价金额小数点有明显错误的除外。</w:t>
      </w:r>
    </w:p>
    <w:p>
      <w:pPr>
        <w:pStyle w:val="46"/>
        <w:ind w:firstLine="0" w:firstLineChars="0"/>
        <w:rPr>
          <w:rFonts w:ascii="宋体" w:hAnsi="宋体" w:cs="宋体"/>
          <w:b/>
          <w:bCs/>
          <w:strike/>
          <w:szCs w:val="24"/>
        </w:rPr>
      </w:pPr>
      <w:bookmarkStart w:id="438" w:name="_Toc529196589"/>
      <w:bookmarkStart w:id="439" w:name="_Toc515205262"/>
      <w:r>
        <w:rPr>
          <w:rFonts w:hint="eastAsia" w:ascii="宋体" w:hAnsi="宋体" w:cs="宋体"/>
          <w:b/>
          <w:bCs/>
          <w:strike/>
          <w:szCs w:val="24"/>
        </w:rPr>
        <w:t>3.2 详细评审</w:t>
      </w:r>
      <w:bookmarkEnd w:id="438"/>
      <w:bookmarkEnd w:id="439"/>
    </w:p>
    <w:p>
      <w:pPr>
        <w:pStyle w:val="46"/>
        <w:ind w:firstLine="0" w:firstLineChars="0"/>
        <w:rPr>
          <w:rFonts w:ascii="宋体" w:hAnsi="宋体" w:cs="宋体"/>
          <w:strike/>
          <w:szCs w:val="24"/>
        </w:rPr>
      </w:pPr>
      <w:r>
        <w:rPr>
          <w:rFonts w:hint="eastAsia" w:ascii="宋体" w:hAnsi="宋体" w:cs="宋体"/>
          <w:strike/>
          <w:szCs w:val="24"/>
        </w:rPr>
        <w:t>3.2.1 评标委员会按本章第2.2款规定的量化因素和分值进行打分，并计算出综合评估得分。</w:t>
      </w:r>
    </w:p>
    <w:p>
      <w:pPr>
        <w:pStyle w:val="46"/>
        <w:ind w:firstLine="0" w:firstLineChars="0"/>
        <w:rPr>
          <w:rFonts w:ascii="宋体" w:hAnsi="宋体" w:cs="宋体"/>
          <w:strike/>
          <w:szCs w:val="24"/>
        </w:rPr>
      </w:pPr>
      <w:r>
        <w:rPr>
          <w:rFonts w:hint="eastAsia" w:ascii="宋体" w:hAnsi="宋体" w:cs="宋体"/>
          <w:strike/>
          <w:szCs w:val="24"/>
        </w:rPr>
        <w:t>（1）按本章第 2.2.4（1）目规定的评审因素和分值对资信业绩部分计算出得分 A；</w:t>
      </w:r>
    </w:p>
    <w:p>
      <w:pPr>
        <w:pStyle w:val="46"/>
        <w:ind w:firstLine="0" w:firstLineChars="0"/>
        <w:rPr>
          <w:rFonts w:ascii="宋体" w:hAnsi="宋体" w:cs="宋体"/>
          <w:strike/>
          <w:szCs w:val="24"/>
        </w:rPr>
      </w:pPr>
      <w:r>
        <w:rPr>
          <w:rFonts w:hint="eastAsia" w:ascii="宋体" w:hAnsi="宋体" w:cs="宋体"/>
          <w:strike/>
          <w:szCs w:val="24"/>
        </w:rPr>
        <w:t>（2）按本章第 2.2.4（2）目规定的评审因素和分值对监理大纲部分计算出得分 B；</w:t>
      </w:r>
    </w:p>
    <w:p>
      <w:pPr>
        <w:pStyle w:val="46"/>
        <w:ind w:firstLine="0" w:firstLineChars="0"/>
        <w:rPr>
          <w:rFonts w:ascii="宋体" w:hAnsi="宋体" w:cs="宋体"/>
          <w:strike/>
          <w:szCs w:val="24"/>
        </w:rPr>
      </w:pPr>
      <w:r>
        <w:rPr>
          <w:rFonts w:hint="eastAsia" w:ascii="宋体" w:hAnsi="宋体" w:cs="宋体"/>
          <w:strike/>
          <w:szCs w:val="24"/>
        </w:rPr>
        <w:t>（3）按本章第 2.2.4（3）目规定的评审因素和分值对投标报价计算出得分 C；</w:t>
      </w:r>
    </w:p>
    <w:p>
      <w:pPr>
        <w:pStyle w:val="46"/>
        <w:ind w:firstLine="0" w:firstLineChars="0"/>
        <w:rPr>
          <w:rFonts w:ascii="宋体" w:hAnsi="宋体" w:cs="宋体"/>
          <w:strike/>
          <w:szCs w:val="24"/>
        </w:rPr>
      </w:pPr>
      <w:r>
        <w:rPr>
          <w:rFonts w:hint="eastAsia" w:ascii="宋体" w:hAnsi="宋体" w:cs="宋体"/>
          <w:strike/>
          <w:szCs w:val="24"/>
        </w:rPr>
        <w:t>（4）按本章第 2.2.4（4）目规定的评审因素和分值对其他部分计算出得分 D。</w:t>
      </w:r>
    </w:p>
    <w:p>
      <w:pPr>
        <w:pStyle w:val="46"/>
        <w:ind w:firstLine="0" w:firstLineChars="0"/>
        <w:rPr>
          <w:rFonts w:ascii="宋体" w:hAnsi="宋体" w:cs="宋体"/>
          <w:strike/>
          <w:szCs w:val="24"/>
        </w:rPr>
      </w:pPr>
      <w:r>
        <w:rPr>
          <w:rFonts w:hint="eastAsia" w:ascii="宋体" w:hAnsi="宋体" w:cs="宋体"/>
          <w:strike/>
          <w:szCs w:val="24"/>
        </w:rPr>
        <w:t>3.2.2 评分分值计算保留小数点后两位，小数点后第三位“四舍五入”。</w:t>
      </w:r>
    </w:p>
    <w:p>
      <w:pPr>
        <w:pStyle w:val="46"/>
        <w:ind w:firstLine="0" w:firstLineChars="0"/>
        <w:rPr>
          <w:rFonts w:ascii="宋体" w:hAnsi="宋体" w:cs="宋体"/>
          <w:strike/>
          <w:szCs w:val="24"/>
        </w:rPr>
      </w:pPr>
      <w:r>
        <w:rPr>
          <w:rFonts w:hint="eastAsia" w:ascii="宋体" w:hAnsi="宋体" w:cs="宋体"/>
          <w:strike/>
          <w:szCs w:val="24"/>
        </w:rPr>
        <w:t>3.2.3 投标人得分=A+B+C+D</w:t>
      </w:r>
    </w:p>
    <w:p>
      <w:pPr>
        <w:pStyle w:val="46"/>
        <w:ind w:firstLine="0" w:firstLineChars="0"/>
        <w:rPr>
          <w:rFonts w:ascii="宋体" w:hAnsi="宋体" w:cs="宋体"/>
          <w:strike/>
          <w:szCs w:val="24"/>
        </w:rPr>
      </w:pPr>
      <w:r>
        <w:rPr>
          <w:rFonts w:hint="eastAsia" w:ascii="宋体" w:hAnsi="宋体" w:cs="宋体"/>
          <w:strike/>
          <w:szCs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6"/>
        <w:ind w:firstLine="0" w:firstLineChars="0"/>
        <w:rPr>
          <w:rFonts w:ascii="宋体" w:hAnsi="宋体" w:cs="宋体"/>
          <w:b/>
          <w:bCs/>
          <w:szCs w:val="24"/>
        </w:rPr>
      </w:pPr>
      <w:bookmarkStart w:id="440" w:name="_Toc529196590"/>
      <w:bookmarkStart w:id="441" w:name="_Toc515205263"/>
      <w:r>
        <w:rPr>
          <w:rFonts w:hint="eastAsia" w:ascii="宋体" w:hAnsi="宋体" w:cs="宋体"/>
          <w:b/>
          <w:bCs/>
          <w:szCs w:val="24"/>
        </w:rPr>
        <w:t>3.3 投标文件的澄清</w:t>
      </w:r>
      <w:bookmarkEnd w:id="440"/>
      <w:bookmarkEnd w:id="441"/>
    </w:p>
    <w:p>
      <w:pPr>
        <w:pStyle w:val="46"/>
        <w:ind w:firstLine="0" w:firstLineChars="0"/>
        <w:rPr>
          <w:rFonts w:ascii="宋体" w:hAnsi="宋体" w:cs="宋体"/>
          <w:szCs w:val="24"/>
        </w:rPr>
      </w:pPr>
      <w:r>
        <w:rPr>
          <w:rFonts w:hint="eastAsia" w:ascii="宋体" w:hAnsi="宋体" w:cs="宋体"/>
          <w:szCs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46"/>
        <w:ind w:firstLine="0" w:firstLineChars="0"/>
        <w:rPr>
          <w:rFonts w:ascii="宋体" w:hAnsi="宋体" w:cs="宋体"/>
          <w:szCs w:val="24"/>
        </w:rPr>
      </w:pPr>
      <w:r>
        <w:rPr>
          <w:rFonts w:hint="eastAsia" w:ascii="宋体" w:hAnsi="宋体" w:cs="宋体"/>
          <w:szCs w:val="24"/>
        </w:rPr>
        <w:t>3.3.2 澄清、说明或补正不得超出投标文件的范围且不得改变投标文件的实质性内容，并构成投标文件的组成部分。</w:t>
      </w:r>
    </w:p>
    <w:p>
      <w:pPr>
        <w:pStyle w:val="46"/>
        <w:ind w:firstLine="0" w:firstLineChars="0"/>
        <w:rPr>
          <w:rFonts w:ascii="宋体" w:hAnsi="宋体" w:cs="宋体"/>
          <w:szCs w:val="24"/>
        </w:rPr>
      </w:pPr>
      <w:r>
        <w:rPr>
          <w:rFonts w:hint="eastAsia" w:ascii="宋体" w:hAnsi="宋体" w:cs="宋体"/>
          <w:szCs w:val="24"/>
        </w:rPr>
        <w:t>3.3.3 评标委员会对投标人提交的澄清、说明或补正有疑问的，可以要求投标人进一步澄清、说明或补正，直至满足评标委员会的要求。</w:t>
      </w:r>
    </w:p>
    <w:p>
      <w:pPr>
        <w:pStyle w:val="46"/>
        <w:ind w:firstLine="0" w:firstLineChars="0"/>
        <w:rPr>
          <w:rFonts w:ascii="宋体" w:hAnsi="宋体" w:cs="宋体"/>
          <w:b/>
          <w:bCs/>
          <w:szCs w:val="24"/>
        </w:rPr>
      </w:pPr>
      <w:bookmarkStart w:id="442" w:name="_Toc515205264"/>
      <w:bookmarkStart w:id="443" w:name="_Toc529196591"/>
      <w:r>
        <w:rPr>
          <w:rFonts w:hint="eastAsia" w:ascii="宋体" w:hAnsi="宋体" w:cs="宋体"/>
          <w:b/>
          <w:bCs/>
          <w:szCs w:val="24"/>
        </w:rPr>
        <w:t>3.4 评标结果</w:t>
      </w:r>
      <w:bookmarkEnd w:id="442"/>
      <w:bookmarkEnd w:id="443"/>
      <w:r>
        <w:rPr>
          <w:rFonts w:hint="eastAsia" w:ascii="宋体" w:hAnsi="宋体" w:cs="宋体"/>
          <w:b/>
          <w:bCs/>
          <w:szCs w:val="24"/>
          <w:u w:val="single"/>
        </w:rPr>
        <w:t>（见评标和定标办法前附表）</w:t>
      </w:r>
    </w:p>
    <w:p>
      <w:pPr>
        <w:pStyle w:val="46"/>
        <w:ind w:firstLine="0" w:firstLineChars="0"/>
        <w:rPr>
          <w:rFonts w:ascii="宋体" w:hAnsi="宋体" w:cs="宋体"/>
          <w:strike/>
          <w:szCs w:val="24"/>
        </w:rPr>
      </w:pPr>
      <w:r>
        <w:rPr>
          <w:rFonts w:hint="eastAsia" w:ascii="宋体" w:hAnsi="宋体" w:cs="宋体"/>
          <w:strike/>
          <w:szCs w:val="24"/>
        </w:rPr>
        <w:t>3.4.1 除第二章“投标人须知”前附表授权直接确定中标人外，评标委员会按照得分由高到低的顺序推荐中标候选人，并标明排序。</w:t>
      </w:r>
    </w:p>
    <w:p>
      <w:pPr>
        <w:pStyle w:val="46"/>
        <w:ind w:firstLine="0" w:firstLineChars="0"/>
        <w:rPr>
          <w:rFonts w:ascii="宋体" w:hAnsi="宋体" w:cs="宋体"/>
          <w:strike/>
          <w:szCs w:val="24"/>
        </w:rPr>
      </w:pPr>
      <w:r>
        <w:rPr>
          <w:rFonts w:hint="eastAsia" w:ascii="宋体" w:hAnsi="宋体" w:cs="宋体"/>
          <w:strike/>
          <w:szCs w:val="24"/>
        </w:rPr>
        <w:t>3.4.2 评标委员会完成评标后，应当向招标人提交书面评标报告和中标候选人名单。</w:t>
      </w:r>
    </w:p>
    <w:p>
      <w:pPr>
        <w:pStyle w:val="91"/>
        <w:rPr>
          <w:rFonts w:ascii="宋体" w:hAnsi="宋体" w:eastAsia="宋体" w:cs="宋体"/>
          <w:sz w:val="24"/>
          <w:szCs w:val="24"/>
          <w:u w:val="single"/>
          <w:lang w:eastAsia="zh-CN"/>
        </w:rPr>
      </w:pPr>
      <w:bookmarkStart w:id="444" w:name="_Toc13331"/>
      <w:bookmarkStart w:id="445" w:name="_Toc29869"/>
      <w:bookmarkStart w:id="446" w:name="_Toc199515653"/>
      <w:r>
        <w:rPr>
          <w:rFonts w:hint="eastAsia" w:ascii="宋体" w:hAnsi="宋体" w:eastAsia="宋体" w:cs="宋体"/>
          <w:sz w:val="24"/>
          <w:szCs w:val="24"/>
          <w:u w:val="single"/>
        </w:rPr>
        <w:t>4 定标办法</w:t>
      </w:r>
      <w:bookmarkEnd w:id="444"/>
      <w:bookmarkEnd w:id="445"/>
      <w:bookmarkEnd w:id="446"/>
    </w:p>
    <w:p>
      <w:pPr>
        <w:spacing w:after="0" w:line="360" w:lineRule="auto"/>
        <w:rPr>
          <w:rFonts w:ascii="宋体" w:hAnsi="宋体" w:eastAsia="宋体" w:cs="宋体"/>
          <w:sz w:val="24"/>
          <w:u w:val="single"/>
        </w:rPr>
      </w:pPr>
      <w:r>
        <w:rPr>
          <w:rFonts w:hint="eastAsia" w:ascii="宋体" w:hAnsi="宋体" w:eastAsia="宋体" w:cs="宋体"/>
          <w:b/>
          <w:bCs/>
          <w:sz w:val="24"/>
          <w:u w:val="single"/>
        </w:rPr>
        <w:t>（见评标和定标办法前附表）</w:t>
      </w:r>
    </w:p>
    <w:p>
      <w:pPr>
        <w:pStyle w:val="46"/>
        <w:ind w:firstLine="0" w:firstLineChars="0"/>
        <w:rPr>
          <w:rFonts w:ascii="宋体" w:hAnsi="宋体" w:cs="宋体"/>
          <w:szCs w:val="24"/>
        </w:rPr>
      </w:pPr>
      <w:r>
        <w:rPr>
          <w:rFonts w:hint="eastAsia" w:ascii="宋体" w:hAnsi="宋体" w:cs="宋体"/>
          <w:szCs w:val="24"/>
        </w:rPr>
        <w:br w:type="page"/>
      </w:r>
    </w:p>
    <w:p>
      <w:pPr>
        <w:pStyle w:val="93"/>
        <w:jc w:val="center"/>
        <w:rPr>
          <w:rFonts w:ascii="宋体" w:hAnsi="宋体" w:cs="宋体"/>
          <w:sz w:val="32"/>
          <w:szCs w:val="32"/>
          <w:lang w:eastAsia="zh-CN"/>
          <w14:ligatures w14:val="standardContextual"/>
        </w:rPr>
      </w:pPr>
      <w:bookmarkStart w:id="447" w:name="_Toc32640"/>
      <w:r>
        <w:rPr>
          <w:rFonts w:hint="eastAsia" w:ascii="宋体" w:hAnsi="宋体" w:cs="宋体"/>
          <w:sz w:val="32"/>
          <w:szCs w:val="32"/>
          <w:lang w:eastAsia="zh-CN"/>
          <w14:ligatures w14:val="standardContextual"/>
        </w:rPr>
        <w:t>第四章 合同条款及格式</w:t>
      </w:r>
      <w:bookmarkEnd w:id="447"/>
    </w:p>
    <w:p>
      <w:pPr>
        <w:pStyle w:val="46"/>
        <w:ind w:firstLine="0" w:firstLineChars="0"/>
        <w:jc w:val="center"/>
        <w:rPr>
          <w:rFonts w:ascii="宋体" w:hAnsi="宋体" w:cs="宋体"/>
          <w:szCs w:val="24"/>
        </w:rPr>
      </w:pPr>
      <w:r>
        <w:rPr>
          <w:rFonts w:hint="eastAsia" w:ascii="宋体" w:hAnsi="宋体" w:cs="宋体"/>
          <w:szCs w:val="24"/>
        </w:rPr>
        <w:t>（另附）</w:t>
      </w:r>
    </w:p>
    <w:p>
      <w:pPr>
        <w:pStyle w:val="46"/>
        <w:ind w:firstLine="0" w:firstLineChars="0"/>
        <w:rPr>
          <w:rFonts w:ascii="宋体" w:hAnsi="宋体" w:cs="宋体"/>
          <w:szCs w:val="24"/>
        </w:rPr>
      </w:pPr>
    </w:p>
    <w:p>
      <w:pPr>
        <w:pStyle w:val="46"/>
        <w:ind w:firstLine="0" w:firstLineChars="0"/>
        <w:rPr>
          <w:rFonts w:ascii="宋体" w:hAnsi="宋体" w:cs="宋体"/>
          <w:szCs w:val="24"/>
        </w:rPr>
        <w:sectPr>
          <w:pgSz w:w="11907" w:h="16839"/>
          <w:pgMar w:top="1440" w:right="1800" w:bottom="1440" w:left="1800" w:header="0" w:footer="748" w:gutter="0"/>
          <w:cols w:space="720" w:num="1"/>
          <w:rtlGutter w:val="1"/>
          <w:docGrid w:type="linesAndChars" w:linePitch="1" w:charSpace="0"/>
        </w:sectPr>
      </w:pPr>
    </w:p>
    <w:p>
      <w:pPr>
        <w:pStyle w:val="95"/>
        <w:jc w:val="center"/>
        <w:rPr>
          <w:rFonts w:ascii="宋体" w:hAnsi="宋体" w:eastAsia="宋体" w:cs="宋体"/>
          <w:sz w:val="44"/>
          <w:szCs w:val="44"/>
        </w:rPr>
      </w:pPr>
      <w:bookmarkStart w:id="448" w:name="_Toc32179"/>
      <w:bookmarkStart w:id="449" w:name="_Toc176879859"/>
      <w:bookmarkStart w:id="450" w:name="_Toc246996338"/>
      <w:bookmarkStart w:id="451" w:name="_Toc246997081"/>
      <w:bookmarkStart w:id="452" w:name="_Toc247085853"/>
      <w:bookmarkStart w:id="453" w:name="_Toc179632787"/>
      <w:bookmarkStart w:id="454" w:name="_Toc247514197"/>
      <w:bookmarkStart w:id="455" w:name="_Toc247527798"/>
      <w:bookmarkStart w:id="456" w:name="_Toc300835199"/>
      <w:bookmarkStart w:id="457" w:name="_Toc152042549"/>
      <w:bookmarkStart w:id="458" w:name="_Toc152045610"/>
      <w:bookmarkStart w:id="459" w:name="_Toc144974829"/>
      <w:bookmarkStart w:id="460" w:name="_Toc144974578"/>
      <w:bookmarkStart w:id="461" w:name="_Toc152042388"/>
      <w:bookmarkStart w:id="462" w:name="_Toc184635122"/>
      <w:r>
        <w:rPr>
          <w:rFonts w:hint="eastAsia" w:ascii="宋体" w:hAnsi="宋体" w:eastAsia="宋体" w:cs="宋体"/>
          <w:sz w:val="44"/>
          <w:szCs w:val="44"/>
        </w:rPr>
        <w:t>第二卷</w:t>
      </w:r>
      <w:bookmarkEnd w:id="448"/>
      <w:bookmarkEnd w:id="449"/>
    </w:p>
    <w:p>
      <w:pPr>
        <w:widowControl/>
        <w:spacing w:after="0" w:line="360" w:lineRule="auto"/>
        <w:rPr>
          <w:rFonts w:ascii="宋体" w:hAnsi="宋体" w:eastAsia="宋体" w:cs="宋体"/>
          <w:sz w:val="24"/>
        </w:rPr>
      </w:pPr>
      <w:r>
        <w:rPr>
          <w:rFonts w:hint="eastAsia" w:ascii="宋体" w:hAnsi="宋体" w:eastAsia="宋体" w:cs="宋体"/>
          <w:sz w:val="24"/>
        </w:rPr>
        <w:br w:type="page"/>
      </w:r>
    </w:p>
    <w:p>
      <w:pPr>
        <w:pStyle w:val="93"/>
        <w:jc w:val="center"/>
        <w:rPr>
          <w:rFonts w:ascii="宋体" w:hAnsi="宋体" w:cs="宋体"/>
          <w:sz w:val="32"/>
          <w:szCs w:val="32"/>
          <w:lang w:eastAsia="zh-CN"/>
          <w14:ligatures w14:val="standardContextual"/>
        </w:rPr>
      </w:pPr>
      <w:bookmarkStart w:id="463" w:name="_Toc14921"/>
      <w:r>
        <w:rPr>
          <w:rFonts w:hint="eastAsia" w:ascii="宋体" w:hAnsi="宋体" w:cs="宋体"/>
          <w:sz w:val="32"/>
          <w:szCs w:val="32"/>
          <w:lang w:eastAsia="zh-CN"/>
          <w14:ligatures w14:val="standardContextual"/>
        </w:rPr>
        <w:t>第五章 委托人要求</w:t>
      </w:r>
      <w:bookmarkEnd w:id="450"/>
      <w:bookmarkEnd w:id="451"/>
      <w:bookmarkEnd w:id="452"/>
      <w:bookmarkEnd w:id="453"/>
      <w:bookmarkEnd w:id="463"/>
      <w:bookmarkStart w:id="464" w:name="_Toc497745189"/>
      <w:bookmarkStart w:id="465" w:name="_Toc386995907"/>
      <w:bookmarkStart w:id="466" w:name="_Toc525828225"/>
      <w:bookmarkStart w:id="467" w:name="_Toc529196595"/>
      <w:bookmarkStart w:id="468" w:name="_Toc530470634"/>
      <w:bookmarkStart w:id="469" w:name="_Toc525827491"/>
      <w:bookmarkStart w:id="470" w:name="_Toc535938725"/>
    </w:p>
    <w:p>
      <w:pPr>
        <w:pStyle w:val="46"/>
        <w:ind w:firstLine="0" w:firstLineChars="0"/>
        <w:rPr>
          <w:rFonts w:ascii="宋体" w:hAnsi="宋体" w:cs="宋体"/>
          <w:szCs w:val="24"/>
        </w:rPr>
      </w:pPr>
    </w:p>
    <w:bookmarkEnd w:id="464"/>
    <w:bookmarkEnd w:id="465"/>
    <w:p>
      <w:pPr>
        <w:spacing w:after="0" w:line="360" w:lineRule="auto"/>
        <w:rPr>
          <w:rFonts w:hint="eastAsia" w:ascii="宋体" w:hAnsi="宋体" w:eastAsia="宋体" w:cs="宋体"/>
          <w:sz w:val="24"/>
          <w:lang w:eastAsia="zh-CN" w:bidi="ar"/>
        </w:rPr>
      </w:pPr>
      <w:bookmarkStart w:id="471" w:name="_Toc29812"/>
      <w:bookmarkEnd w:id="471"/>
      <w:bookmarkStart w:id="472" w:name="_Toc176879984"/>
      <w:bookmarkStart w:id="473" w:name="_Toc27333"/>
      <w:bookmarkStart w:id="474" w:name="_Toc20384740"/>
      <w:bookmarkStart w:id="475" w:name="_Toc1550"/>
      <w:bookmarkStart w:id="476" w:name="_Toc20384745"/>
      <w:r>
        <w:rPr>
          <w:rFonts w:hint="eastAsia" w:ascii="宋体" w:hAnsi="宋体" w:eastAsia="宋体" w:cs="宋体"/>
          <w:sz w:val="24"/>
          <w:lang w:eastAsia="zh-CN" w:bidi="ar"/>
        </w:rPr>
        <w:t>番禺区里仁洞村城市更新项目自编R9地块复建房建设监理服务</w:t>
      </w:r>
    </w:p>
    <w:p>
      <w:pPr>
        <w:spacing w:after="0" w:line="360" w:lineRule="auto"/>
        <w:rPr>
          <w:rFonts w:ascii="宋体" w:hAnsi="宋体" w:eastAsia="宋体" w:cs="宋体"/>
          <w:sz w:val="24"/>
          <w:lang w:bidi="ar"/>
        </w:rPr>
      </w:pPr>
      <w:r>
        <w:rPr>
          <w:rFonts w:hint="eastAsia" w:ascii="宋体" w:hAnsi="宋体" w:eastAsia="宋体" w:cs="宋体"/>
          <w:sz w:val="24"/>
          <w:lang w:bidi="ar"/>
        </w:rPr>
        <w:t>监理管理要求</w:t>
      </w:r>
    </w:p>
    <w:p>
      <w:pPr>
        <w:pStyle w:val="91"/>
        <w:rPr>
          <w:rFonts w:ascii="宋体" w:hAnsi="宋体" w:eastAsia="宋体" w:cs="宋体"/>
          <w:sz w:val="24"/>
          <w:szCs w:val="24"/>
        </w:rPr>
      </w:pPr>
      <w:bookmarkStart w:id="477" w:name="_Toc25962"/>
      <w:bookmarkStart w:id="478" w:name="_Toc25058"/>
      <w:r>
        <w:rPr>
          <w:rFonts w:hint="eastAsia" w:ascii="宋体" w:hAnsi="宋体" w:eastAsia="宋体" w:cs="宋体"/>
          <w:sz w:val="24"/>
          <w:szCs w:val="24"/>
        </w:rPr>
        <w:t>一、工程概况</w:t>
      </w:r>
      <w:bookmarkEnd w:id="472"/>
      <w:bookmarkEnd w:id="473"/>
      <w:bookmarkEnd w:id="474"/>
      <w:bookmarkEnd w:id="477"/>
      <w:bookmarkEnd w:id="478"/>
    </w:p>
    <w:p>
      <w:pPr>
        <w:widowControl/>
        <w:tabs>
          <w:tab w:val="left" w:pos="426"/>
        </w:tabs>
        <w:spacing w:after="0" w:line="360" w:lineRule="auto"/>
        <w:rPr>
          <w:rFonts w:hint="eastAsia" w:ascii="宋体" w:hAnsi="宋体" w:eastAsia="宋体" w:cs="宋体"/>
          <w:sz w:val="24"/>
          <w:lang w:eastAsia="zh-CN"/>
        </w:rPr>
      </w:pPr>
      <w:bookmarkStart w:id="479" w:name="_Toc20384741"/>
      <w:r>
        <w:rPr>
          <w:rFonts w:hint="eastAsia" w:ascii="宋体" w:hAnsi="宋体" w:eastAsia="宋体" w:cs="宋体"/>
          <w:b/>
          <w:bCs/>
          <w:sz w:val="24"/>
        </w:rPr>
        <w:t>1.招标项目名称</w:t>
      </w:r>
      <w:r>
        <w:rPr>
          <w:rFonts w:hint="eastAsia" w:ascii="宋体" w:hAnsi="宋体" w:eastAsia="宋体" w:cs="宋体"/>
          <w:sz w:val="24"/>
        </w:rPr>
        <w:t>：</w:t>
      </w:r>
      <w:r>
        <w:rPr>
          <w:rFonts w:hint="eastAsia" w:ascii="宋体" w:hAnsi="宋体" w:eastAsia="宋体" w:cs="宋体"/>
          <w:sz w:val="24"/>
          <w:lang w:eastAsia="zh-CN"/>
        </w:rPr>
        <w:t>番禺区里仁洞村城市更新项目自编R9地块复建房建设监理服务</w:t>
      </w:r>
    </w:p>
    <w:p>
      <w:pPr>
        <w:widowControl/>
        <w:tabs>
          <w:tab w:val="left" w:pos="426"/>
        </w:tabs>
        <w:spacing w:after="0" w:line="360" w:lineRule="auto"/>
        <w:rPr>
          <w:rFonts w:ascii="宋体" w:hAnsi="宋体" w:eastAsia="宋体" w:cs="宋体"/>
          <w:b/>
          <w:bCs/>
          <w:sz w:val="24"/>
        </w:rPr>
      </w:pPr>
      <w:r>
        <w:rPr>
          <w:rFonts w:hint="eastAsia" w:ascii="宋体" w:hAnsi="宋体" w:eastAsia="宋体" w:cs="宋体"/>
          <w:b/>
          <w:bCs/>
          <w:sz w:val="24"/>
        </w:rPr>
        <w:t>2.工程建设规模：</w:t>
      </w:r>
    </w:p>
    <w:p>
      <w:pPr>
        <w:spacing w:after="0" w:line="360" w:lineRule="auto"/>
        <w:rPr>
          <w:rFonts w:ascii="宋体" w:hAnsi="宋体" w:eastAsia="宋体" w:cs="宋体"/>
          <w:b/>
          <w:sz w:val="24"/>
          <w:u w:val="single"/>
        </w:rPr>
      </w:pPr>
      <w:r>
        <w:rPr>
          <w:rFonts w:hint="eastAsia" w:ascii="宋体" w:hAnsi="宋体" w:eastAsia="宋体" w:cs="宋体"/>
          <w:sz w:val="24"/>
          <w:u w:val="single"/>
        </w:rPr>
        <w:t>番禺区里仁洞村城市更新项目自编R9地块复建房建设工程，占地面积约22942㎡，总建筑面积为113247㎡，包含住宅楼栋3栋、地下室(含人防)、市政道路、公建配套等。</w:t>
      </w:r>
    </w:p>
    <w:p>
      <w:pPr>
        <w:widowControl/>
        <w:tabs>
          <w:tab w:val="left" w:pos="426"/>
        </w:tabs>
        <w:spacing w:after="0" w:line="360" w:lineRule="auto"/>
        <w:rPr>
          <w:rFonts w:ascii="宋体" w:hAnsi="宋体" w:eastAsia="宋体" w:cs="宋体"/>
          <w:sz w:val="24"/>
        </w:rPr>
      </w:pPr>
      <w:r>
        <w:rPr>
          <w:rFonts w:hint="eastAsia" w:ascii="宋体" w:hAnsi="宋体" w:eastAsia="宋体" w:cs="宋体"/>
          <w:b/>
          <w:bCs/>
          <w:sz w:val="24"/>
        </w:rPr>
        <w:t>3.工程建设地点：</w:t>
      </w:r>
      <w:r>
        <w:rPr>
          <w:rFonts w:hint="eastAsia" w:ascii="宋体" w:hAnsi="宋体" w:eastAsia="宋体" w:cs="宋体"/>
          <w:sz w:val="24"/>
          <w:u w:val="single"/>
        </w:rPr>
        <w:t>项目位于广州市番禺区南村镇里仁洞村</w:t>
      </w:r>
      <w:r>
        <w:rPr>
          <w:rFonts w:hint="eastAsia" w:ascii="宋体" w:hAnsi="宋体" w:eastAsia="宋体" w:cs="宋体"/>
          <w:sz w:val="24"/>
        </w:rPr>
        <w:t>。</w:t>
      </w:r>
    </w:p>
    <w:p>
      <w:pPr>
        <w:tabs>
          <w:tab w:val="left" w:pos="426"/>
        </w:tabs>
        <w:spacing w:after="0" w:line="360" w:lineRule="auto"/>
        <w:rPr>
          <w:rFonts w:ascii="宋体" w:hAnsi="宋体" w:eastAsia="宋体" w:cs="宋体"/>
          <w:sz w:val="24"/>
        </w:rPr>
      </w:pPr>
      <w:r>
        <w:rPr>
          <w:rFonts w:hint="eastAsia" w:ascii="宋体" w:hAnsi="宋体" w:eastAsia="宋体" w:cs="宋体"/>
          <w:b/>
          <w:bCs/>
          <w:spacing w:val="4"/>
          <w:kern w:val="0"/>
          <w:sz w:val="24"/>
        </w:rPr>
        <w:t>4.</w:t>
      </w:r>
      <w:r>
        <w:rPr>
          <w:rFonts w:hint="eastAsia" w:ascii="宋体" w:hAnsi="宋体" w:eastAsia="宋体" w:cs="宋体"/>
          <w:b/>
          <w:bCs/>
          <w:sz w:val="24"/>
        </w:rPr>
        <w:t>监理范围及内容：</w:t>
      </w:r>
      <w:r>
        <w:rPr>
          <w:rFonts w:hint="eastAsia" w:ascii="宋体" w:hAnsi="宋体" w:eastAsia="宋体" w:cs="宋体"/>
          <w:b w:val="0"/>
          <w:bCs w:val="0"/>
          <w:sz w:val="24"/>
          <w:u w:val="single"/>
        </w:rPr>
        <w:t>负责</w:t>
      </w:r>
      <w:r>
        <w:rPr>
          <w:rFonts w:hint="eastAsia" w:ascii="宋体" w:hAnsi="宋体" w:eastAsia="宋体" w:cs="宋体"/>
          <w:b w:val="0"/>
          <w:bCs w:val="0"/>
          <w:sz w:val="24"/>
          <w:u w:val="single"/>
          <w:lang w:eastAsia="zh-CN"/>
        </w:rPr>
        <w:t>番禺区里仁洞村城市更新项目自编R9地块复建房建设监理服务</w:t>
      </w:r>
      <w:r>
        <w:rPr>
          <w:rFonts w:hint="eastAsia" w:ascii="宋体" w:hAnsi="宋体" w:eastAsia="宋体" w:cs="宋体"/>
          <w:b w:val="0"/>
          <w:bCs w:val="0"/>
          <w:sz w:val="24"/>
          <w:u w:val="single"/>
        </w:rPr>
        <w:t>，包括但不限于：基坑阶段</w:t>
      </w:r>
      <w:r>
        <w:rPr>
          <w:rFonts w:hint="eastAsia" w:ascii="宋体" w:hAnsi="宋体" w:eastAsia="宋体" w:cs="宋体"/>
          <w:b w:val="0"/>
          <w:bCs w:val="0"/>
          <w:sz w:val="24"/>
          <w:u w:val="single"/>
          <w:lang w:eastAsia="zh-CN"/>
        </w:rPr>
        <w:t>、地下结构阶段、主体结构阶段、装修阶段、交付阶段</w:t>
      </w:r>
      <w:r>
        <w:rPr>
          <w:rFonts w:hint="eastAsia" w:ascii="宋体" w:hAnsi="宋体" w:eastAsia="宋体" w:cs="宋体"/>
          <w:b w:val="0"/>
          <w:bCs w:val="0"/>
          <w:sz w:val="24"/>
          <w:u w:val="single"/>
        </w:rPr>
        <w:t>的监理服务。具体以实际实施的监理范围为准</w:t>
      </w:r>
      <w:r>
        <w:rPr>
          <w:rFonts w:hint="eastAsia" w:ascii="宋体" w:hAnsi="宋体" w:eastAsia="宋体" w:cs="宋体"/>
          <w:b w:val="0"/>
          <w:bCs w:val="0"/>
          <w:sz w:val="24"/>
          <w:u w:val="none"/>
        </w:rPr>
        <w:t>。</w:t>
      </w:r>
    </w:p>
    <w:p>
      <w:pPr>
        <w:pStyle w:val="91"/>
        <w:rPr>
          <w:rFonts w:ascii="宋体" w:hAnsi="宋体" w:eastAsia="宋体" w:cs="宋体"/>
          <w:sz w:val="24"/>
          <w:szCs w:val="24"/>
        </w:rPr>
      </w:pPr>
      <w:bookmarkStart w:id="480" w:name="_Toc23048"/>
      <w:bookmarkStart w:id="481" w:name="_Toc28173"/>
      <w:bookmarkStart w:id="482" w:name="_Toc21397"/>
      <w:bookmarkStart w:id="483" w:name="_Toc176879985"/>
      <w:r>
        <w:rPr>
          <w:rFonts w:hint="eastAsia" w:ascii="宋体" w:hAnsi="宋体" w:eastAsia="宋体" w:cs="宋体"/>
          <w:sz w:val="24"/>
          <w:szCs w:val="24"/>
        </w:rPr>
        <w:t>二、</w:t>
      </w:r>
      <w:bookmarkEnd w:id="475"/>
      <w:bookmarkEnd w:id="479"/>
      <w:r>
        <w:rPr>
          <w:rFonts w:hint="eastAsia" w:ascii="宋体" w:hAnsi="宋体" w:eastAsia="宋体" w:cs="宋体"/>
          <w:sz w:val="24"/>
          <w:szCs w:val="24"/>
        </w:rPr>
        <w:t>监理服务期</w:t>
      </w:r>
      <w:bookmarkEnd w:id="480"/>
      <w:bookmarkEnd w:id="481"/>
      <w:bookmarkEnd w:id="482"/>
      <w:bookmarkEnd w:id="483"/>
    </w:p>
    <w:p>
      <w:pPr>
        <w:pStyle w:val="46"/>
        <w:ind w:firstLine="0" w:firstLineChars="0"/>
        <w:rPr>
          <w:rFonts w:ascii="宋体" w:hAnsi="宋体" w:cs="宋体"/>
          <w:szCs w:val="24"/>
          <w:u w:val="single"/>
        </w:rPr>
      </w:pPr>
      <w:bookmarkStart w:id="484" w:name="_Toc20384742"/>
      <w:bookmarkStart w:id="485" w:name="_Toc15624"/>
      <w:r>
        <w:rPr>
          <w:rFonts w:hint="eastAsia" w:ascii="宋体" w:hAnsi="宋体" w:cs="宋体"/>
          <w:szCs w:val="24"/>
          <w:u w:val="single"/>
        </w:rPr>
        <w:t>自监理人收到中标通知书或参加由委托人组织的第一次进场动员会之日起算，至本项目工程保修期结束且本合同工程结算金额经有权结算终审部门审定之日止。监理服务期包括项目的施工准备阶段、施工阶段、工程收尾阶段（包括但不限于竣工验收、整改、工程移交、工程结算等）及工程质量保修期阶段，监理人须实行全过程监理服务。</w:t>
      </w:r>
    </w:p>
    <w:p>
      <w:pPr>
        <w:pStyle w:val="108"/>
        <w:widowControl/>
        <w:adjustRightInd w:val="0"/>
        <w:snapToGrid w:val="0"/>
        <w:spacing w:line="360" w:lineRule="auto"/>
        <w:ind w:firstLine="0" w:firstLineChars="0"/>
        <w:jc w:val="left"/>
        <w:rPr>
          <w:rFonts w:ascii="宋体" w:hAnsi="宋体" w:cs="宋体"/>
          <w:sz w:val="24"/>
          <w:szCs w:val="24"/>
        </w:rPr>
      </w:pPr>
      <w:r>
        <w:rPr>
          <w:rFonts w:hint="eastAsia" w:ascii="宋体" w:hAnsi="宋体" w:cs="宋体"/>
          <w:sz w:val="24"/>
          <w:szCs w:val="24"/>
          <w:u w:val="single"/>
        </w:rPr>
        <w:t>施工期：本项目计划</w:t>
      </w:r>
      <w:bookmarkStart w:id="486" w:name="_Hlk213147004"/>
      <w:r>
        <w:rPr>
          <w:rFonts w:hint="eastAsia" w:ascii="宋体" w:hAnsi="宋体" w:cs="宋体"/>
          <w:sz w:val="24"/>
          <w:szCs w:val="24"/>
          <w:u w:val="single"/>
        </w:rPr>
        <w:t>202</w:t>
      </w:r>
      <w:r>
        <w:rPr>
          <w:rFonts w:hint="eastAsia" w:ascii="宋体" w:hAnsi="宋体" w:cs="宋体"/>
          <w:sz w:val="24"/>
          <w:szCs w:val="24"/>
          <w:u w:val="single"/>
          <w:lang w:val="en-US" w:eastAsia="zh-CN"/>
        </w:rPr>
        <w:t>6</w:t>
      </w:r>
      <w:r>
        <w:rPr>
          <w:rFonts w:hint="eastAsia" w:ascii="宋体" w:hAnsi="宋体" w:cs="宋体"/>
          <w:sz w:val="24"/>
          <w:szCs w:val="24"/>
          <w:u w:val="single"/>
        </w:rPr>
        <w:t>年</w:t>
      </w:r>
      <w:r>
        <w:rPr>
          <w:rFonts w:hint="eastAsia" w:ascii="宋体" w:hAnsi="宋体" w:cs="宋体"/>
          <w:sz w:val="24"/>
          <w:szCs w:val="24"/>
          <w:u w:val="single"/>
          <w:lang w:val="en-US" w:eastAsia="zh-CN"/>
        </w:rPr>
        <w:t>2</w:t>
      </w:r>
      <w:r>
        <w:rPr>
          <w:rFonts w:hint="eastAsia" w:ascii="宋体" w:hAnsi="宋体" w:cs="宋体"/>
          <w:sz w:val="24"/>
          <w:szCs w:val="24"/>
          <w:u w:val="single"/>
        </w:rPr>
        <w:t>月</w:t>
      </w:r>
      <w:bookmarkEnd w:id="486"/>
      <w:r>
        <w:rPr>
          <w:rFonts w:hint="eastAsia" w:ascii="宋体" w:hAnsi="宋体" w:cs="宋体"/>
          <w:sz w:val="24"/>
          <w:szCs w:val="24"/>
          <w:u w:val="single"/>
          <w:lang w:val="en-US" w:eastAsia="zh-CN"/>
        </w:rPr>
        <w:t>开工</w:t>
      </w:r>
      <w:r>
        <w:rPr>
          <w:rFonts w:hint="eastAsia" w:ascii="宋体" w:hAnsi="宋体" w:cs="宋体"/>
          <w:sz w:val="24"/>
          <w:szCs w:val="24"/>
          <w:u w:val="single"/>
        </w:rPr>
        <w:t>（具体开工日期以总监理工程师发出的开工令为准），</w:t>
      </w:r>
      <w:bookmarkStart w:id="487" w:name="_Hlk213147010"/>
      <w:r>
        <w:rPr>
          <w:rFonts w:hint="eastAsia" w:ascii="宋体" w:hAnsi="宋体" w:cs="宋体"/>
          <w:sz w:val="24"/>
          <w:szCs w:val="24"/>
          <w:u w:val="single"/>
        </w:rPr>
        <w:t>202</w:t>
      </w:r>
      <w:r>
        <w:rPr>
          <w:rFonts w:hint="eastAsia" w:ascii="宋体" w:hAnsi="宋体" w:cs="宋体"/>
          <w:sz w:val="24"/>
          <w:szCs w:val="24"/>
          <w:u w:val="single"/>
          <w:lang w:val="en-US" w:eastAsia="zh-CN"/>
        </w:rPr>
        <w:t>8</w:t>
      </w:r>
      <w:r>
        <w:rPr>
          <w:rFonts w:hint="eastAsia" w:ascii="宋体" w:hAnsi="宋体" w:cs="宋体"/>
          <w:sz w:val="24"/>
          <w:szCs w:val="24"/>
          <w:u w:val="single"/>
        </w:rPr>
        <w:t>年</w:t>
      </w:r>
      <w:r>
        <w:rPr>
          <w:rFonts w:hint="eastAsia" w:ascii="宋体" w:hAnsi="宋体" w:cs="宋体"/>
          <w:sz w:val="24"/>
          <w:szCs w:val="24"/>
          <w:u w:val="single"/>
          <w:lang w:val="en-US" w:eastAsia="zh-CN"/>
        </w:rPr>
        <w:t>5</w:t>
      </w:r>
      <w:r>
        <w:rPr>
          <w:rFonts w:hint="eastAsia" w:ascii="宋体" w:hAnsi="宋体" w:cs="宋体"/>
          <w:sz w:val="24"/>
          <w:szCs w:val="24"/>
          <w:u w:val="single"/>
        </w:rPr>
        <w:t>月</w:t>
      </w:r>
      <w:bookmarkEnd w:id="487"/>
      <w:r>
        <w:rPr>
          <w:rFonts w:hint="eastAsia" w:ascii="宋体" w:hAnsi="宋体" w:cs="宋体"/>
          <w:sz w:val="24"/>
          <w:szCs w:val="24"/>
          <w:u w:val="single"/>
        </w:rPr>
        <w:t>竣工。具体开工时间以总监理工程师发出的开工令为准。注：施工期不等同于监理服务期，监理服务期以合同约定及实际实施为准。</w:t>
      </w:r>
    </w:p>
    <w:p>
      <w:pPr>
        <w:pStyle w:val="91"/>
        <w:rPr>
          <w:rFonts w:ascii="宋体" w:hAnsi="宋体" w:eastAsia="宋体" w:cs="宋体"/>
          <w:sz w:val="24"/>
          <w:szCs w:val="24"/>
        </w:rPr>
      </w:pPr>
      <w:bookmarkStart w:id="488" w:name="_Toc13928"/>
      <w:bookmarkStart w:id="489" w:name="_Toc176879986"/>
      <w:bookmarkStart w:id="490" w:name="_Toc28675"/>
      <w:bookmarkStart w:id="491" w:name="_Toc27669"/>
      <w:r>
        <w:rPr>
          <w:rFonts w:hint="eastAsia" w:ascii="宋体" w:hAnsi="宋体" w:eastAsia="宋体" w:cs="宋体"/>
          <w:sz w:val="24"/>
          <w:szCs w:val="24"/>
        </w:rPr>
        <w:t>三、</w:t>
      </w:r>
      <w:bookmarkEnd w:id="484"/>
      <w:bookmarkEnd w:id="485"/>
      <w:r>
        <w:rPr>
          <w:rFonts w:hint="eastAsia" w:ascii="宋体" w:hAnsi="宋体" w:eastAsia="宋体" w:cs="宋体"/>
          <w:spacing w:val="-6"/>
          <w:sz w:val="24"/>
          <w:szCs w:val="24"/>
        </w:rPr>
        <w:t>质量目标、职业健康安全管理目标、环境管理目标、投资控制目标、进度目标</w:t>
      </w:r>
      <w:bookmarkEnd w:id="488"/>
      <w:bookmarkEnd w:id="489"/>
      <w:r>
        <w:rPr>
          <w:rFonts w:hint="eastAsia" w:ascii="宋体" w:hAnsi="宋体" w:eastAsia="宋体" w:cs="宋体"/>
          <w:spacing w:val="-6"/>
          <w:sz w:val="24"/>
          <w:szCs w:val="24"/>
        </w:rPr>
        <w:t>、</w:t>
      </w:r>
      <w:r>
        <w:rPr>
          <w:rFonts w:hint="eastAsia" w:ascii="宋体" w:hAnsi="宋体" w:eastAsia="宋体" w:cs="宋体"/>
          <w:sz w:val="24"/>
          <w:szCs w:val="24"/>
          <w:lang w:eastAsia="zh-CN" w:bidi="ar"/>
        </w:rPr>
        <w:t>智慧工地建设目标</w:t>
      </w:r>
      <w:bookmarkEnd w:id="490"/>
      <w:bookmarkEnd w:id="491"/>
    </w:p>
    <w:p>
      <w:pPr>
        <w:pStyle w:val="108"/>
        <w:adjustRightInd w:val="0"/>
        <w:snapToGrid w:val="0"/>
        <w:spacing w:line="360" w:lineRule="auto"/>
        <w:ind w:firstLine="0" w:firstLineChars="0"/>
        <w:jc w:val="left"/>
        <w:rPr>
          <w:rFonts w:ascii="宋体" w:hAnsi="宋体" w:cs="宋体"/>
          <w:sz w:val="24"/>
          <w:szCs w:val="24"/>
        </w:rPr>
      </w:pPr>
      <w:r>
        <w:rPr>
          <w:rFonts w:hint="eastAsia" w:ascii="宋体" w:hAnsi="宋体" w:cs="宋体"/>
          <w:sz w:val="24"/>
          <w:szCs w:val="24"/>
        </w:rPr>
        <w:t>1.质量目标：一次竣工验收合格，且分部工程验收合格率100%，项目所涉及的政府专项验收全部通过，单位工程一次竣工验收合格。</w:t>
      </w:r>
    </w:p>
    <w:p>
      <w:pPr>
        <w:pStyle w:val="108"/>
        <w:adjustRightInd w:val="0"/>
        <w:snapToGrid w:val="0"/>
        <w:spacing w:line="360" w:lineRule="auto"/>
        <w:ind w:firstLine="0" w:firstLineChars="0"/>
        <w:jc w:val="left"/>
        <w:rPr>
          <w:rFonts w:ascii="宋体" w:hAnsi="宋体" w:cs="宋体"/>
          <w:sz w:val="24"/>
          <w:szCs w:val="24"/>
        </w:rPr>
      </w:pPr>
      <w:r>
        <w:rPr>
          <w:rFonts w:hint="eastAsia" w:ascii="宋体" w:hAnsi="宋体" w:cs="宋体"/>
          <w:sz w:val="24"/>
          <w:szCs w:val="24"/>
        </w:rPr>
        <w:t>2.职业健康安全管理目标：事故隐患排查治理覆盖率100%，一般事故隐患整改率100%，重大事故隐患挂牌督办率100%、整改率100%；安全生产非法违法行为举报投诉查办率达到100%。杜绝发生一般事故等级及以上的伤亡事故且工伤责任事故死亡人数为零，确保广东省安全生产文明施工示范工地。</w:t>
      </w:r>
    </w:p>
    <w:p>
      <w:pPr>
        <w:pStyle w:val="108"/>
        <w:adjustRightInd w:val="0"/>
        <w:snapToGrid w:val="0"/>
        <w:spacing w:line="360" w:lineRule="auto"/>
        <w:ind w:firstLine="0" w:firstLineChars="0"/>
        <w:jc w:val="lef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bidi="ar"/>
        </w:rPr>
        <w:t xml:space="preserve"> 环境管理目标：严格执行《广州市重点公共建设项目管理办公室建设项目环境管理规定》、《广州市重点公共建设项目管理办公室建设项目环境管理文明施工标准》、《广州市建设工程现场文明施工管理办法》（穗建质〔2008〕937号）、《广州市城乡建设委员会关于印发广州市加强建筑工地环保管理工作方案的通知》(穗建质〔2014〕754号)、《广州市提升建设工程安全文明施工管理水平的工作指引》（穗建质〔2017〕815号）、《广州市建设工程安全文明施工规程（试行版）》（穗建质〔2021) 316号）、《危险性较大的分部分项工程安全管理规定》(中华人民共和国住房和城乡建设部令第37号)、《关于加强建设工程安全生产管理 落实建设各方主体责任的暂行规定》（穗建规字〔2020〕34号）、《广州市住房和城乡建设委员会关于印发建设工程扬尘防治“6个100%”管理标准细化措施的通知》（穗建质〔2018〕1394号）、广州市住房和城乡建设局关于印发广州市房屋建筑工程安全防护指导图集（防高坠篇）的通知、《广州市建设工程绿色施工围蔽指导图集（V2.0版）》（穗建质〔2020〕1号）和《广东省建筑垃圾管理条例》（广东省第十三届人民代表大会常务委员会公告第126号）等国家、省、市现行标准、规定和文件要求,加强建筑工地文明施工管理，控制施工扬尘，推进生态文明建设；确保噪声污染、扬尘污染等环境污染问题零投诉</w:t>
      </w:r>
      <w:r>
        <w:rPr>
          <w:rFonts w:hint="eastAsia" w:ascii="宋体" w:hAnsi="宋体" w:cs="宋体"/>
          <w:sz w:val="24"/>
          <w:szCs w:val="24"/>
        </w:rPr>
        <w:t>。</w:t>
      </w:r>
    </w:p>
    <w:p>
      <w:pPr>
        <w:pStyle w:val="108"/>
        <w:adjustRightInd w:val="0"/>
        <w:snapToGrid w:val="0"/>
        <w:spacing w:line="360" w:lineRule="auto"/>
        <w:ind w:firstLine="0" w:firstLineChars="0"/>
        <w:jc w:val="left"/>
        <w:rPr>
          <w:rFonts w:ascii="宋体" w:hAnsi="宋体" w:cs="宋体"/>
          <w:sz w:val="24"/>
          <w:szCs w:val="24"/>
        </w:rPr>
      </w:pPr>
      <w:r>
        <w:rPr>
          <w:rFonts w:hint="eastAsia" w:ascii="宋体" w:hAnsi="宋体" w:cs="宋体"/>
          <w:sz w:val="24"/>
          <w:szCs w:val="24"/>
        </w:rPr>
        <w:t>4.投资控制目标：</w:t>
      </w:r>
      <w:r>
        <w:rPr>
          <w:rFonts w:hint="eastAsia" w:ascii="宋体" w:hAnsi="宋体" w:cs="宋体"/>
          <w:sz w:val="24"/>
          <w:szCs w:val="24"/>
          <w:lang w:bidi="ar"/>
        </w:rPr>
        <w:t>所监理项目的结算的建安工程费不超过本项目概算批复中对应的建安工程费</w:t>
      </w:r>
      <w:r>
        <w:rPr>
          <w:rFonts w:hint="eastAsia" w:ascii="宋体" w:hAnsi="宋体" w:cs="宋体"/>
          <w:sz w:val="24"/>
          <w:szCs w:val="24"/>
        </w:rPr>
        <w:t>。</w:t>
      </w:r>
    </w:p>
    <w:p>
      <w:pPr>
        <w:pStyle w:val="108"/>
        <w:adjustRightInd w:val="0"/>
        <w:snapToGrid w:val="0"/>
        <w:spacing w:line="360" w:lineRule="auto"/>
        <w:ind w:firstLine="0" w:firstLineChars="0"/>
        <w:jc w:val="left"/>
        <w:rPr>
          <w:rFonts w:ascii="宋体" w:hAnsi="宋体" w:cs="宋体"/>
          <w:sz w:val="24"/>
          <w:szCs w:val="24"/>
          <w:lang w:bidi="ar"/>
        </w:rPr>
      </w:pPr>
      <w:r>
        <w:rPr>
          <w:rFonts w:hint="eastAsia" w:ascii="宋体" w:hAnsi="宋体" w:cs="宋体"/>
          <w:sz w:val="24"/>
          <w:szCs w:val="24"/>
        </w:rPr>
        <w:t>5.进度目标：</w:t>
      </w:r>
      <w:r>
        <w:rPr>
          <w:rFonts w:hint="eastAsia" w:ascii="宋体" w:hAnsi="宋体" w:cs="宋体"/>
          <w:sz w:val="24"/>
          <w:szCs w:val="24"/>
          <w:lang w:bidi="ar"/>
        </w:rPr>
        <w:t>严格落实一级总控计划，确保按时完工验收交付。</w:t>
      </w:r>
    </w:p>
    <w:p>
      <w:pPr>
        <w:pStyle w:val="91"/>
        <w:rPr>
          <w:rFonts w:ascii="宋体" w:hAnsi="宋体" w:eastAsia="宋体" w:cs="宋体"/>
          <w:sz w:val="24"/>
          <w:szCs w:val="24"/>
        </w:rPr>
      </w:pPr>
      <w:bookmarkStart w:id="492" w:name="_Toc30201"/>
      <w:bookmarkStart w:id="493" w:name="_Toc10420"/>
      <w:bookmarkStart w:id="494" w:name="_Toc22401"/>
      <w:bookmarkStart w:id="495" w:name="_Toc176879988"/>
      <w:r>
        <w:rPr>
          <w:rFonts w:hint="eastAsia" w:ascii="宋体" w:hAnsi="宋体" w:eastAsia="宋体" w:cs="宋体"/>
          <w:sz w:val="24"/>
          <w:szCs w:val="24"/>
          <w:lang w:eastAsia="zh-CN"/>
        </w:rPr>
        <w:t>四</w:t>
      </w:r>
      <w:r>
        <w:rPr>
          <w:rFonts w:hint="eastAsia" w:ascii="宋体" w:hAnsi="宋体" w:eastAsia="宋体" w:cs="宋体"/>
          <w:sz w:val="24"/>
          <w:szCs w:val="24"/>
        </w:rPr>
        <w:t>、监理管理工作总体要求</w:t>
      </w:r>
      <w:bookmarkEnd w:id="492"/>
      <w:bookmarkEnd w:id="493"/>
      <w:bookmarkEnd w:id="494"/>
      <w:bookmarkEnd w:id="495"/>
    </w:p>
    <w:p>
      <w:pPr>
        <w:numPr>
          <w:ilvl w:val="0"/>
          <w:numId w:val="2"/>
        </w:numPr>
        <w:topLinePunct/>
        <w:adjustRightInd w:val="0"/>
        <w:snapToGrid w:val="0"/>
        <w:spacing w:after="0" w:line="360" w:lineRule="auto"/>
        <w:ind w:firstLine="0"/>
        <w:rPr>
          <w:rFonts w:ascii="宋体" w:hAnsi="宋体" w:eastAsia="宋体" w:cs="宋体"/>
          <w:sz w:val="24"/>
        </w:rPr>
      </w:pPr>
      <w:bookmarkStart w:id="496" w:name="_Toc20384744"/>
      <w:bookmarkStart w:id="497" w:name="_Toc29101"/>
      <w:r>
        <w:rPr>
          <w:rFonts w:hint="eastAsia" w:ascii="宋体" w:hAnsi="宋体" w:eastAsia="宋体" w:cs="宋体"/>
          <w:sz w:val="24"/>
          <w:lang w:bidi="ar"/>
        </w:rPr>
        <w:t>建设项目必须严格按照质量控制流程及相关规定对隐蔽工程、关键工序、重点部位进行质量监控,以确保质量目标的实现。</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确保本项目的安全生产、文明施工措施应按相应管理要求贯彻落实到位，实现本项目职业安全、健康与环境及文明施工的目标的难度较大。</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招标人提请投标人详细阅读和全面理解本招标文件和合同条款的内容，准确把握招标人对本建设项目的各项管理制度和要求，结合本企业的资源和实力，对本项目的投标作出最优的监理方案和最合适、最有竞争力的报价。</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要求专业监理工程师对承包单位每日在现场投入的人员、材料、机械设备数量及实物工程量完成情况进行统计。</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在工程施工监理服务期内，在合同约定的施工监理范围内，当工程量增加、或设计变更、或设计变化、或设计规模变化、或工期跨度变化时，工程监理报酬总额将不会因此而有所调整，相关费用已含于投标报价中。</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如在工程实施期间，因政策变化、计划调整或不可抗力等非招标人主观原因造成本合同工程停建的，则监理人必须接受终止服务并积极配合招标人作好善后工作，按已实际完成的施工监理服务内容和本合同的相关约定结清监理报酬，但监理人不得要求额外的费用及任何形式的补偿。</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在工程实施期间，如因任何原因造成本合同工程中间停工而导致监理人必须二次或多次进出场，监理报酬总额将不会因此而有所调整，相关费用亦已经包含于监理酬金中。因工程中间停工而不退场的，监理人可与招标人协商减少停工期间驻场监理人员的数量，但本合同监理报酬总额不作调整。</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本项目招标人将根据监理单位的服务质量情况，严格实行量化考核，结合考核结果，支付监理服务酬金。</w:t>
      </w:r>
    </w:p>
    <w:p>
      <w:pPr>
        <w:topLinePunct/>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中标人应按照合同的约定完成合同监理服务的工作内容且相关的监理服务须达到令招标人满意的程度。中标人如未能按合同附件2－《各阶段工作成果文件的要求》的约定提交相关工作内容的工作成果，或提交的工作成果未能达到约定的支付审核标准，或招标人对监理工作情况的检查结果未能达到约定的令人满意的程度，均视作监理人对该承诺的违反，招标人将于合同酬金总额中扣减相关监理服务项目的酬金。监理人对于履行监理职责方面的违约责任根据合同专用条件的相关约定执行。</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监理临时设施场地的一切办公家具、办公用品、通讯设施由监理人自行配置，费用已包含在监理费报价总额内。</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驻场的监理人员日常生活和用餐应自行独立解决，严禁向施工单位搭食及与施工单位的人员混住。</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为了加强招标人与监理人的沟通与协调，招标人另行指定一名专业工程师（招标人监理代表）常驻项目监理机构，监督并协助项目监理机构工作。</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 xml:space="preserve">为了保证专业工程监理的服务水平和质量，监理单位应确保其现场监理人员满足招标人对于人员资历、专业、经验的相关要求，并确保其现场管理人员的稳定。如果监理单位投入的相关专业监理人员的服务水平和质量无法满足工程的实际需要，应根据招标人的指令立即更换。或监理机构的监理人员不到岗位，委托人有权另行聘请符合工作需要的监理人员；所聘请监理人员的工资已包括在本合同监理酬金内，此费用由监理人向所聘监理人员支付。必要时招标人有权从本合同监理酬金中直接支付。 </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为了加强对建设项目的质量、进度以及安全生产控制和信息沟通与管理，招标人建立了一套项目信息管理处理系统，充分利用现代信息及通信技术，以计算机、网络通信、数据库作为技术支撑，对项目全过程所产生的各种信息，及时、准确、高效地进行管理，为项目实施提供高质量的信息服务。为此，监理人应相应建立与招标人的项目信息管理处理系统软、硬件相配套的项目沟通与信息管理系统，制定沟通与信息管理程序和制度，以满足工程监理的需要。项目信息可以数据、表格、文字、图纸、音像、电子文件等载体方式表示，保证项目信息能及时地收集、整理、共享，并具有可追溯性。保证验收资料（含影像）的完整性。</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监理单位必须组织和监督施工单位贯彻落实《广州市住房和城乡建设委员会关于全市建设工地纳入视频监管的通知》（穗建质〔2017〕1166号）、《广州市住房和城乡建设委员会关于印发广州市建设工程视频监控工作要求及管理指引的通知》（穗建质〔2018〕2078号）文件的相关要求，对视频监控系统的反馈信息进行分析、上报、决策、实施，严格按照质量控制流程及相关规定对隐蔽工程、关键工序、重点部位进行质量监控。</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监理人应确保监理纪录资料的真实性、及时性、有效性和完整性，严禁事后补资料的情况发生。</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监理单位应负责对施工总平面的组织策划进行审核，在施工总平面经招标人审批同意后负责施工总平面的管理协调工作，包括场内排水组织、施工临设布置、场内交通疏解、红线内临时施工道路的调配使用维修。</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监理人在监理期内承担协调供水、燃气、供电、通讯工程等各工种交叉施工的工作，相关费用包括在其投标总价内。</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监理单位施工前应做好周密的准备工作，根据实际情况科学合理地安排施工方案并建立严格的工作制度；坚持每天一般巡视与有目的的检查、工程薄弱环节的抽查相结合，做到眼勤、腿勤、手勤，发现问题要一查到底，并及时、彻底地解决，不留隐患，使工程在有效的控制下顺利进行。</w:t>
      </w:r>
    </w:p>
    <w:p>
      <w:pPr>
        <w:numPr>
          <w:ilvl w:val="0"/>
          <w:numId w:val="2"/>
        </w:numPr>
        <w:topLinePunct/>
        <w:adjustRightInd w:val="0"/>
        <w:snapToGrid w:val="0"/>
        <w:spacing w:after="0" w:line="360" w:lineRule="auto"/>
        <w:ind w:firstLine="0"/>
        <w:rPr>
          <w:rFonts w:ascii="宋体" w:hAnsi="宋体" w:eastAsia="宋体" w:cs="宋体"/>
          <w:sz w:val="24"/>
        </w:rPr>
      </w:pPr>
      <w:r>
        <w:rPr>
          <w:rFonts w:hint="eastAsia" w:ascii="宋体" w:hAnsi="宋体" w:eastAsia="宋体" w:cs="宋体"/>
          <w:sz w:val="24"/>
          <w:lang w:bidi="ar"/>
        </w:rPr>
        <w:t>监理单位应严格审核施工单位的安全防护方案，并督促施工单位做好安全防护及成品保护工作。</w:t>
      </w:r>
    </w:p>
    <w:p>
      <w:pPr>
        <w:numPr>
          <w:ilvl w:val="0"/>
          <w:numId w:val="2"/>
        </w:numPr>
        <w:topLinePunct/>
        <w:adjustRightInd w:val="0"/>
        <w:snapToGrid w:val="0"/>
        <w:spacing w:after="0" w:line="360" w:lineRule="auto"/>
        <w:ind w:firstLine="0"/>
        <w:rPr>
          <w:rFonts w:ascii="宋体" w:hAnsi="宋体" w:eastAsia="宋体" w:cs="宋体"/>
          <w:sz w:val="24"/>
          <w:lang w:bidi="ar"/>
        </w:rPr>
      </w:pPr>
      <w:r>
        <w:rPr>
          <w:rFonts w:hint="eastAsia" w:ascii="宋体" w:hAnsi="宋体" w:eastAsia="宋体" w:cs="宋体"/>
          <w:sz w:val="24"/>
          <w:lang w:bidi="ar"/>
        </w:rPr>
        <w:t>监理单位应积极确保安全生产、文明施工措施的具体内容和标准按相应管理要求贯彻落实到位，加大安全文明施工管理力度。实现本项目职业安全、健康与环境及文明施工的目标。</w:t>
      </w:r>
    </w:p>
    <w:p>
      <w:pPr>
        <w:numPr>
          <w:ilvl w:val="0"/>
          <w:numId w:val="2"/>
        </w:numPr>
        <w:topLinePunct/>
        <w:adjustRightInd w:val="0"/>
        <w:snapToGrid w:val="0"/>
        <w:spacing w:after="0" w:line="360" w:lineRule="auto"/>
        <w:ind w:left="0" w:firstLine="0"/>
        <w:rPr>
          <w:rFonts w:ascii="宋体" w:hAnsi="宋体" w:eastAsia="宋体" w:cs="宋体"/>
          <w:sz w:val="24"/>
          <w:lang w:bidi="ar"/>
        </w:rPr>
      </w:pPr>
      <w:r>
        <w:rPr>
          <w:rFonts w:hint="eastAsia" w:ascii="宋体" w:hAnsi="宋体" w:eastAsia="宋体" w:cs="宋体"/>
          <w:sz w:val="24"/>
          <w:lang w:bidi="ar"/>
        </w:rPr>
        <w:t>监理单位需对项目所有的检测（监测）事项进行梳理、分类合并，并编制本项目关于具体检测（监测）项目清单及费用估算的工作方案，按甲方规定格式提交检验监测费用清单，报招标人审核。</w:t>
      </w:r>
    </w:p>
    <w:p>
      <w:pPr>
        <w:numPr>
          <w:ilvl w:val="0"/>
          <w:numId w:val="2"/>
        </w:numPr>
        <w:topLinePunct/>
        <w:adjustRightInd w:val="0"/>
        <w:snapToGrid w:val="0"/>
        <w:spacing w:after="0" w:line="360" w:lineRule="auto"/>
        <w:ind w:left="0" w:firstLine="0"/>
        <w:rPr>
          <w:rFonts w:ascii="宋体" w:hAnsi="宋体" w:eastAsia="宋体" w:cs="宋体"/>
          <w:sz w:val="24"/>
          <w:lang w:bidi="ar"/>
        </w:rPr>
      </w:pPr>
      <w:r>
        <w:rPr>
          <w:rFonts w:hint="eastAsia" w:ascii="宋体" w:hAnsi="宋体" w:eastAsia="宋体" w:cs="宋体"/>
          <w:spacing w:val="4"/>
          <w:sz w:val="24"/>
          <w:lang w:bidi="ar"/>
        </w:rPr>
        <w:t>施工招标阶段监理单位应组织专业人员认真读图、看图，对设计方案是否合理、图纸深度是否满足要求、图纸是否存在错漏碰等方面进行复核，并提出合理化建议；对造价咨询单位编制的工程招标清单开项、项目特征描述等的合理性、准确性进行复核和提出合理化建议。结合项目实际情况，包括但不限于对施工总平面布置、临水、临电、场地管线摸查、土石方挖运摸查、为配合第三方检测等方案编制（含预算）或方案复核。</w:t>
      </w:r>
    </w:p>
    <w:bookmarkEnd w:id="496"/>
    <w:bookmarkEnd w:id="497"/>
    <w:p>
      <w:pPr>
        <w:pStyle w:val="91"/>
        <w:rPr>
          <w:rFonts w:ascii="宋体" w:hAnsi="宋体" w:eastAsia="宋体" w:cs="宋体"/>
          <w:sz w:val="24"/>
          <w:szCs w:val="24"/>
        </w:rPr>
      </w:pPr>
      <w:bookmarkStart w:id="498" w:name="_Toc176879987"/>
      <w:bookmarkStart w:id="499" w:name="_Toc15104"/>
      <w:bookmarkStart w:id="500" w:name="_Toc19540"/>
      <w:bookmarkStart w:id="501" w:name="_Toc18832"/>
      <w:bookmarkStart w:id="502" w:name="_Toc20384743"/>
      <w:bookmarkStart w:id="503" w:name="_Toc8226"/>
      <w:r>
        <w:rPr>
          <w:rFonts w:hint="eastAsia" w:ascii="宋体" w:hAnsi="宋体" w:eastAsia="宋体" w:cs="宋体"/>
          <w:sz w:val="24"/>
          <w:szCs w:val="24"/>
          <w:lang w:eastAsia="zh-CN"/>
        </w:rPr>
        <w:t>五</w:t>
      </w:r>
      <w:r>
        <w:rPr>
          <w:rFonts w:hint="eastAsia" w:ascii="宋体" w:hAnsi="宋体" w:eastAsia="宋体" w:cs="宋体"/>
          <w:sz w:val="24"/>
          <w:szCs w:val="24"/>
        </w:rPr>
        <w:t>、监理管理人员要求</w:t>
      </w:r>
      <w:bookmarkEnd w:id="498"/>
      <w:bookmarkEnd w:id="499"/>
      <w:bookmarkEnd w:id="500"/>
      <w:bookmarkEnd w:id="501"/>
    </w:p>
    <w:p>
      <w:pPr>
        <w:spacing w:after="0" w:line="360" w:lineRule="auto"/>
        <w:rPr>
          <w:rFonts w:ascii="宋体" w:hAnsi="宋体" w:eastAsia="宋体" w:cs="宋体"/>
          <w:b/>
          <w:bCs/>
          <w:sz w:val="24"/>
        </w:rPr>
      </w:pPr>
      <w:r>
        <w:rPr>
          <w:rFonts w:hint="eastAsia" w:ascii="宋体" w:hAnsi="宋体" w:eastAsia="宋体" w:cs="宋体"/>
          <w:b/>
          <w:bCs/>
          <w:sz w:val="24"/>
        </w:rPr>
        <w:t>（一）监理管理人员架构要求</w:t>
      </w:r>
    </w:p>
    <w:p>
      <w:pPr>
        <w:spacing w:after="0" w:line="360" w:lineRule="auto"/>
        <w:rPr>
          <w:rFonts w:ascii="宋体" w:hAnsi="宋体" w:eastAsia="宋体" w:cs="宋体"/>
          <w:sz w:val="24"/>
          <w:lang w:bidi="ar"/>
        </w:rPr>
      </w:pPr>
      <w:r>
        <w:rPr>
          <w:rFonts w:hint="eastAsia" w:ascii="宋体" w:hAnsi="宋体" w:eastAsia="宋体" w:cs="宋体"/>
          <w:sz w:val="24"/>
          <w:lang w:bidi="ar"/>
        </w:rPr>
        <w:t>1.监理单位应在项目开工前按要求组建项目管理架构。</w:t>
      </w:r>
    </w:p>
    <w:p>
      <w:pPr>
        <w:spacing w:after="0" w:line="360" w:lineRule="auto"/>
        <w:rPr>
          <w:rFonts w:ascii="宋体" w:hAnsi="宋体" w:eastAsia="宋体" w:cs="宋体"/>
          <w:sz w:val="24"/>
        </w:rPr>
      </w:pPr>
      <w:r>
        <w:rPr>
          <w:rFonts w:hint="eastAsia" w:ascii="宋体" w:hAnsi="宋体" w:eastAsia="宋体" w:cs="宋体"/>
          <w:sz w:val="24"/>
          <w:lang w:bidi="ar"/>
        </w:rPr>
        <w:t>2.项目管理架构组成人员应符合招投标文件、合同的要求，如因特殊情况部分投标人员不能到位应向招标人书面提出人员更换申请，得到批准并按合同要求办理相应变更手续后方可进行人员更换；人员的更换应在施工准备阶段完成，经备案后的项目管理架构人员不允许随便变更。项目监理人员组成配备基本要求如下：</w:t>
      </w:r>
      <w:bookmarkStart w:id="504" w:name="_Toc394407746"/>
    </w:p>
    <w:bookmarkEnd w:id="504"/>
    <w:p>
      <w:pPr>
        <w:spacing w:after="0" w:line="360" w:lineRule="auto"/>
        <w:jc w:val="center"/>
        <w:rPr>
          <w:rFonts w:hint="eastAsia" w:ascii="宋体" w:hAnsi="宋体" w:eastAsia="宋体" w:cs="宋体"/>
          <w:b/>
          <w:sz w:val="24"/>
        </w:rPr>
        <w:sectPr>
          <w:pgSz w:w="12240" w:h="15840"/>
          <w:pgMar w:top="1440" w:right="1800" w:bottom="1440" w:left="1800" w:header="720" w:footer="720" w:gutter="0"/>
          <w:cols w:space="720" w:num="1"/>
          <w:rtlGutter w:val="1"/>
        </w:sectPr>
      </w:pPr>
    </w:p>
    <w:p>
      <w:pPr>
        <w:spacing w:after="0" w:line="360" w:lineRule="auto"/>
        <w:jc w:val="center"/>
        <w:rPr>
          <w:rFonts w:ascii="宋体" w:hAnsi="宋体" w:eastAsia="宋体" w:cs="宋体"/>
          <w:b/>
          <w:sz w:val="24"/>
        </w:rPr>
      </w:pPr>
      <w:r>
        <w:rPr>
          <w:rFonts w:hint="eastAsia" w:ascii="宋体" w:hAnsi="宋体" w:eastAsia="宋体" w:cs="宋体"/>
          <w:b/>
          <w:sz w:val="24"/>
        </w:rPr>
        <w:t>项目监理人员组成配备基本要求表</w:t>
      </w:r>
    </w:p>
    <w:tbl>
      <w:tblPr>
        <w:tblStyle w:val="39"/>
        <w:tblW w:w="8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81"/>
        <w:gridCol w:w="1389"/>
        <w:gridCol w:w="1389"/>
        <w:gridCol w:w="1389"/>
        <w:gridCol w:w="1389"/>
        <w:gridCol w:w="1389"/>
        <w:gridCol w:w="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2CC"/>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岗位</w:t>
            </w:r>
          </w:p>
        </w:tc>
        <w:tc>
          <w:tcPr>
            <w:tcW w:w="0" w:type="auto"/>
            <w:tcBorders>
              <w:top w:val="single" w:color="000000" w:sz="6" w:space="0"/>
              <w:left w:val="single" w:color="000000" w:sz="6" w:space="0"/>
              <w:bottom w:val="single" w:color="000000" w:sz="6" w:space="0"/>
              <w:right w:val="single" w:color="000000" w:sz="6" w:space="0"/>
            </w:tcBorders>
            <w:shd w:val="clear" w:color="auto" w:fill="FFF2CC"/>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b/>
                <w:bCs/>
                <w:color w:val="000000"/>
                <w:sz w:val="21"/>
                <w:szCs w:val="21"/>
              </w:rPr>
              <w:t>基坑阶段</w:t>
            </w:r>
          </w:p>
        </w:tc>
        <w:tc>
          <w:tcPr>
            <w:tcW w:w="0" w:type="auto"/>
            <w:tcBorders>
              <w:top w:val="single" w:color="000000" w:sz="6" w:space="0"/>
              <w:left w:val="single" w:color="000000" w:sz="6" w:space="0"/>
              <w:bottom w:val="single" w:color="000000" w:sz="6" w:space="0"/>
              <w:right w:val="single" w:color="000000" w:sz="6" w:space="0"/>
            </w:tcBorders>
            <w:shd w:val="clear" w:color="auto" w:fill="FFF2CC"/>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b/>
                <w:bCs/>
                <w:color w:val="000000"/>
                <w:sz w:val="21"/>
                <w:szCs w:val="21"/>
              </w:rPr>
              <w:t>地下结构阶段</w:t>
            </w:r>
          </w:p>
        </w:tc>
        <w:tc>
          <w:tcPr>
            <w:tcW w:w="0" w:type="auto"/>
            <w:tcBorders>
              <w:top w:val="single" w:color="000000" w:sz="6" w:space="0"/>
              <w:left w:val="single" w:color="000000" w:sz="6" w:space="0"/>
              <w:bottom w:val="single" w:color="000000" w:sz="6" w:space="0"/>
              <w:right w:val="single" w:color="000000" w:sz="6" w:space="0"/>
            </w:tcBorders>
            <w:shd w:val="clear" w:color="auto" w:fill="FFF2CC"/>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b/>
                <w:bCs/>
                <w:color w:val="000000"/>
                <w:sz w:val="21"/>
                <w:szCs w:val="21"/>
              </w:rPr>
              <w:t>主体结构阶段</w:t>
            </w:r>
          </w:p>
        </w:tc>
        <w:tc>
          <w:tcPr>
            <w:tcW w:w="0" w:type="auto"/>
            <w:tcBorders>
              <w:top w:val="single" w:color="000000" w:sz="6" w:space="0"/>
              <w:left w:val="single" w:color="000000" w:sz="6" w:space="0"/>
              <w:bottom w:val="single" w:color="000000" w:sz="6" w:space="0"/>
              <w:right w:val="single" w:color="000000" w:sz="6" w:space="0"/>
            </w:tcBorders>
            <w:shd w:val="clear" w:color="auto" w:fill="FFF2CC"/>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b/>
                <w:bCs/>
                <w:color w:val="000000"/>
                <w:sz w:val="21"/>
                <w:szCs w:val="21"/>
              </w:rPr>
              <w:t>装修阶段</w:t>
            </w:r>
          </w:p>
        </w:tc>
        <w:tc>
          <w:tcPr>
            <w:tcW w:w="0" w:type="auto"/>
            <w:tcBorders>
              <w:top w:val="single" w:color="000000" w:sz="6" w:space="0"/>
              <w:left w:val="single" w:color="000000" w:sz="6" w:space="0"/>
              <w:bottom w:val="single" w:color="000000" w:sz="6" w:space="0"/>
              <w:right w:val="single" w:color="000000" w:sz="6" w:space="0"/>
            </w:tcBorders>
            <w:shd w:val="clear" w:color="auto" w:fill="FFF2CC"/>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b/>
                <w:bCs/>
                <w:color w:val="000000"/>
                <w:sz w:val="21"/>
                <w:szCs w:val="21"/>
              </w:rPr>
              <w:t>交付阶段</w:t>
            </w:r>
          </w:p>
        </w:tc>
        <w:tc>
          <w:tcPr>
            <w:tcW w:w="781" w:type="dxa"/>
            <w:tcBorders>
              <w:top w:val="single" w:color="000000" w:sz="6" w:space="0"/>
              <w:left w:val="single" w:color="000000" w:sz="6" w:space="0"/>
              <w:bottom w:val="single" w:color="000000" w:sz="6" w:space="0"/>
              <w:right w:val="single" w:color="000000" w:sz="6" w:space="0"/>
            </w:tcBorders>
            <w:shd w:val="clear" w:color="auto" w:fill="FFF2CC"/>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b/>
                <w:bCs/>
                <w:color w:val="000000"/>
                <w:sz w:val="21"/>
                <w:szCs w:val="21"/>
              </w:rPr>
              <w:t>人月数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起止时间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2026.1-2026.3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2026.4-2026.8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2026.9-2027.6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2027.7-2028.2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2028.3-2028.4</w:t>
            </w:r>
          </w:p>
        </w:tc>
        <w:tc>
          <w:tcPr>
            <w:tcW w:w="781" w:type="dxa"/>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持续时间（月）</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781" w:type="dxa"/>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b/>
                <w:bCs/>
                <w:color w:val="000000"/>
                <w:sz w:val="21"/>
                <w:szCs w:val="21"/>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总监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781" w:type="dxa"/>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土建专监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781" w:type="dxa"/>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土建监理员</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781" w:type="dxa"/>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机电监理员</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781" w:type="dxa"/>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安全员</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p>
        </w:tc>
        <w:tc>
          <w:tcPr>
            <w:tcW w:w="781" w:type="dxa"/>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资料员</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781" w:type="dxa"/>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rPr>
                <w:rFonts w:hint="eastAsia" w:ascii="宋体" w:hAnsi="宋体" w:eastAsia="宋体" w:cs="宋体"/>
                <w:sz w:val="21"/>
                <w:szCs w:val="21"/>
              </w:rPr>
            </w:pPr>
            <w:r>
              <w:rPr>
                <w:rFonts w:hint="eastAsia" w:ascii="宋体" w:hAnsi="宋体" w:eastAsia="宋体" w:cs="宋体"/>
                <w:color w:val="000000"/>
                <w:sz w:val="21"/>
                <w:szCs w:val="21"/>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5</w:t>
            </w:r>
          </w:p>
        </w:tc>
        <w:tc>
          <w:tcPr>
            <w:tcW w:w="781" w:type="dxa"/>
            <w:tcBorders>
              <w:top w:val="single" w:color="000000" w:sz="6" w:space="0"/>
              <w:left w:val="single" w:color="000000" w:sz="6" w:space="0"/>
              <w:bottom w:val="single" w:color="000000" w:sz="6" w:space="0"/>
              <w:right w:val="single" w:color="000000" w:sz="6" w:space="0"/>
            </w:tcBorders>
            <w:shd w:val="clear" w:color="auto" w:fill="auto"/>
            <w:tcMar>
              <w:top w:w="12" w:type="dxa"/>
              <w:left w:w="12" w:type="dxa"/>
              <w:right w:w="12" w:type="dxa"/>
            </w:tcMar>
            <w:vAlign w:val="center"/>
          </w:tcPr>
          <w:p>
            <w:pPr>
              <w:pStyle w:val="34"/>
              <w:keepNext w:val="0"/>
              <w:keepLines w:val="0"/>
              <w:widowControl/>
              <w:suppressLineNumbers w:val="0"/>
              <w:spacing w:beforeAutospacing="1"/>
              <w:jc w:val="center"/>
              <w:rPr>
                <w:rFonts w:hint="eastAsia" w:ascii="宋体" w:hAnsi="宋体" w:eastAsia="宋体" w:cs="宋体"/>
                <w:sz w:val="21"/>
                <w:szCs w:val="21"/>
              </w:rPr>
            </w:pPr>
            <w:r>
              <w:rPr>
                <w:rFonts w:hint="eastAsia" w:ascii="宋体" w:hAnsi="宋体" w:eastAsia="宋体" w:cs="宋体"/>
                <w:color w:val="000000"/>
                <w:sz w:val="21"/>
                <w:szCs w:val="21"/>
              </w:rPr>
              <w:t>183</w:t>
            </w:r>
          </w:p>
        </w:tc>
      </w:tr>
    </w:tbl>
    <w:p>
      <w:pPr>
        <w:adjustRightInd w:val="0"/>
        <w:snapToGrid w:val="0"/>
        <w:spacing w:after="0" w:line="360" w:lineRule="auto"/>
        <w:rPr>
          <w:rFonts w:ascii="宋体" w:hAnsi="宋体" w:eastAsia="宋体" w:cs="宋体"/>
          <w:sz w:val="24"/>
          <w:lang w:bidi="ar"/>
        </w:rPr>
      </w:pPr>
    </w:p>
    <w:p>
      <w:pPr>
        <w:adjustRightInd w:val="0"/>
        <w:snapToGrid w:val="0"/>
        <w:spacing w:after="0" w:line="360" w:lineRule="auto"/>
        <w:rPr>
          <w:rFonts w:ascii="宋体" w:hAnsi="宋体" w:eastAsia="宋体" w:cs="宋体"/>
          <w:sz w:val="24"/>
          <w:lang w:bidi="ar"/>
        </w:rPr>
      </w:pPr>
      <w:r>
        <w:rPr>
          <w:rFonts w:hint="eastAsia" w:ascii="宋体" w:hAnsi="宋体" w:eastAsia="宋体" w:cs="宋体"/>
          <w:sz w:val="24"/>
          <w:lang w:bidi="ar"/>
        </w:rPr>
        <w:t>备注：</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1.本表不作为响应性审查依据，只作为定标综合评审因素评审依据。</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2.各岗位人员不得相互兼职。</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3.若拟派本项目监理人员属香港人士，须满足《广东省住房和城乡建设厅关于香港工程建设咨询企业和专业人士在粤港澳大湾区内地城市开业执业试点管理暂行办法》的相关规定并提供相关证明文件。</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4.以上项目监理组成人员资历证明材料为满足基本要求的相关证明资料，提供相关毕业证扫描件、本单位（不含投标人的子公司）社保证明资料（2025年10月）、简历表、职称证、注册证等相关证明资料，所学专业以其毕业证或注册监理工程师注册执业证书或职称证上所列的相关专业为准；相关工作经验以《主要人员简历表》中填写的</w:t>
      </w:r>
      <w:r>
        <w:rPr>
          <w:rFonts w:hint="eastAsia" w:ascii="宋体" w:hAnsi="宋体" w:eastAsia="宋体" w:cs="宋体"/>
          <w:b/>
          <w:sz w:val="24"/>
          <w:lang w:bidi="ar"/>
        </w:rPr>
        <w:t>“主要工作经历”</w:t>
      </w:r>
      <w:r>
        <w:rPr>
          <w:rFonts w:hint="eastAsia" w:ascii="宋体" w:hAnsi="宋体" w:eastAsia="宋体" w:cs="宋体"/>
          <w:sz w:val="24"/>
          <w:lang w:bidi="ar"/>
        </w:rPr>
        <w:t>为准。</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5.投入项目的监理人员驻场要求：投标人拟投入本项目的监理人员需按第五章委托人要求及合同相关要求驻场办公。</w:t>
      </w:r>
    </w:p>
    <w:p>
      <w:pPr>
        <w:spacing w:after="0" w:line="360" w:lineRule="auto"/>
        <w:rPr>
          <w:rFonts w:ascii="宋体" w:hAnsi="宋体" w:eastAsia="宋体" w:cs="宋体"/>
          <w:b/>
          <w:bCs/>
          <w:sz w:val="24"/>
          <w:lang w:bidi="ar"/>
        </w:rPr>
      </w:pPr>
      <w:r>
        <w:rPr>
          <w:rFonts w:hint="eastAsia" w:ascii="宋体" w:hAnsi="宋体" w:eastAsia="宋体" w:cs="宋体"/>
          <w:b/>
          <w:bCs/>
          <w:sz w:val="24"/>
          <w:lang w:bidi="ar"/>
        </w:rPr>
        <w:t>（二）监理工作的其他要求</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1、总进度计划经各方审批通过后，监理每天对进度执行情况进行检查，发现进度偏差及时进行纠偏。</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2、监理每天对施工单位的投入资源进行检查，包括人力、机械、材料及设备。</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3、要求施工单位上报材料、设备品牌定板计划，监理严格审核并监督执行。</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4、及时组织相关单位进行图纸会审，并提出监理审核意见。</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5、审核总承包单位、专业分包单位的管理体系的建立，及主要管理人员到位情况。</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6、及时组织审核总承包单位上报的施工组织设计及专项施工方案。</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7、及时组织编制监理规划及相关监理实施细则。</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8、制定本项目的安全文明施工管理办法并监督实施。</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9、及时组织各工作面移交，并形成书面移交资料。</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10、根据相关合同，及时理清总承包单位与各专业分包单位的承包工作界面。</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11、及时审核施工单位上报的超过一定规模的危险性较大的分部分项工程施工方案，监督施工单位完成专家论证程序并参与专家论证。</w:t>
      </w:r>
    </w:p>
    <w:p>
      <w:pPr>
        <w:adjustRightInd w:val="0"/>
        <w:snapToGrid w:val="0"/>
        <w:spacing w:after="0" w:line="360" w:lineRule="auto"/>
        <w:rPr>
          <w:rFonts w:ascii="宋体" w:hAnsi="宋体" w:eastAsia="宋体" w:cs="宋体"/>
          <w:sz w:val="24"/>
        </w:rPr>
      </w:pPr>
      <w:r>
        <w:rPr>
          <w:rFonts w:hint="eastAsia" w:ascii="宋体" w:hAnsi="宋体" w:eastAsia="宋体" w:cs="宋体"/>
          <w:sz w:val="24"/>
          <w:lang w:bidi="ar"/>
        </w:rPr>
        <w:t>12、监理制定本项目重要设备及材料的监造工作计划并实施。</w:t>
      </w:r>
    </w:p>
    <w:p>
      <w:pPr>
        <w:adjustRightInd w:val="0"/>
        <w:snapToGrid w:val="0"/>
        <w:spacing w:after="0" w:line="360" w:lineRule="auto"/>
        <w:rPr>
          <w:rFonts w:ascii="宋体" w:hAnsi="宋体" w:eastAsia="宋体" w:cs="宋体"/>
          <w:sz w:val="24"/>
          <w:lang w:bidi="ar"/>
        </w:rPr>
      </w:pPr>
      <w:r>
        <w:rPr>
          <w:rFonts w:hint="eastAsia" w:ascii="宋体" w:hAnsi="宋体" w:eastAsia="宋体" w:cs="宋体"/>
          <w:sz w:val="24"/>
          <w:lang w:bidi="ar"/>
        </w:rPr>
        <w:t>13、制定本项目验收移交工作计划，并组织实施。</w:t>
      </w:r>
    </w:p>
    <w:bookmarkEnd w:id="502"/>
    <w:bookmarkEnd w:id="503"/>
    <w:p>
      <w:pPr>
        <w:pStyle w:val="4"/>
        <w:spacing w:before="0" w:after="0" w:line="360" w:lineRule="auto"/>
        <w:rPr>
          <w:rFonts w:ascii="宋体" w:hAnsi="宋体" w:eastAsia="宋体" w:cs="宋体"/>
          <w:b/>
          <w:color w:val="auto"/>
          <w:sz w:val="24"/>
          <w:szCs w:val="24"/>
          <w:lang w:eastAsia="zh-Hans"/>
        </w:rPr>
      </w:pPr>
      <w:bookmarkStart w:id="505" w:name="_Toc21042"/>
      <w:bookmarkStart w:id="506" w:name="_Toc13457"/>
      <w:r>
        <w:rPr>
          <w:rFonts w:hint="eastAsia" w:ascii="宋体" w:hAnsi="宋体" w:eastAsia="宋体" w:cs="宋体"/>
          <w:b/>
          <w:color w:val="auto"/>
          <w:sz w:val="24"/>
          <w:szCs w:val="24"/>
        </w:rPr>
        <w:t>六</w:t>
      </w:r>
      <w:r>
        <w:rPr>
          <w:rFonts w:hint="eastAsia" w:ascii="宋体" w:hAnsi="宋体" w:eastAsia="宋体" w:cs="宋体"/>
          <w:b/>
          <w:color w:val="auto"/>
          <w:sz w:val="24"/>
          <w:szCs w:val="24"/>
          <w:lang w:eastAsia="zh-Hans"/>
        </w:rPr>
        <w:t>、其它管理要求</w:t>
      </w:r>
      <w:bookmarkEnd w:id="505"/>
      <w:bookmarkEnd w:id="506"/>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（一）工程实施总体要求</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本工程在实施过程中必须采取有效措施，制定切实可行监理大纲、监理实施细则，实现工程的进度、投资、质量、安全、环境管理目标。</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（二）专业工程实施能力要求</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1、本次招标建设内容专业性较强，中标人应具备完成本项目专业工程的监理能力。根据国家、住房和城乡建设部和省市相关规定并按照广州越冠房地产开发有限公司建设工程合同依法分包操作细则要求，监理单位要严格监督施工单位不得分包主体、关键性的工作；对于非主体的工程、非关键性的工作，施工单位严格审核分包申请，并做好分包单位的监理管理。</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2、中标人应具备审核相应的专业工程深化设计能力，做好发包人招标范围内必须进行深化设计的专业工程的审核，并提出合理化建议。</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3、按《建设项目创安全文明施工样板工地细则》的要求，在开工前督促施工单位制定《创优工地实施方案》，并报审。</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4、按要求督促施工单位编制并审核各项施工方案（包括：材料设备看样定板、样板引路、材料采购、加工制作、运输、存放、安装、检测、计划，确保工期目标实现等内容），并报审。</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5、严格按图施工，承包人必须严格督促施工单位按审查批准的施工方案和设计图纸施工，不得擅自修改施工方案及设计图纸。</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6、为有效开展监理工作，监理单位必须在现场配备传真机、电脑等必要的办公设备，并配备自用的交通车辆，以保障及时有效的进行文件资料传递、开展会议等工作。</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（三）关于定标方面对投标人的要求</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 xml:space="preserve">    对投标人在各阶段监理方案、对本项目重点及难点分析及解决措施等监理大纲内容的合理性、可行性进行评审。</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1.在施工监理方案方面：考核监理工作目标是否明确，监理工作依据、制度、流程是否完善；监理工作内容及管理手段是否合理可行、措施具体、针对性是否符合。</w:t>
      </w:r>
    </w:p>
    <w:p>
      <w:pPr>
        <w:widowControl/>
        <w:topLinePunct/>
        <w:adjustRightInd w:val="0"/>
        <w:snapToGrid w:val="0"/>
        <w:spacing w:after="0" w:line="360" w:lineRule="auto"/>
        <w:ind w:left="130" w:leftChars="59"/>
        <w:rPr>
          <w:rFonts w:ascii="宋体" w:hAnsi="宋体" w:eastAsia="宋体" w:cs="宋体"/>
          <w:spacing w:val="4"/>
          <w:kern w:val="0"/>
          <w:sz w:val="24"/>
        </w:rPr>
      </w:pPr>
      <w:r>
        <w:rPr>
          <w:rFonts w:hint="eastAsia" w:ascii="宋体" w:hAnsi="宋体" w:eastAsia="宋体" w:cs="宋体"/>
          <w:spacing w:val="4"/>
          <w:kern w:val="0"/>
          <w:sz w:val="24"/>
        </w:rPr>
        <w:t>2.在对本项目重点及难点分析及解决措施方面：</w:t>
      </w:r>
      <w:r>
        <w:rPr>
          <w:rFonts w:hint="eastAsia" w:ascii="宋体" w:hAnsi="宋体" w:eastAsia="宋体" w:cs="宋体"/>
          <w:sz w:val="24"/>
          <w:lang w:bidi="ar"/>
        </w:rPr>
        <w:t>由于本项目临设场地有限</w:t>
      </w:r>
      <w:r>
        <w:rPr>
          <w:rFonts w:hint="eastAsia" w:ascii="宋体" w:hAnsi="宋体" w:eastAsia="宋体" w:cs="宋体"/>
          <w:spacing w:val="4"/>
          <w:kern w:val="0"/>
          <w:sz w:val="24"/>
        </w:rPr>
        <w:t>，</w:t>
      </w:r>
      <w:r>
        <w:rPr>
          <w:rFonts w:hint="eastAsia" w:ascii="宋体" w:hAnsi="宋体" w:eastAsia="宋体" w:cs="宋体"/>
          <w:sz w:val="24"/>
          <w:lang w:bidi="ar"/>
        </w:rPr>
        <w:t>需统筹考虑临设的布置、材料进场堆放、场地内临时道路的交通流向组织等诸多因数，确保场地总平面合理布局；施工的同时保障院区的正常运营以及各专业与工序接口管理及协调</w:t>
      </w:r>
      <w:r>
        <w:rPr>
          <w:rFonts w:hint="eastAsia" w:ascii="宋体" w:hAnsi="宋体" w:eastAsia="宋体" w:cs="宋体"/>
          <w:spacing w:val="4"/>
          <w:kern w:val="0"/>
          <w:sz w:val="24"/>
        </w:rPr>
        <w:t>等为本项目重点难点，考核投标人针对本项目建设特点进行监理的重点难点分析、提出相关解决技术措施方案、措施是否全面具体、针对性是否符合要求。</w:t>
      </w:r>
    </w:p>
    <w:p>
      <w:pPr>
        <w:widowControl/>
        <w:topLinePunct/>
        <w:adjustRightInd w:val="0"/>
        <w:snapToGrid w:val="0"/>
        <w:spacing w:after="0" w:line="360" w:lineRule="auto"/>
        <w:ind w:left="130" w:leftChars="59"/>
        <w:rPr>
          <w:rFonts w:ascii="宋体" w:hAnsi="宋体" w:eastAsia="宋体" w:cs="宋体"/>
          <w:spacing w:val="4"/>
          <w:kern w:val="0"/>
          <w:sz w:val="24"/>
        </w:rPr>
      </w:pPr>
    </w:p>
    <w:p>
      <w:pPr>
        <w:spacing w:after="0" w:line="360" w:lineRule="auto"/>
        <w:rPr>
          <w:rFonts w:ascii="宋体" w:hAnsi="宋体" w:eastAsia="宋体" w:cs="宋体"/>
          <w:sz w:val="24"/>
        </w:rPr>
      </w:pPr>
    </w:p>
    <w:p>
      <w:r>
        <w:rPr>
          <w:rFonts w:hint="eastAsia"/>
        </w:rPr>
        <w:br w:type="page"/>
      </w:r>
      <w:bookmarkEnd w:id="476"/>
    </w:p>
    <w:bookmarkEnd w:id="466"/>
    <w:bookmarkEnd w:id="467"/>
    <w:bookmarkEnd w:id="468"/>
    <w:bookmarkEnd w:id="469"/>
    <w:bookmarkEnd w:id="470"/>
    <w:p>
      <w:pPr>
        <w:pStyle w:val="95"/>
        <w:jc w:val="center"/>
        <w:rPr>
          <w:rFonts w:ascii="宋体" w:hAnsi="宋体" w:eastAsia="宋体" w:cs="宋体"/>
          <w:sz w:val="44"/>
          <w:szCs w:val="44"/>
        </w:rPr>
      </w:pPr>
      <w:bookmarkStart w:id="507" w:name="_Toc6575"/>
      <w:bookmarkEnd w:id="507"/>
      <w:bookmarkStart w:id="508" w:name="_Toc286"/>
      <w:bookmarkStart w:id="509" w:name="_Toc176879860"/>
      <w:r>
        <w:rPr>
          <w:rFonts w:hint="eastAsia" w:ascii="宋体" w:hAnsi="宋体" w:eastAsia="宋体" w:cs="宋体"/>
          <w:sz w:val="44"/>
          <w:szCs w:val="44"/>
        </w:rPr>
        <w:t>第三卷</w:t>
      </w:r>
      <w:bookmarkEnd w:id="508"/>
      <w:bookmarkEnd w:id="509"/>
    </w:p>
    <w:p>
      <w:pPr>
        <w:widowControl/>
        <w:spacing w:after="0" w:line="360" w:lineRule="auto"/>
        <w:rPr>
          <w:rFonts w:ascii="宋体" w:hAnsi="宋体" w:eastAsia="宋体" w:cs="宋体"/>
          <w:b/>
          <w:sz w:val="24"/>
          <w:lang w:eastAsia="zh-Hans"/>
          <w14:ligatures w14:val="none"/>
        </w:rPr>
      </w:pPr>
      <w:r>
        <w:rPr>
          <w:rFonts w:hint="eastAsia" w:ascii="宋体" w:hAnsi="宋体" w:eastAsia="宋体" w:cs="宋体"/>
          <w:sz w:val="24"/>
        </w:rPr>
        <w:br w:type="page"/>
      </w:r>
    </w:p>
    <w:p>
      <w:pPr>
        <w:pStyle w:val="93"/>
        <w:jc w:val="center"/>
        <w:rPr>
          <w:rFonts w:ascii="宋体" w:hAnsi="宋体" w:cs="宋体"/>
          <w:sz w:val="32"/>
          <w:szCs w:val="32"/>
          <w:lang w:eastAsia="zh-CN"/>
          <w14:ligatures w14:val="standardContextual"/>
        </w:rPr>
      </w:pPr>
      <w:bookmarkStart w:id="510" w:name="_Toc31855"/>
      <w:r>
        <w:rPr>
          <w:rFonts w:hint="eastAsia" w:ascii="宋体" w:hAnsi="宋体" w:cs="宋体"/>
          <w:sz w:val="32"/>
          <w:szCs w:val="32"/>
          <w:lang w:eastAsia="zh-CN"/>
          <w14:ligatures w14:val="standardContextual"/>
        </w:rPr>
        <w:t>第六章 投标文件格式</w:t>
      </w:r>
      <w:bookmarkEnd w:id="510"/>
    </w:p>
    <w:p>
      <w:pPr>
        <w:pStyle w:val="46"/>
        <w:ind w:firstLine="0" w:firstLineChars="0"/>
        <w:rPr>
          <w:rFonts w:ascii="宋体" w:hAnsi="宋体" w:cs="宋体"/>
          <w:szCs w:val="24"/>
        </w:rPr>
      </w:pPr>
    </w:p>
    <w:p>
      <w:pPr>
        <w:spacing w:after="0" w:line="360" w:lineRule="auto"/>
        <w:jc w:val="center"/>
        <w:rPr>
          <w:rFonts w:ascii="宋体" w:hAnsi="宋体" w:eastAsia="宋体" w:cs="宋体"/>
          <w:b/>
          <w:bCs/>
          <w:sz w:val="24"/>
        </w:rPr>
      </w:pPr>
      <w:r>
        <w:rPr>
          <w:rFonts w:hint="eastAsia" w:ascii="宋体" w:hAnsi="宋体" w:eastAsia="宋体" w:cs="宋体"/>
          <w:b/>
          <w:bCs/>
          <w:sz w:val="24"/>
        </w:rPr>
        <w:t>封面</w:t>
      </w:r>
    </w:p>
    <w:p>
      <w:pPr>
        <w:pStyle w:val="46"/>
        <w:ind w:firstLine="0" w:firstLineChars="0"/>
        <w:jc w:val="center"/>
        <w:rPr>
          <w:rFonts w:ascii="宋体" w:hAnsi="宋体" w:cs="宋体"/>
          <w:szCs w:val="24"/>
        </w:rPr>
      </w:pPr>
      <w:r>
        <w:rPr>
          <w:rFonts w:hint="eastAsia" w:ascii="宋体" w:hAnsi="宋体" w:cs="宋体"/>
          <w:szCs w:val="24"/>
        </w:rPr>
        <w:t>（项目名称）</w:t>
      </w:r>
    </w:p>
    <w:p>
      <w:pPr>
        <w:pStyle w:val="46"/>
        <w:ind w:firstLine="0" w:firstLineChars="0"/>
        <w:jc w:val="center"/>
        <w:rPr>
          <w:rFonts w:ascii="宋体" w:hAnsi="宋体" w:cs="宋体"/>
          <w:szCs w:val="24"/>
        </w:rPr>
      </w:pPr>
      <w:r>
        <w:rPr>
          <w:rFonts w:hint="eastAsia" w:ascii="宋体" w:hAnsi="宋体" w:cs="宋体"/>
          <w:szCs w:val="24"/>
        </w:rPr>
        <w:t>(项目编号：       )</w:t>
      </w:r>
    </w:p>
    <w:p>
      <w:pPr>
        <w:pStyle w:val="46"/>
        <w:ind w:firstLine="0" w:firstLineChars="0"/>
        <w:jc w:val="center"/>
        <w:rPr>
          <w:rFonts w:ascii="宋体" w:hAnsi="宋体" w:cs="宋体"/>
          <w:szCs w:val="24"/>
        </w:rPr>
      </w:pPr>
    </w:p>
    <w:p>
      <w:pPr>
        <w:pStyle w:val="46"/>
        <w:ind w:firstLine="0" w:firstLineChars="0"/>
        <w:jc w:val="center"/>
        <w:rPr>
          <w:rFonts w:ascii="宋体" w:hAnsi="宋体" w:cs="宋体"/>
          <w:szCs w:val="24"/>
        </w:rPr>
      </w:pPr>
    </w:p>
    <w:p>
      <w:pPr>
        <w:spacing w:after="0" w:line="360" w:lineRule="auto"/>
        <w:jc w:val="center"/>
        <w:rPr>
          <w:rFonts w:ascii="宋体" w:hAnsi="宋体" w:eastAsia="宋体" w:cs="宋体"/>
          <w:sz w:val="24"/>
        </w:rPr>
      </w:pPr>
    </w:p>
    <w:p>
      <w:pPr>
        <w:spacing w:after="0" w:line="360" w:lineRule="auto"/>
        <w:jc w:val="center"/>
        <w:rPr>
          <w:rFonts w:ascii="宋体" w:hAnsi="宋体" w:eastAsia="宋体" w:cs="宋体"/>
          <w:sz w:val="24"/>
        </w:rPr>
      </w:pPr>
    </w:p>
    <w:p>
      <w:pPr>
        <w:pStyle w:val="46"/>
        <w:ind w:firstLine="0" w:firstLineChars="0"/>
        <w:jc w:val="center"/>
        <w:rPr>
          <w:rFonts w:ascii="宋体" w:hAnsi="宋体" w:cs="宋体"/>
          <w:b/>
          <w:bCs/>
          <w:szCs w:val="24"/>
        </w:rPr>
      </w:pPr>
      <w:r>
        <w:rPr>
          <w:rFonts w:hint="eastAsia" w:ascii="宋体" w:hAnsi="宋体" w:cs="宋体"/>
          <w:b/>
          <w:bCs/>
          <w:szCs w:val="24"/>
        </w:rPr>
        <w:t>投标文件</w:t>
      </w: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jc w:val="center"/>
        <w:rPr>
          <w:rFonts w:ascii="宋体" w:hAnsi="宋体" w:cs="宋体"/>
          <w:szCs w:val="24"/>
        </w:rPr>
      </w:pPr>
      <w:r>
        <w:rPr>
          <w:rFonts w:hint="eastAsia" w:ascii="宋体" w:hAnsi="宋体" w:cs="宋体"/>
          <w:szCs w:val="24"/>
        </w:rPr>
        <w:t>投标人：</w:t>
      </w:r>
    </w:p>
    <w:p>
      <w:pPr>
        <w:pStyle w:val="46"/>
        <w:ind w:firstLine="0" w:firstLineChars="0"/>
        <w:jc w:val="center"/>
        <w:rPr>
          <w:rFonts w:ascii="宋体" w:hAnsi="宋体" w:cs="宋体"/>
          <w:szCs w:val="24"/>
        </w:rPr>
      </w:pPr>
      <w:r>
        <w:rPr>
          <w:rFonts w:hint="eastAsia" w:ascii="宋体" w:hAnsi="宋体" w:cs="宋体"/>
          <w:szCs w:val="24"/>
        </w:rPr>
        <w:t>法定代表人或其委托代理人：</w:t>
      </w:r>
    </w:p>
    <w:p>
      <w:pPr>
        <w:pStyle w:val="46"/>
        <w:ind w:firstLine="0" w:firstLineChars="0"/>
        <w:jc w:val="center"/>
        <w:rPr>
          <w:rFonts w:ascii="宋体" w:hAnsi="宋体" w:cs="宋体"/>
          <w:szCs w:val="24"/>
        </w:rPr>
      </w:pPr>
    </w:p>
    <w:p>
      <w:pPr>
        <w:pStyle w:val="46"/>
        <w:ind w:firstLine="0" w:firstLineChars="0"/>
        <w:jc w:val="center"/>
        <w:rPr>
          <w:rFonts w:ascii="宋体" w:hAnsi="宋体" w:cs="宋体"/>
          <w:szCs w:val="24"/>
        </w:rPr>
      </w:pPr>
      <w:r>
        <w:rPr>
          <w:rFonts w:hint="eastAsia" w:ascii="宋体" w:hAnsi="宋体" w:cs="宋体"/>
          <w:szCs w:val="24"/>
        </w:rPr>
        <w:t>年   月   日</w:t>
      </w: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b/>
          <w:bCs/>
          <w:szCs w:val="24"/>
        </w:rPr>
      </w:pPr>
      <w:r>
        <w:rPr>
          <w:rFonts w:hint="eastAsia" w:ascii="宋体" w:hAnsi="宋体" w:cs="宋体"/>
          <w:szCs w:val="24"/>
        </w:rPr>
        <w:br w:type="page"/>
      </w:r>
      <w:bookmarkStart w:id="511" w:name="_Toc529196598"/>
      <w:bookmarkStart w:id="512" w:name="_Toc535938750"/>
      <w:bookmarkStart w:id="513" w:name="_Toc530470640"/>
      <w:r>
        <w:rPr>
          <w:rFonts w:hint="eastAsia" w:ascii="宋体" w:hAnsi="宋体" w:cs="宋体"/>
          <w:b/>
          <w:bCs/>
          <w:szCs w:val="24"/>
        </w:rPr>
        <w:t>目   录</w:t>
      </w:r>
      <w:bookmarkEnd w:id="511"/>
      <w:bookmarkEnd w:id="512"/>
      <w:bookmarkEnd w:id="513"/>
    </w:p>
    <w:p>
      <w:pPr>
        <w:pStyle w:val="46"/>
        <w:ind w:firstLine="0" w:firstLineChars="0"/>
        <w:rPr>
          <w:rFonts w:ascii="宋体" w:hAnsi="宋体" w:cs="宋体"/>
          <w:szCs w:val="24"/>
        </w:rPr>
      </w:pPr>
    </w:p>
    <w:p>
      <w:pPr>
        <w:pStyle w:val="46"/>
        <w:ind w:firstLine="0" w:firstLineChars="0"/>
        <w:rPr>
          <w:rFonts w:ascii="宋体" w:hAnsi="宋体" w:cs="宋体"/>
          <w:szCs w:val="24"/>
        </w:rPr>
      </w:pPr>
      <w:bookmarkStart w:id="514" w:name="_Toc352691655"/>
      <w:bookmarkStart w:id="515" w:name="_Toc369531691"/>
      <w:bookmarkStart w:id="516" w:name="_Toc7039"/>
      <w:r>
        <w:rPr>
          <w:rFonts w:hint="eastAsia" w:ascii="宋体" w:hAnsi="宋体" w:cs="宋体"/>
          <w:szCs w:val="24"/>
        </w:rPr>
        <w:t>一、投标函及投标函附录</w:t>
      </w:r>
    </w:p>
    <w:p>
      <w:pPr>
        <w:pStyle w:val="46"/>
        <w:ind w:firstLine="0" w:firstLineChars="0"/>
        <w:rPr>
          <w:rFonts w:ascii="宋体" w:hAnsi="宋体" w:cs="宋体"/>
          <w:szCs w:val="24"/>
        </w:rPr>
      </w:pPr>
      <w:r>
        <w:rPr>
          <w:rFonts w:hint="eastAsia" w:ascii="宋体" w:hAnsi="宋体" w:cs="宋体"/>
          <w:szCs w:val="24"/>
        </w:rPr>
        <w:t>二、法定代表人身份证明（适用于无委托代理人的情况）</w:t>
      </w:r>
    </w:p>
    <w:p>
      <w:pPr>
        <w:pStyle w:val="46"/>
        <w:ind w:firstLine="0" w:firstLineChars="0"/>
        <w:rPr>
          <w:rFonts w:ascii="宋体" w:hAnsi="宋体" w:cs="宋体"/>
          <w:szCs w:val="24"/>
        </w:rPr>
      </w:pPr>
      <w:r>
        <w:rPr>
          <w:rFonts w:hint="eastAsia" w:ascii="宋体" w:hAnsi="宋体" w:cs="宋体"/>
          <w:szCs w:val="24"/>
        </w:rPr>
        <w:t>二、授权委托书（适用于有委托代理人的情况）</w:t>
      </w:r>
    </w:p>
    <w:p>
      <w:pPr>
        <w:pStyle w:val="46"/>
        <w:ind w:firstLine="0" w:firstLineChars="0"/>
        <w:rPr>
          <w:rFonts w:ascii="宋体" w:hAnsi="宋体" w:cs="宋体"/>
          <w:szCs w:val="24"/>
        </w:rPr>
      </w:pPr>
      <w:r>
        <w:rPr>
          <w:rFonts w:hint="eastAsia" w:ascii="宋体" w:hAnsi="宋体" w:cs="宋体"/>
          <w:szCs w:val="24"/>
        </w:rPr>
        <w:t>三、监理报酬清单</w:t>
      </w:r>
    </w:p>
    <w:p>
      <w:pPr>
        <w:pStyle w:val="46"/>
        <w:ind w:firstLine="0" w:firstLineChars="0"/>
        <w:rPr>
          <w:rFonts w:ascii="宋体" w:hAnsi="宋体" w:cs="宋体"/>
          <w:szCs w:val="24"/>
        </w:rPr>
      </w:pPr>
      <w:r>
        <w:rPr>
          <w:rFonts w:hint="eastAsia" w:ascii="宋体" w:hAnsi="宋体" w:cs="宋体"/>
          <w:szCs w:val="24"/>
        </w:rPr>
        <w:t>四、资格审查资料</w:t>
      </w:r>
    </w:p>
    <w:p>
      <w:pPr>
        <w:pStyle w:val="46"/>
        <w:ind w:firstLine="0" w:firstLineChars="0"/>
        <w:rPr>
          <w:rFonts w:ascii="宋体" w:hAnsi="宋体" w:cs="宋体"/>
          <w:szCs w:val="24"/>
        </w:rPr>
      </w:pPr>
      <w:r>
        <w:rPr>
          <w:rFonts w:hint="eastAsia" w:ascii="宋体" w:hAnsi="宋体" w:cs="宋体"/>
          <w:szCs w:val="24"/>
        </w:rPr>
        <w:t>五、监理大纲（方案）</w:t>
      </w:r>
    </w:p>
    <w:p>
      <w:pPr>
        <w:pStyle w:val="46"/>
        <w:ind w:firstLine="0" w:firstLineChars="0"/>
        <w:rPr>
          <w:rFonts w:ascii="宋体" w:hAnsi="宋体" w:cs="宋体"/>
          <w:szCs w:val="24"/>
        </w:rPr>
      </w:pPr>
      <w:r>
        <w:rPr>
          <w:rFonts w:hint="eastAsia" w:ascii="宋体" w:hAnsi="宋体" w:cs="宋体"/>
          <w:szCs w:val="24"/>
        </w:rPr>
        <w:t>六、其他资料（包括但不限制于以下内容）</w:t>
      </w:r>
    </w:p>
    <w:p>
      <w:pPr>
        <w:pStyle w:val="46"/>
        <w:ind w:firstLine="0" w:firstLineChars="0"/>
        <w:rPr>
          <w:rFonts w:ascii="宋体" w:hAnsi="宋体" w:cs="宋体"/>
          <w:szCs w:val="24"/>
        </w:rPr>
      </w:pPr>
      <w:r>
        <w:rPr>
          <w:rFonts w:hint="eastAsia" w:ascii="宋体" w:hAnsi="宋体" w:cs="宋体"/>
          <w:szCs w:val="24"/>
        </w:rPr>
        <w:t>①工程监理服务承诺书；</w:t>
      </w:r>
    </w:p>
    <w:p>
      <w:pPr>
        <w:pStyle w:val="46"/>
        <w:ind w:firstLine="0" w:firstLineChars="0"/>
        <w:rPr>
          <w:rFonts w:ascii="宋体" w:hAnsi="宋体" w:cs="宋体"/>
          <w:szCs w:val="24"/>
        </w:rPr>
      </w:pPr>
      <w:r>
        <w:rPr>
          <w:rFonts w:hint="eastAsia" w:ascii="宋体" w:hAnsi="宋体" w:cs="宋体"/>
          <w:szCs w:val="24"/>
        </w:rPr>
        <w:t>②工程监理合同响应承诺书；</w:t>
      </w:r>
    </w:p>
    <w:p>
      <w:pPr>
        <w:pStyle w:val="46"/>
        <w:ind w:firstLine="0" w:firstLineChars="0"/>
        <w:rPr>
          <w:rFonts w:ascii="宋体" w:hAnsi="宋体" w:cs="宋体"/>
          <w:szCs w:val="24"/>
        </w:rPr>
      </w:pPr>
      <w:r>
        <w:rPr>
          <w:rFonts w:hint="eastAsia" w:ascii="宋体" w:hAnsi="宋体" w:cs="宋体"/>
          <w:szCs w:val="24"/>
        </w:rPr>
        <w:t>③工程监理人员到位承诺书</w:t>
      </w:r>
    </w:p>
    <w:p>
      <w:pPr>
        <w:pStyle w:val="46"/>
        <w:ind w:firstLine="0" w:firstLineChars="0"/>
        <w:rPr>
          <w:rFonts w:ascii="宋体" w:hAnsi="宋体" w:cs="宋体"/>
          <w:szCs w:val="24"/>
        </w:rPr>
      </w:pPr>
      <w:r>
        <w:rPr>
          <w:rFonts w:hint="eastAsia" w:ascii="宋体" w:hAnsi="宋体" w:cs="宋体"/>
          <w:szCs w:val="24"/>
        </w:rPr>
        <w:t>④工程监理人员任职承诺书；</w:t>
      </w:r>
    </w:p>
    <w:p>
      <w:pPr>
        <w:pStyle w:val="46"/>
        <w:ind w:firstLine="0" w:firstLineChars="0"/>
        <w:rPr>
          <w:rFonts w:ascii="宋体" w:hAnsi="宋体" w:cs="宋体"/>
          <w:szCs w:val="24"/>
        </w:rPr>
      </w:pPr>
      <w:r>
        <w:rPr>
          <w:rFonts w:hint="eastAsia" w:ascii="宋体" w:hAnsi="宋体" w:cs="宋体"/>
          <w:szCs w:val="24"/>
        </w:rPr>
        <w:t>⑤拟投入的设备仪器到位承诺书；</w:t>
      </w:r>
    </w:p>
    <w:p>
      <w:pPr>
        <w:pStyle w:val="46"/>
        <w:ind w:firstLine="0" w:firstLineChars="0"/>
        <w:rPr>
          <w:rFonts w:ascii="宋体" w:hAnsi="宋体" w:cs="宋体"/>
          <w:szCs w:val="24"/>
        </w:rPr>
      </w:pPr>
      <w:r>
        <w:rPr>
          <w:rFonts w:hint="eastAsia" w:ascii="宋体" w:hAnsi="宋体" w:cs="宋体"/>
          <w:szCs w:val="24"/>
        </w:rPr>
        <w:t>⑥拟委派本项目驻场监理人员配备响应情况表；</w:t>
      </w:r>
    </w:p>
    <w:p>
      <w:pPr>
        <w:pStyle w:val="46"/>
        <w:ind w:firstLine="0" w:firstLineChars="0"/>
        <w:rPr>
          <w:rFonts w:ascii="宋体" w:hAnsi="宋体" w:cs="宋体"/>
          <w:szCs w:val="24"/>
        </w:rPr>
      </w:pPr>
      <w:r>
        <w:rPr>
          <w:rFonts w:hint="eastAsia" w:ascii="宋体" w:hAnsi="宋体" w:cs="宋体"/>
          <w:szCs w:val="24"/>
        </w:rPr>
        <w:t>七、投标人认为需要提供的资料（如有）。</w:t>
      </w: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bookmarkEnd w:id="514"/>
    <w:bookmarkEnd w:id="515"/>
    <w:bookmarkEnd w:id="516"/>
    <w:p>
      <w:pPr>
        <w:pStyle w:val="46"/>
        <w:ind w:firstLine="0" w:firstLineChars="0"/>
        <w:rPr>
          <w:rFonts w:ascii="宋体" w:hAnsi="宋体" w:cs="宋体"/>
          <w:b/>
          <w:bCs/>
          <w:szCs w:val="24"/>
        </w:rPr>
      </w:pPr>
      <w:bookmarkStart w:id="517" w:name="_Toc535938751"/>
      <w:bookmarkStart w:id="518" w:name="_Toc530470642"/>
      <w:bookmarkStart w:id="519" w:name="_Toc529196600"/>
      <w:r>
        <w:rPr>
          <w:rFonts w:hint="eastAsia" w:ascii="宋体" w:hAnsi="宋体" w:cs="宋体"/>
          <w:szCs w:val="24"/>
        </w:rPr>
        <w:br w:type="page"/>
      </w:r>
      <w:r>
        <w:rPr>
          <w:rFonts w:hint="eastAsia" w:ascii="宋体" w:hAnsi="宋体" w:cs="宋体"/>
          <w:b/>
          <w:bCs/>
          <w:szCs w:val="24"/>
        </w:rPr>
        <w:t>一、投标</w:t>
      </w:r>
      <w:bookmarkStart w:id="520" w:name="_Toc6931"/>
      <w:bookmarkStart w:id="521" w:name="_Toc352691656"/>
      <w:bookmarkStart w:id="522" w:name="_Toc369531692"/>
      <w:r>
        <w:rPr>
          <w:rFonts w:hint="eastAsia" w:ascii="宋体" w:hAnsi="宋体" w:cs="宋体"/>
          <w:b/>
          <w:bCs/>
          <w:szCs w:val="24"/>
        </w:rPr>
        <w:t>函及投标函附录</w:t>
      </w:r>
      <w:bookmarkEnd w:id="517"/>
      <w:bookmarkEnd w:id="518"/>
      <w:bookmarkEnd w:id="519"/>
    </w:p>
    <w:bookmarkEnd w:id="520"/>
    <w:bookmarkEnd w:id="521"/>
    <w:bookmarkEnd w:id="522"/>
    <w:p>
      <w:pPr>
        <w:pStyle w:val="46"/>
        <w:ind w:firstLine="0" w:firstLineChars="0"/>
        <w:rPr>
          <w:rFonts w:ascii="宋体" w:hAnsi="宋体" w:cs="宋体"/>
          <w:b/>
          <w:bCs/>
          <w:szCs w:val="24"/>
        </w:rPr>
      </w:pPr>
      <w:bookmarkStart w:id="523" w:name="_Toc370676426"/>
      <w:bookmarkStart w:id="524" w:name="_Toc359594235"/>
      <w:bookmarkStart w:id="525" w:name="_Toc482188651"/>
      <w:bookmarkStart w:id="526" w:name="_Toc535938752"/>
      <w:bookmarkStart w:id="527" w:name="_Toc385943065"/>
      <w:bookmarkStart w:id="528" w:name="_Toc529196601"/>
      <w:bookmarkStart w:id="529" w:name="_Toc530470643"/>
      <w:bookmarkStart w:id="530" w:name="_Toc391394111"/>
      <w:r>
        <w:rPr>
          <w:rFonts w:hint="eastAsia" w:ascii="宋体" w:hAnsi="宋体" w:cs="宋体"/>
          <w:b/>
          <w:bCs/>
          <w:szCs w:val="24"/>
        </w:rPr>
        <w:t>（一）投标函</w:t>
      </w:r>
      <w:bookmarkEnd w:id="523"/>
      <w:bookmarkEnd w:id="524"/>
      <w:bookmarkEnd w:id="525"/>
      <w:bookmarkEnd w:id="526"/>
      <w:bookmarkEnd w:id="527"/>
      <w:bookmarkEnd w:id="528"/>
      <w:bookmarkEnd w:id="529"/>
      <w:bookmarkEnd w:id="530"/>
    </w:p>
    <w:p>
      <w:pPr>
        <w:pStyle w:val="46"/>
        <w:ind w:firstLine="0" w:firstLineChars="0"/>
        <w:rPr>
          <w:rFonts w:ascii="宋体" w:hAnsi="宋体" w:cs="宋体"/>
          <w:szCs w:val="24"/>
        </w:rPr>
      </w:pPr>
      <w:r>
        <w:rPr>
          <w:rFonts w:hint="eastAsia" w:ascii="宋体" w:hAnsi="宋体" w:cs="宋体"/>
          <w:szCs w:val="24"/>
        </w:rPr>
        <w:t xml:space="preserve">            （招标人名称）：</w:t>
      </w:r>
    </w:p>
    <w:p>
      <w:pPr>
        <w:pStyle w:val="46"/>
        <w:ind w:firstLine="0" w:firstLineChars="0"/>
        <w:rPr>
          <w:rFonts w:ascii="宋体" w:hAnsi="宋体" w:cs="宋体"/>
          <w:szCs w:val="24"/>
        </w:rPr>
      </w:pPr>
      <w:r>
        <w:rPr>
          <w:rFonts w:hint="eastAsia" w:ascii="宋体" w:hAnsi="宋体" w:cs="宋体"/>
          <w:szCs w:val="24"/>
        </w:rPr>
        <w:t>1．我方已仔细研究了          （项目名称）监理招标项目招标文件的全部内容，愿意以《投标函附录》中的投标报价和监理服务期限，按合同约定完成监理工作。</w:t>
      </w:r>
    </w:p>
    <w:p>
      <w:pPr>
        <w:pStyle w:val="46"/>
        <w:ind w:firstLine="0" w:firstLineChars="0"/>
        <w:rPr>
          <w:rFonts w:ascii="宋体" w:hAnsi="宋体" w:cs="宋体"/>
          <w:szCs w:val="24"/>
        </w:rPr>
      </w:pPr>
      <w:bookmarkStart w:id="531" w:name="_Toc530470644"/>
      <w:r>
        <w:rPr>
          <w:rFonts w:hint="eastAsia" w:ascii="宋体" w:hAnsi="宋体" w:cs="宋体"/>
          <w:szCs w:val="24"/>
        </w:rPr>
        <w:t>2. 我方的投标文件包括下列内容：</w:t>
      </w:r>
      <w:bookmarkEnd w:id="531"/>
    </w:p>
    <w:p>
      <w:pPr>
        <w:pStyle w:val="46"/>
        <w:ind w:firstLine="0" w:firstLineChars="0"/>
        <w:rPr>
          <w:rFonts w:ascii="宋体" w:hAnsi="宋体" w:cs="宋体"/>
          <w:szCs w:val="24"/>
        </w:rPr>
      </w:pPr>
      <w:r>
        <w:rPr>
          <w:rFonts w:hint="eastAsia" w:ascii="宋体" w:hAnsi="宋体" w:cs="宋体"/>
          <w:szCs w:val="24"/>
        </w:rPr>
        <w:t>（1）投标函及投标函附录；</w:t>
      </w:r>
    </w:p>
    <w:p>
      <w:pPr>
        <w:pStyle w:val="46"/>
        <w:ind w:firstLine="0" w:firstLineChars="0"/>
        <w:rPr>
          <w:rFonts w:ascii="宋体" w:hAnsi="宋体" w:cs="宋体"/>
          <w:szCs w:val="24"/>
        </w:rPr>
      </w:pPr>
      <w:r>
        <w:rPr>
          <w:rFonts w:hint="eastAsia" w:ascii="宋体" w:hAnsi="宋体" w:cs="宋体"/>
          <w:szCs w:val="24"/>
        </w:rPr>
        <w:t>（2）法定代表人身份证明或授权委托书（如有）；</w:t>
      </w:r>
    </w:p>
    <w:p>
      <w:pPr>
        <w:pStyle w:val="46"/>
        <w:ind w:firstLine="0" w:firstLineChars="0"/>
        <w:rPr>
          <w:rFonts w:ascii="宋体" w:hAnsi="宋体" w:cs="宋体"/>
          <w:szCs w:val="24"/>
        </w:rPr>
      </w:pPr>
      <w:r>
        <w:rPr>
          <w:rFonts w:hint="eastAsia" w:ascii="宋体" w:hAnsi="宋体" w:cs="宋体"/>
          <w:szCs w:val="24"/>
        </w:rPr>
        <w:t>（3）监理报酬清单；</w:t>
      </w:r>
    </w:p>
    <w:p>
      <w:pPr>
        <w:pStyle w:val="46"/>
        <w:ind w:firstLine="0" w:firstLineChars="0"/>
        <w:rPr>
          <w:rFonts w:ascii="宋体" w:hAnsi="宋体" w:cs="宋体"/>
          <w:szCs w:val="24"/>
        </w:rPr>
      </w:pPr>
      <w:r>
        <w:rPr>
          <w:rFonts w:hint="eastAsia" w:ascii="宋体" w:hAnsi="宋体" w:cs="宋体"/>
          <w:szCs w:val="24"/>
        </w:rPr>
        <w:t>（4）资格审查资料</w:t>
      </w:r>
    </w:p>
    <w:p>
      <w:pPr>
        <w:pStyle w:val="46"/>
        <w:ind w:firstLine="0" w:firstLineChars="0"/>
        <w:rPr>
          <w:rFonts w:ascii="宋体" w:hAnsi="宋体" w:cs="宋体"/>
          <w:szCs w:val="24"/>
        </w:rPr>
      </w:pPr>
      <w:r>
        <w:rPr>
          <w:rFonts w:hint="eastAsia" w:ascii="宋体" w:hAnsi="宋体" w:cs="宋体"/>
          <w:szCs w:val="24"/>
        </w:rPr>
        <w:t>（5）监理大纲；</w:t>
      </w:r>
    </w:p>
    <w:p>
      <w:pPr>
        <w:pStyle w:val="46"/>
        <w:ind w:firstLine="0" w:firstLineChars="0"/>
        <w:rPr>
          <w:rFonts w:ascii="宋体" w:hAnsi="宋体" w:cs="宋体"/>
          <w:szCs w:val="24"/>
        </w:rPr>
      </w:pPr>
      <w:r>
        <w:rPr>
          <w:rFonts w:hint="eastAsia" w:ascii="宋体" w:hAnsi="宋体" w:cs="宋体"/>
          <w:szCs w:val="24"/>
        </w:rPr>
        <w:t>（6）其他资料。</w:t>
      </w:r>
    </w:p>
    <w:p>
      <w:pPr>
        <w:pStyle w:val="46"/>
        <w:ind w:firstLine="0" w:firstLineChars="0"/>
        <w:rPr>
          <w:rFonts w:ascii="宋体" w:hAnsi="宋体" w:cs="宋体"/>
          <w:szCs w:val="24"/>
        </w:rPr>
      </w:pPr>
      <w:r>
        <w:rPr>
          <w:rFonts w:hint="eastAsia" w:ascii="宋体" w:hAnsi="宋体" w:cs="宋体"/>
          <w:szCs w:val="24"/>
        </w:rPr>
        <w:t>①工程监理服务承诺书；</w:t>
      </w:r>
    </w:p>
    <w:p>
      <w:pPr>
        <w:pStyle w:val="46"/>
        <w:ind w:firstLine="0" w:firstLineChars="0"/>
        <w:rPr>
          <w:rFonts w:ascii="宋体" w:hAnsi="宋体" w:cs="宋体"/>
          <w:szCs w:val="24"/>
        </w:rPr>
      </w:pPr>
      <w:r>
        <w:rPr>
          <w:rFonts w:hint="eastAsia" w:ascii="宋体" w:hAnsi="宋体" w:cs="宋体"/>
          <w:szCs w:val="24"/>
        </w:rPr>
        <w:t>②工程监理合同响应承诺书；</w:t>
      </w:r>
    </w:p>
    <w:p>
      <w:pPr>
        <w:pStyle w:val="46"/>
        <w:ind w:firstLine="0" w:firstLineChars="0"/>
        <w:rPr>
          <w:rFonts w:ascii="宋体" w:hAnsi="宋体" w:cs="宋体"/>
          <w:szCs w:val="24"/>
        </w:rPr>
      </w:pPr>
      <w:r>
        <w:rPr>
          <w:rFonts w:hint="eastAsia" w:ascii="宋体" w:hAnsi="宋体" w:cs="宋体"/>
          <w:szCs w:val="24"/>
        </w:rPr>
        <w:t>③工程监理人员到位承诺书</w:t>
      </w:r>
    </w:p>
    <w:p>
      <w:pPr>
        <w:pStyle w:val="46"/>
        <w:ind w:firstLine="0" w:firstLineChars="0"/>
        <w:rPr>
          <w:rFonts w:ascii="宋体" w:hAnsi="宋体" w:cs="宋体"/>
          <w:szCs w:val="24"/>
        </w:rPr>
      </w:pPr>
      <w:r>
        <w:rPr>
          <w:rFonts w:hint="eastAsia" w:ascii="宋体" w:hAnsi="宋体" w:cs="宋体"/>
          <w:szCs w:val="24"/>
        </w:rPr>
        <w:t>④工程监理人员任职承诺书；</w:t>
      </w:r>
    </w:p>
    <w:p>
      <w:pPr>
        <w:pStyle w:val="46"/>
        <w:ind w:firstLine="0" w:firstLineChars="0"/>
        <w:rPr>
          <w:rFonts w:ascii="宋体" w:hAnsi="宋体" w:cs="宋体"/>
          <w:szCs w:val="24"/>
        </w:rPr>
      </w:pPr>
      <w:r>
        <w:rPr>
          <w:rFonts w:hint="eastAsia" w:ascii="宋体" w:hAnsi="宋体" w:cs="宋体"/>
          <w:szCs w:val="24"/>
        </w:rPr>
        <w:t>⑤拟投入的设备仪器到位承诺书；</w:t>
      </w:r>
    </w:p>
    <w:p>
      <w:pPr>
        <w:pStyle w:val="46"/>
        <w:ind w:firstLine="0" w:firstLineChars="0"/>
        <w:rPr>
          <w:rFonts w:ascii="宋体" w:hAnsi="宋体" w:cs="宋体"/>
          <w:szCs w:val="24"/>
        </w:rPr>
      </w:pPr>
      <w:r>
        <w:rPr>
          <w:rFonts w:hint="eastAsia" w:ascii="宋体" w:hAnsi="宋体" w:cs="宋体"/>
          <w:szCs w:val="24"/>
        </w:rPr>
        <w:t>⑥拟委派本项目驻场监理人员配备响应情况表；</w:t>
      </w:r>
    </w:p>
    <w:p>
      <w:pPr>
        <w:pStyle w:val="46"/>
        <w:ind w:firstLine="0" w:firstLineChars="0"/>
        <w:rPr>
          <w:rFonts w:ascii="宋体" w:hAnsi="宋体" w:cs="宋体"/>
          <w:szCs w:val="24"/>
        </w:rPr>
      </w:pPr>
      <w:r>
        <w:rPr>
          <w:rFonts w:hint="eastAsia" w:ascii="宋体" w:hAnsi="宋体" w:cs="宋体"/>
          <w:szCs w:val="24"/>
        </w:rPr>
        <w:t>（7）投标人认为需要提供的资料（如有）。</w:t>
      </w:r>
    </w:p>
    <w:p>
      <w:pPr>
        <w:pStyle w:val="46"/>
        <w:ind w:firstLine="0" w:firstLineChars="0"/>
        <w:rPr>
          <w:rFonts w:ascii="宋体" w:hAnsi="宋体" w:cs="宋体"/>
          <w:szCs w:val="24"/>
        </w:rPr>
      </w:pPr>
      <w:r>
        <w:rPr>
          <w:rFonts w:hint="eastAsia" w:ascii="宋体" w:hAnsi="宋体" w:cs="宋体"/>
          <w:szCs w:val="24"/>
        </w:rPr>
        <w:t>投标文件的上述组成部分如存在内容不一致的，以投标函为准。</w:t>
      </w:r>
    </w:p>
    <w:p>
      <w:pPr>
        <w:pStyle w:val="46"/>
        <w:ind w:firstLine="0" w:firstLineChars="0"/>
        <w:rPr>
          <w:rFonts w:ascii="宋体" w:hAnsi="宋体" w:cs="宋体"/>
          <w:szCs w:val="24"/>
        </w:rPr>
      </w:pPr>
      <w:r>
        <w:rPr>
          <w:rFonts w:hint="eastAsia" w:ascii="宋体" w:hAnsi="宋体" w:cs="宋体"/>
          <w:szCs w:val="24"/>
        </w:rPr>
        <w:t>3．我方承诺在招标文件规定的投标有效期120日历天内不撤销投标文件。</w:t>
      </w:r>
    </w:p>
    <w:p>
      <w:pPr>
        <w:pStyle w:val="46"/>
        <w:ind w:firstLine="0" w:firstLineChars="0"/>
        <w:rPr>
          <w:rFonts w:ascii="宋体" w:hAnsi="宋体" w:cs="宋体"/>
          <w:szCs w:val="24"/>
        </w:rPr>
      </w:pPr>
      <w:r>
        <w:rPr>
          <w:rFonts w:hint="eastAsia" w:ascii="宋体" w:hAnsi="宋体" w:cs="宋体"/>
          <w:szCs w:val="24"/>
        </w:rPr>
        <w:t>4．如我方中标，我方承诺：</w:t>
      </w:r>
    </w:p>
    <w:p>
      <w:pPr>
        <w:pStyle w:val="46"/>
        <w:ind w:firstLine="0" w:firstLineChars="0"/>
        <w:rPr>
          <w:rFonts w:ascii="宋体" w:hAnsi="宋体" w:cs="宋体"/>
          <w:szCs w:val="24"/>
        </w:rPr>
      </w:pPr>
      <w:r>
        <w:rPr>
          <w:rFonts w:hint="eastAsia" w:ascii="宋体" w:hAnsi="宋体" w:cs="宋体"/>
          <w:szCs w:val="24"/>
        </w:rPr>
        <w:t>（1）在收到中标通知书后，在中标通知书规定的期限内与你方签订合同；</w:t>
      </w:r>
    </w:p>
    <w:p>
      <w:pPr>
        <w:pStyle w:val="46"/>
        <w:ind w:firstLine="0" w:firstLineChars="0"/>
        <w:rPr>
          <w:rFonts w:ascii="宋体" w:hAnsi="宋体" w:cs="宋体"/>
          <w:szCs w:val="24"/>
        </w:rPr>
      </w:pPr>
      <w:r>
        <w:rPr>
          <w:rFonts w:hint="eastAsia" w:ascii="宋体" w:hAnsi="宋体" w:cs="宋体"/>
          <w:szCs w:val="24"/>
        </w:rPr>
        <w:t>（2）在签订合同时不向你方提出附加条件；</w:t>
      </w:r>
    </w:p>
    <w:p>
      <w:pPr>
        <w:pStyle w:val="46"/>
        <w:ind w:firstLine="0" w:firstLineChars="0"/>
        <w:rPr>
          <w:rFonts w:ascii="宋体" w:hAnsi="宋体" w:cs="宋体"/>
          <w:szCs w:val="24"/>
        </w:rPr>
      </w:pPr>
      <w:r>
        <w:rPr>
          <w:rFonts w:hint="eastAsia" w:ascii="宋体" w:hAnsi="宋体" w:cs="宋体"/>
          <w:szCs w:val="24"/>
        </w:rPr>
        <w:t>（3）按照招标文件要求提交履约保证金；</w:t>
      </w:r>
      <w:bookmarkStart w:id="532" w:name="_Toc352691658"/>
      <w:bookmarkStart w:id="533" w:name="_Toc1187"/>
      <w:bookmarkStart w:id="534" w:name="_Toc369531694"/>
    </w:p>
    <w:p>
      <w:pPr>
        <w:pStyle w:val="46"/>
        <w:ind w:firstLine="0" w:firstLineChars="0"/>
        <w:rPr>
          <w:rFonts w:ascii="宋体" w:hAnsi="宋体" w:cs="宋体"/>
          <w:szCs w:val="24"/>
        </w:rPr>
      </w:pPr>
      <w:r>
        <w:rPr>
          <w:rFonts w:hint="eastAsia" w:ascii="宋体" w:hAnsi="宋体" w:cs="宋体"/>
          <w:szCs w:val="24"/>
        </w:rPr>
        <w:t>（4）在合</w:t>
      </w:r>
      <w:bookmarkEnd w:id="532"/>
      <w:bookmarkEnd w:id="533"/>
      <w:bookmarkEnd w:id="534"/>
      <w:r>
        <w:rPr>
          <w:rFonts w:hint="eastAsia" w:ascii="宋体" w:hAnsi="宋体" w:cs="宋体"/>
          <w:szCs w:val="24"/>
        </w:rPr>
        <w:t>同约定的期限内完成合同规定的全部义务。</w:t>
      </w:r>
    </w:p>
    <w:p>
      <w:pPr>
        <w:pStyle w:val="46"/>
        <w:ind w:firstLine="0" w:firstLineChars="0"/>
        <w:rPr>
          <w:rFonts w:ascii="宋体" w:hAnsi="宋体" w:cs="宋体"/>
          <w:szCs w:val="24"/>
        </w:rPr>
      </w:pPr>
      <w:r>
        <w:rPr>
          <w:rFonts w:hint="eastAsia" w:ascii="宋体" w:hAnsi="宋体" w:cs="宋体"/>
          <w:szCs w:val="24"/>
        </w:rPr>
        <w:t>（5）除伤亡、吊销监理工程师执业资格等合法原因不能再从事监理工作情形外，如我方更换项目总监、总监代表，接受贵中心1年内拒绝我方参与贵单位后续工程投标的处理。</w:t>
      </w:r>
    </w:p>
    <w:p>
      <w:pPr>
        <w:pStyle w:val="46"/>
        <w:ind w:firstLine="0" w:firstLineChars="0"/>
        <w:rPr>
          <w:rFonts w:ascii="宋体" w:hAnsi="宋体" w:cs="宋体"/>
          <w:szCs w:val="24"/>
        </w:rPr>
      </w:pPr>
      <w:r>
        <w:rPr>
          <w:rFonts w:hint="eastAsia" w:ascii="宋体" w:hAnsi="宋体" w:cs="宋体"/>
          <w:szCs w:val="24"/>
        </w:rPr>
        <w:t>5．我方在此声明，</w:t>
      </w:r>
      <w:bookmarkStart w:id="535" w:name="_Hlk22686284"/>
      <w:r>
        <w:rPr>
          <w:rFonts w:hint="eastAsia" w:ascii="宋体" w:hAnsi="宋体" w:cs="宋体"/>
          <w:szCs w:val="24"/>
        </w:rPr>
        <w:t>所递交的投标文件</w:t>
      </w:r>
      <w:bookmarkEnd w:id="535"/>
      <w:r>
        <w:rPr>
          <w:rFonts w:hint="eastAsia" w:ascii="宋体" w:hAnsi="宋体" w:cs="宋体"/>
          <w:szCs w:val="24"/>
        </w:rPr>
        <w:t>及有关资料内容完整、真实和准确，且不存在第二章“投标人须知”第1.4.3项规定的任何一种情形。</w:t>
      </w:r>
    </w:p>
    <w:p>
      <w:pPr>
        <w:pStyle w:val="46"/>
        <w:ind w:firstLine="0" w:firstLineChars="0"/>
        <w:rPr>
          <w:rFonts w:ascii="宋体" w:hAnsi="宋体" w:cs="宋体"/>
          <w:szCs w:val="24"/>
        </w:rPr>
      </w:pPr>
      <w:r>
        <w:rPr>
          <w:rFonts w:hint="eastAsia" w:ascii="宋体" w:hAnsi="宋体" w:cs="宋体"/>
          <w:szCs w:val="24"/>
        </w:rPr>
        <w:t>6. 如我方中标，我方承诺，满足“委托人要求”中的所有内容。</w:t>
      </w:r>
    </w:p>
    <w:p>
      <w:pPr>
        <w:pStyle w:val="46"/>
        <w:ind w:firstLine="0" w:firstLineChars="0"/>
        <w:rPr>
          <w:rFonts w:ascii="宋体" w:hAnsi="宋体" w:cs="宋体"/>
          <w:szCs w:val="24"/>
        </w:rPr>
      </w:pPr>
      <w:r>
        <w:rPr>
          <w:rFonts w:hint="eastAsia" w:ascii="宋体" w:hAnsi="宋体" w:cs="宋体"/>
          <w:szCs w:val="24"/>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接受行政监督部门的行政处罚等。</w:t>
      </w:r>
    </w:p>
    <w:bookmarkEnd w:id="454"/>
    <w:bookmarkEnd w:id="455"/>
    <w:bookmarkEnd w:id="456"/>
    <w:bookmarkEnd w:id="457"/>
    <w:bookmarkEnd w:id="458"/>
    <w:bookmarkEnd w:id="459"/>
    <w:bookmarkEnd w:id="460"/>
    <w:bookmarkEnd w:id="461"/>
    <w:bookmarkEnd w:id="462"/>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bookmarkStart w:id="536" w:name="_Toc530470645"/>
      <w:bookmarkStart w:id="537" w:name="_Toc529196602"/>
      <w:bookmarkStart w:id="538" w:name="_Toc370676427"/>
      <w:bookmarkStart w:id="539" w:name="_Toc535938753"/>
      <w:bookmarkStart w:id="540" w:name="_Toc482188652"/>
      <w:bookmarkStart w:id="541" w:name="_Toc391394112"/>
      <w:bookmarkStart w:id="542" w:name="_Toc385943066"/>
      <w:bookmarkStart w:id="543" w:name="_Toc359594236"/>
      <w:bookmarkStart w:id="544" w:name="_Toc17960"/>
      <w:bookmarkStart w:id="545" w:name="_Toc300835209"/>
      <w:bookmarkStart w:id="546" w:name="_Toc384308375"/>
      <w:bookmarkStart w:id="547" w:name="_Toc144974856"/>
      <w:bookmarkStart w:id="548" w:name="_Toc352691661"/>
      <w:bookmarkStart w:id="549" w:name="_Toc152045787"/>
      <w:bookmarkStart w:id="550" w:name="_Toc369531697"/>
      <w:bookmarkStart w:id="551" w:name="_Toc152042576"/>
      <w:bookmarkStart w:id="552" w:name="_Toc247527827"/>
      <w:bookmarkStart w:id="553" w:name="_Toc247514246"/>
      <w:bookmarkStart w:id="554" w:name="_Toc361508752"/>
      <w:r>
        <w:rPr>
          <w:rFonts w:hint="eastAsia" w:ascii="宋体" w:hAnsi="宋体" w:cs="宋体"/>
          <w:szCs w:val="24"/>
        </w:rPr>
        <w:t xml:space="preserve">投标人：                            </w:t>
      </w:r>
    </w:p>
    <w:p>
      <w:pPr>
        <w:pStyle w:val="46"/>
        <w:ind w:firstLine="0" w:firstLineChars="0"/>
        <w:rPr>
          <w:rFonts w:ascii="宋体" w:hAnsi="宋体" w:cs="宋体"/>
          <w:szCs w:val="24"/>
        </w:rPr>
      </w:pPr>
      <w:r>
        <w:rPr>
          <w:rFonts w:hint="eastAsia" w:ascii="宋体" w:hAnsi="宋体" w:cs="宋体"/>
          <w:szCs w:val="24"/>
        </w:rPr>
        <w:t xml:space="preserve">     年     月     日</w:t>
      </w:r>
    </w:p>
    <w:p>
      <w:pPr>
        <w:pStyle w:val="46"/>
        <w:ind w:firstLine="0" w:firstLineChars="0"/>
        <w:rPr>
          <w:rFonts w:ascii="宋体" w:hAnsi="宋体" w:cs="宋体"/>
          <w:b/>
          <w:bCs/>
          <w:szCs w:val="24"/>
        </w:rPr>
      </w:pPr>
      <w:r>
        <w:rPr>
          <w:rFonts w:hint="eastAsia" w:ascii="宋体" w:hAnsi="宋体" w:cs="宋体"/>
          <w:szCs w:val="24"/>
        </w:rPr>
        <w:br w:type="page"/>
      </w:r>
      <w:r>
        <w:rPr>
          <w:rFonts w:hint="eastAsia" w:ascii="宋体" w:hAnsi="宋体" w:cs="宋体"/>
          <w:b/>
          <w:bCs/>
          <w:szCs w:val="24"/>
        </w:rPr>
        <w:t>（二）投标函附录</w:t>
      </w:r>
      <w:bookmarkEnd w:id="536"/>
      <w:bookmarkEnd w:id="537"/>
      <w:bookmarkEnd w:id="538"/>
      <w:bookmarkEnd w:id="539"/>
      <w:bookmarkEnd w:id="540"/>
      <w:bookmarkEnd w:id="541"/>
      <w:bookmarkEnd w:id="542"/>
      <w:bookmarkEnd w:id="543"/>
    </w:p>
    <w:tbl>
      <w:tblPr>
        <w:tblStyle w:val="39"/>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416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序号</w:t>
            </w:r>
          </w:p>
        </w:tc>
        <w:tc>
          <w:tcPr>
            <w:tcW w:w="283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条款名称</w:t>
            </w:r>
          </w:p>
        </w:tc>
        <w:tc>
          <w:tcPr>
            <w:tcW w:w="4168"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约定内容</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1</w:t>
            </w:r>
          </w:p>
        </w:tc>
        <w:tc>
          <w:tcPr>
            <w:tcW w:w="2835"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总监理工程师</w:t>
            </w:r>
          </w:p>
        </w:tc>
        <w:tc>
          <w:tcPr>
            <w:tcW w:w="4168"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姓名：</w:t>
            </w:r>
          </w:p>
          <w:p>
            <w:pPr>
              <w:pStyle w:val="50"/>
              <w:rPr>
                <w:rFonts w:ascii="宋体" w:hAnsi="宋体" w:eastAsia="宋体" w:cs="宋体"/>
                <w:sz w:val="24"/>
              </w:rPr>
            </w:pPr>
            <w:r>
              <w:rPr>
                <w:rFonts w:hint="eastAsia" w:ascii="宋体" w:hAnsi="宋体" w:eastAsia="宋体" w:cs="宋体"/>
                <w:sz w:val="24"/>
              </w:rPr>
              <w:t>技术职称：</w:t>
            </w:r>
          </w:p>
          <w:p>
            <w:pPr>
              <w:pStyle w:val="50"/>
              <w:rPr>
                <w:rFonts w:ascii="宋体" w:hAnsi="宋体" w:eastAsia="宋体" w:cs="宋体"/>
                <w:sz w:val="24"/>
              </w:rPr>
            </w:pPr>
            <w:r>
              <w:rPr>
                <w:rFonts w:hint="eastAsia" w:ascii="宋体" w:hAnsi="宋体" w:eastAsia="宋体" w:cs="宋体"/>
                <w:sz w:val="24"/>
              </w:rPr>
              <w:t>注册证号：</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2</w:t>
            </w:r>
          </w:p>
        </w:tc>
        <w:tc>
          <w:tcPr>
            <w:tcW w:w="2835"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监理服务期限</w:t>
            </w:r>
          </w:p>
        </w:tc>
        <w:tc>
          <w:tcPr>
            <w:tcW w:w="4168"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3</w:t>
            </w:r>
          </w:p>
        </w:tc>
        <w:tc>
          <w:tcPr>
            <w:tcW w:w="2835"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合同价款确定方式</w:t>
            </w:r>
          </w:p>
        </w:tc>
        <w:tc>
          <w:tcPr>
            <w:tcW w:w="4168"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按合同约定</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4</w:t>
            </w:r>
          </w:p>
        </w:tc>
        <w:tc>
          <w:tcPr>
            <w:tcW w:w="2835"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质量标准</w:t>
            </w:r>
          </w:p>
        </w:tc>
        <w:tc>
          <w:tcPr>
            <w:tcW w:w="4168"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5</w:t>
            </w:r>
          </w:p>
        </w:tc>
        <w:tc>
          <w:tcPr>
            <w:tcW w:w="2835"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拟投入本项目监理机构人数</w:t>
            </w:r>
          </w:p>
        </w:tc>
        <w:tc>
          <w:tcPr>
            <w:tcW w:w="4168"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人数：</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6</w:t>
            </w:r>
          </w:p>
        </w:tc>
        <w:tc>
          <w:tcPr>
            <w:tcW w:w="2835"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投标总报价</w:t>
            </w:r>
          </w:p>
        </w:tc>
        <w:tc>
          <w:tcPr>
            <w:tcW w:w="4168"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投标总报价（元）：</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7</w:t>
            </w:r>
          </w:p>
        </w:tc>
        <w:tc>
          <w:tcPr>
            <w:tcW w:w="2835"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法人营业执照证号</w:t>
            </w:r>
          </w:p>
        </w:tc>
        <w:tc>
          <w:tcPr>
            <w:tcW w:w="4168"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法人营业执照证号：</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8</w:t>
            </w:r>
          </w:p>
        </w:tc>
        <w:tc>
          <w:tcPr>
            <w:tcW w:w="2835"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资质等级及证书号</w:t>
            </w:r>
          </w:p>
        </w:tc>
        <w:tc>
          <w:tcPr>
            <w:tcW w:w="4168"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资质等级：</w:t>
            </w:r>
          </w:p>
          <w:p>
            <w:pPr>
              <w:pStyle w:val="50"/>
              <w:rPr>
                <w:rFonts w:ascii="宋体" w:hAnsi="宋体" w:eastAsia="宋体" w:cs="宋体"/>
                <w:sz w:val="24"/>
              </w:rPr>
            </w:pPr>
            <w:r>
              <w:rPr>
                <w:rFonts w:hint="eastAsia" w:ascii="宋体" w:hAnsi="宋体" w:eastAsia="宋体" w:cs="宋体"/>
                <w:sz w:val="24"/>
              </w:rPr>
              <w:t>资质证书号：</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9</w:t>
            </w:r>
          </w:p>
        </w:tc>
        <w:tc>
          <w:tcPr>
            <w:tcW w:w="2835"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需要建设单位提供的配合条件</w:t>
            </w:r>
          </w:p>
        </w:tc>
        <w:tc>
          <w:tcPr>
            <w:tcW w:w="4168"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bl>
    <w:p>
      <w:pPr>
        <w:pStyle w:val="46"/>
        <w:ind w:firstLine="0" w:firstLineChars="0"/>
        <w:rPr>
          <w:rFonts w:ascii="宋体" w:hAnsi="宋体" w:cs="宋体"/>
          <w:szCs w:val="24"/>
        </w:rPr>
      </w:pPr>
      <w:r>
        <w:rPr>
          <w:rFonts w:hint="eastAsia" w:ascii="宋体" w:hAnsi="宋体" w:cs="宋体"/>
          <w:szCs w:val="24"/>
        </w:rPr>
        <w:t>注：</w:t>
      </w:r>
    </w:p>
    <w:p>
      <w:pPr>
        <w:pStyle w:val="46"/>
        <w:ind w:firstLine="0" w:firstLineChars="0"/>
        <w:rPr>
          <w:rFonts w:ascii="宋体" w:hAnsi="宋体" w:cs="宋体"/>
          <w:szCs w:val="24"/>
        </w:rPr>
      </w:pPr>
      <w:r>
        <w:rPr>
          <w:rFonts w:hint="eastAsia" w:ascii="宋体" w:hAnsi="宋体" w:cs="宋体"/>
          <w:szCs w:val="24"/>
        </w:rPr>
        <w:t>1.投标人根据企业自身情况进行报价，投标报价不得超过最高投标限价。小数点后保留两位小数，第三位小数四舍五入。</w:t>
      </w:r>
    </w:p>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t xml:space="preserve">投标人：                   </w:t>
      </w:r>
    </w:p>
    <w:p>
      <w:pPr>
        <w:pStyle w:val="46"/>
        <w:ind w:firstLine="0" w:firstLineChars="0"/>
        <w:rPr>
          <w:rFonts w:ascii="宋体" w:hAnsi="宋体" w:cs="宋体"/>
          <w:szCs w:val="24"/>
        </w:rPr>
      </w:pPr>
      <w:r>
        <w:rPr>
          <w:rFonts w:hint="eastAsia" w:ascii="宋体" w:hAnsi="宋体" w:cs="宋体"/>
          <w:szCs w:val="24"/>
        </w:rPr>
        <w:t xml:space="preserve">       年    月    日</w:t>
      </w:r>
    </w:p>
    <w:p>
      <w:pPr>
        <w:pStyle w:val="46"/>
        <w:ind w:firstLine="0" w:firstLineChars="0"/>
        <w:rPr>
          <w:rFonts w:ascii="宋体" w:hAnsi="宋体" w:cs="宋体"/>
          <w:b/>
          <w:bCs/>
          <w:szCs w:val="24"/>
        </w:rPr>
      </w:pPr>
      <w:r>
        <w:rPr>
          <w:rFonts w:hint="eastAsia" w:ascii="宋体" w:hAnsi="宋体" w:cs="宋体"/>
          <w:szCs w:val="24"/>
        </w:rPr>
        <w:br w:type="page"/>
      </w:r>
      <w:bookmarkStart w:id="555" w:name="_Toc529196603"/>
      <w:bookmarkStart w:id="556" w:name="_Toc535938754"/>
      <w:bookmarkStart w:id="557" w:name="_Toc530470646"/>
      <w:r>
        <w:rPr>
          <w:rFonts w:hint="eastAsia" w:ascii="宋体" w:hAnsi="宋体" w:cs="宋体"/>
          <w:b/>
          <w:bCs/>
          <w:szCs w:val="24"/>
        </w:rPr>
        <w:t>二</w:t>
      </w:r>
      <w:bookmarkEnd w:id="544"/>
      <w:bookmarkEnd w:id="545"/>
      <w:bookmarkEnd w:id="546"/>
      <w:bookmarkEnd w:id="547"/>
      <w:bookmarkEnd w:id="548"/>
      <w:bookmarkEnd w:id="549"/>
      <w:bookmarkEnd w:id="550"/>
      <w:bookmarkEnd w:id="551"/>
      <w:bookmarkEnd w:id="552"/>
      <w:bookmarkEnd w:id="553"/>
      <w:bookmarkEnd w:id="554"/>
      <w:r>
        <w:rPr>
          <w:rFonts w:hint="eastAsia" w:ascii="宋体" w:hAnsi="宋体" w:cs="宋体"/>
          <w:b/>
          <w:bCs/>
          <w:szCs w:val="24"/>
        </w:rPr>
        <w:t>、法定代表人身份证明或授权委托书（格式自定）</w:t>
      </w:r>
      <w:bookmarkEnd w:id="555"/>
      <w:bookmarkEnd w:id="556"/>
      <w:bookmarkEnd w:id="557"/>
    </w:p>
    <w:p>
      <w:pPr>
        <w:widowControl/>
        <w:spacing w:after="0" w:line="360" w:lineRule="auto"/>
        <w:rPr>
          <w:rFonts w:ascii="宋体" w:hAnsi="宋体" w:eastAsia="宋体" w:cs="宋体"/>
          <w:sz w:val="24"/>
        </w:rPr>
      </w:pPr>
      <w:r>
        <w:rPr>
          <w:rFonts w:hint="eastAsia" w:ascii="宋体" w:hAnsi="宋体" w:eastAsia="宋体" w:cs="宋体"/>
          <w:sz w:val="24"/>
        </w:rPr>
        <w:br w:type="page"/>
      </w:r>
    </w:p>
    <w:p>
      <w:pPr>
        <w:spacing w:after="0" w:line="360" w:lineRule="auto"/>
        <w:rPr>
          <w:rFonts w:ascii="宋体" w:hAnsi="宋体" w:eastAsia="宋体" w:cs="宋体"/>
          <w:sz w:val="24"/>
        </w:rPr>
      </w:pPr>
    </w:p>
    <w:p>
      <w:pPr>
        <w:pStyle w:val="46"/>
        <w:ind w:firstLine="0" w:firstLineChars="0"/>
        <w:rPr>
          <w:rFonts w:ascii="宋体" w:hAnsi="宋体" w:cs="宋体"/>
          <w:b/>
          <w:bCs/>
          <w:szCs w:val="24"/>
        </w:rPr>
      </w:pPr>
      <w:bookmarkStart w:id="558" w:name="_Toc535938757"/>
      <w:bookmarkStart w:id="559" w:name="_Toc529196606"/>
      <w:bookmarkStart w:id="560" w:name="_Toc530470649"/>
      <w:r>
        <w:rPr>
          <w:rFonts w:hint="eastAsia" w:ascii="宋体" w:hAnsi="宋体" w:cs="宋体"/>
          <w:b/>
          <w:bCs/>
          <w:szCs w:val="24"/>
        </w:rPr>
        <w:t>三、监理报酬清单</w:t>
      </w:r>
      <w:bookmarkEnd w:id="558"/>
      <w:bookmarkEnd w:id="559"/>
      <w:bookmarkEnd w:id="560"/>
    </w:p>
    <w:tbl>
      <w:tblPr>
        <w:tblStyle w:val="39"/>
        <w:tblW w:w="4998" w:type="pct"/>
        <w:tblInd w:w="0" w:type="dxa"/>
        <w:tblLayout w:type="autofit"/>
        <w:tblCellMar>
          <w:top w:w="0" w:type="dxa"/>
          <w:left w:w="108" w:type="dxa"/>
          <w:bottom w:w="0" w:type="dxa"/>
          <w:right w:w="108" w:type="dxa"/>
        </w:tblCellMar>
      </w:tblPr>
      <w:tblGrid>
        <w:gridCol w:w="843"/>
        <w:gridCol w:w="1397"/>
        <w:gridCol w:w="2985"/>
        <w:gridCol w:w="2781"/>
        <w:gridCol w:w="846"/>
      </w:tblGrid>
      <w:tr>
        <w:tblPrEx>
          <w:tblCellMar>
            <w:top w:w="0" w:type="dxa"/>
            <w:left w:w="108" w:type="dxa"/>
            <w:bottom w:w="0" w:type="dxa"/>
            <w:right w:w="108" w:type="dxa"/>
          </w:tblCellMar>
        </w:tblPrEx>
        <w:trPr>
          <w:trHeight w:val="57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bookmarkStart w:id="561" w:name="_Toc530470650"/>
            <w:bookmarkStart w:id="562" w:name="_Toc525827486"/>
            <w:bookmarkStart w:id="563" w:name="_Toc529196608"/>
            <w:bookmarkStart w:id="564" w:name="_Toc525828220"/>
            <w:bookmarkStart w:id="565" w:name="_Toc361508760"/>
            <w:r>
              <w:rPr>
                <w:rFonts w:hint="eastAsia" w:ascii="宋体" w:hAnsi="宋体" w:eastAsia="宋体" w:cs="宋体"/>
                <w:color w:val="000000"/>
                <w:kern w:val="0"/>
                <w:sz w:val="24"/>
                <w:lang w:bidi="ar"/>
              </w:rPr>
              <w:t>序号</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面积（㎡）</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每平方米监理含税单价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（元 /㎡）</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税率</w:t>
            </w:r>
          </w:p>
        </w:tc>
      </w:tr>
      <w:tr>
        <w:tblPrEx>
          <w:tblCellMar>
            <w:top w:w="0" w:type="dxa"/>
            <w:left w:w="108" w:type="dxa"/>
            <w:bottom w:w="0" w:type="dxa"/>
            <w:right w:w="108" w:type="dxa"/>
          </w:tblCellMar>
        </w:tblPrEx>
        <w:trPr>
          <w:trHeight w:val="64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113247</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41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注：本报价为综合单价形式，每平方米单价中包含但不限于以下全部费用，不再另行计取其他任何费用。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1.人员服务费用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项目总监理工程师、专业监理工程师、监理员等全周期驻场人员的薪酬、社保、福利及差旅费。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2.专家咨询费，包括针对复杂技术问题的外部专家论证、图纸会审专项指导等费用。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3.办公与技术支持费用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监理现场办公场地的租赁、水电、物业费，以及办公家具、打印机、电脑等设备的购置或租赁费。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技术资料费用，包括规范图集、检测工具（如全站仪、水准仪）的购置、校准及维护费。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4.过程监理服务费用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5.施工准备阶段：图纸会审、施工组织设计审核、开工条件核查等服务费用。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6.施工阶段：质量巡查、工序验收、进度管控、安全隐患排查、工程款支付审核等日常监理费用。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7.验收阶段：分部分项工程验收、竣工验收、竣工资料审核及备案配合等费用。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8.其他不可预见费用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9.包含因项目延期、设计变更导致的监理服务延长成本，以及应对突发情况的应急处理费用。</w:t>
            </w:r>
          </w:p>
          <w:p>
            <w:pPr>
              <w:widowControl/>
              <w:textAlignment w:val="center"/>
              <w:rPr>
                <w:rFonts w:hint="eastAsia" w:ascii="宋体" w:hAnsi="宋体" w:eastAsia="宋体" w:cs="宋体"/>
                <w:color w:val="000000"/>
                <w:kern w:val="0"/>
                <w:sz w:val="24"/>
                <w:lang w:bidi="ar"/>
              </w:rPr>
            </w:pPr>
            <w:r>
              <w:rPr>
                <w:rFonts w:ascii="宋体" w:hAnsi="宋体" w:eastAsia="宋体" w:cs="宋体"/>
                <w:color w:val="000000"/>
                <w:kern w:val="0"/>
                <w:sz w:val="24"/>
                <w:lang w:bidi="ar"/>
              </w:rPr>
              <w:t>10.</w:t>
            </w:r>
            <w:r>
              <w:rPr>
                <w:rFonts w:hint="eastAsia" w:ascii="宋体" w:hAnsi="宋体" w:eastAsia="宋体" w:cs="宋体"/>
                <w:color w:val="000000"/>
                <w:kern w:val="0"/>
                <w:sz w:val="24"/>
                <w:lang w:bidi="ar"/>
              </w:rPr>
              <w:t>监理报酬金包含</w:t>
            </w:r>
            <w:r>
              <w:rPr>
                <w:rFonts w:ascii="宋体" w:hAnsi="宋体" w:eastAsia="宋体" w:cs="宋体"/>
                <w:color w:val="000000"/>
                <w:kern w:val="0"/>
                <w:sz w:val="24"/>
                <w:lang w:bidi="ar"/>
              </w:rPr>
              <w:t>10%</w:t>
            </w:r>
            <w:r>
              <w:rPr>
                <w:rFonts w:hint="eastAsia" w:ascii="宋体" w:hAnsi="宋体" w:eastAsia="宋体" w:cs="宋体"/>
                <w:color w:val="000000"/>
                <w:kern w:val="0"/>
                <w:sz w:val="24"/>
                <w:lang w:bidi="ar"/>
              </w:rPr>
              <w:t>监理考核金，由建设单位根据项目实际情况对监理单位进行考核发放。</w:t>
            </w:r>
            <w:bookmarkStart w:id="588" w:name="_GoBack"/>
            <w:bookmarkEnd w:id="588"/>
          </w:p>
        </w:tc>
      </w:tr>
    </w:tbl>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t xml:space="preserve">投 标 人：                              </w:t>
      </w:r>
    </w:p>
    <w:p>
      <w:pPr>
        <w:pStyle w:val="46"/>
        <w:ind w:firstLine="0" w:firstLineChars="0"/>
        <w:rPr>
          <w:rFonts w:ascii="宋体" w:hAnsi="宋体" w:cs="宋体"/>
          <w:szCs w:val="24"/>
        </w:rPr>
      </w:pPr>
      <w:r>
        <w:rPr>
          <w:rFonts w:hint="eastAsia" w:ascii="宋体" w:hAnsi="宋体" w:cs="宋体"/>
          <w:szCs w:val="24"/>
        </w:rPr>
        <w:t>日期：        年        月        日</w:t>
      </w:r>
    </w:p>
    <w:bookmarkEnd w:id="561"/>
    <w:bookmarkEnd w:id="562"/>
    <w:bookmarkEnd w:id="563"/>
    <w:bookmarkEnd w:id="564"/>
    <w:p>
      <w:pPr>
        <w:pStyle w:val="46"/>
        <w:ind w:firstLine="0" w:firstLineChars="0"/>
        <w:rPr>
          <w:rFonts w:ascii="宋体" w:hAnsi="宋体" w:cs="宋体"/>
          <w:szCs w:val="24"/>
        </w:rPr>
      </w:pPr>
    </w:p>
    <w:p>
      <w:pPr>
        <w:pStyle w:val="46"/>
        <w:ind w:firstLine="0" w:firstLineChars="0"/>
        <w:rPr>
          <w:rFonts w:ascii="宋体" w:hAnsi="宋体" w:cs="宋体"/>
          <w:b/>
          <w:bCs/>
          <w:szCs w:val="24"/>
        </w:rPr>
      </w:pPr>
      <w:r>
        <w:rPr>
          <w:rFonts w:hint="eastAsia" w:ascii="宋体" w:hAnsi="宋体" w:cs="宋体"/>
          <w:szCs w:val="24"/>
        </w:rPr>
        <w:br w:type="page"/>
      </w:r>
      <w:r>
        <w:rPr>
          <w:rFonts w:hint="eastAsia" w:ascii="宋体" w:hAnsi="宋体" w:cs="宋体"/>
          <w:b/>
          <w:bCs/>
          <w:szCs w:val="24"/>
        </w:rPr>
        <w:t>四、</w:t>
      </w:r>
      <w:bookmarkStart w:id="566" w:name="_Hlk22686998"/>
      <w:r>
        <w:rPr>
          <w:rFonts w:hint="eastAsia" w:ascii="宋体" w:hAnsi="宋体" w:cs="宋体"/>
          <w:b/>
          <w:bCs/>
          <w:szCs w:val="24"/>
        </w:rPr>
        <w:t>资格审查资料</w:t>
      </w:r>
      <w:bookmarkEnd w:id="566"/>
    </w:p>
    <w:p>
      <w:pPr>
        <w:pStyle w:val="46"/>
        <w:ind w:firstLine="0" w:firstLineChars="0"/>
        <w:rPr>
          <w:rFonts w:ascii="宋体" w:hAnsi="宋体" w:cs="宋体"/>
          <w:b/>
          <w:bCs/>
          <w:szCs w:val="24"/>
        </w:rPr>
      </w:pPr>
      <w:r>
        <w:rPr>
          <w:rFonts w:hint="eastAsia" w:ascii="宋体" w:hAnsi="宋体" w:cs="宋体"/>
          <w:b/>
          <w:bCs/>
          <w:szCs w:val="24"/>
        </w:rPr>
        <w:t>（一）基本情况表（格式可自定）</w:t>
      </w:r>
    </w:p>
    <w:tbl>
      <w:tblPr>
        <w:tblStyle w:val="3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823"/>
        <w:gridCol w:w="991"/>
        <w:gridCol w:w="1226"/>
        <w:gridCol w:w="456"/>
        <w:gridCol w:w="912"/>
        <w:gridCol w:w="847"/>
        <w:gridCol w:w="30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投标人名称</w:t>
            </w:r>
          </w:p>
        </w:tc>
        <w:tc>
          <w:tcPr>
            <w:tcW w:w="6826" w:type="dxa"/>
            <w:gridSpan w:val="8"/>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注册地址</w:t>
            </w:r>
          </w:p>
        </w:tc>
        <w:tc>
          <w:tcPr>
            <w:tcW w:w="3040" w:type="dxa"/>
            <w:gridSpan w:val="3"/>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邮政编码</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vMerge w:val="restart"/>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联系方式</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联系人</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电 话</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vMerge w:val="continue"/>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传  真</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网 址</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法定代表人</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1226"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技术负责人</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1226"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企业监理资质证书</w:t>
            </w:r>
          </w:p>
        </w:tc>
        <w:tc>
          <w:tcPr>
            <w:tcW w:w="6826" w:type="dxa"/>
            <w:gridSpan w:val="8"/>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质量管理体系证书（如有）</w:t>
            </w:r>
          </w:p>
        </w:tc>
        <w:tc>
          <w:tcPr>
            <w:tcW w:w="6826" w:type="dxa"/>
            <w:gridSpan w:val="8"/>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营业执照号</w:t>
            </w:r>
          </w:p>
        </w:tc>
        <w:tc>
          <w:tcPr>
            <w:tcW w:w="3040" w:type="dxa"/>
            <w:gridSpan w:val="3"/>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3786" w:type="dxa"/>
            <w:gridSpan w:val="5"/>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注册资本</w:t>
            </w:r>
          </w:p>
        </w:tc>
        <w:tc>
          <w:tcPr>
            <w:tcW w:w="3040" w:type="dxa"/>
            <w:gridSpan w:val="3"/>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其中</w:t>
            </w: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高级职称人员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成立日期</w:t>
            </w:r>
          </w:p>
        </w:tc>
        <w:tc>
          <w:tcPr>
            <w:tcW w:w="3040" w:type="dxa"/>
            <w:gridSpan w:val="3"/>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中级职称人员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基本账户开户银行</w:t>
            </w:r>
          </w:p>
        </w:tc>
        <w:tc>
          <w:tcPr>
            <w:tcW w:w="3040" w:type="dxa"/>
            <w:gridSpan w:val="3"/>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技术人员数量</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基本账户银行账号</w:t>
            </w:r>
          </w:p>
        </w:tc>
        <w:tc>
          <w:tcPr>
            <w:tcW w:w="3040" w:type="dxa"/>
            <w:gridSpan w:val="3"/>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各类注册人员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经营范围</w:t>
            </w:r>
          </w:p>
        </w:tc>
        <w:tc>
          <w:tcPr>
            <w:tcW w:w="6826" w:type="dxa"/>
            <w:gridSpan w:val="8"/>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投标人关联企业情况（包括但不限于与投标人法定代表人为同一人或者存在控股、管理关系的不同单位）</w:t>
            </w:r>
          </w:p>
        </w:tc>
        <w:tc>
          <w:tcPr>
            <w:tcW w:w="6826" w:type="dxa"/>
            <w:gridSpan w:val="8"/>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87"/>
              <w:jc w:val="left"/>
              <w:rPr>
                <w:rFonts w:ascii="宋体" w:hAnsi="宋体" w:eastAsia="宋体" w:cs="宋体"/>
                <w:sz w:val="24"/>
              </w:rPr>
            </w:pPr>
            <w:r>
              <w:rPr>
                <w:rFonts w:hint="eastAsia" w:ascii="宋体" w:hAnsi="宋体" w:eastAsia="宋体" w:cs="宋体"/>
                <w:sz w:val="24"/>
              </w:rPr>
              <w:t>备注</w:t>
            </w:r>
          </w:p>
        </w:tc>
        <w:tc>
          <w:tcPr>
            <w:tcW w:w="6826" w:type="dxa"/>
            <w:gridSpan w:val="8"/>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r>
    </w:tbl>
    <w:p>
      <w:pPr>
        <w:pStyle w:val="46"/>
        <w:ind w:firstLine="0" w:firstLineChars="0"/>
        <w:rPr>
          <w:rFonts w:ascii="宋体" w:hAnsi="宋体" w:cs="宋体"/>
          <w:szCs w:val="24"/>
        </w:rPr>
      </w:pPr>
      <w:r>
        <w:rPr>
          <w:rFonts w:hint="eastAsia" w:ascii="宋体" w:hAnsi="宋体" w:cs="宋体"/>
          <w:szCs w:val="24"/>
        </w:rPr>
        <w:t>注：投标人应</w:t>
      </w:r>
      <w:bookmarkStart w:id="567" w:name="_Toc520184751"/>
      <w:r>
        <w:rPr>
          <w:rFonts w:hint="eastAsia" w:ascii="宋体" w:hAnsi="宋体" w:cs="宋体"/>
          <w:szCs w:val="24"/>
        </w:rPr>
        <w:t>根据投标人须知第3.5</w:t>
      </w:r>
      <w:bookmarkEnd w:id="567"/>
      <w:r>
        <w:rPr>
          <w:rFonts w:hint="eastAsia" w:ascii="宋体" w:hAnsi="宋体" w:cs="宋体"/>
          <w:szCs w:val="24"/>
        </w:rPr>
        <w:t>.1项的要求在本表后附相关证</w:t>
      </w:r>
      <w:bookmarkStart w:id="568" w:name="_Toc520184752"/>
      <w:r>
        <w:rPr>
          <w:rFonts w:hint="eastAsia" w:ascii="宋体" w:hAnsi="宋体" w:cs="宋体"/>
          <w:szCs w:val="24"/>
        </w:rPr>
        <w:t>明材料。</w:t>
      </w:r>
      <w:bookmarkEnd w:id="568"/>
    </w:p>
    <w:p>
      <w:pPr>
        <w:pStyle w:val="46"/>
        <w:ind w:firstLine="0" w:firstLineChars="0"/>
        <w:rPr>
          <w:rFonts w:ascii="宋体" w:hAnsi="宋体" w:cs="宋体"/>
          <w:b/>
          <w:bCs/>
          <w:szCs w:val="24"/>
        </w:rPr>
      </w:pPr>
      <w:r>
        <w:rPr>
          <w:rFonts w:hint="eastAsia" w:ascii="宋体" w:hAnsi="宋体" w:cs="宋体"/>
          <w:szCs w:val="24"/>
        </w:rPr>
        <w:br w:type="page"/>
      </w:r>
      <w:r>
        <w:rPr>
          <w:rFonts w:hint="eastAsia" w:ascii="宋体" w:hAnsi="宋体" w:cs="宋体"/>
          <w:b/>
          <w:bCs/>
          <w:szCs w:val="24"/>
        </w:rPr>
        <w:t>（二）近年完成的类似监理项目情况表</w:t>
      </w:r>
    </w:p>
    <w:tbl>
      <w:tblPr>
        <w:tblStyle w:val="39"/>
        <w:tblW w:w="8522" w:type="dxa"/>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项目名称</w:t>
            </w:r>
          </w:p>
        </w:tc>
        <w:tc>
          <w:tcPr>
            <w:tcW w:w="6253"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项目所在地</w:t>
            </w:r>
          </w:p>
        </w:tc>
        <w:tc>
          <w:tcPr>
            <w:tcW w:w="6253"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委托人名称</w:t>
            </w:r>
          </w:p>
        </w:tc>
        <w:tc>
          <w:tcPr>
            <w:tcW w:w="6253"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委托人地址</w:t>
            </w:r>
          </w:p>
        </w:tc>
        <w:tc>
          <w:tcPr>
            <w:tcW w:w="6253"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委托人电话</w:t>
            </w:r>
          </w:p>
        </w:tc>
        <w:tc>
          <w:tcPr>
            <w:tcW w:w="6253"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合同价格</w:t>
            </w:r>
          </w:p>
        </w:tc>
        <w:tc>
          <w:tcPr>
            <w:tcW w:w="6253"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监理服务期限</w:t>
            </w:r>
          </w:p>
        </w:tc>
        <w:tc>
          <w:tcPr>
            <w:tcW w:w="6253"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监理内容</w:t>
            </w:r>
          </w:p>
        </w:tc>
        <w:tc>
          <w:tcPr>
            <w:tcW w:w="6253"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总监理工程师</w:t>
            </w:r>
          </w:p>
        </w:tc>
        <w:tc>
          <w:tcPr>
            <w:tcW w:w="6253"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项目描述</w:t>
            </w:r>
          </w:p>
        </w:tc>
        <w:tc>
          <w:tcPr>
            <w:tcW w:w="6253"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备注</w:t>
            </w:r>
          </w:p>
        </w:tc>
        <w:tc>
          <w:tcPr>
            <w:tcW w:w="6253"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bl>
    <w:p>
      <w:pPr>
        <w:pStyle w:val="46"/>
        <w:ind w:firstLine="0" w:firstLineChars="0"/>
        <w:rPr>
          <w:rFonts w:ascii="宋体" w:hAnsi="宋体" w:cs="宋体"/>
          <w:szCs w:val="24"/>
        </w:rPr>
      </w:pPr>
      <w:r>
        <w:rPr>
          <w:rFonts w:hint="eastAsia" w:ascii="宋体" w:hAnsi="宋体" w:cs="宋体"/>
          <w:szCs w:val="24"/>
        </w:rPr>
        <w:t>注：投标人应根据投标人须知第3.5.3项的要求在本表后附相关证明材料。</w:t>
      </w: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b/>
          <w:bCs/>
          <w:szCs w:val="24"/>
        </w:rPr>
      </w:pPr>
      <w:r>
        <w:rPr>
          <w:rFonts w:hint="eastAsia" w:ascii="宋体" w:hAnsi="宋体" w:cs="宋体"/>
          <w:szCs w:val="24"/>
        </w:rPr>
        <w:br w:type="page"/>
      </w:r>
      <w:r>
        <w:rPr>
          <w:rFonts w:hint="eastAsia" w:ascii="宋体" w:hAnsi="宋体" w:cs="宋体"/>
          <w:b/>
          <w:bCs/>
          <w:szCs w:val="24"/>
        </w:rPr>
        <w:t>（三）拟委任的主要人员汇总表（格式可自定）</w:t>
      </w:r>
    </w:p>
    <w:tbl>
      <w:tblPr>
        <w:tblStyle w:val="39"/>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序号</w:t>
            </w:r>
          </w:p>
        </w:tc>
        <w:tc>
          <w:tcPr>
            <w:tcW w:w="1468" w:type="dxa"/>
            <w:vMerge w:val="restart"/>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本项目任职</w:t>
            </w:r>
          </w:p>
        </w:tc>
        <w:tc>
          <w:tcPr>
            <w:tcW w:w="818" w:type="dxa"/>
            <w:vMerge w:val="restart"/>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姓名</w:t>
            </w:r>
          </w:p>
        </w:tc>
        <w:tc>
          <w:tcPr>
            <w:tcW w:w="707" w:type="dxa"/>
            <w:vMerge w:val="restart"/>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职称</w:t>
            </w:r>
          </w:p>
        </w:tc>
        <w:tc>
          <w:tcPr>
            <w:tcW w:w="870" w:type="dxa"/>
            <w:vMerge w:val="restart"/>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专业</w:t>
            </w:r>
          </w:p>
        </w:tc>
        <w:tc>
          <w:tcPr>
            <w:tcW w:w="3123" w:type="dxa"/>
            <w:gridSpan w:val="3"/>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执业或职业资格证明</w:t>
            </w:r>
          </w:p>
        </w:tc>
        <w:tc>
          <w:tcPr>
            <w:tcW w:w="1302"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备注</w:t>
            </w:r>
          </w:p>
        </w:tc>
      </w:tr>
      <w:tr>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468" w:type="dxa"/>
            <w:vMerge w:val="continue"/>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818" w:type="dxa"/>
            <w:vMerge w:val="continue"/>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707" w:type="dxa"/>
            <w:vMerge w:val="continue"/>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870" w:type="dxa"/>
            <w:vMerge w:val="continue"/>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证书名称</w:t>
            </w:r>
          </w:p>
        </w:tc>
        <w:tc>
          <w:tcPr>
            <w:tcW w:w="816"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级别</w:t>
            </w:r>
          </w:p>
        </w:tc>
        <w:tc>
          <w:tcPr>
            <w:tcW w:w="1002"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证号</w:t>
            </w:r>
          </w:p>
        </w:tc>
        <w:tc>
          <w:tcPr>
            <w:tcW w:w="1302"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46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8"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707"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70"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5"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816"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0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c>
          <w:tcPr>
            <w:tcW w:w="1302" w:type="dxa"/>
            <w:tcBorders>
              <w:top w:val="single" w:color="auto" w:sz="4" w:space="0"/>
              <w:left w:val="nil"/>
              <w:bottom w:val="single" w:color="auto" w:sz="4" w:space="0"/>
              <w:right w:val="single" w:color="auto" w:sz="4" w:space="0"/>
            </w:tcBorders>
            <w:noWrap/>
          </w:tcPr>
          <w:p>
            <w:pPr>
              <w:pStyle w:val="46"/>
              <w:ind w:firstLine="0" w:firstLineChars="0"/>
              <w:rPr>
                <w:rFonts w:ascii="宋体" w:hAnsi="宋体" w:cs="宋体"/>
                <w:szCs w:val="24"/>
              </w:rPr>
            </w:pPr>
          </w:p>
        </w:tc>
      </w:tr>
    </w:tbl>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br w:type="page"/>
      </w:r>
    </w:p>
    <w:p>
      <w:pPr>
        <w:pStyle w:val="46"/>
        <w:ind w:firstLine="0" w:firstLineChars="0"/>
        <w:rPr>
          <w:rFonts w:ascii="宋体" w:hAnsi="宋体" w:cs="宋体"/>
          <w:b/>
          <w:bCs/>
          <w:szCs w:val="24"/>
        </w:rPr>
      </w:pPr>
      <w:r>
        <w:rPr>
          <w:rFonts w:hint="eastAsia" w:ascii="宋体" w:hAnsi="宋体" w:cs="宋体"/>
          <w:b/>
          <w:bCs/>
          <w:szCs w:val="24"/>
        </w:rPr>
        <w:t>（四）主要人员简历表（格式可自定）</w:t>
      </w:r>
    </w:p>
    <w:tbl>
      <w:tblPr>
        <w:tblStyle w:val="39"/>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姓  名</w:t>
            </w:r>
          </w:p>
        </w:tc>
        <w:tc>
          <w:tcPr>
            <w:tcW w:w="1048" w:type="dxa"/>
            <w:gridSpan w:val="2"/>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958"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年龄</w:t>
            </w:r>
          </w:p>
        </w:tc>
        <w:tc>
          <w:tcPr>
            <w:tcW w:w="1065"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2368" w:type="dxa"/>
            <w:gridSpan w:val="3"/>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执业资格证书（或上岗证书）名称</w:t>
            </w:r>
          </w:p>
        </w:tc>
        <w:tc>
          <w:tcPr>
            <w:tcW w:w="1896"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职  称</w:t>
            </w:r>
          </w:p>
        </w:tc>
        <w:tc>
          <w:tcPr>
            <w:tcW w:w="1048" w:type="dxa"/>
            <w:gridSpan w:val="2"/>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958"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学历</w:t>
            </w:r>
          </w:p>
        </w:tc>
        <w:tc>
          <w:tcPr>
            <w:tcW w:w="1065"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2368" w:type="dxa"/>
            <w:gridSpan w:val="3"/>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拟在本项目任职</w:t>
            </w:r>
          </w:p>
        </w:tc>
        <w:tc>
          <w:tcPr>
            <w:tcW w:w="1896"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工作年限</w:t>
            </w:r>
          </w:p>
        </w:tc>
        <w:tc>
          <w:tcPr>
            <w:tcW w:w="3071" w:type="dxa"/>
            <w:gridSpan w:val="4"/>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2368" w:type="dxa"/>
            <w:gridSpan w:val="3"/>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从事相应工作年限</w:t>
            </w:r>
          </w:p>
        </w:tc>
        <w:tc>
          <w:tcPr>
            <w:tcW w:w="1896"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r>
      <w:tr>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毕业学校</w:t>
            </w:r>
          </w:p>
        </w:tc>
        <w:tc>
          <w:tcPr>
            <w:tcW w:w="7335" w:type="dxa"/>
            <w:gridSpan w:val="8"/>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年毕业于            学校        专业</w:t>
            </w:r>
          </w:p>
        </w:tc>
      </w:tr>
      <w:tr>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主要工作经历</w:t>
            </w:r>
          </w:p>
        </w:tc>
      </w:tr>
      <w:tr>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时  间</w:t>
            </w:r>
          </w:p>
        </w:tc>
        <w:tc>
          <w:tcPr>
            <w:tcW w:w="3420" w:type="dxa"/>
            <w:gridSpan w:val="4"/>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参加过的类似项目</w:t>
            </w:r>
          </w:p>
        </w:tc>
        <w:tc>
          <w:tcPr>
            <w:tcW w:w="1261"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担任职务</w:t>
            </w:r>
          </w:p>
        </w:tc>
        <w:tc>
          <w:tcPr>
            <w:tcW w:w="2297" w:type="dxa"/>
            <w:gridSpan w:val="2"/>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r>
              <w:rPr>
                <w:rFonts w:hint="eastAsia" w:ascii="宋体" w:hAnsi="宋体" w:eastAsia="宋体" w:cs="宋体"/>
                <w:sz w:val="24"/>
              </w:rPr>
              <w:t>委托人及联系电话</w:t>
            </w: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pPr>
              <w:pStyle w:val="50"/>
              <w:rPr>
                <w:rFonts w:ascii="宋体" w:hAnsi="宋体" w:eastAsia="宋体" w:cs="宋体"/>
                <w:sz w:val="24"/>
              </w:rPr>
            </w:pPr>
          </w:p>
        </w:tc>
        <w:tc>
          <w:tcPr>
            <w:tcW w:w="3420" w:type="dxa"/>
            <w:gridSpan w:val="4"/>
            <w:tcBorders>
              <w:top w:val="single" w:color="auto" w:sz="4" w:space="0"/>
              <w:left w:val="nil"/>
              <w:bottom w:val="single" w:color="auto" w:sz="4" w:space="0"/>
              <w:right w:val="single" w:color="auto" w:sz="4" w:space="0"/>
            </w:tcBorders>
            <w:noWrap/>
          </w:tcPr>
          <w:p>
            <w:pPr>
              <w:pStyle w:val="50"/>
              <w:rPr>
                <w:rFonts w:ascii="宋体" w:hAnsi="宋体" w:eastAsia="宋体" w:cs="宋体"/>
                <w:sz w:val="24"/>
              </w:rPr>
            </w:pPr>
          </w:p>
        </w:tc>
        <w:tc>
          <w:tcPr>
            <w:tcW w:w="1261" w:type="dxa"/>
            <w:tcBorders>
              <w:top w:val="single" w:color="auto" w:sz="4" w:space="0"/>
              <w:left w:val="nil"/>
              <w:bottom w:val="single" w:color="auto" w:sz="4" w:space="0"/>
              <w:right w:val="single" w:color="auto" w:sz="4" w:space="0"/>
            </w:tcBorders>
            <w:noWrap/>
          </w:tcPr>
          <w:p>
            <w:pPr>
              <w:pStyle w:val="50"/>
              <w:rPr>
                <w:rFonts w:ascii="宋体" w:hAnsi="宋体" w:eastAsia="宋体" w:cs="宋体"/>
                <w:sz w:val="24"/>
              </w:rPr>
            </w:pPr>
          </w:p>
        </w:tc>
        <w:tc>
          <w:tcPr>
            <w:tcW w:w="2297" w:type="dxa"/>
            <w:gridSpan w:val="2"/>
            <w:tcBorders>
              <w:top w:val="single" w:color="auto" w:sz="4" w:space="0"/>
              <w:left w:val="nil"/>
              <w:bottom w:val="single" w:color="auto" w:sz="4" w:space="0"/>
              <w:right w:val="single" w:color="auto" w:sz="4" w:space="0"/>
            </w:tcBorders>
            <w:noWrap/>
          </w:tcPr>
          <w:p>
            <w:pPr>
              <w:pStyle w:val="50"/>
              <w:rPr>
                <w:rFonts w:ascii="宋体" w:hAnsi="宋体" w:eastAsia="宋体" w:cs="宋体"/>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pPr>
              <w:pStyle w:val="50"/>
              <w:rPr>
                <w:rFonts w:ascii="宋体" w:hAnsi="宋体" w:eastAsia="宋体" w:cs="宋体"/>
                <w:sz w:val="24"/>
              </w:rPr>
            </w:pPr>
          </w:p>
        </w:tc>
        <w:tc>
          <w:tcPr>
            <w:tcW w:w="3420" w:type="dxa"/>
            <w:gridSpan w:val="4"/>
            <w:tcBorders>
              <w:top w:val="single" w:color="auto" w:sz="4" w:space="0"/>
              <w:left w:val="nil"/>
              <w:bottom w:val="single" w:color="auto" w:sz="4" w:space="0"/>
              <w:right w:val="single" w:color="auto" w:sz="4" w:space="0"/>
            </w:tcBorders>
            <w:noWrap/>
          </w:tcPr>
          <w:p>
            <w:pPr>
              <w:pStyle w:val="50"/>
              <w:rPr>
                <w:rFonts w:ascii="宋体" w:hAnsi="宋体" w:eastAsia="宋体" w:cs="宋体"/>
                <w:sz w:val="24"/>
              </w:rPr>
            </w:pPr>
          </w:p>
        </w:tc>
        <w:tc>
          <w:tcPr>
            <w:tcW w:w="1261" w:type="dxa"/>
            <w:tcBorders>
              <w:top w:val="single" w:color="auto" w:sz="4" w:space="0"/>
              <w:left w:val="nil"/>
              <w:bottom w:val="single" w:color="auto" w:sz="4" w:space="0"/>
              <w:right w:val="single" w:color="auto" w:sz="4" w:space="0"/>
            </w:tcBorders>
            <w:noWrap/>
          </w:tcPr>
          <w:p>
            <w:pPr>
              <w:pStyle w:val="50"/>
              <w:rPr>
                <w:rFonts w:ascii="宋体" w:hAnsi="宋体" w:eastAsia="宋体" w:cs="宋体"/>
                <w:sz w:val="24"/>
              </w:rPr>
            </w:pPr>
          </w:p>
        </w:tc>
        <w:tc>
          <w:tcPr>
            <w:tcW w:w="2297" w:type="dxa"/>
            <w:gridSpan w:val="2"/>
            <w:tcBorders>
              <w:top w:val="single" w:color="auto" w:sz="4" w:space="0"/>
              <w:left w:val="nil"/>
              <w:bottom w:val="single" w:color="auto" w:sz="4" w:space="0"/>
              <w:right w:val="single" w:color="auto" w:sz="4" w:space="0"/>
            </w:tcBorders>
            <w:noWrap/>
          </w:tcPr>
          <w:p>
            <w:pPr>
              <w:pStyle w:val="50"/>
              <w:rPr>
                <w:rFonts w:ascii="宋体" w:hAnsi="宋体" w:eastAsia="宋体" w:cs="宋体"/>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pPr>
              <w:pStyle w:val="50"/>
              <w:rPr>
                <w:rFonts w:ascii="宋体" w:hAnsi="宋体" w:eastAsia="宋体" w:cs="宋体"/>
                <w:sz w:val="24"/>
              </w:rPr>
            </w:pPr>
          </w:p>
        </w:tc>
        <w:tc>
          <w:tcPr>
            <w:tcW w:w="3420" w:type="dxa"/>
            <w:gridSpan w:val="4"/>
            <w:tcBorders>
              <w:top w:val="single" w:color="auto" w:sz="4" w:space="0"/>
              <w:left w:val="nil"/>
              <w:bottom w:val="single" w:color="auto" w:sz="4" w:space="0"/>
              <w:right w:val="single" w:color="auto" w:sz="4" w:space="0"/>
            </w:tcBorders>
            <w:noWrap/>
          </w:tcPr>
          <w:p>
            <w:pPr>
              <w:pStyle w:val="50"/>
              <w:rPr>
                <w:rFonts w:ascii="宋体" w:hAnsi="宋体" w:eastAsia="宋体" w:cs="宋体"/>
                <w:sz w:val="24"/>
              </w:rPr>
            </w:pPr>
          </w:p>
        </w:tc>
        <w:tc>
          <w:tcPr>
            <w:tcW w:w="1261" w:type="dxa"/>
            <w:tcBorders>
              <w:top w:val="single" w:color="auto" w:sz="4" w:space="0"/>
              <w:left w:val="nil"/>
              <w:bottom w:val="single" w:color="auto" w:sz="4" w:space="0"/>
              <w:right w:val="single" w:color="auto" w:sz="4" w:space="0"/>
            </w:tcBorders>
            <w:noWrap/>
          </w:tcPr>
          <w:p>
            <w:pPr>
              <w:pStyle w:val="50"/>
              <w:rPr>
                <w:rFonts w:ascii="宋体" w:hAnsi="宋体" w:eastAsia="宋体" w:cs="宋体"/>
                <w:sz w:val="24"/>
              </w:rPr>
            </w:pPr>
          </w:p>
        </w:tc>
        <w:tc>
          <w:tcPr>
            <w:tcW w:w="2297" w:type="dxa"/>
            <w:gridSpan w:val="2"/>
            <w:tcBorders>
              <w:top w:val="single" w:color="auto" w:sz="4" w:space="0"/>
              <w:left w:val="nil"/>
              <w:bottom w:val="single" w:color="auto" w:sz="4" w:space="0"/>
              <w:right w:val="single" w:color="auto" w:sz="4" w:space="0"/>
            </w:tcBorders>
            <w:noWrap/>
          </w:tcPr>
          <w:p>
            <w:pPr>
              <w:pStyle w:val="50"/>
              <w:rPr>
                <w:rFonts w:ascii="宋体" w:hAnsi="宋体" w:eastAsia="宋体" w:cs="宋体"/>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3420" w:type="dxa"/>
            <w:gridSpan w:val="4"/>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1261"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2297" w:type="dxa"/>
            <w:gridSpan w:val="2"/>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3420" w:type="dxa"/>
            <w:gridSpan w:val="4"/>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1261"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2297" w:type="dxa"/>
            <w:gridSpan w:val="2"/>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3420" w:type="dxa"/>
            <w:gridSpan w:val="4"/>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1261"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2297" w:type="dxa"/>
            <w:gridSpan w:val="2"/>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pStyle w:val="50"/>
              <w:rPr>
                <w:rFonts w:ascii="宋体" w:hAnsi="宋体" w:eastAsia="宋体" w:cs="宋体"/>
                <w:sz w:val="24"/>
              </w:rPr>
            </w:pPr>
          </w:p>
        </w:tc>
        <w:tc>
          <w:tcPr>
            <w:tcW w:w="3420" w:type="dxa"/>
            <w:gridSpan w:val="4"/>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1261" w:type="dxa"/>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c>
          <w:tcPr>
            <w:tcW w:w="2297" w:type="dxa"/>
            <w:gridSpan w:val="2"/>
            <w:tcBorders>
              <w:top w:val="single" w:color="auto" w:sz="4" w:space="0"/>
              <w:left w:val="nil"/>
              <w:bottom w:val="single" w:color="auto" w:sz="4" w:space="0"/>
              <w:right w:val="single" w:color="auto" w:sz="4" w:space="0"/>
            </w:tcBorders>
            <w:noWrap/>
            <w:vAlign w:val="center"/>
          </w:tcPr>
          <w:p>
            <w:pPr>
              <w:pStyle w:val="50"/>
              <w:rPr>
                <w:rFonts w:ascii="宋体" w:hAnsi="宋体" w:eastAsia="宋体" w:cs="宋体"/>
                <w:sz w:val="24"/>
              </w:rPr>
            </w:pPr>
          </w:p>
        </w:tc>
      </w:tr>
    </w:tbl>
    <w:p>
      <w:pPr>
        <w:pStyle w:val="46"/>
        <w:ind w:firstLine="0" w:firstLineChars="0"/>
        <w:rPr>
          <w:rFonts w:ascii="宋体" w:hAnsi="宋体" w:cs="宋体"/>
          <w:szCs w:val="24"/>
        </w:rPr>
      </w:pPr>
      <w:r>
        <w:rPr>
          <w:rFonts w:hint="eastAsia" w:ascii="宋体" w:hAnsi="宋体" w:cs="宋体"/>
          <w:szCs w:val="24"/>
        </w:rPr>
        <w:t>注：投标人应根据投标人须知第3.5.6项的要求在本表后附相关证明材料。</w:t>
      </w:r>
    </w:p>
    <w:p>
      <w:pPr>
        <w:pStyle w:val="46"/>
        <w:ind w:firstLine="0" w:firstLineChars="0"/>
        <w:rPr>
          <w:rFonts w:ascii="宋体" w:hAnsi="宋体" w:cs="宋体"/>
          <w:szCs w:val="24"/>
        </w:rPr>
      </w:pPr>
    </w:p>
    <w:p>
      <w:pPr>
        <w:pStyle w:val="46"/>
        <w:ind w:firstLine="0" w:firstLineChars="0"/>
        <w:rPr>
          <w:rFonts w:ascii="宋体" w:hAnsi="宋体" w:cs="宋体"/>
          <w:b/>
          <w:bCs/>
          <w:szCs w:val="24"/>
        </w:rPr>
      </w:pPr>
      <w:r>
        <w:rPr>
          <w:rFonts w:hint="eastAsia" w:ascii="宋体" w:hAnsi="宋体" w:cs="宋体"/>
          <w:szCs w:val="24"/>
        </w:rPr>
        <w:br w:type="page"/>
      </w:r>
      <w:r>
        <w:rPr>
          <w:rFonts w:hint="eastAsia" w:ascii="宋体" w:hAnsi="宋体" w:cs="宋体"/>
          <w:b/>
          <w:bCs/>
          <w:szCs w:val="24"/>
        </w:rPr>
        <w:t>（五）拟投入本项目的主要试验检测仪器设备表（格式可自定）</w:t>
      </w:r>
    </w:p>
    <w:p>
      <w:pPr>
        <w:pStyle w:val="46"/>
        <w:ind w:firstLine="0" w:firstLineChars="0"/>
        <w:rPr>
          <w:rFonts w:ascii="宋体" w:hAnsi="宋体" w:cs="宋体"/>
          <w:b/>
          <w:bCs/>
          <w:szCs w:val="24"/>
        </w:rPr>
      </w:pPr>
      <w:r>
        <w:rPr>
          <w:rFonts w:hint="eastAsia" w:ascii="宋体" w:hAnsi="宋体" w:cs="宋体"/>
          <w:b/>
          <w:bCs/>
          <w:szCs w:val="24"/>
        </w:rPr>
        <w:t>拟投入本项目的通讯、办公、检测设备清单</w:t>
      </w:r>
    </w:p>
    <w:tbl>
      <w:tblPr>
        <w:tblStyle w:val="39"/>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95"/>
        <w:gridCol w:w="1852"/>
        <w:gridCol w:w="1749"/>
        <w:gridCol w:w="1573"/>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99" w:type="dxa"/>
            <w:gridSpan w:val="2"/>
            <w:vMerge w:val="restart"/>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名称及型号</w:t>
            </w:r>
          </w:p>
        </w:tc>
        <w:tc>
          <w:tcPr>
            <w:tcW w:w="6732" w:type="dxa"/>
            <w:gridSpan w:val="4"/>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申请单位能达到的程度简述（由申请单位填写）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852" w:type="dxa"/>
            <w:vMerge w:val="restart"/>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数量（台套）</w:t>
            </w:r>
          </w:p>
        </w:tc>
        <w:tc>
          <w:tcPr>
            <w:tcW w:w="4880" w:type="dxa"/>
            <w:gridSpan w:val="3"/>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拟投入本项目情况（台套）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852"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新购</w:t>
            </w: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自有</w:t>
            </w: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restart"/>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通讯设备</w:t>
            </w: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有线电话</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传真机</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打印机</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restart"/>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办公设备</w:t>
            </w: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复印机</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数码相机</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摄像机</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电  脑</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无人机</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restart"/>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检测设备</w:t>
            </w: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30米钢卷尺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5米钢卷尺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激光垂准仪</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建筑工程检测尺</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焊接检测尺</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读数显微镜</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涂层测厚仪</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游标卡尺</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扭矩扳手</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95"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交通工具</w:t>
            </w:r>
          </w:p>
        </w:tc>
        <w:tc>
          <w:tcPr>
            <w:tcW w:w="1852"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r>
              <w:rPr>
                <w:rFonts w:hint="eastAsia" w:ascii="宋体" w:hAnsi="宋体" w:cs="宋体"/>
                <w:szCs w:val="24"/>
              </w:rPr>
              <w:t>其他</w:t>
            </w:r>
          </w:p>
        </w:tc>
        <w:tc>
          <w:tcPr>
            <w:tcW w:w="1852" w:type="dxa"/>
            <w:tcBorders>
              <w:top w:val="single" w:color="auto" w:sz="4" w:space="0"/>
              <w:left w:val="single" w:color="auto" w:sz="4" w:space="0"/>
              <w:bottom w:val="single" w:color="auto" w:sz="4" w:space="0"/>
              <w:right w:val="single" w:color="auto" w:sz="4" w:space="0"/>
            </w:tcBorders>
            <w:noWrap/>
          </w:tcPr>
          <w:p>
            <w:pPr>
              <w:pStyle w:val="46"/>
              <w:ind w:firstLine="0" w:firstLineChars="0"/>
              <w:rPr>
                <w:rFonts w:ascii="宋体" w:hAnsi="宋体" w:cs="宋体"/>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pStyle w:val="46"/>
              <w:ind w:firstLine="0" w:firstLineChars="0"/>
              <w:rPr>
                <w:rFonts w:ascii="宋体" w:hAnsi="宋体" w:cs="宋体"/>
                <w:szCs w:val="24"/>
              </w:rPr>
            </w:pPr>
          </w:p>
        </w:tc>
      </w:tr>
    </w:tbl>
    <w:p>
      <w:pPr>
        <w:pStyle w:val="46"/>
        <w:ind w:firstLine="0" w:firstLineChars="0"/>
        <w:rPr>
          <w:rFonts w:ascii="宋体" w:hAnsi="宋体" w:cs="宋体"/>
          <w:szCs w:val="24"/>
        </w:rPr>
      </w:pPr>
      <w:r>
        <w:rPr>
          <w:rFonts w:hint="eastAsia" w:ascii="宋体" w:hAnsi="宋体" w:cs="宋体"/>
          <w:szCs w:val="24"/>
        </w:rPr>
        <w:t>备注：1、如投标人中标，招标人将据此清单与中标的监理单位核查进场的监理设施。</w:t>
      </w:r>
    </w:p>
    <w:p>
      <w:pPr>
        <w:pStyle w:val="46"/>
        <w:ind w:firstLine="0" w:firstLineChars="0"/>
        <w:rPr>
          <w:rFonts w:ascii="宋体" w:hAnsi="宋体" w:cs="宋体"/>
          <w:szCs w:val="24"/>
        </w:rPr>
      </w:pPr>
      <w:r>
        <w:rPr>
          <w:rFonts w:hint="eastAsia" w:ascii="宋体" w:hAnsi="宋体" w:cs="宋体"/>
          <w:szCs w:val="24"/>
        </w:rPr>
        <w:t>2、投标人可自行补充其他拟投入本项目的监理设施，以及委托有关单位进行检测的协议。</w:t>
      </w:r>
    </w:p>
    <w:p>
      <w:pPr>
        <w:pStyle w:val="46"/>
        <w:ind w:firstLine="0" w:firstLineChars="0"/>
        <w:rPr>
          <w:rFonts w:ascii="宋体" w:hAnsi="宋体" w:cs="宋体"/>
          <w:szCs w:val="24"/>
        </w:rPr>
      </w:pPr>
      <w:r>
        <w:rPr>
          <w:rFonts w:hint="eastAsia" w:ascii="宋体" w:hAnsi="宋体" w:cs="宋体"/>
          <w:szCs w:val="24"/>
        </w:rPr>
        <w:t>投  标  单  位：</w:t>
      </w:r>
    </w:p>
    <w:p>
      <w:pPr>
        <w:pStyle w:val="46"/>
        <w:ind w:firstLine="0" w:firstLineChars="0"/>
        <w:rPr>
          <w:rFonts w:ascii="宋体" w:hAnsi="宋体" w:cs="宋体"/>
          <w:szCs w:val="24"/>
        </w:rPr>
      </w:pPr>
      <w:r>
        <w:rPr>
          <w:rFonts w:hint="eastAsia" w:ascii="宋体" w:hAnsi="宋体" w:cs="宋体"/>
          <w:szCs w:val="24"/>
        </w:rPr>
        <w:t>日期：   年  月  日</w:t>
      </w:r>
    </w:p>
    <w:p>
      <w:pPr>
        <w:pStyle w:val="46"/>
        <w:ind w:firstLine="0" w:firstLineChars="0"/>
        <w:rPr>
          <w:rFonts w:ascii="宋体" w:hAnsi="宋体" w:cs="宋体"/>
          <w:b/>
          <w:bCs/>
          <w:szCs w:val="24"/>
        </w:rPr>
      </w:pPr>
      <w:r>
        <w:rPr>
          <w:rFonts w:hint="eastAsia" w:ascii="宋体" w:hAnsi="宋体" w:cs="宋体"/>
          <w:szCs w:val="24"/>
        </w:rPr>
        <w:br w:type="page"/>
      </w:r>
      <w:r>
        <w:rPr>
          <w:rFonts w:hint="eastAsia" w:ascii="宋体" w:hAnsi="宋体" w:cs="宋体"/>
          <w:b/>
          <w:bCs/>
          <w:szCs w:val="24"/>
        </w:rPr>
        <w:t>（六）投标人声明格式</w:t>
      </w:r>
    </w:p>
    <w:p>
      <w:pPr>
        <w:pStyle w:val="46"/>
        <w:ind w:firstLine="0" w:firstLineChars="0"/>
        <w:rPr>
          <w:rFonts w:ascii="宋体" w:hAnsi="宋体" w:cs="宋体"/>
          <w:szCs w:val="24"/>
        </w:rPr>
      </w:pPr>
      <w:r>
        <w:rPr>
          <w:rFonts w:hint="eastAsia" w:ascii="宋体" w:hAnsi="宋体" w:cs="宋体"/>
          <w:szCs w:val="24"/>
        </w:rPr>
        <w:t>（格式详见招标公告附件一）</w:t>
      </w:r>
    </w:p>
    <w:p>
      <w:pPr>
        <w:pStyle w:val="46"/>
        <w:ind w:firstLine="0" w:firstLineChars="0"/>
        <w:rPr>
          <w:rFonts w:ascii="宋体" w:hAnsi="宋体" w:cs="宋体"/>
          <w:b/>
          <w:bCs/>
          <w:szCs w:val="24"/>
        </w:rPr>
      </w:pPr>
      <w:r>
        <w:rPr>
          <w:rFonts w:hint="eastAsia" w:ascii="宋体" w:hAnsi="宋体" w:cs="宋体"/>
          <w:szCs w:val="24"/>
        </w:rPr>
        <w:br w:type="page"/>
      </w:r>
      <w:bookmarkEnd w:id="565"/>
      <w:bookmarkStart w:id="569" w:name="_Toc535938758"/>
      <w:bookmarkStart w:id="570" w:name="_Toc530470651"/>
      <w:bookmarkStart w:id="571" w:name="_Toc529196610"/>
      <w:r>
        <w:rPr>
          <w:rFonts w:hint="eastAsia" w:ascii="宋体" w:hAnsi="宋体" w:cs="宋体"/>
          <w:b/>
          <w:bCs/>
          <w:szCs w:val="24"/>
        </w:rPr>
        <w:t>五、监理大纲</w:t>
      </w:r>
      <w:bookmarkEnd w:id="569"/>
      <w:bookmarkEnd w:id="570"/>
      <w:bookmarkEnd w:id="571"/>
    </w:p>
    <w:p>
      <w:pPr>
        <w:pStyle w:val="46"/>
        <w:ind w:firstLine="0" w:firstLineChars="0"/>
        <w:rPr>
          <w:rFonts w:ascii="宋体" w:hAnsi="宋体" w:cs="宋体"/>
          <w:szCs w:val="24"/>
        </w:rPr>
      </w:pPr>
      <w:r>
        <w:rPr>
          <w:rFonts w:hint="eastAsia" w:ascii="宋体" w:hAnsi="宋体" w:cs="宋体"/>
          <w:szCs w:val="24"/>
        </w:rPr>
        <w:t>监理大纲应包括（但不限于）下列内容：</w:t>
      </w:r>
    </w:p>
    <w:p>
      <w:pPr>
        <w:pStyle w:val="46"/>
        <w:ind w:firstLine="0" w:firstLineChars="0"/>
        <w:rPr>
          <w:rFonts w:ascii="宋体" w:hAnsi="宋体" w:cs="宋体"/>
          <w:szCs w:val="24"/>
        </w:rPr>
      </w:pPr>
      <w:r>
        <w:rPr>
          <w:rFonts w:hint="eastAsia" w:ascii="宋体" w:hAnsi="宋体" w:cs="宋体"/>
          <w:szCs w:val="24"/>
        </w:rPr>
        <w:t>一、监理工程概况；</w:t>
      </w:r>
    </w:p>
    <w:p>
      <w:pPr>
        <w:pStyle w:val="46"/>
        <w:ind w:firstLine="0" w:firstLineChars="0"/>
        <w:rPr>
          <w:rFonts w:ascii="宋体" w:hAnsi="宋体" w:cs="宋体"/>
          <w:szCs w:val="24"/>
        </w:rPr>
      </w:pPr>
      <w:r>
        <w:rPr>
          <w:rFonts w:hint="eastAsia" w:ascii="宋体" w:hAnsi="宋体" w:cs="宋体"/>
          <w:szCs w:val="24"/>
        </w:rPr>
        <w:t>二、监理范围、监理内容；</w:t>
      </w:r>
    </w:p>
    <w:p>
      <w:pPr>
        <w:pStyle w:val="46"/>
        <w:ind w:firstLine="0" w:firstLineChars="0"/>
        <w:rPr>
          <w:rFonts w:ascii="宋体" w:hAnsi="宋体" w:cs="宋体"/>
          <w:szCs w:val="24"/>
        </w:rPr>
      </w:pPr>
      <w:r>
        <w:rPr>
          <w:rFonts w:hint="eastAsia" w:ascii="宋体" w:hAnsi="宋体" w:cs="宋体"/>
          <w:szCs w:val="24"/>
        </w:rPr>
        <w:t>三、监理依据、监理工作目标；</w:t>
      </w:r>
    </w:p>
    <w:p>
      <w:pPr>
        <w:pStyle w:val="46"/>
        <w:ind w:firstLine="0" w:firstLineChars="0"/>
        <w:rPr>
          <w:rFonts w:ascii="宋体" w:hAnsi="宋体" w:cs="宋体"/>
          <w:szCs w:val="24"/>
        </w:rPr>
      </w:pPr>
      <w:r>
        <w:rPr>
          <w:rFonts w:hint="eastAsia" w:ascii="宋体" w:hAnsi="宋体" w:cs="宋体"/>
          <w:szCs w:val="24"/>
        </w:rPr>
        <w:t>四、监理机构设置（监理组织架构框图）、岗位职责；</w:t>
      </w:r>
    </w:p>
    <w:p>
      <w:pPr>
        <w:pStyle w:val="46"/>
        <w:ind w:firstLine="0" w:firstLineChars="0"/>
        <w:rPr>
          <w:rFonts w:ascii="宋体" w:hAnsi="宋体" w:cs="宋体"/>
          <w:szCs w:val="24"/>
        </w:rPr>
      </w:pPr>
      <w:r>
        <w:rPr>
          <w:rFonts w:hint="eastAsia" w:ascii="宋体" w:hAnsi="宋体" w:cs="宋体"/>
          <w:szCs w:val="24"/>
        </w:rPr>
        <w:t>五、监理工作程序、方法和制度；</w:t>
      </w:r>
    </w:p>
    <w:p>
      <w:pPr>
        <w:pStyle w:val="46"/>
        <w:ind w:firstLine="0" w:firstLineChars="0"/>
        <w:rPr>
          <w:rFonts w:ascii="宋体" w:hAnsi="宋体" w:cs="宋体"/>
          <w:szCs w:val="24"/>
        </w:rPr>
      </w:pPr>
      <w:r>
        <w:rPr>
          <w:rFonts w:hint="eastAsia" w:ascii="宋体" w:hAnsi="宋体" w:cs="宋体"/>
          <w:szCs w:val="24"/>
        </w:rPr>
        <w:t>六、拟投入的监理人员、试验检测仪器设备；</w:t>
      </w:r>
    </w:p>
    <w:p>
      <w:pPr>
        <w:pStyle w:val="46"/>
        <w:ind w:firstLine="0" w:firstLineChars="0"/>
        <w:rPr>
          <w:rFonts w:ascii="宋体" w:hAnsi="宋体" w:cs="宋体"/>
          <w:szCs w:val="24"/>
        </w:rPr>
      </w:pPr>
      <w:r>
        <w:rPr>
          <w:rFonts w:hint="eastAsia" w:ascii="宋体" w:hAnsi="宋体" w:cs="宋体"/>
          <w:szCs w:val="24"/>
        </w:rPr>
        <w:t>七、质量、进度、造价、安全、环保监理措施；</w:t>
      </w:r>
    </w:p>
    <w:p>
      <w:pPr>
        <w:pStyle w:val="46"/>
        <w:ind w:firstLine="0" w:firstLineChars="0"/>
        <w:rPr>
          <w:rFonts w:ascii="宋体" w:hAnsi="宋体" w:cs="宋体"/>
          <w:szCs w:val="24"/>
        </w:rPr>
      </w:pPr>
      <w:r>
        <w:rPr>
          <w:rFonts w:hint="eastAsia" w:ascii="宋体" w:hAnsi="宋体" w:cs="宋体"/>
          <w:szCs w:val="24"/>
        </w:rPr>
        <w:t>八、合同、信息管理方案；</w:t>
      </w:r>
    </w:p>
    <w:p>
      <w:pPr>
        <w:pStyle w:val="46"/>
        <w:ind w:firstLine="0" w:firstLineChars="0"/>
        <w:rPr>
          <w:rFonts w:ascii="宋体" w:hAnsi="宋体" w:cs="宋体"/>
          <w:szCs w:val="24"/>
        </w:rPr>
      </w:pPr>
      <w:r>
        <w:rPr>
          <w:rFonts w:hint="eastAsia" w:ascii="宋体" w:hAnsi="宋体" w:cs="宋体"/>
          <w:szCs w:val="24"/>
        </w:rPr>
        <w:t>九、组织协调内容及措施；</w:t>
      </w:r>
    </w:p>
    <w:p>
      <w:pPr>
        <w:pStyle w:val="46"/>
        <w:ind w:firstLine="0" w:firstLineChars="0"/>
        <w:rPr>
          <w:rFonts w:ascii="宋体" w:hAnsi="宋体" w:cs="宋体"/>
          <w:szCs w:val="24"/>
        </w:rPr>
      </w:pPr>
      <w:r>
        <w:rPr>
          <w:rFonts w:hint="eastAsia" w:ascii="宋体" w:hAnsi="宋体" w:cs="宋体"/>
          <w:szCs w:val="24"/>
        </w:rPr>
        <w:t>十、监理工作重点、难点分析；</w:t>
      </w:r>
    </w:p>
    <w:p>
      <w:pPr>
        <w:pStyle w:val="46"/>
        <w:ind w:firstLine="0" w:firstLineChars="0"/>
        <w:rPr>
          <w:rFonts w:ascii="宋体" w:hAnsi="宋体" w:cs="宋体"/>
          <w:szCs w:val="24"/>
        </w:rPr>
      </w:pPr>
      <w:r>
        <w:rPr>
          <w:rFonts w:hint="eastAsia" w:ascii="宋体" w:hAnsi="宋体" w:cs="宋体"/>
          <w:szCs w:val="24"/>
        </w:rPr>
        <w:t>十一、对本工程监理的合理化建议</w:t>
      </w:r>
    </w:p>
    <w:p>
      <w:pPr>
        <w:pStyle w:val="46"/>
        <w:ind w:firstLine="0" w:firstLineChars="0"/>
        <w:rPr>
          <w:rFonts w:ascii="宋体" w:hAnsi="宋体" w:cs="宋体"/>
          <w:szCs w:val="24"/>
        </w:rPr>
      </w:pPr>
      <w:r>
        <w:rPr>
          <w:rFonts w:hint="eastAsia" w:ascii="宋体" w:hAnsi="宋体" w:cs="宋体"/>
          <w:szCs w:val="24"/>
        </w:rPr>
        <w:t>十二、本项目涉及的所有第三方检测（监测）的规划方案。</w:t>
      </w:r>
    </w:p>
    <w:p>
      <w:pPr>
        <w:pStyle w:val="46"/>
        <w:ind w:firstLine="0" w:firstLineChars="0"/>
        <w:rPr>
          <w:rFonts w:ascii="宋体" w:hAnsi="宋体" w:cs="宋体"/>
          <w:szCs w:val="24"/>
        </w:rPr>
      </w:pPr>
      <w:r>
        <w:rPr>
          <w:rFonts w:hint="eastAsia" w:ascii="宋体" w:hAnsi="宋体" w:cs="宋体"/>
          <w:szCs w:val="24"/>
        </w:rPr>
        <w:br w:type="page"/>
      </w:r>
    </w:p>
    <w:p>
      <w:pPr>
        <w:pStyle w:val="46"/>
        <w:ind w:firstLine="0" w:firstLineChars="0"/>
        <w:rPr>
          <w:rFonts w:ascii="宋体" w:hAnsi="宋体" w:cs="宋体"/>
          <w:b/>
          <w:bCs/>
          <w:szCs w:val="24"/>
        </w:rPr>
      </w:pPr>
      <w:bookmarkStart w:id="572" w:name="_Toc530470652"/>
      <w:bookmarkStart w:id="573" w:name="_Toc529196611"/>
      <w:bookmarkStart w:id="574" w:name="_Toc535938759"/>
      <w:r>
        <w:rPr>
          <w:rFonts w:hint="eastAsia" w:ascii="宋体" w:hAnsi="宋体" w:cs="宋体"/>
          <w:b/>
          <w:bCs/>
          <w:szCs w:val="24"/>
        </w:rPr>
        <w:t>六、其他资料</w:t>
      </w:r>
      <w:bookmarkEnd w:id="572"/>
      <w:bookmarkEnd w:id="573"/>
      <w:bookmarkEnd w:id="574"/>
    </w:p>
    <w:p>
      <w:pPr>
        <w:pStyle w:val="46"/>
        <w:ind w:firstLine="0" w:firstLineChars="0"/>
        <w:rPr>
          <w:rFonts w:ascii="宋体" w:hAnsi="宋体" w:cs="宋体"/>
          <w:szCs w:val="24"/>
        </w:rPr>
      </w:pPr>
      <w:r>
        <w:rPr>
          <w:rFonts w:hint="eastAsia" w:ascii="宋体" w:hAnsi="宋体" w:cs="宋体"/>
          <w:szCs w:val="24"/>
        </w:rPr>
        <w:t>其他资料包括（但不限制于）以下内容：</w:t>
      </w:r>
    </w:p>
    <w:p>
      <w:pPr>
        <w:pStyle w:val="46"/>
        <w:ind w:firstLine="0" w:firstLineChars="0"/>
        <w:rPr>
          <w:rFonts w:ascii="宋体" w:hAnsi="宋体" w:cs="宋体"/>
          <w:szCs w:val="24"/>
        </w:rPr>
      </w:pPr>
      <w:bookmarkStart w:id="575" w:name="_Toc530470653"/>
      <w:bookmarkStart w:id="576" w:name="_Toc535938760"/>
      <w:r>
        <w:rPr>
          <w:rFonts w:hint="eastAsia" w:ascii="宋体" w:hAnsi="宋体" w:cs="宋体"/>
          <w:szCs w:val="24"/>
        </w:rPr>
        <w:t>①工程监理服务承诺书</w:t>
      </w:r>
      <w:bookmarkEnd w:id="575"/>
      <w:bookmarkEnd w:id="576"/>
    </w:p>
    <w:p>
      <w:pPr>
        <w:pStyle w:val="46"/>
        <w:ind w:firstLine="0" w:firstLineChars="0"/>
        <w:rPr>
          <w:rFonts w:ascii="宋体" w:hAnsi="宋体" w:cs="宋体"/>
          <w:b/>
          <w:bCs/>
          <w:szCs w:val="24"/>
        </w:rPr>
      </w:pPr>
      <w:r>
        <w:rPr>
          <w:rFonts w:hint="eastAsia" w:ascii="宋体" w:hAnsi="宋体" w:cs="宋体"/>
          <w:b/>
          <w:bCs/>
          <w:szCs w:val="24"/>
        </w:rPr>
        <w:t>工程监理服务承诺书</w:t>
      </w:r>
    </w:p>
    <w:p>
      <w:pPr>
        <w:pStyle w:val="46"/>
        <w:ind w:firstLine="0" w:firstLineChars="0"/>
        <w:rPr>
          <w:rFonts w:ascii="宋体" w:hAnsi="宋体" w:cs="宋体"/>
          <w:szCs w:val="24"/>
        </w:rPr>
      </w:pPr>
      <w:r>
        <w:rPr>
          <w:rFonts w:hint="eastAsia" w:ascii="宋体" w:hAnsi="宋体" w:cs="宋体"/>
          <w:szCs w:val="24"/>
        </w:rPr>
        <w:t>致：广州越冠房地产开发有限公司</w:t>
      </w:r>
    </w:p>
    <w:p>
      <w:pPr>
        <w:pStyle w:val="46"/>
        <w:ind w:firstLine="0" w:firstLineChars="0"/>
        <w:rPr>
          <w:rFonts w:ascii="宋体" w:hAnsi="宋体" w:cs="宋体"/>
          <w:szCs w:val="24"/>
        </w:rPr>
      </w:pPr>
      <w:r>
        <w:rPr>
          <w:rFonts w:hint="eastAsia" w:ascii="宋体" w:hAnsi="宋体" w:cs="宋体"/>
          <w:szCs w:val="24"/>
        </w:rPr>
        <w:t>一旦我方中标，我方愿意做出如下承诺：</w:t>
      </w:r>
    </w:p>
    <w:p>
      <w:pPr>
        <w:pStyle w:val="46"/>
        <w:ind w:firstLine="0" w:firstLineChars="0"/>
        <w:rPr>
          <w:rFonts w:ascii="宋体" w:hAnsi="宋体" w:cs="宋体"/>
          <w:szCs w:val="24"/>
        </w:rPr>
      </w:pPr>
      <w:r>
        <w:rPr>
          <w:rFonts w:hint="eastAsia" w:ascii="宋体" w:hAnsi="宋体" w:cs="宋体"/>
          <w:szCs w:val="24"/>
        </w:rPr>
        <w:t>一、我方同意投标有效截止日期之日起的投标有效期内遵守本投标文件。在此期限届满之前，本投标文件将始终对我方有约束力，并可随时按此投标书接受中标。</w:t>
      </w:r>
    </w:p>
    <w:p>
      <w:pPr>
        <w:pStyle w:val="46"/>
        <w:ind w:firstLine="0" w:firstLineChars="0"/>
        <w:rPr>
          <w:rFonts w:ascii="宋体" w:hAnsi="宋体" w:cs="宋体"/>
          <w:szCs w:val="24"/>
        </w:rPr>
      </w:pPr>
      <w:r>
        <w:rPr>
          <w:rFonts w:hint="eastAsia" w:ascii="宋体" w:hAnsi="宋体" w:cs="宋体"/>
          <w:szCs w:val="24"/>
        </w:rPr>
        <w:t>二、我方完全愿意接受本项目招标文件中的监理合同条款，如我方中标，我们将在招标人要求的时间内签订监理服务合同。</w:t>
      </w:r>
    </w:p>
    <w:p>
      <w:pPr>
        <w:pStyle w:val="46"/>
        <w:ind w:firstLine="0" w:firstLineChars="0"/>
        <w:rPr>
          <w:rFonts w:ascii="宋体" w:hAnsi="宋体" w:cs="宋体"/>
          <w:szCs w:val="24"/>
        </w:rPr>
      </w:pPr>
      <w:r>
        <w:rPr>
          <w:rFonts w:hint="eastAsia" w:ascii="宋体" w:hAnsi="宋体" w:cs="宋体"/>
          <w:szCs w:val="24"/>
        </w:rPr>
        <w:t>三、如果我方中标，我方保证在签订合同后，在合同要求的期限内进驻现场开展工作，并在工程施工准备期、施工期和工程收尾期严格履行合同。如果我方中标，我方承诺严格按照合同和招投标文件规定履行义务，并同意贵中心将我方履行合同、招投标文件义务的履约情况和不诚信行为（包括但不限于由贵中心组织的考核、考评通报、作出的违约责任处理决定等）在贵中心网站和建设项目业主网站及其他媒体上公开披露，由此造成的一切损失和不利后果均由我方自行承担。</w:t>
      </w:r>
    </w:p>
    <w:p>
      <w:pPr>
        <w:pStyle w:val="46"/>
        <w:ind w:firstLine="0" w:firstLineChars="0"/>
        <w:rPr>
          <w:rFonts w:ascii="宋体" w:hAnsi="宋体" w:cs="宋体"/>
          <w:szCs w:val="24"/>
        </w:rPr>
      </w:pPr>
      <w:r>
        <w:rPr>
          <w:rFonts w:hint="eastAsia" w:ascii="宋体" w:hAnsi="宋体" w:cs="宋体"/>
          <w:szCs w:val="24"/>
        </w:rPr>
        <w:t>四、我方承诺按照招标文件的规定对监理与相关服务费进行支付和结算。</w:t>
      </w:r>
    </w:p>
    <w:p>
      <w:pPr>
        <w:pStyle w:val="46"/>
        <w:ind w:firstLine="0" w:firstLineChars="0"/>
        <w:rPr>
          <w:rFonts w:ascii="宋体" w:hAnsi="宋体" w:cs="宋体"/>
          <w:szCs w:val="24"/>
        </w:rPr>
      </w:pPr>
      <w:r>
        <w:rPr>
          <w:rFonts w:hint="eastAsia" w:ascii="宋体" w:hAnsi="宋体" w:cs="宋体"/>
          <w:szCs w:val="24"/>
        </w:rPr>
        <w:t>1、在监理服务期内，招标人有权根据项目实际情况要求我方重新调整监理实施方案，调整后的监理实施方案需经招标人审批同意后实施，我方承诺不因此而调整监理酬金。当工程量增加、或设计变更、或设计工程变化、或设计规模变化时，我方工作的变化均应视为本合同约定的监理工作。</w:t>
      </w:r>
    </w:p>
    <w:p>
      <w:pPr>
        <w:pStyle w:val="46"/>
        <w:ind w:firstLine="0" w:firstLineChars="0"/>
        <w:rPr>
          <w:rFonts w:ascii="宋体" w:hAnsi="宋体" w:cs="宋体"/>
          <w:szCs w:val="24"/>
        </w:rPr>
      </w:pPr>
      <w:r>
        <w:rPr>
          <w:rFonts w:hint="eastAsia" w:ascii="宋体" w:hAnsi="宋体" w:cs="宋体"/>
          <w:szCs w:val="24"/>
        </w:rPr>
        <w:t>2、如在工程实施期间，因政策变化、计划调整或不可抗力等非招标人主观原因造成本合同工程停建的，则我方承诺接受终止服务并积极配合招标人作好善后工作，按已发生的工程数量结清监理报酬，我方不另要求额外的费用及任何形式的补偿。</w:t>
      </w:r>
    </w:p>
    <w:p>
      <w:pPr>
        <w:pStyle w:val="46"/>
        <w:ind w:firstLine="0" w:firstLineChars="0"/>
        <w:rPr>
          <w:rFonts w:ascii="宋体" w:hAnsi="宋体" w:cs="宋体"/>
          <w:szCs w:val="24"/>
        </w:rPr>
      </w:pPr>
      <w:r>
        <w:rPr>
          <w:rFonts w:hint="eastAsia" w:ascii="宋体" w:hAnsi="宋体" w:cs="宋体"/>
          <w:szCs w:val="24"/>
        </w:rPr>
        <w:t>3、如在工程实施期间，如因任何原因造成本合同工程中间停工而导致我方必须二次或多次进出场，监理报酬总额将不会因此而有所调整，相关费用亦已经包含于监理酬金中。</w:t>
      </w:r>
    </w:p>
    <w:p>
      <w:pPr>
        <w:pStyle w:val="46"/>
        <w:ind w:firstLine="0" w:firstLineChars="0"/>
        <w:rPr>
          <w:rFonts w:ascii="宋体" w:hAnsi="宋体" w:cs="宋体"/>
          <w:szCs w:val="24"/>
        </w:rPr>
      </w:pPr>
      <w:r>
        <w:rPr>
          <w:rFonts w:hint="eastAsia" w:ascii="宋体" w:hAnsi="宋体" w:cs="宋体"/>
          <w:szCs w:val="24"/>
        </w:rPr>
        <w:t>4、我方承诺，将按照招标文件和监理合同的约定，完成本项目监理服务的工作内容且相关的监理服务须达到令招标人满意的程度。如未能按合同附件2－《各阶段工作成果文件的要求》的约定完成本监理工程的相关工作内容，或完成的工作内容未能达到约定的支付审核标准，或招标人对监理工作情况的检查结果未能达到约定的令人满意的程度，均视作我方对该承诺的违反，招标人可于合同酬金总额中扣减相关监理服务项目的酬金。我方对于履行监理职责方面的违约责任根据合同专用条件的相关约定另行扣减。</w:t>
      </w:r>
    </w:p>
    <w:p>
      <w:pPr>
        <w:pStyle w:val="46"/>
        <w:ind w:firstLine="0" w:firstLineChars="0"/>
        <w:rPr>
          <w:rFonts w:ascii="宋体" w:hAnsi="宋体" w:cs="宋体"/>
          <w:szCs w:val="24"/>
        </w:rPr>
      </w:pPr>
      <w:r>
        <w:rPr>
          <w:rFonts w:hint="eastAsia" w:ascii="宋体" w:hAnsi="宋体" w:cs="宋体"/>
          <w:szCs w:val="24"/>
        </w:rPr>
        <w:t>五、保证监理服务满足工程的需要，监理人员服务费中包括工资、奖金、补贴、加班费（法定节假日和8小时工作以外）、办公费、差旅费（包括进、退场和探亲交通费）、招待费、因公受伤医疗费，以及监理单位为监理人员提供或承担的住房、医疗、保险、交通等福利待遇。</w:t>
      </w:r>
    </w:p>
    <w:p>
      <w:pPr>
        <w:pStyle w:val="46"/>
        <w:ind w:firstLine="0" w:firstLineChars="0"/>
        <w:rPr>
          <w:rFonts w:ascii="宋体" w:hAnsi="宋体" w:cs="宋体"/>
          <w:szCs w:val="24"/>
        </w:rPr>
      </w:pPr>
      <w:r>
        <w:rPr>
          <w:rFonts w:hint="eastAsia" w:ascii="宋体" w:hAnsi="宋体" w:cs="宋体"/>
          <w:szCs w:val="24"/>
        </w:rPr>
        <w:t>六、我方将严格按照监理人员执业守则，按照国家相关法规、规范及我方制定的监理大纲、实施细则进行监理，在保证质量、安全的前提下，确保工程按期交付。</w:t>
      </w:r>
    </w:p>
    <w:p>
      <w:pPr>
        <w:pStyle w:val="46"/>
        <w:ind w:firstLine="0" w:firstLineChars="0"/>
        <w:rPr>
          <w:rFonts w:ascii="宋体" w:hAnsi="宋体" w:cs="宋体"/>
          <w:szCs w:val="24"/>
        </w:rPr>
      </w:pPr>
      <w:r>
        <w:rPr>
          <w:rFonts w:hint="eastAsia" w:ascii="宋体" w:hAnsi="宋体" w:cs="宋体"/>
          <w:szCs w:val="24"/>
        </w:rPr>
        <w:t>七、在未正式签订合同前，贵单位的招标文件、中标通知书和本投标文件将构成约束我们双方的法律文书。</w:t>
      </w:r>
    </w:p>
    <w:p>
      <w:pPr>
        <w:pStyle w:val="46"/>
        <w:ind w:firstLine="0" w:firstLineChars="0"/>
        <w:rPr>
          <w:rFonts w:ascii="宋体" w:hAnsi="宋体" w:cs="宋体"/>
          <w:szCs w:val="24"/>
        </w:rPr>
      </w:pPr>
      <w:r>
        <w:rPr>
          <w:rFonts w:hint="eastAsia" w:ascii="宋体" w:hAnsi="宋体" w:cs="宋体"/>
          <w:szCs w:val="24"/>
        </w:rPr>
        <w:t>八、我方理解，贵中心不一定接受最低标价的投标文件或可能接受任何的投标文件。同时也理解，不论结果如何，贵中心不承担我方的任何投标费用。</w:t>
      </w:r>
    </w:p>
    <w:p>
      <w:pPr>
        <w:pStyle w:val="46"/>
        <w:ind w:firstLine="0" w:firstLineChars="0"/>
        <w:rPr>
          <w:rFonts w:ascii="宋体" w:hAnsi="宋体" w:cs="宋体"/>
          <w:szCs w:val="24"/>
        </w:rPr>
      </w:pPr>
      <w:r>
        <w:rPr>
          <w:rFonts w:hint="eastAsia" w:ascii="宋体" w:hAnsi="宋体" w:cs="宋体"/>
          <w:szCs w:val="24"/>
        </w:rPr>
        <w:t>九、如果我方在投标有效期内撤回投标文件，或收到中标通知书后未能按招标文件规定的期限签署或拒绝签署合同，或未能或拒绝提交履约担保，贵中心有权视为我方自动放弃中标资格，且有权要求我方对由此造成的损失作出赔偿。</w:t>
      </w:r>
    </w:p>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t xml:space="preserve">投  标  单  位： </w:t>
      </w:r>
    </w:p>
    <w:p>
      <w:pPr>
        <w:pStyle w:val="46"/>
        <w:ind w:firstLine="0" w:firstLineChars="0"/>
        <w:rPr>
          <w:rFonts w:ascii="宋体" w:hAnsi="宋体" w:cs="宋体"/>
          <w:szCs w:val="24"/>
        </w:rPr>
      </w:pPr>
      <w:r>
        <w:rPr>
          <w:rFonts w:hint="eastAsia" w:ascii="宋体" w:hAnsi="宋体" w:cs="宋体"/>
          <w:szCs w:val="24"/>
        </w:rPr>
        <w:t xml:space="preserve">    日     期：     年   月   日</w:t>
      </w:r>
    </w:p>
    <w:p>
      <w:pPr>
        <w:pStyle w:val="46"/>
        <w:ind w:firstLine="0" w:firstLineChars="0"/>
        <w:rPr>
          <w:rFonts w:ascii="宋体" w:hAnsi="宋体" w:cs="宋体"/>
          <w:szCs w:val="24"/>
        </w:rPr>
      </w:pPr>
      <w:r>
        <w:rPr>
          <w:rFonts w:hint="eastAsia" w:ascii="宋体" w:hAnsi="宋体" w:cs="宋体"/>
          <w:szCs w:val="24"/>
        </w:rPr>
        <w:br w:type="page"/>
      </w:r>
      <w:bookmarkStart w:id="577" w:name="_Toc530470654"/>
      <w:bookmarkStart w:id="578" w:name="_Toc535938761"/>
      <w:r>
        <w:rPr>
          <w:rFonts w:hint="eastAsia" w:ascii="宋体" w:hAnsi="宋体" w:cs="宋体"/>
          <w:szCs w:val="24"/>
        </w:rPr>
        <w:t>②工程监理合同响应承诺书</w:t>
      </w:r>
      <w:bookmarkEnd w:id="577"/>
      <w:bookmarkEnd w:id="578"/>
    </w:p>
    <w:p>
      <w:pPr>
        <w:spacing w:after="0" w:line="360" w:lineRule="auto"/>
        <w:rPr>
          <w:rFonts w:ascii="宋体" w:hAnsi="宋体" w:eastAsia="宋体" w:cs="宋体"/>
          <w:sz w:val="24"/>
        </w:rPr>
      </w:pPr>
    </w:p>
    <w:p>
      <w:pPr>
        <w:pStyle w:val="46"/>
        <w:ind w:firstLine="0" w:firstLineChars="0"/>
        <w:rPr>
          <w:rFonts w:ascii="宋体" w:hAnsi="宋体" w:cs="宋体"/>
          <w:b/>
          <w:bCs/>
          <w:szCs w:val="24"/>
        </w:rPr>
      </w:pPr>
      <w:r>
        <w:rPr>
          <w:rFonts w:hint="eastAsia" w:ascii="宋体" w:hAnsi="宋体" w:cs="宋体"/>
          <w:b/>
          <w:bCs/>
          <w:szCs w:val="24"/>
        </w:rPr>
        <w:t>工程监理合同响应承诺书</w:t>
      </w:r>
    </w:p>
    <w:p>
      <w:pPr>
        <w:pStyle w:val="46"/>
        <w:ind w:firstLine="0" w:firstLineChars="0"/>
        <w:rPr>
          <w:rFonts w:ascii="宋体" w:hAnsi="宋体" w:cs="宋体"/>
          <w:szCs w:val="24"/>
        </w:rPr>
      </w:pPr>
      <w:r>
        <w:rPr>
          <w:rFonts w:hint="eastAsia" w:ascii="宋体" w:hAnsi="宋体" w:cs="宋体"/>
          <w:szCs w:val="24"/>
        </w:rPr>
        <w:t>致：广州越冠房地产开发有限公司</w:t>
      </w:r>
    </w:p>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t>我方完全愿意接受本项目招标文件所附合同条款，如我方中标，我们将在贵中心要求的时间内签订监理服务合同。</w:t>
      </w:r>
    </w:p>
    <w:p>
      <w:pPr>
        <w:pStyle w:val="46"/>
        <w:ind w:firstLine="0" w:firstLineChars="0"/>
        <w:rPr>
          <w:rFonts w:ascii="宋体" w:hAnsi="宋体" w:cs="宋体"/>
          <w:szCs w:val="24"/>
        </w:rPr>
      </w:pPr>
      <w:r>
        <w:rPr>
          <w:rFonts w:hint="eastAsia" w:ascii="宋体" w:hAnsi="宋体" w:cs="宋体"/>
          <w:szCs w:val="24"/>
        </w:rPr>
        <w:t>特此承诺。</w:t>
      </w: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t xml:space="preserve">投  标  单  位： </w:t>
      </w:r>
    </w:p>
    <w:p>
      <w:pPr>
        <w:pStyle w:val="46"/>
        <w:ind w:firstLine="0" w:firstLineChars="0"/>
        <w:rPr>
          <w:rFonts w:ascii="宋体" w:hAnsi="宋体" w:cs="宋体"/>
          <w:szCs w:val="24"/>
        </w:rPr>
      </w:pPr>
      <w:r>
        <w:rPr>
          <w:rFonts w:hint="eastAsia" w:ascii="宋体" w:hAnsi="宋体" w:cs="宋体"/>
          <w:szCs w:val="24"/>
        </w:rPr>
        <w:t xml:space="preserve">    日     期：     年   月   日</w:t>
      </w:r>
    </w:p>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br w:type="page"/>
      </w:r>
      <w:bookmarkStart w:id="579" w:name="_Toc535938762"/>
      <w:bookmarkStart w:id="580" w:name="_Toc530470655"/>
      <w:r>
        <w:rPr>
          <w:rFonts w:hint="eastAsia" w:ascii="宋体" w:hAnsi="宋体" w:cs="宋体"/>
          <w:szCs w:val="24"/>
        </w:rPr>
        <w:t>③工程监理人员到位承诺书</w:t>
      </w:r>
      <w:bookmarkEnd w:id="579"/>
      <w:bookmarkEnd w:id="580"/>
    </w:p>
    <w:p>
      <w:pPr>
        <w:pStyle w:val="46"/>
        <w:ind w:firstLine="0" w:firstLineChars="0"/>
        <w:rPr>
          <w:rFonts w:ascii="宋体" w:hAnsi="宋体" w:cs="宋体"/>
          <w:b/>
          <w:bCs/>
          <w:szCs w:val="24"/>
        </w:rPr>
      </w:pPr>
      <w:r>
        <w:rPr>
          <w:rFonts w:hint="eastAsia" w:ascii="宋体" w:hAnsi="宋体" w:cs="宋体"/>
          <w:b/>
          <w:bCs/>
          <w:szCs w:val="24"/>
        </w:rPr>
        <w:t>工程监理人员到位承诺书</w:t>
      </w:r>
    </w:p>
    <w:p>
      <w:pPr>
        <w:pStyle w:val="46"/>
        <w:ind w:firstLine="0" w:firstLineChars="0"/>
        <w:rPr>
          <w:rFonts w:ascii="宋体" w:hAnsi="宋体" w:cs="宋体"/>
          <w:szCs w:val="24"/>
        </w:rPr>
      </w:pPr>
      <w:r>
        <w:rPr>
          <w:rFonts w:hint="eastAsia" w:ascii="宋体" w:hAnsi="宋体" w:cs="宋体"/>
          <w:szCs w:val="24"/>
        </w:rPr>
        <w:t>致：广州越冠房地产开发有限公司</w:t>
      </w:r>
    </w:p>
    <w:p>
      <w:pPr>
        <w:pStyle w:val="46"/>
        <w:ind w:firstLine="0" w:firstLineChars="0"/>
        <w:rPr>
          <w:rFonts w:ascii="宋体" w:hAnsi="宋体" w:cs="宋体"/>
          <w:szCs w:val="24"/>
        </w:rPr>
      </w:pPr>
      <w:r>
        <w:rPr>
          <w:rFonts w:hint="eastAsia" w:ascii="宋体" w:hAnsi="宋体" w:cs="宋体"/>
          <w:szCs w:val="24"/>
        </w:rPr>
        <w:t>一旦我方中标，我方愿意做出如下承诺：</w:t>
      </w:r>
    </w:p>
    <w:p>
      <w:pPr>
        <w:pStyle w:val="46"/>
        <w:ind w:firstLine="0" w:firstLineChars="0"/>
        <w:rPr>
          <w:rFonts w:ascii="宋体" w:hAnsi="宋体" w:cs="宋体"/>
          <w:szCs w:val="24"/>
        </w:rPr>
      </w:pPr>
      <w:r>
        <w:rPr>
          <w:rFonts w:hint="eastAsia" w:ascii="宋体" w:hAnsi="宋体" w:cs="宋体"/>
          <w:szCs w:val="24"/>
        </w:rPr>
        <w:t>一、承诺保证按本项目投标文件所报的监理组织架构框图和项目总监理工程师、总监理工程师代表及全部监理人员按要求时间到位开展工程监理工作；并承诺在监理工作实施过程中，如需更换监理人员，将按合同条款约定承担相应违约责任；如投标时人员组成不满足《监理机构人员配备基本要求表》及招标文件要求，中标后七个工作日内我方将提供满足或优于该表要求的经招标人批准的监理部组成人员。否则，贵中心可以按我方未实质履行监理合同处理，全部没收我方的履约担保，并且可以单方面终止监理合同，我方将不提出任何异议。</w:t>
      </w:r>
    </w:p>
    <w:p>
      <w:pPr>
        <w:pStyle w:val="46"/>
        <w:ind w:firstLine="0" w:firstLineChars="0"/>
        <w:rPr>
          <w:rFonts w:ascii="宋体" w:hAnsi="宋体" w:cs="宋体"/>
          <w:szCs w:val="24"/>
        </w:rPr>
      </w:pPr>
      <w:r>
        <w:rPr>
          <w:rFonts w:hint="eastAsia" w:ascii="宋体" w:hAnsi="宋体" w:cs="宋体"/>
          <w:szCs w:val="24"/>
        </w:rPr>
        <w:t>二、鉴于本项目的重要性、专业性、工程的复杂性和工期的紧迫性，为确保按时、按质完成监理工作任务，在工程监理工作过程中，如贵中心认为我方监理人员的数量、监理人员的业务水平、监理人员的专业配置等不能满足监理工作所需时，贵中心有权聘请符合监理工作所需要的监理人员或单位，作为我方从事本监理工作的人员，所聘请监理人员或单位的费用已包括在本招标项目监理费总额内，由我方向所聘用人员或单位支付，必要时贵中心有权从本招标项目监理酬金中直接支付。</w:t>
      </w:r>
    </w:p>
    <w:p>
      <w:pPr>
        <w:pStyle w:val="46"/>
        <w:ind w:firstLine="0" w:firstLineChars="0"/>
        <w:rPr>
          <w:rFonts w:ascii="宋体" w:hAnsi="宋体" w:cs="宋体"/>
          <w:szCs w:val="24"/>
        </w:rPr>
      </w:pPr>
      <w:r>
        <w:rPr>
          <w:rFonts w:hint="eastAsia" w:ascii="宋体" w:hAnsi="宋体" w:cs="宋体"/>
          <w:szCs w:val="24"/>
        </w:rPr>
        <w:t>三、为了加强贵中心与我方的沟通与协调，我方同意贵中心另行指定一名专业工程师（业主监理代表）常驻项目监理机构，监督并协助项目监理机构的工作。</w:t>
      </w:r>
    </w:p>
    <w:p>
      <w:pPr>
        <w:pStyle w:val="46"/>
        <w:ind w:firstLine="0" w:firstLineChars="0"/>
        <w:rPr>
          <w:rFonts w:ascii="宋体" w:hAnsi="宋体" w:cs="宋体"/>
          <w:szCs w:val="24"/>
        </w:rPr>
      </w:pPr>
      <w:r>
        <w:rPr>
          <w:rFonts w:hint="eastAsia" w:ascii="宋体" w:hAnsi="宋体" w:cs="宋体"/>
          <w:szCs w:val="24"/>
        </w:rPr>
        <w:t>四、因监理人员不到位、监管措施不足、监督不力，导致施工单位未按照经审查合格的施工图纸施工，贵中心可按照合同约定追究我方监理单位的责任，由此产生改造等相关费用，全部由我方承担。</w:t>
      </w:r>
    </w:p>
    <w:p>
      <w:pPr>
        <w:pStyle w:val="46"/>
        <w:ind w:firstLine="0" w:firstLineChars="0"/>
        <w:rPr>
          <w:rFonts w:ascii="宋体" w:hAnsi="宋体" w:cs="宋体"/>
          <w:szCs w:val="24"/>
        </w:rPr>
      </w:pPr>
      <w:r>
        <w:rPr>
          <w:rFonts w:hint="eastAsia" w:ascii="宋体" w:hAnsi="宋体" w:cs="宋体"/>
          <w:szCs w:val="24"/>
        </w:rPr>
        <w:t>五、若我方中标，我方承诺我方拟投入本项目各阶段的专业监理工程师和监理员在履行相应监理工作职责时将不再兼任贵中心或其他在建项目的监理工作，否则我方愿意无条件更换符合本项目监理工作所需的专业监理工程师且愿意按照监理合同中所应承担的违约责任接受贵中心的处罚。</w:t>
      </w:r>
    </w:p>
    <w:p>
      <w:pPr>
        <w:pStyle w:val="46"/>
        <w:ind w:firstLine="0" w:firstLineChars="0"/>
        <w:rPr>
          <w:rFonts w:ascii="宋体" w:hAnsi="宋体" w:cs="宋体"/>
          <w:szCs w:val="24"/>
        </w:rPr>
      </w:pPr>
      <w:r>
        <w:rPr>
          <w:rFonts w:hint="eastAsia" w:ascii="宋体" w:hAnsi="宋体" w:cs="宋体"/>
          <w:szCs w:val="24"/>
        </w:rPr>
        <w:t>特此承诺。</w:t>
      </w:r>
    </w:p>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t xml:space="preserve">投  标  单  位： </w:t>
      </w:r>
    </w:p>
    <w:p>
      <w:pPr>
        <w:pStyle w:val="46"/>
        <w:ind w:firstLine="0" w:firstLineChars="0"/>
        <w:rPr>
          <w:rFonts w:ascii="宋体" w:hAnsi="宋体" w:cs="宋体"/>
          <w:szCs w:val="24"/>
        </w:rPr>
      </w:pPr>
      <w:r>
        <w:rPr>
          <w:rFonts w:hint="eastAsia" w:ascii="宋体" w:hAnsi="宋体" w:cs="宋体"/>
          <w:szCs w:val="24"/>
        </w:rPr>
        <w:t xml:space="preserve">    日     期：     年   月   日</w:t>
      </w:r>
    </w:p>
    <w:p>
      <w:pPr>
        <w:pStyle w:val="46"/>
        <w:ind w:firstLine="0" w:firstLineChars="0"/>
        <w:rPr>
          <w:rFonts w:ascii="宋体" w:hAnsi="宋体" w:cs="宋体"/>
          <w:szCs w:val="24"/>
        </w:rPr>
      </w:pPr>
      <w:r>
        <w:rPr>
          <w:rFonts w:hint="eastAsia" w:ascii="宋体" w:hAnsi="宋体" w:cs="宋体"/>
          <w:szCs w:val="24"/>
        </w:rPr>
        <w:br w:type="page"/>
      </w:r>
      <w:bookmarkStart w:id="581" w:name="_Toc535938763"/>
      <w:bookmarkStart w:id="582" w:name="_Toc530470656"/>
      <w:r>
        <w:rPr>
          <w:rFonts w:hint="eastAsia" w:ascii="宋体" w:hAnsi="宋体" w:cs="宋体"/>
          <w:szCs w:val="24"/>
        </w:rPr>
        <w:t>④工程监理人员任职承诺书</w:t>
      </w:r>
      <w:bookmarkEnd w:id="581"/>
      <w:bookmarkEnd w:id="582"/>
    </w:p>
    <w:p>
      <w:pPr>
        <w:pStyle w:val="46"/>
        <w:ind w:firstLine="0" w:firstLineChars="0"/>
        <w:rPr>
          <w:rFonts w:ascii="宋体" w:hAnsi="宋体" w:cs="宋体"/>
          <w:szCs w:val="24"/>
        </w:rPr>
      </w:pPr>
    </w:p>
    <w:p>
      <w:pPr>
        <w:pStyle w:val="46"/>
        <w:ind w:firstLine="0" w:firstLineChars="0"/>
        <w:rPr>
          <w:rFonts w:ascii="宋体" w:hAnsi="宋体" w:cs="宋体"/>
          <w:b/>
          <w:bCs/>
          <w:szCs w:val="24"/>
        </w:rPr>
      </w:pPr>
      <w:r>
        <w:rPr>
          <w:rFonts w:hint="eastAsia" w:ascii="宋体" w:hAnsi="宋体" w:cs="宋体"/>
          <w:b/>
          <w:bCs/>
          <w:szCs w:val="24"/>
        </w:rPr>
        <w:t>工程监理人员任职承诺书</w:t>
      </w:r>
    </w:p>
    <w:p>
      <w:pPr>
        <w:pStyle w:val="46"/>
        <w:ind w:firstLine="0" w:firstLineChars="0"/>
        <w:rPr>
          <w:rFonts w:ascii="宋体" w:hAnsi="宋体" w:cs="宋体"/>
          <w:szCs w:val="24"/>
        </w:rPr>
      </w:pPr>
      <w:r>
        <w:rPr>
          <w:rFonts w:hint="eastAsia" w:ascii="宋体" w:hAnsi="宋体" w:cs="宋体"/>
          <w:szCs w:val="24"/>
        </w:rPr>
        <w:t>致：广州越冠房地产开发有限公司</w:t>
      </w:r>
    </w:p>
    <w:p>
      <w:pPr>
        <w:pStyle w:val="46"/>
        <w:ind w:firstLine="0" w:firstLineChars="0"/>
        <w:rPr>
          <w:rFonts w:ascii="宋体" w:hAnsi="宋体" w:cs="宋体"/>
          <w:szCs w:val="24"/>
        </w:rPr>
      </w:pPr>
      <w:r>
        <w:rPr>
          <w:rFonts w:hint="eastAsia" w:ascii="宋体" w:hAnsi="宋体" w:cs="宋体"/>
          <w:szCs w:val="24"/>
        </w:rPr>
        <w:t>一旦我方中标，我方愿意对本项目拟投入的总监理工程师及总监理工程师代表做出如下的任职承诺：</w:t>
      </w:r>
    </w:p>
    <w:p>
      <w:pPr>
        <w:pStyle w:val="46"/>
        <w:ind w:firstLine="0" w:firstLineChars="0"/>
        <w:rPr>
          <w:rFonts w:ascii="宋体" w:hAnsi="宋体" w:cs="宋体"/>
          <w:szCs w:val="24"/>
        </w:rPr>
      </w:pPr>
      <w:r>
        <w:rPr>
          <w:rFonts w:hint="eastAsia" w:ascii="宋体" w:hAnsi="宋体" w:cs="宋体"/>
          <w:szCs w:val="24"/>
        </w:rPr>
        <w:t>一、总监理工程师</w:t>
      </w:r>
    </w:p>
    <w:p>
      <w:pPr>
        <w:widowControl/>
        <w:spacing w:after="0" w:line="360" w:lineRule="auto"/>
        <w:rPr>
          <w:rFonts w:ascii="宋体" w:hAnsi="宋体" w:eastAsia="宋体" w:cs="宋体"/>
          <w:sz w:val="24"/>
        </w:rPr>
      </w:pPr>
      <w:r>
        <w:rPr>
          <w:rFonts w:hint="eastAsia" w:ascii="宋体" w:hAnsi="宋体" w:eastAsia="宋体" w:cs="宋体"/>
          <w:sz w:val="24"/>
        </w:rPr>
        <w:t xml:space="preserve">若我方中标，我方承诺拟投入本项目的总监理工程师满足《建设工程监理规范GB/T50319—2013》的3.12条款：“一名总监理工程师只宜担任一项委托监理合同的项目总监理工程师工作,当需要同时担任多项委托监理合同的项目总监理工程师工作时须经建设单位同意且最多不得超过三项”的相关要求。如出现已在贵中心或其他在建项目中任职的情况，我方将在本项目立项办理施工许可证或者开工报告前办理好变更手续。 </w:t>
      </w:r>
    </w:p>
    <w:p>
      <w:pPr>
        <w:pStyle w:val="46"/>
        <w:ind w:firstLine="0" w:firstLineChars="0"/>
        <w:rPr>
          <w:rFonts w:ascii="宋体" w:hAnsi="宋体" w:cs="宋体"/>
          <w:szCs w:val="24"/>
        </w:rPr>
      </w:pPr>
      <w:r>
        <w:rPr>
          <w:rFonts w:hint="eastAsia" w:ascii="宋体" w:hAnsi="宋体" w:cs="宋体"/>
          <w:szCs w:val="24"/>
        </w:rPr>
        <w:t>若我方中标，我方承诺，在本项目立项办理施工许可证或者开工报告前，我单位投入本项目的总监理工程师资格条件符合相关政策规定，以确保本项目顺利办理施工许可及工程质量监督手续，否则，贵中心有权终止合同并没收履约担保，同时贵中心有权将此作为不诚信履约行为上报建设行政主管部门并拒绝我方一年内参与贵中心的投标。</w:t>
      </w:r>
    </w:p>
    <w:p>
      <w:pPr>
        <w:pStyle w:val="46"/>
        <w:ind w:firstLine="0" w:firstLineChars="0"/>
        <w:rPr>
          <w:rFonts w:ascii="宋体" w:hAnsi="宋体" w:cs="宋体"/>
          <w:szCs w:val="24"/>
        </w:rPr>
      </w:pPr>
      <w:r>
        <w:rPr>
          <w:rFonts w:hint="eastAsia" w:ascii="宋体" w:hAnsi="宋体" w:cs="宋体"/>
          <w:szCs w:val="24"/>
        </w:rPr>
        <w:t>特此承诺。</w:t>
      </w:r>
    </w:p>
    <w:p>
      <w:pPr>
        <w:pStyle w:val="46"/>
        <w:ind w:firstLine="0" w:firstLineChars="0"/>
        <w:rPr>
          <w:rFonts w:ascii="宋体" w:hAnsi="宋体" w:cs="宋体"/>
          <w:szCs w:val="24"/>
        </w:rPr>
      </w:pPr>
      <w:r>
        <w:rPr>
          <w:rFonts w:hint="eastAsia" w:ascii="宋体" w:hAnsi="宋体" w:cs="宋体"/>
          <w:szCs w:val="24"/>
        </w:rPr>
        <w:t xml:space="preserve">投  标  单  位： </w:t>
      </w:r>
    </w:p>
    <w:p>
      <w:pPr>
        <w:pStyle w:val="46"/>
        <w:ind w:firstLine="0" w:firstLineChars="0"/>
        <w:rPr>
          <w:rFonts w:ascii="宋体" w:hAnsi="宋体" w:cs="宋体"/>
          <w:szCs w:val="24"/>
        </w:rPr>
      </w:pPr>
      <w:r>
        <w:rPr>
          <w:rFonts w:hint="eastAsia" w:ascii="宋体" w:hAnsi="宋体" w:cs="宋体"/>
          <w:szCs w:val="24"/>
        </w:rPr>
        <w:t xml:space="preserve">    日     期：     年   月   日</w:t>
      </w:r>
    </w:p>
    <w:p>
      <w:pPr>
        <w:pStyle w:val="46"/>
        <w:ind w:firstLine="0" w:firstLineChars="0"/>
        <w:rPr>
          <w:rFonts w:ascii="宋体" w:hAnsi="宋体" w:cs="宋体"/>
          <w:szCs w:val="24"/>
        </w:rPr>
      </w:pPr>
      <w:r>
        <w:rPr>
          <w:rFonts w:hint="eastAsia" w:ascii="宋体" w:hAnsi="宋体" w:cs="宋体"/>
          <w:szCs w:val="24"/>
        </w:rPr>
        <w:br w:type="page"/>
      </w:r>
      <w:bookmarkStart w:id="583" w:name="_Toc530470657"/>
      <w:bookmarkStart w:id="584" w:name="_Toc535938764"/>
      <w:r>
        <w:rPr>
          <w:rFonts w:hint="eastAsia" w:ascii="宋体" w:hAnsi="宋体" w:cs="宋体"/>
          <w:szCs w:val="24"/>
        </w:rPr>
        <w:t>⑤拟投入的设备仪器到位承诺书</w:t>
      </w:r>
      <w:bookmarkEnd w:id="583"/>
      <w:bookmarkEnd w:id="584"/>
    </w:p>
    <w:p>
      <w:pPr>
        <w:pStyle w:val="46"/>
        <w:ind w:firstLine="0" w:firstLineChars="0"/>
        <w:rPr>
          <w:rFonts w:ascii="宋体" w:hAnsi="宋体" w:cs="宋体"/>
          <w:szCs w:val="24"/>
        </w:rPr>
      </w:pPr>
    </w:p>
    <w:p>
      <w:pPr>
        <w:pStyle w:val="46"/>
        <w:ind w:firstLine="0" w:firstLineChars="0"/>
        <w:rPr>
          <w:rFonts w:ascii="宋体" w:hAnsi="宋体" w:cs="宋体"/>
          <w:b/>
          <w:bCs/>
          <w:szCs w:val="24"/>
        </w:rPr>
      </w:pPr>
      <w:r>
        <w:rPr>
          <w:rFonts w:hint="eastAsia" w:ascii="宋体" w:hAnsi="宋体" w:cs="宋体"/>
          <w:b/>
          <w:bCs/>
          <w:szCs w:val="24"/>
        </w:rPr>
        <w:t>拟投入的设备仪器到位承诺书</w:t>
      </w:r>
    </w:p>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t>致：广州越冠房地产开发有限公司</w:t>
      </w:r>
    </w:p>
    <w:p>
      <w:pPr>
        <w:pStyle w:val="46"/>
        <w:ind w:firstLine="0" w:firstLineChars="0"/>
        <w:rPr>
          <w:rFonts w:ascii="宋体" w:hAnsi="宋体" w:cs="宋体"/>
          <w:szCs w:val="24"/>
        </w:rPr>
      </w:pPr>
      <w:r>
        <w:rPr>
          <w:rFonts w:hint="eastAsia" w:ascii="宋体" w:hAnsi="宋体" w:cs="宋体"/>
          <w:szCs w:val="24"/>
        </w:rPr>
        <w:t>一旦我方中标，我方愿意做出如下承诺：</w:t>
      </w:r>
    </w:p>
    <w:p>
      <w:pPr>
        <w:pStyle w:val="46"/>
        <w:ind w:firstLine="0" w:firstLineChars="0"/>
        <w:rPr>
          <w:rFonts w:ascii="宋体" w:hAnsi="宋体" w:cs="宋体"/>
          <w:szCs w:val="24"/>
        </w:rPr>
      </w:pPr>
      <w:r>
        <w:rPr>
          <w:rFonts w:hint="eastAsia" w:ascii="宋体" w:hAnsi="宋体" w:cs="宋体"/>
          <w:szCs w:val="24"/>
        </w:rPr>
        <w:t>一、我方承诺投入的设备仪器数量及类型按照投标文件所报的《拟投入本项目的通讯、办公、检测设备清单》投入。</w:t>
      </w:r>
    </w:p>
    <w:p>
      <w:pPr>
        <w:pStyle w:val="46"/>
        <w:ind w:firstLine="0" w:firstLineChars="0"/>
        <w:rPr>
          <w:rFonts w:ascii="宋体" w:hAnsi="宋体" w:cs="宋体"/>
          <w:szCs w:val="24"/>
        </w:rPr>
      </w:pPr>
      <w:r>
        <w:rPr>
          <w:rFonts w:hint="eastAsia" w:ascii="宋体" w:hAnsi="宋体" w:cs="宋体"/>
          <w:szCs w:val="24"/>
        </w:rPr>
        <w:t>二、我方承诺中标后一个月内将本项目所需的监理设备仪器运送至现场，并设立专门存放地点，由专人管理。</w:t>
      </w:r>
    </w:p>
    <w:p>
      <w:pPr>
        <w:pStyle w:val="46"/>
        <w:ind w:firstLine="0" w:firstLineChars="0"/>
        <w:rPr>
          <w:rFonts w:ascii="宋体" w:hAnsi="宋体" w:cs="宋体"/>
          <w:szCs w:val="24"/>
        </w:rPr>
      </w:pPr>
      <w:r>
        <w:rPr>
          <w:rFonts w:hint="eastAsia" w:ascii="宋体" w:hAnsi="宋体" w:cs="宋体"/>
          <w:szCs w:val="24"/>
        </w:rPr>
        <w:t>三、若设备仪器未按我方承诺的时间内到位，我方愿意无条件按照合同约定的相关条款承担违约责任。</w:t>
      </w:r>
    </w:p>
    <w:p>
      <w:pPr>
        <w:pStyle w:val="46"/>
        <w:ind w:firstLine="0" w:firstLineChars="0"/>
        <w:rPr>
          <w:rFonts w:ascii="宋体" w:hAnsi="宋体" w:cs="宋体"/>
          <w:szCs w:val="24"/>
        </w:rPr>
      </w:pPr>
      <w:r>
        <w:rPr>
          <w:rFonts w:hint="eastAsia" w:ascii="宋体" w:hAnsi="宋体" w:cs="宋体"/>
          <w:szCs w:val="24"/>
        </w:rPr>
        <w:t>特此承诺。</w:t>
      </w: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t>投  标  单  位：</w:t>
      </w:r>
    </w:p>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t xml:space="preserve">    日     期：     年   月   日</w:t>
      </w: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pPr>
    </w:p>
    <w:p>
      <w:pPr>
        <w:pStyle w:val="46"/>
        <w:ind w:firstLine="0" w:firstLineChars="0"/>
        <w:rPr>
          <w:rFonts w:ascii="宋体" w:hAnsi="宋体" w:cs="宋体"/>
          <w:szCs w:val="24"/>
        </w:rPr>
        <w:sectPr>
          <w:pgSz w:w="12240" w:h="15840"/>
          <w:pgMar w:top="1440" w:right="1800" w:bottom="1440" w:left="1800" w:header="720" w:footer="720" w:gutter="0"/>
          <w:cols w:space="720" w:num="1"/>
          <w:rtlGutter w:val="1"/>
        </w:sectPr>
      </w:pPr>
    </w:p>
    <w:p>
      <w:pPr>
        <w:pStyle w:val="46"/>
        <w:ind w:firstLine="0" w:firstLineChars="0"/>
        <w:rPr>
          <w:rFonts w:ascii="宋体" w:hAnsi="宋体" w:cs="宋体"/>
          <w:szCs w:val="24"/>
        </w:rPr>
      </w:pPr>
      <w:bookmarkStart w:id="585" w:name="_Toc530470658"/>
      <w:bookmarkStart w:id="586" w:name="_Toc535938765"/>
      <w:r>
        <w:rPr>
          <w:rFonts w:hint="eastAsia" w:ascii="宋体" w:hAnsi="宋体" w:cs="宋体"/>
          <w:szCs w:val="24"/>
        </w:rPr>
        <w:t>⑥</w:t>
      </w:r>
      <w:bookmarkStart w:id="587" w:name="_Hlk22687097"/>
      <w:r>
        <w:rPr>
          <w:rFonts w:hint="eastAsia" w:ascii="宋体" w:hAnsi="宋体" w:cs="宋体"/>
          <w:szCs w:val="24"/>
        </w:rPr>
        <w:t>拟委派本项目驻场监理人员配备响应情况表</w:t>
      </w:r>
      <w:bookmarkEnd w:id="585"/>
      <w:bookmarkEnd w:id="586"/>
      <w:bookmarkEnd w:id="587"/>
    </w:p>
    <w:p>
      <w:pPr>
        <w:pStyle w:val="46"/>
        <w:ind w:firstLine="0" w:firstLineChars="0"/>
        <w:jc w:val="center"/>
        <w:rPr>
          <w:rFonts w:ascii="宋体" w:hAnsi="宋体" w:cs="宋体"/>
          <w:b/>
          <w:bCs/>
          <w:szCs w:val="24"/>
        </w:rPr>
      </w:pPr>
      <w:r>
        <w:rPr>
          <w:rFonts w:hint="eastAsia" w:ascii="宋体" w:hAnsi="宋体" w:cs="宋体"/>
          <w:b/>
          <w:bCs/>
          <w:szCs w:val="24"/>
        </w:rPr>
        <w:t>拟委派本项目驻场监理人员配备响应情况表（格式自定义）</w:t>
      </w:r>
    </w:p>
    <w:p>
      <w:pPr>
        <w:spacing w:after="0" w:line="360" w:lineRule="auto"/>
        <w:rPr>
          <w:rFonts w:ascii="宋体" w:hAnsi="宋体" w:eastAsia="宋体" w:cs="宋体"/>
          <w:b/>
          <w:spacing w:val="4"/>
          <w:sz w:val="24"/>
          <w:lang w:bidi="ar"/>
        </w:rPr>
      </w:pPr>
    </w:p>
    <w:p>
      <w:pPr>
        <w:spacing w:after="0" w:line="360" w:lineRule="auto"/>
        <w:rPr>
          <w:rFonts w:ascii="宋体" w:hAnsi="宋体" w:eastAsia="宋体" w:cs="宋体"/>
          <w:b/>
          <w:spacing w:val="4"/>
          <w:sz w:val="24"/>
          <w:lang w:bidi="ar"/>
        </w:rPr>
      </w:pPr>
    </w:p>
    <w:p>
      <w:pPr>
        <w:spacing w:after="0" w:line="360" w:lineRule="auto"/>
        <w:rPr>
          <w:rFonts w:ascii="宋体" w:hAnsi="宋体" w:eastAsia="宋体" w:cs="宋体"/>
          <w:sz w:val="24"/>
        </w:rPr>
      </w:pPr>
      <w:r>
        <w:rPr>
          <w:rFonts w:hint="eastAsia" w:ascii="宋体" w:hAnsi="宋体" w:eastAsia="宋体" w:cs="宋体"/>
          <w:b/>
          <w:spacing w:val="4"/>
          <w:sz w:val="24"/>
          <w:lang w:bidi="ar"/>
        </w:rPr>
        <w:t>注：</w:t>
      </w:r>
      <w:r>
        <w:rPr>
          <w:rFonts w:hint="eastAsia" w:ascii="宋体" w:hAnsi="宋体" w:eastAsia="宋体" w:cs="宋体"/>
          <w:sz w:val="24"/>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专业监理工程师岗位。</w:t>
      </w:r>
    </w:p>
    <w:p>
      <w:pPr>
        <w:spacing w:after="0" w:line="360" w:lineRule="auto"/>
        <w:rPr>
          <w:rFonts w:ascii="宋体" w:hAnsi="宋体" w:eastAsia="宋体" w:cs="宋体"/>
          <w:sz w:val="24"/>
        </w:rPr>
      </w:pPr>
      <w:r>
        <w:rPr>
          <w:rFonts w:hint="eastAsia" w:ascii="宋体" w:hAnsi="宋体" w:eastAsia="宋体" w:cs="宋体"/>
          <w:sz w:val="24"/>
        </w:rPr>
        <w:t>②本表不作为形式评审、资格评审、响应性评审的审查依据，只作为</w:t>
      </w:r>
      <w:r>
        <w:rPr>
          <w:rFonts w:hint="eastAsia" w:ascii="宋体" w:hAnsi="宋体" w:eastAsia="宋体" w:cs="宋体"/>
          <w:sz w:val="24"/>
          <w:lang w:bidi="ar"/>
        </w:rPr>
        <w:t>定标综合评审因素</w:t>
      </w:r>
      <w:r>
        <w:rPr>
          <w:rFonts w:hint="eastAsia" w:ascii="宋体" w:hAnsi="宋体" w:eastAsia="宋体" w:cs="宋体"/>
          <w:sz w:val="24"/>
        </w:rPr>
        <w:t>评审依据。</w:t>
      </w:r>
    </w:p>
    <w:p>
      <w:pPr>
        <w:spacing w:after="0" w:line="360" w:lineRule="auto"/>
        <w:rPr>
          <w:rFonts w:ascii="宋体" w:hAnsi="宋体" w:eastAsia="宋体" w:cs="宋体"/>
          <w:sz w:val="24"/>
        </w:rPr>
      </w:pPr>
      <w:r>
        <w:rPr>
          <w:rFonts w:hint="eastAsia" w:ascii="宋体" w:hAnsi="宋体" w:eastAsia="宋体" w:cs="宋体"/>
          <w:sz w:val="24"/>
        </w:rPr>
        <w:t>③以上项目监理组成人员资历证明材料应提供满足基本要求的相关证明资料扫描件，如毕业证、职称证、注册证、岗位证或培训证等相关证明资料扫描件，并按投标文件格式要求提供《主要人员简历表》。所投入本项目人员必须为投标人本单位人员，均须提供近一个月（指2025年10月）在本投标单位购买社保缴纳证明材料。各岗位人员不得相互兼职。</w:t>
      </w:r>
    </w:p>
    <w:p>
      <w:pPr>
        <w:spacing w:after="0" w:line="360" w:lineRule="auto"/>
        <w:rPr>
          <w:rFonts w:ascii="宋体" w:hAnsi="宋体" w:eastAsia="宋体" w:cs="宋体"/>
          <w:sz w:val="24"/>
        </w:rPr>
      </w:pPr>
      <w:r>
        <w:rPr>
          <w:rFonts w:hint="eastAsia" w:ascii="宋体" w:hAnsi="宋体" w:eastAsia="宋体" w:cs="宋体"/>
          <w:sz w:val="24"/>
        </w:rPr>
        <w:t>④根据原人事部、原建设部发布的《造价工程师执业资格制度暂行规定》（人发〔1996〕77号）取得的造价工程师执业资格，并经注册且在有效期内的注册造价工程师等同于注册一级造价工程师。</w:t>
      </w:r>
    </w:p>
    <w:p>
      <w:pPr>
        <w:spacing w:after="0" w:line="360" w:lineRule="auto"/>
        <w:rPr>
          <w:rFonts w:ascii="宋体" w:hAnsi="宋体" w:eastAsia="宋体" w:cs="宋体"/>
          <w:sz w:val="24"/>
        </w:rPr>
      </w:pPr>
      <w:r>
        <w:rPr>
          <w:rFonts w:hint="eastAsia" w:ascii="宋体" w:hAnsi="宋体" w:eastAsia="宋体" w:cs="宋体"/>
          <w:sz w:val="24"/>
        </w:rPr>
        <w:t>⑤</w:t>
      </w:r>
      <w:r>
        <w:rPr>
          <w:rFonts w:hint="eastAsia" w:ascii="宋体" w:hAnsi="宋体" w:eastAsia="宋体" w:cs="宋体"/>
          <w:sz w:val="24"/>
          <w:lang w:bidi="ar"/>
        </w:rPr>
        <w:t>智能化相关专业职称包括计算机、电子、通信、自动化、电气等专业职称。</w:t>
      </w:r>
    </w:p>
    <w:p>
      <w:pPr>
        <w:spacing w:after="0" w:line="360" w:lineRule="auto"/>
        <w:rPr>
          <w:rFonts w:ascii="宋体" w:hAnsi="宋体" w:eastAsia="宋体" w:cs="宋体"/>
          <w:sz w:val="24"/>
          <w:lang w:bidi="ar"/>
        </w:rPr>
      </w:pPr>
      <w:r>
        <w:rPr>
          <w:rFonts w:hint="eastAsia" w:ascii="宋体" w:hAnsi="宋体" w:eastAsia="宋体" w:cs="宋体"/>
          <w:sz w:val="24"/>
        </w:rPr>
        <w:t>⑥投标人自行填写拟委派本项目驻场的监理人员，若需增加配备监理人员的，可按照原格式进行扩展</w:t>
      </w:r>
      <w:r>
        <w:rPr>
          <w:rFonts w:hint="eastAsia" w:ascii="宋体" w:hAnsi="宋体" w:eastAsia="宋体" w:cs="宋体"/>
          <w:sz w:val="24"/>
          <w:lang w:bidi="ar"/>
        </w:rPr>
        <w:t>。</w:t>
      </w:r>
    </w:p>
    <w:p>
      <w:pPr>
        <w:pStyle w:val="46"/>
        <w:ind w:firstLine="0" w:firstLineChars="0"/>
        <w:rPr>
          <w:rFonts w:ascii="宋体" w:hAnsi="宋体" w:cs="宋体"/>
          <w:szCs w:val="24"/>
        </w:rPr>
      </w:pPr>
    </w:p>
    <w:p>
      <w:pPr>
        <w:pStyle w:val="46"/>
        <w:ind w:firstLine="0" w:firstLineChars="0"/>
        <w:rPr>
          <w:rFonts w:ascii="宋体" w:hAnsi="宋体" w:cs="宋体"/>
          <w:szCs w:val="24"/>
        </w:rPr>
      </w:pPr>
      <w:r>
        <w:rPr>
          <w:rFonts w:hint="eastAsia" w:ascii="宋体" w:hAnsi="宋体" w:cs="宋体"/>
          <w:szCs w:val="24"/>
        </w:rPr>
        <w:t>投  标  单  位：</w:t>
      </w:r>
    </w:p>
    <w:p>
      <w:pPr>
        <w:pStyle w:val="46"/>
        <w:ind w:firstLine="0" w:firstLineChars="0"/>
        <w:rPr>
          <w:rFonts w:ascii="宋体" w:hAnsi="宋体" w:cs="宋体"/>
          <w:szCs w:val="24"/>
        </w:rPr>
        <w:sectPr>
          <w:headerReference r:id="rId8" w:type="first"/>
          <w:footerReference r:id="rId11" w:type="first"/>
          <w:headerReference r:id="rId7" w:type="default"/>
          <w:footerReference r:id="rId9" w:type="default"/>
          <w:footerReference r:id="rId10" w:type="even"/>
          <w:pgSz w:w="16838" w:h="11906" w:orient="landscape"/>
          <w:pgMar w:top="1440" w:right="1800" w:bottom="1440" w:left="1800" w:header="851" w:footer="992" w:gutter="0"/>
          <w:cols w:space="425" w:num="1"/>
          <w:docGrid w:type="lines" w:linePitch="312" w:charSpace="0"/>
        </w:sectPr>
      </w:pPr>
      <w:r>
        <w:rPr>
          <w:rFonts w:hint="eastAsia" w:ascii="宋体" w:hAnsi="宋体" w:cs="宋体"/>
          <w:szCs w:val="24"/>
        </w:rPr>
        <w:t>日     期：     年   月   日</w:t>
      </w:r>
    </w:p>
    <w:p>
      <w:pPr>
        <w:pStyle w:val="46"/>
        <w:ind w:firstLine="0" w:firstLineChars="0"/>
        <w:rPr>
          <w:rFonts w:ascii="宋体" w:hAnsi="宋体" w:cs="宋体"/>
          <w:szCs w:val="24"/>
        </w:rPr>
      </w:pPr>
      <w:r>
        <w:rPr>
          <w:rFonts w:hint="eastAsia" w:ascii="宋体" w:hAnsi="宋体" w:cs="宋体"/>
          <w:szCs w:val="24"/>
        </w:rPr>
        <w:t>七、投标人认为需要提供的资料（如有）</w:t>
      </w:r>
    </w:p>
    <w:p>
      <w:pPr>
        <w:pStyle w:val="46"/>
        <w:ind w:firstLine="0" w:firstLineChars="0"/>
        <w:rPr>
          <w:rFonts w:ascii="宋体" w:hAnsi="宋体" w:cs="宋体"/>
          <w:szCs w:val="24"/>
          <w:lang w:bidi="ar"/>
        </w:rPr>
      </w:pPr>
      <w:r>
        <w:rPr>
          <w:rFonts w:hint="eastAsia" w:ascii="宋体" w:hAnsi="宋体" w:cs="宋体"/>
          <w:szCs w:val="24"/>
        </w:rPr>
        <w:t>①</w:t>
      </w:r>
      <w:r>
        <w:rPr>
          <w:rFonts w:hint="eastAsia" w:ascii="宋体" w:hAnsi="宋体" w:cs="宋体"/>
          <w:szCs w:val="24"/>
          <w:lang w:bidi="ar"/>
        </w:rPr>
        <w:t>定标原则中的资信因素的相关证明资料（如ISO认证情况、纳税情况、监理业绩情况等）</w:t>
      </w:r>
    </w:p>
    <w:p>
      <w:pPr>
        <w:pStyle w:val="46"/>
        <w:ind w:firstLine="0" w:firstLineChars="0"/>
        <w:rPr>
          <w:rFonts w:ascii="宋体" w:hAnsi="宋体" w:cs="宋体"/>
          <w:szCs w:val="24"/>
          <w:lang w:bidi="ar"/>
        </w:rPr>
      </w:pPr>
    </w:p>
    <w:p>
      <w:pPr>
        <w:widowControl/>
        <w:spacing w:after="0" w:line="360" w:lineRule="auto"/>
        <w:rPr>
          <w:rFonts w:ascii="宋体" w:hAnsi="宋体" w:eastAsia="宋体" w:cs="宋体"/>
          <w:sz w:val="24"/>
          <w:lang w:bidi="ar"/>
        </w:rPr>
      </w:pPr>
      <w:r>
        <w:rPr>
          <w:rFonts w:hint="eastAsia" w:ascii="宋体" w:hAnsi="宋体" w:eastAsia="宋体" w:cs="宋体"/>
          <w:sz w:val="24"/>
          <w:lang w:bidi="ar"/>
        </w:rPr>
        <w:br w:type="page"/>
      </w:r>
    </w:p>
    <w:p>
      <w:pPr>
        <w:spacing w:after="0" w:line="360" w:lineRule="auto"/>
        <w:rPr>
          <w:rFonts w:ascii="宋体" w:hAnsi="宋体" w:eastAsia="宋体" w:cs="宋体"/>
          <w:sz w:val="24"/>
          <w:lang w:bidi="ar"/>
        </w:rPr>
      </w:pPr>
      <w:r>
        <w:rPr>
          <w:rFonts w:hint="eastAsia" w:ascii="宋体" w:hAnsi="宋体" w:eastAsia="宋体" w:cs="宋体"/>
          <w:sz w:val="24"/>
          <w:lang w:bidi="ar"/>
        </w:rPr>
        <w:t>②监理业绩情况</w:t>
      </w:r>
    </w:p>
    <w:p>
      <w:pPr>
        <w:spacing w:after="0" w:line="360" w:lineRule="auto"/>
        <w:rPr>
          <w:rFonts w:ascii="宋体" w:hAnsi="宋体" w:eastAsia="宋体" w:cs="宋体"/>
          <w:b/>
          <w:bCs/>
          <w:sz w:val="24"/>
          <w:lang w:bidi="ar"/>
        </w:rPr>
      </w:pPr>
      <w:r>
        <w:rPr>
          <w:rFonts w:hint="eastAsia" w:ascii="宋体" w:hAnsi="宋体" w:eastAsia="宋体" w:cs="宋体"/>
          <w:b/>
          <w:bCs/>
          <w:sz w:val="24"/>
          <w:lang w:bidi="ar"/>
        </w:rPr>
        <w:t xml:space="preserve">投标人自2022年1月1日至今完成的类似监理业绩情况汇总表 </w:t>
      </w:r>
    </w:p>
    <w:tbl>
      <w:tblPr>
        <w:tblStyle w:val="39"/>
        <w:tblW w:w="7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303"/>
        <w:gridCol w:w="1242"/>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rPr>
                <w:rFonts w:ascii="宋体" w:hAnsi="宋体" w:eastAsia="宋体" w:cs="宋体"/>
                <w:sz w:val="24"/>
                <w:lang w:bidi="ar"/>
              </w:rPr>
            </w:pPr>
            <w:r>
              <w:rPr>
                <w:rFonts w:hint="eastAsia" w:ascii="宋体" w:hAnsi="宋体" w:eastAsia="宋体" w:cs="宋体"/>
                <w:sz w:val="24"/>
                <w:lang w:bidi="ar"/>
              </w:rPr>
              <w:t>序号</w:t>
            </w:r>
          </w:p>
        </w:tc>
        <w:tc>
          <w:tcPr>
            <w:tcW w:w="4303"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sz w:val="24"/>
                <w:lang w:bidi="ar"/>
              </w:rPr>
            </w:pPr>
            <w:r>
              <w:rPr>
                <w:rFonts w:hint="eastAsia" w:ascii="宋体" w:hAnsi="宋体" w:eastAsia="宋体" w:cs="宋体"/>
                <w:sz w:val="24"/>
                <w:lang w:bidi="ar"/>
              </w:rPr>
              <w:t>项目名称</w:t>
            </w:r>
          </w:p>
        </w:tc>
        <w:tc>
          <w:tcPr>
            <w:tcW w:w="1242"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sz w:val="24"/>
                <w:lang w:bidi="ar"/>
              </w:rPr>
            </w:pPr>
            <w:r>
              <w:rPr>
                <w:rFonts w:hint="eastAsia" w:ascii="宋体" w:hAnsi="宋体" w:eastAsia="宋体" w:cs="宋体"/>
                <w:sz w:val="24"/>
                <w:lang w:bidi="ar"/>
              </w:rPr>
              <w:t>业绩金额</w:t>
            </w:r>
          </w:p>
        </w:tc>
        <w:tc>
          <w:tcPr>
            <w:tcW w:w="1242" w:type="dxa"/>
            <w:tcBorders>
              <w:top w:val="single" w:color="auto" w:sz="4" w:space="0"/>
              <w:left w:val="nil"/>
              <w:bottom w:val="single" w:color="auto" w:sz="4" w:space="0"/>
              <w:right w:val="single" w:color="auto" w:sz="4" w:space="0"/>
            </w:tcBorders>
            <w:shd w:val="clear" w:color="auto" w:fill="auto"/>
            <w:vAlign w:val="center"/>
          </w:tcPr>
          <w:p>
            <w:pPr>
              <w:spacing w:after="0" w:line="360" w:lineRule="auto"/>
              <w:rPr>
                <w:rFonts w:ascii="宋体" w:hAnsi="宋体" w:eastAsia="宋体" w:cs="宋体"/>
                <w:sz w:val="24"/>
                <w:lang w:bidi="ar"/>
              </w:rPr>
            </w:pPr>
            <w:r>
              <w:rPr>
                <w:rFonts w:hint="eastAsia" w:ascii="宋体" w:hAnsi="宋体" w:eastAsia="宋体" w:cs="宋体"/>
                <w:sz w:val="24"/>
                <w:lang w:bidi="ar"/>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4303"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4303"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4303"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4303"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4303"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4303"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c>
          <w:tcPr>
            <w:tcW w:w="1242" w:type="dxa"/>
            <w:tcBorders>
              <w:top w:val="single" w:color="auto" w:sz="4" w:space="0"/>
              <w:left w:val="nil"/>
              <w:bottom w:val="single" w:color="auto" w:sz="4" w:space="0"/>
              <w:right w:val="single" w:color="auto" w:sz="4" w:space="0"/>
            </w:tcBorders>
            <w:shd w:val="clear" w:color="auto" w:fill="auto"/>
          </w:tcPr>
          <w:p>
            <w:pPr>
              <w:spacing w:after="0" w:line="360" w:lineRule="auto"/>
              <w:rPr>
                <w:rFonts w:ascii="宋体" w:hAnsi="宋体" w:eastAsia="宋体" w:cs="宋体"/>
                <w:sz w:val="24"/>
                <w:lang w:bidi="ar"/>
              </w:rPr>
            </w:pPr>
          </w:p>
        </w:tc>
      </w:tr>
    </w:tbl>
    <w:p>
      <w:pPr>
        <w:spacing w:after="0" w:line="360" w:lineRule="auto"/>
        <w:rPr>
          <w:rFonts w:ascii="宋体" w:hAnsi="宋体" w:eastAsia="宋体" w:cs="宋体"/>
          <w:sz w:val="24"/>
          <w:lang w:bidi="ar"/>
        </w:rPr>
      </w:pPr>
      <w:r>
        <w:rPr>
          <w:rFonts w:hint="eastAsia" w:ascii="宋体" w:hAnsi="宋体" w:eastAsia="宋体" w:cs="宋体"/>
          <w:sz w:val="24"/>
          <w:lang w:bidi="ar"/>
        </w:rPr>
        <w:t>注：类似监理业绩由投标人择优提供，按定标因素“监理业绩情况”中的要求，在本表后附类似业绩证明资料。如在投标文件格式“四、资格审查资料”中的“（二）近年完成的类似监理项目情况表”已附相关类似业绩证明资料的，则无需在本表后重复附证明资料。</w:t>
      </w:r>
    </w:p>
    <w:p>
      <w:pPr>
        <w:widowControl/>
        <w:spacing w:after="0" w:line="360" w:lineRule="auto"/>
        <w:rPr>
          <w:rFonts w:ascii="宋体" w:hAnsi="宋体" w:eastAsia="宋体" w:cs="宋体"/>
          <w:sz w:val="24"/>
        </w:rPr>
      </w:pPr>
      <w:r>
        <w:rPr>
          <w:rFonts w:hint="eastAsia" w:ascii="宋体" w:hAnsi="宋体" w:eastAsia="宋体" w:cs="宋体"/>
          <w:sz w:val="24"/>
        </w:rPr>
        <w:br w:type="page"/>
      </w:r>
    </w:p>
    <w:p>
      <w:pPr>
        <w:spacing w:after="0" w:line="360" w:lineRule="auto"/>
        <w:rPr>
          <w:rFonts w:ascii="宋体" w:hAnsi="宋体" w:eastAsia="宋体" w:cs="宋体"/>
          <w:sz w:val="24"/>
          <w:lang w:bidi="ar"/>
        </w:rPr>
      </w:pPr>
      <w:r>
        <w:rPr>
          <w:rFonts w:hint="eastAsia" w:ascii="宋体" w:hAnsi="宋体" w:eastAsia="宋体" w:cs="宋体"/>
          <w:sz w:val="24"/>
          <w:lang w:bidi="ar"/>
        </w:rPr>
        <w:t>③</w:t>
      </w:r>
      <w:r>
        <w:rPr>
          <w:rFonts w:hint="eastAsia" w:ascii="宋体" w:hAnsi="宋体" w:eastAsia="宋体" w:cs="宋体"/>
          <w:sz w:val="24"/>
        </w:rPr>
        <w:t>投标人认为需要提供的其他资料</w:t>
      </w:r>
    </w:p>
    <w:sectPr>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20"/>
        <w:tab w:val="right" w:pos="8306"/>
      </w:tabs>
      <w:snapToGrid w:val="0"/>
      <w:rPr>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kern w:val="0"/>
        <w:sz w:val="18"/>
        <w:szCs w:val="18"/>
      </w:rPr>
    </w:pPr>
    <w:r>
      <w:rPr>
        <w:kern w:val="0"/>
        <w:sz w:val="18"/>
        <w:szCs w:val="18"/>
      </w:rPr>
      <w:t xml:space="preserve"> PAGE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kern w:val="0"/>
        <w:sz w:val="18"/>
        <w:szCs w:val="18"/>
      </w:rPr>
    </w:pPr>
    <w:r>
      <w:rPr>
        <w:kern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kern w:val="0"/>
                              <w:sz w:val="18"/>
                              <w:szCs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snapToGrid w:val="0"/>
                      <w:rPr>
                        <w:kern w:val="0"/>
                        <w:sz w:val="18"/>
                        <w:szCs w:val="18"/>
                      </w:rPr>
                    </w:pPr>
                  </w:p>
                </w:txbxContent>
              </v:textbox>
            </v:shape>
          </w:pict>
        </mc:Fallback>
      </mc:AlternateContent>
    </w:r>
  </w:p>
  <w:p>
    <w:pPr>
      <w:snapToGrid w:val="0"/>
      <w:rPr>
        <w:kern w:val="0"/>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snapToGrid w:val="0"/>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BDC5E"/>
    <w:multiLevelType w:val="singleLevel"/>
    <w:tmpl w:val="E43BDC5E"/>
    <w:lvl w:ilvl="0" w:tentative="0">
      <w:start w:val="2"/>
      <w:numFmt w:val="decimal"/>
      <w:suff w:val="nothing"/>
      <w:lvlText w:val="（%1）"/>
      <w:lvlJc w:val="left"/>
    </w:lvl>
  </w:abstractNum>
  <w:abstractNum w:abstractNumId="1">
    <w:nsid w:val="38CE9ED9"/>
    <w:multiLevelType w:val="singleLevel"/>
    <w:tmpl w:val="38CE9ED9"/>
    <w:lvl w:ilvl="0" w:tentative="0">
      <w:start w:val="1"/>
      <w:numFmt w:val="decimal"/>
      <w:suff w:val="nothing"/>
      <w:lvlText w:val="%1．"/>
      <w:lvlJc w:val="left"/>
      <w:pPr>
        <w:ind w:left="-6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OTVkODk5NDE1MDMwN2MzOTEwZGUxYTE2MmZiZjUifQ=="/>
  </w:docVars>
  <w:rsids>
    <w:rsidRoot w:val="00583803"/>
    <w:rsid w:val="0000017E"/>
    <w:rsid w:val="000141CF"/>
    <w:rsid w:val="000171E7"/>
    <w:rsid w:val="0004215C"/>
    <w:rsid w:val="000427D6"/>
    <w:rsid w:val="00046DE8"/>
    <w:rsid w:val="000530EB"/>
    <w:rsid w:val="00054FA5"/>
    <w:rsid w:val="0005531A"/>
    <w:rsid w:val="00062517"/>
    <w:rsid w:val="00072667"/>
    <w:rsid w:val="00073762"/>
    <w:rsid w:val="000B7739"/>
    <w:rsid w:val="000C06D0"/>
    <w:rsid w:val="000C514A"/>
    <w:rsid w:val="000C7541"/>
    <w:rsid w:val="000D6801"/>
    <w:rsid w:val="000E2F13"/>
    <w:rsid w:val="000F0FE1"/>
    <w:rsid w:val="000F3ABD"/>
    <w:rsid w:val="0010050C"/>
    <w:rsid w:val="001055CF"/>
    <w:rsid w:val="00106CD2"/>
    <w:rsid w:val="00107DD3"/>
    <w:rsid w:val="00111DF2"/>
    <w:rsid w:val="00117FDA"/>
    <w:rsid w:val="00143E6A"/>
    <w:rsid w:val="001442D9"/>
    <w:rsid w:val="001509D9"/>
    <w:rsid w:val="00153066"/>
    <w:rsid w:val="001547E6"/>
    <w:rsid w:val="00155A51"/>
    <w:rsid w:val="00175A00"/>
    <w:rsid w:val="00180721"/>
    <w:rsid w:val="00191A6E"/>
    <w:rsid w:val="0019762C"/>
    <w:rsid w:val="001B4657"/>
    <w:rsid w:val="001B7E83"/>
    <w:rsid w:val="001D0BBB"/>
    <w:rsid w:val="001E1C70"/>
    <w:rsid w:val="002102E3"/>
    <w:rsid w:val="00210672"/>
    <w:rsid w:val="0021381E"/>
    <w:rsid w:val="00215FBE"/>
    <w:rsid w:val="002214B8"/>
    <w:rsid w:val="00221B09"/>
    <w:rsid w:val="00222506"/>
    <w:rsid w:val="00230CF4"/>
    <w:rsid w:val="00233980"/>
    <w:rsid w:val="0023769A"/>
    <w:rsid w:val="002453BB"/>
    <w:rsid w:val="00252C02"/>
    <w:rsid w:val="00262C2C"/>
    <w:rsid w:val="0027032B"/>
    <w:rsid w:val="0027253A"/>
    <w:rsid w:val="00282182"/>
    <w:rsid w:val="00291159"/>
    <w:rsid w:val="00293E3A"/>
    <w:rsid w:val="002C5078"/>
    <w:rsid w:val="002F3670"/>
    <w:rsid w:val="003020DB"/>
    <w:rsid w:val="00303EA7"/>
    <w:rsid w:val="00304517"/>
    <w:rsid w:val="00325045"/>
    <w:rsid w:val="00326788"/>
    <w:rsid w:val="00327D2F"/>
    <w:rsid w:val="0033128C"/>
    <w:rsid w:val="003364D0"/>
    <w:rsid w:val="00336805"/>
    <w:rsid w:val="00342B9B"/>
    <w:rsid w:val="00345F6E"/>
    <w:rsid w:val="003475DE"/>
    <w:rsid w:val="00352B12"/>
    <w:rsid w:val="00356E53"/>
    <w:rsid w:val="00364792"/>
    <w:rsid w:val="00372225"/>
    <w:rsid w:val="0037452D"/>
    <w:rsid w:val="00391474"/>
    <w:rsid w:val="00392684"/>
    <w:rsid w:val="003946F7"/>
    <w:rsid w:val="00396452"/>
    <w:rsid w:val="003A30F2"/>
    <w:rsid w:val="003A3150"/>
    <w:rsid w:val="003A3A53"/>
    <w:rsid w:val="003C0FC3"/>
    <w:rsid w:val="003C3A12"/>
    <w:rsid w:val="003C638F"/>
    <w:rsid w:val="003D179F"/>
    <w:rsid w:val="003E1E42"/>
    <w:rsid w:val="003E57BE"/>
    <w:rsid w:val="003E5CBA"/>
    <w:rsid w:val="003F4FD6"/>
    <w:rsid w:val="0040256A"/>
    <w:rsid w:val="004038DE"/>
    <w:rsid w:val="0040463D"/>
    <w:rsid w:val="004073D1"/>
    <w:rsid w:val="00417D6E"/>
    <w:rsid w:val="004226D9"/>
    <w:rsid w:val="004260CB"/>
    <w:rsid w:val="0042709E"/>
    <w:rsid w:val="00435B5B"/>
    <w:rsid w:val="004366BB"/>
    <w:rsid w:val="00443E91"/>
    <w:rsid w:val="00461B9C"/>
    <w:rsid w:val="00466545"/>
    <w:rsid w:val="00471EFB"/>
    <w:rsid w:val="004750C6"/>
    <w:rsid w:val="004764C9"/>
    <w:rsid w:val="00485E69"/>
    <w:rsid w:val="00492DAD"/>
    <w:rsid w:val="00494EDC"/>
    <w:rsid w:val="004A1F25"/>
    <w:rsid w:val="004A3B0D"/>
    <w:rsid w:val="004B314E"/>
    <w:rsid w:val="004C1DEE"/>
    <w:rsid w:val="004D6947"/>
    <w:rsid w:val="004E60C8"/>
    <w:rsid w:val="004F3753"/>
    <w:rsid w:val="00501DE2"/>
    <w:rsid w:val="00504D7D"/>
    <w:rsid w:val="00510A4F"/>
    <w:rsid w:val="00513026"/>
    <w:rsid w:val="00513A7C"/>
    <w:rsid w:val="00521CD3"/>
    <w:rsid w:val="00524000"/>
    <w:rsid w:val="00530428"/>
    <w:rsid w:val="00532FB5"/>
    <w:rsid w:val="00555211"/>
    <w:rsid w:val="00556301"/>
    <w:rsid w:val="00557114"/>
    <w:rsid w:val="005579B5"/>
    <w:rsid w:val="00557BA3"/>
    <w:rsid w:val="00567960"/>
    <w:rsid w:val="00583803"/>
    <w:rsid w:val="005A18B3"/>
    <w:rsid w:val="005C4D50"/>
    <w:rsid w:val="005C6176"/>
    <w:rsid w:val="005D5871"/>
    <w:rsid w:val="005F6189"/>
    <w:rsid w:val="0060482D"/>
    <w:rsid w:val="006107BC"/>
    <w:rsid w:val="00616A97"/>
    <w:rsid w:val="00630A84"/>
    <w:rsid w:val="00640CEE"/>
    <w:rsid w:val="0064493B"/>
    <w:rsid w:val="006520F5"/>
    <w:rsid w:val="00660865"/>
    <w:rsid w:val="006615C3"/>
    <w:rsid w:val="00676EF3"/>
    <w:rsid w:val="006A4957"/>
    <w:rsid w:val="006A5B27"/>
    <w:rsid w:val="006B7E29"/>
    <w:rsid w:val="006D5595"/>
    <w:rsid w:val="006D79D5"/>
    <w:rsid w:val="006F0FF6"/>
    <w:rsid w:val="006F4E20"/>
    <w:rsid w:val="007027C2"/>
    <w:rsid w:val="00702F34"/>
    <w:rsid w:val="00707399"/>
    <w:rsid w:val="00723620"/>
    <w:rsid w:val="0075587C"/>
    <w:rsid w:val="007618FA"/>
    <w:rsid w:val="007621AC"/>
    <w:rsid w:val="00772C92"/>
    <w:rsid w:val="00791D1A"/>
    <w:rsid w:val="00797A1A"/>
    <w:rsid w:val="007A52CB"/>
    <w:rsid w:val="007B6C21"/>
    <w:rsid w:val="007C201A"/>
    <w:rsid w:val="007C2948"/>
    <w:rsid w:val="007D0023"/>
    <w:rsid w:val="007D3ED9"/>
    <w:rsid w:val="007E0E93"/>
    <w:rsid w:val="007F58ED"/>
    <w:rsid w:val="007F742D"/>
    <w:rsid w:val="007F7E47"/>
    <w:rsid w:val="00811A09"/>
    <w:rsid w:val="00812AA7"/>
    <w:rsid w:val="00822D29"/>
    <w:rsid w:val="00824C8E"/>
    <w:rsid w:val="00830D18"/>
    <w:rsid w:val="008328EA"/>
    <w:rsid w:val="0084087C"/>
    <w:rsid w:val="00856458"/>
    <w:rsid w:val="0086198D"/>
    <w:rsid w:val="00870C4A"/>
    <w:rsid w:val="00874578"/>
    <w:rsid w:val="00875246"/>
    <w:rsid w:val="00875779"/>
    <w:rsid w:val="00886FC5"/>
    <w:rsid w:val="0089281C"/>
    <w:rsid w:val="00896F60"/>
    <w:rsid w:val="008B01A4"/>
    <w:rsid w:val="008C2CB6"/>
    <w:rsid w:val="008C3438"/>
    <w:rsid w:val="008D1F91"/>
    <w:rsid w:val="008D2A7A"/>
    <w:rsid w:val="008D3B41"/>
    <w:rsid w:val="008D3EA9"/>
    <w:rsid w:val="008D4CFE"/>
    <w:rsid w:val="008E5F5C"/>
    <w:rsid w:val="008F03D4"/>
    <w:rsid w:val="008F57A3"/>
    <w:rsid w:val="00900626"/>
    <w:rsid w:val="00923BDD"/>
    <w:rsid w:val="0093012C"/>
    <w:rsid w:val="00933408"/>
    <w:rsid w:val="00943160"/>
    <w:rsid w:val="009502C2"/>
    <w:rsid w:val="009573CE"/>
    <w:rsid w:val="009635B0"/>
    <w:rsid w:val="009705E2"/>
    <w:rsid w:val="009747F5"/>
    <w:rsid w:val="0098097F"/>
    <w:rsid w:val="00990D86"/>
    <w:rsid w:val="00993485"/>
    <w:rsid w:val="00997E00"/>
    <w:rsid w:val="009A72A0"/>
    <w:rsid w:val="009B3A9D"/>
    <w:rsid w:val="009B4AEF"/>
    <w:rsid w:val="009D2C62"/>
    <w:rsid w:val="009D41DE"/>
    <w:rsid w:val="009D7289"/>
    <w:rsid w:val="00A05253"/>
    <w:rsid w:val="00A14DC3"/>
    <w:rsid w:val="00A175B0"/>
    <w:rsid w:val="00A200DF"/>
    <w:rsid w:val="00A20CA8"/>
    <w:rsid w:val="00A21F37"/>
    <w:rsid w:val="00A30FD8"/>
    <w:rsid w:val="00A3485A"/>
    <w:rsid w:val="00A36735"/>
    <w:rsid w:val="00A36920"/>
    <w:rsid w:val="00A42B46"/>
    <w:rsid w:val="00A53B7A"/>
    <w:rsid w:val="00A54EC0"/>
    <w:rsid w:val="00A60446"/>
    <w:rsid w:val="00A61E1E"/>
    <w:rsid w:val="00A62C7F"/>
    <w:rsid w:val="00A632AA"/>
    <w:rsid w:val="00A64E5B"/>
    <w:rsid w:val="00A763D6"/>
    <w:rsid w:val="00AA226D"/>
    <w:rsid w:val="00AA4931"/>
    <w:rsid w:val="00AA7BD4"/>
    <w:rsid w:val="00AB257F"/>
    <w:rsid w:val="00AF339C"/>
    <w:rsid w:val="00AF57F5"/>
    <w:rsid w:val="00B04F9C"/>
    <w:rsid w:val="00B06B2A"/>
    <w:rsid w:val="00B07786"/>
    <w:rsid w:val="00B214D9"/>
    <w:rsid w:val="00B308C7"/>
    <w:rsid w:val="00B37C71"/>
    <w:rsid w:val="00B40147"/>
    <w:rsid w:val="00B403F5"/>
    <w:rsid w:val="00B474FA"/>
    <w:rsid w:val="00B520D9"/>
    <w:rsid w:val="00B54C4E"/>
    <w:rsid w:val="00B64A60"/>
    <w:rsid w:val="00B66A08"/>
    <w:rsid w:val="00B71675"/>
    <w:rsid w:val="00B917AD"/>
    <w:rsid w:val="00B9658C"/>
    <w:rsid w:val="00BA233B"/>
    <w:rsid w:val="00BA583E"/>
    <w:rsid w:val="00BB3618"/>
    <w:rsid w:val="00BC185C"/>
    <w:rsid w:val="00BD0BCD"/>
    <w:rsid w:val="00BD2C4C"/>
    <w:rsid w:val="00BD4C8B"/>
    <w:rsid w:val="00BD4F17"/>
    <w:rsid w:val="00BE415D"/>
    <w:rsid w:val="00BF13DB"/>
    <w:rsid w:val="00BF17E8"/>
    <w:rsid w:val="00BF42F5"/>
    <w:rsid w:val="00C21BCC"/>
    <w:rsid w:val="00C334A2"/>
    <w:rsid w:val="00C41BCB"/>
    <w:rsid w:val="00C45B46"/>
    <w:rsid w:val="00C51303"/>
    <w:rsid w:val="00C53F0B"/>
    <w:rsid w:val="00C67CCB"/>
    <w:rsid w:val="00C72907"/>
    <w:rsid w:val="00C83F07"/>
    <w:rsid w:val="00C8561C"/>
    <w:rsid w:val="00C9012A"/>
    <w:rsid w:val="00C92BD4"/>
    <w:rsid w:val="00C94766"/>
    <w:rsid w:val="00CA1502"/>
    <w:rsid w:val="00CA1EAE"/>
    <w:rsid w:val="00CA3697"/>
    <w:rsid w:val="00CA6403"/>
    <w:rsid w:val="00CA7446"/>
    <w:rsid w:val="00CB7250"/>
    <w:rsid w:val="00CD5CEC"/>
    <w:rsid w:val="00CE2E9D"/>
    <w:rsid w:val="00CF3193"/>
    <w:rsid w:val="00D21E90"/>
    <w:rsid w:val="00D22573"/>
    <w:rsid w:val="00D22F89"/>
    <w:rsid w:val="00D23FC8"/>
    <w:rsid w:val="00D24B94"/>
    <w:rsid w:val="00D840D6"/>
    <w:rsid w:val="00D863AC"/>
    <w:rsid w:val="00D97C78"/>
    <w:rsid w:val="00DA449C"/>
    <w:rsid w:val="00DA5522"/>
    <w:rsid w:val="00DB3582"/>
    <w:rsid w:val="00DB6512"/>
    <w:rsid w:val="00DB6F15"/>
    <w:rsid w:val="00DB781E"/>
    <w:rsid w:val="00DC6D62"/>
    <w:rsid w:val="00DD3CBC"/>
    <w:rsid w:val="00DD3DAC"/>
    <w:rsid w:val="00DD627F"/>
    <w:rsid w:val="00DE10E6"/>
    <w:rsid w:val="00DE7445"/>
    <w:rsid w:val="00DF2208"/>
    <w:rsid w:val="00E052C6"/>
    <w:rsid w:val="00E11C07"/>
    <w:rsid w:val="00E150CA"/>
    <w:rsid w:val="00E162FD"/>
    <w:rsid w:val="00E176A4"/>
    <w:rsid w:val="00E403FB"/>
    <w:rsid w:val="00E64937"/>
    <w:rsid w:val="00E66208"/>
    <w:rsid w:val="00E71741"/>
    <w:rsid w:val="00E72510"/>
    <w:rsid w:val="00E7279E"/>
    <w:rsid w:val="00E72855"/>
    <w:rsid w:val="00E769E8"/>
    <w:rsid w:val="00E76B26"/>
    <w:rsid w:val="00E8547A"/>
    <w:rsid w:val="00E93DFC"/>
    <w:rsid w:val="00E9670D"/>
    <w:rsid w:val="00EC6A3C"/>
    <w:rsid w:val="00EE1495"/>
    <w:rsid w:val="00EE47EA"/>
    <w:rsid w:val="00EE4BA6"/>
    <w:rsid w:val="00EE5AD5"/>
    <w:rsid w:val="00EF0B64"/>
    <w:rsid w:val="00F00CE7"/>
    <w:rsid w:val="00F03925"/>
    <w:rsid w:val="00F05369"/>
    <w:rsid w:val="00F12721"/>
    <w:rsid w:val="00F132AF"/>
    <w:rsid w:val="00F14893"/>
    <w:rsid w:val="00F14CB7"/>
    <w:rsid w:val="00F24D52"/>
    <w:rsid w:val="00F40E0F"/>
    <w:rsid w:val="00F441B7"/>
    <w:rsid w:val="00F46DC6"/>
    <w:rsid w:val="00F5362E"/>
    <w:rsid w:val="00F6655B"/>
    <w:rsid w:val="00F700B2"/>
    <w:rsid w:val="00F86803"/>
    <w:rsid w:val="00F953AE"/>
    <w:rsid w:val="00FB004C"/>
    <w:rsid w:val="00FB543B"/>
    <w:rsid w:val="00FC2500"/>
    <w:rsid w:val="00FC41E0"/>
    <w:rsid w:val="00FC4E01"/>
    <w:rsid w:val="00FD0AC7"/>
    <w:rsid w:val="00FD5F7A"/>
    <w:rsid w:val="00FD5FCF"/>
    <w:rsid w:val="011F663B"/>
    <w:rsid w:val="03EB5667"/>
    <w:rsid w:val="06397FEF"/>
    <w:rsid w:val="070958AE"/>
    <w:rsid w:val="0D49394F"/>
    <w:rsid w:val="0EFD10E0"/>
    <w:rsid w:val="0F4F0C4B"/>
    <w:rsid w:val="0FFE0BB5"/>
    <w:rsid w:val="120B0249"/>
    <w:rsid w:val="12DF9FA6"/>
    <w:rsid w:val="1337EB03"/>
    <w:rsid w:val="13C034F7"/>
    <w:rsid w:val="16283991"/>
    <w:rsid w:val="175D194D"/>
    <w:rsid w:val="177F50ED"/>
    <w:rsid w:val="17E7B4F0"/>
    <w:rsid w:val="197FC2BF"/>
    <w:rsid w:val="1BEBB02F"/>
    <w:rsid w:val="1BFF17AB"/>
    <w:rsid w:val="1D7F286A"/>
    <w:rsid w:val="1E247230"/>
    <w:rsid w:val="1EDFFD4E"/>
    <w:rsid w:val="1F3FE62D"/>
    <w:rsid w:val="1F7E539A"/>
    <w:rsid w:val="1FBBF142"/>
    <w:rsid w:val="1FD114BD"/>
    <w:rsid w:val="1FFF2B1B"/>
    <w:rsid w:val="22ED6B5D"/>
    <w:rsid w:val="25EF9B4D"/>
    <w:rsid w:val="27DF1DB7"/>
    <w:rsid w:val="29EDA407"/>
    <w:rsid w:val="29FE5E24"/>
    <w:rsid w:val="2A25021A"/>
    <w:rsid w:val="2A3D2D19"/>
    <w:rsid w:val="2B3F4A72"/>
    <w:rsid w:val="2BB83A7D"/>
    <w:rsid w:val="2BEDFFAA"/>
    <w:rsid w:val="2CC41733"/>
    <w:rsid w:val="2CFF9497"/>
    <w:rsid w:val="2E2BA21C"/>
    <w:rsid w:val="2EB790D1"/>
    <w:rsid w:val="2F8B50D9"/>
    <w:rsid w:val="2FAB07DB"/>
    <w:rsid w:val="2FF5C9A1"/>
    <w:rsid w:val="30ED2C48"/>
    <w:rsid w:val="31545C7D"/>
    <w:rsid w:val="33FFE59D"/>
    <w:rsid w:val="35379BC9"/>
    <w:rsid w:val="36BB646B"/>
    <w:rsid w:val="36EBC35F"/>
    <w:rsid w:val="371F4416"/>
    <w:rsid w:val="37AB2338"/>
    <w:rsid w:val="37AF9BE2"/>
    <w:rsid w:val="37BF7D64"/>
    <w:rsid w:val="385102E3"/>
    <w:rsid w:val="38BE8404"/>
    <w:rsid w:val="39B649A4"/>
    <w:rsid w:val="39ED74A2"/>
    <w:rsid w:val="39EE01F7"/>
    <w:rsid w:val="3B494BC0"/>
    <w:rsid w:val="3B7F92E2"/>
    <w:rsid w:val="3B8F118E"/>
    <w:rsid w:val="3DF71E23"/>
    <w:rsid w:val="3DFEED26"/>
    <w:rsid w:val="3DFF8FE0"/>
    <w:rsid w:val="3E5F7682"/>
    <w:rsid w:val="3EADE526"/>
    <w:rsid w:val="3ECF2450"/>
    <w:rsid w:val="3EDF7AA0"/>
    <w:rsid w:val="3EEDBCAC"/>
    <w:rsid w:val="3EF937F3"/>
    <w:rsid w:val="3EFD04D2"/>
    <w:rsid w:val="3EFEE751"/>
    <w:rsid w:val="3F3ADABF"/>
    <w:rsid w:val="3FBB11B1"/>
    <w:rsid w:val="3FD33D4A"/>
    <w:rsid w:val="3FF9281F"/>
    <w:rsid w:val="3FFFA27C"/>
    <w:rsid w:val="420B1721"/>
    <w:rsid w:val="43715482"/>
    <w:rsid w:val="43FF21AF"/>
    <w:rsid w:val="476F72F7"/>
    <w:rsid w:val="477F0ADF"/>
    <w:rsid w:val="48D6083C"/>
    <w:rsid w:val="493F04CB"/>
    <w:rsid w:val="4B7E78C2"/>
    <w:rsid w:val="4BA04194"/>
    <w:rsid w:val="4DF7163C"/>
    <w:rsid w:val="4EE65B0C"/>
    <w:rsid w:val="4FA96C4D"/>
    <w:rsid w:val="4FFB56CF"/>
    <w:rsid w:val="4FFE609F"/>
    <w:rsid w:val="4FFF5CE7"/>
    <w:rsid w:val="516E1C08"/>
    <w:rsid w:val="51F92429"/>
    <w:rsid w:val="53B52B8D"/>
    <w:rsid w:val="53FA3B44"/>
    <w:rsid w:val="5661089C"/>
    <w:rsid w:val="56776A13"/>
    <w:rsid w:val="56FD3577"/>
    <w:rsid w:val="573B8441"/>
    <w:rsid w:val="57D13947"/>
    <w:rsid w:val="57EF6ACC"/>
    <w:rsid w:val="57FF9501"/>
    <w:rsid w:val="58BD4DB3"/>
    <w:rsid w:val="58F95A85"/>
    <w:rsid w:val="597F8E7E"/>
    <w:rsid w:val="59F7697D"/>
    <w:rsid w:val="5ABEEEE2"/>
    <w:rsid w:val="5ADF4F8E"/>
    <w:rsid w:val="5B3BD1A5"/>
    <w:rsid w:val="5B3FF036"/>
    <w:rsid w:val="5BB1A6D2"/>
    <w:rsid w:val="5BDD7047"/>
    <w:rsid w:val="5BE79896"/>
    <w:rsid w:val="5C761BA5"/>
    <w:rsid w:val="5CB0091F"/>
    <w:rsid w:val="5CDEB43D"/>
    <w:rsid w:val="5CEF1B8E"/>
    <w:rsid w:val="5CF7BE56"/>
    <w:rsid w:val="5D564930"/>
    <w:rsid w:val="5D978C2E"/>
    <w:rsid w:val="5DCC1DAC"/>
    <w:rsid w:val="5DDFF11A"/>
    <w:rsid w:val="5DFB31B3"/>
    <w:rsid w:val="5DFD4F9D"/>
    <w:rsid w:val="5E7A1F45"/>
    <w:rsid w:val="5EFF5D6D"/>
    <w:rsid w:val="5EFF7282"/>
    <w:rsid w:val="5F5E64D4"/>
    <w:rsid w:val="5F6BF645"/>
    <w:rsid w:val="5FBD69F6"/>
    <w:rsid w:val="5FE99E90"/>
    <w:rsid w:val="63115115"/>
    <w:rsid w:val="63C37D6F"/>
    <w:rsid w:val="63DEF0E5"/>
    <w:rsid w:val="63FB1F7C"/>
    <w:rsid w:val="63FFD553"/>
    <w:rsid w:val="65E4A6CA"/>
    <w:rsid w:val="65E6C222"/>
    <w:rsid w:val="66BB409F"/>
    <w:rsid w:val="66D638DB"/>
    <w:rsid w:val="677C6ECE"/>
    <w:rsid w:val="67C42814"/>
    <w:rsid w:val="67FD5E5D"/>
    <w:rsid w:val="699895EF"/>
    <w:rsid w:val="69B864C3"/>
    <w:rsid w:val="69CF0125"/>
    <w:rsid w:val="6A65B349"/>
    <w:rsid w:val="6AE5E8E2"/>
    <w:rsid w:val="6B7BB3DA"/>
    <w:rsid w:val="6B7FFBCE"/>
    <w:rsid w:val="6BD6E6FE"/>
    <w:rsid w:val="6BFFFA24"/>
    <w:rsid w:val="6CC7F9E8"/>
    <w:rsid w:val="6E3948FC"/>
    <w:rsid w:val="6E9A5394"/>
    <w:rsid w:val="6ECF907F"/>
    <w:rsid w:val="6EDF485F"/>
    <w:rsid w:val="6EEFD6B0"/>
    <w:rsid w:val="6F1F40AD"/>
    <w:rsid w:val="6F3F4672"/>
    <w:rsid w:val="6F5D1793"/>
    <w:rsid w:val="6F7E73F5"/>
    <w:rsid w:val="6FF748F5"/>
    <w:rsid w:val="6FF7F3B3"/>
    <w:rsid w:val="6FFEB63D"/>
    <w:rsid w:val="7120324F"/>
    <w:rsid w:val="71EA575D"/>
    <w:rsid w:val="72281264"/>
    <w:rsid w:val="724063C7"/>
    <w:rsid w:val="72FD9962"/>
    <w:rsid w:val="73BFA11D"/>
    <w:rsid w:val="73CEB2B3"/>
    <w:rsid w:val="73FF7DF6"/>
    <w:rsid w:val="757F2DD1"/>
    <w:rsid w:val="75BFAE45"/>
    <w:rsid w:val="75CF6EDE"/>
    <w:rsid w:val="75E60E27"/>
    <w:rsid w:val="76779496"/>
    <w:rsid w:val="76BCDAFF"/>
    <w:rsid w:val="76BE6543"/>
    <w:rsid w:val="76EAC13B"/>
    <w:rsid w:val="76FABE30"/>
    <w:rsid w:val="76FEA7B1"/>
    <w:rsid w:val="76FEDDEE"/>
    <w:rsid w:val="76FFDFE8"/>
    <w:rsid w:val="773D7634"/>
    <w:rsid w:val="777B8F8C"/>
    <w:rsid w:val="777F49F5"/>
    <w:rsid w:val="77970C2E"/>
    <w:rsid w:val="77A5234D"/>
    <w:rsid w:val="77AB5FE0"/>
    <w:rsid w:val="77AFB314"/>
    <w:rsid w:val="77F79321"/>
    <w:rsid w:val="77FDEE23"/>
    <w:rsid w:val="77FF6767"/>
    <w:rsid w:val="791B0DEB"/>
    <w:rsid w:val="793F4873"/>
    <w:rsid w:val="797E799A"/>
    <w:rsid w:val="797F6432"/>
    <w:rsid w:val="79DB1669"/>
    <w:rsid w:val="79E69030"/>
    <w:rsid w:val="79FAE8A5"/>
    <w:rsid w:val="7A087811"/>
    <w:rsid w:val="7A5532F2"/>
    <w:rsid w:val="7AB349DD"/>
    <w:rsid w:val="7ABFA1CC"/>
    <w:rsid w:val="7AD7F819"/>
    <w:rsid w:val="7AF3E085"/>
    <w:rsid w:val="7AFD28FF"/>
    <w:rsid w:val="7B1D07CE"/>
    <w:rsid w:val="7B34552D"/>
    <w:rsid w:val="7B5AD587"/>
    <w:rsid w:val="7B603686"/>
    <w:rsid w:val="7B75B7D0"/>
    <w:rsid w:val="7B7FBE12"/>
    <w:rsid w:val="7B9BCD87"/>
    <w:rsid w:val="7BCF00B5"/>
    <w:rsid w:val="7BF7038E"/>
    <w:rsid w:val="7BFE5670"/>
    <w:rsid w:val="7BFF166F"/>
    <w:rsid w:val="7BFFBF6D"/>
    <w:rsid w:val="7CDF5D15"/>
    <w:rsid w:val="7CF1D0CF"/>
    <w:rsid w:val="7D2FF5EE"/>
    <w:rsid w:val="7D366FBE"/>
    <w:rsid w:val="7D3BDBDD"/>
    <w:rsid w:val="7D9C960A"/>
    <w:rsid w:val="7DA23AAF"/>
    <w:rsid w:val="7DAF4609"/>
    <w:rsid w:val="7DAFCC7E"/>
    <w:rsid w:val="7DC67AD3"/>
    <w:rsid w:val="7DDF85CF"/>
    <w:rsid w:val="7DEFDE22"/>
    <w:rsid w:val="7E2E82E4"/>
    <w:rsid w:val="7E6C0D66"/>
    <w:rsid w:val="7E6FAB8B"/>
    <w:rsid w:val="7E6FD1D6"/>
    <w:rsid w:val="7E84614C"/>
    <w:rsid w:val="7EAE4040"/>
    <w:rsid w:val="7ED652D1"/>
    <w:rsid w:val="7EDEB347"/>
    <w:rsid w:val="7EEA84BB"/>
    <w:rsid w:val="7EF7DB09"/>
    <w:rsid w:val="7EFF0081"/>
    <w:rsid w:val="7F15FFBF"/>
    <w:rsid w:val="7F506844"/>
    <w:rsid w:val="7F56158B"/>
    <w:rsid w:val="7F5F2AA2"/>
    <w:rsid w:val="7F5F4EE2"/>
    <w:rsid w:val="7F73B47C"/>
    <w:rsid w:val="7F7622C4"/>
    <w:rsid w:val="7F77B45E"/>
    <w:rsid w:val="7F7DF1DF"/>
    <w:rsid w:val="7F7E7660"/>
    <w:rsid w:val="7F950E7D"/>
    <w:rsid w:val="7F96662F"/>
    <w:rsid w:val="7FAB8F89"/>
    <w:rsid w:val="7FB6A4E9"/>
    <w:rsid w:val="7FBF1896"/>
    <w:rsid w:val="7FC7E84A"/>
    <w:rsid w:val="7FDFC5B8"/>
    <w:rsid w:val="7FDFF1B7"/>
    <w:rsid w:val="7FE21FCF"/>
    <w:rsid w:val="7FE656A4"/>
    <w:rsid w:val="7FE7FEFD"/>
    <w:rsid w:val="7FEBADD8"/>
    <w:rsid w:val="7FF3F1F2"/>
    <w:rsid w:val="7FF60AE4"/>
    <w:rsid w:val="7FF631A3"/>
    <w:rsid w:val="7FF67BC3"/>
    <w:rsid w:val="7FF7CB75"/>
    <w:rsid w:val="7FFBA486"/>
    <w:rsid w:val="7FFF0F2E"/>
    <w:rsid w:val="7FFFCED9"/>
    <w:rsid w:val="811D7118"/>
    <w:rsid w:val="86FF0539"/>
    <w:rsid w:val="8B3F0456"/>
    <w:rsid w:val="8D9F083A"/>
    <w:rsid w:val="8F5B7ED1"/>
    <w:rsid w:val="8FFFBA84"/>
    <w:rsid w:val="95FD5108"/>
    <w:rsid w:val="972678E3"/>
    <w:rsid w:val="97BD07B5"/>
    <w:rsid w:val="98FF1A3D"/>
    <w:rsid w:val="99FD9702"/>
    <w:rsid w:val="9AEC7A36"/>
    <w:rsid w:val="9BEE6439"/>
    <w:rsid w:val="9BFFEADD"/>
    <w:rsid w:val="9D645610"/>
    <w:rsid w:val="9DBFFB0A"/>
    <w:rsid w:val="9E0F0BB0"/>
    <w:rsid w:val="9E8FC4BB"/>
    <w:rsid w:val="9EBDACA4"/>
    <w:rsid w:val="9F47E8D1"/>
    <w:rsid w:val="A2CE33A5"/>
    <w:rsid w:val="A56F28B7"/>
    <w:rsid w:val="A7FDAF98"/>
    <w:rsid w:val="AAB3E157"/>
    <w:rsid w:val="AAF368C8"/>
    <w:rsid w:val="AB5E89E5"/>
    <w:rsid w:val="ABF7F407"/>
    <w:rsid w:val="ADE3DE73"/>
    <w:rsid w:val="AF7B3DF2"/>
    <w:rsid w:val="AF9BFA43"/>
    <w:rsid w:val="AFFE9F06"/>
    <w:rsid w:val="AFFF4477"/>
    <w:rsid w:val="B2FF94DB"/>
    <w:rsid w:val="B537AFF0"/>
    <w:rsid w:val="B5AA3CBA"/>
    <w:rsid w:val="B6DDC889"/>
    <w:rsid w:val="B7774005"/>
    <w:rsid w:val="B7792A81"/>
    <w:rsid w:val="B7EED548"/>
    <w:rsid w:val="B8EF3BD5"/>
    <w:rsid w:val="B97FF028"/>
    <w:rsid w:val="B9FBA864"/>
    <w:rsid w:val="BADED074"/>
    <w:rsid w:val="BAFF428C"/>
    <w:rsid w:val="BBBF7779"/>
    <w:rsid w:val="BBDF8384"/>
    <w:rsid w:val="BBF2ACB9"/>
    <w:rsid w:val="BBFFB0C3"/>
    <w:rsid w:val="BBFFDC9D"/>
    <w:rsid w:val="BC4FBB04"/>
    <w:rsid w:val="BC6543AB"/>
    <w:rsid w:val="BCBD50F5"/>
    <w:rsid w:val="BE39FE15"/>
    <w:rsid w:val="BE7F048F"/>
    <w:rsid w:val="BEBF214B"/>
    <w:rsid w:val="BEDEDD00"/>
    <w:rsid w:val="BEE7DB12"/>
    <w:rsid w:val="BEF99264"/>
    <w:rsid w:val="BF4712BC"/>
    <w:rsid w:val="BF7F055C"/>
    <w:rsid w:val="BF7F676A"/>
    <w:rsid w:val="BF9E2AE3"/>
    <w:rsid w:val="BFA8B296"/>
    <w:rsid w:val="BFB92136"/>
    <w:rsid w:val="BFDDD109"/>
    <w:rsid w:val="BFEDD103"/>
    <w:rsid w:val="BFF88CA5"/>
    <w:rsid w:val="BFFFC0ED"/>
    <w:rsid w:val="C3E95F69"/>
    <w:rsid w:val="C7FE902A"/>
    <w:rsid w:val="C9EE6F61"/>
    <w:rsid w:val="CA567977"/>
    <w:rsid w:val="CCFF5560"/>
    <w:rsid w:val="CD6CEB5C"/>
    <w:rsid w:val="CDBB0D53"/>
    <w:rsid w:val="CEC60CD6"/>
    <w:rsid w:val="CEEB5C67"/>
    <w:rsid w:val="CF52192B"/>
    <w:rsid w:val="CFC70A08"/>
    <w:rsid w:val="CFCFADFB"/>
    <w:rsid w:val="D3EFAF00"/>
    <w:rsid w:val="D7AF960A"/>
    <w:rsid w:val="D7C6F1E4"/>
    <w:rsid w:val="D7FB608D"/>
    <w:rsid w:val="D7FE76DE"/>
    <w:rsid w:val="D8FF5581"/>
    <w:rsid w:val="D97F5662"/>
    <w:rsid w:val="D9FC80A5"/>
    <w:rsid w:val="DA67A3F4"/>
    <w:rsid w:val="DBD568C0"/>
    <w:rsid w:val="DCEE2FD7"/>
    <w:rsid w:val="DCEFC7FA"/>
    <w:rsid w:val="DD7794DB"/>
    <w:rsid w:val="DD7EB9F2"/>
    <w:rsid w:val="DDDB216E"/>
    <w:rsid w:val="DDFDFFCC"/>
    <w:rsid w:val="DE5F2F31"/>
    <w:rsid w:val="DE600236"/>
    <w:rsid w:val="DEB67D00"/>
    <w:rsid w:val="DEF696CB"/>
    <w:rsid w:val="DF2D890B"/>
    <w:rsid w:val="DF538664"/>
    <w:rsid w:val="DF6E3C5A"/>
    <w:rsid w:val="DFB604DC"/>
    <w:rsid w:val="DFDF436A"/>
    <w:rsid w:val="DFDF61A8"/>
    <w:rsid w:val="DFDFFDD3"/>
    <w:rsid w:val="DFFB7EBD"/>
    <w:rsid w:val="DFFBA477"/>
    <w:rsid w:val="DFFFA384"/>
    <w:rsid w:val="DFFFFD17"/>
    <w:rsid w:val="E5FC4FD8"/>
    <w:rsid w:val="E5FECFF1"/>
    <w:rsid w:val="E6A73B63"/>
    <w:rsid w:val="E75FA5A4"/>
    <w:rsid w:val="E7DD40FC"/>
    <w:rsid w:val="E7DFA269"/>
    <w:rsid w:val="E7F70823"/>
    <w:rsid w:val="E86E0CF8"/>
    <w:rsid w:val="EA6F122B"/>
    <w:rsid w:val="EB3C63C6"/>
    <w:rsid w:val="EB7FA907"/>
    <w:rsid w:val="EBBD6016"/>
    <w:rsid w:val="EBBF9D55"/>
    <w:rsid w:val="EBD2D16D"/>
    <w:rsid w:val="EBEC84B6"/>
    <w:rsid w:val="EBFF48EA"/>
    <w:rsid w:val="ED83BF5A"/>
    <w:rsid w:val="ED8F6F38"/>
    <w:rsid w:val="EE7F9C8E"/>
    <w:rsid w:val="EF630E53"/>
    <w:rsid w:val="EFBBE445"/>
    <w:rsid w:val="EFC25045"/>
    <w:rsid w:val="EFCFEFB6"/>
    <w:rsid w:val="EFD52CBB"/>
    <w:rsid w:val="EFF72B95"/>
    <w:rsid w:val="EFFD5D5B"/>
    <w:rsid w:val="EFFDDB18"/>
    <w:rsid w:val="EFFDF2D6"/>
    <w:rsid w:val="F0951B8A"/>
    <w:rsid w:val="F19EBB76"/>
    <w:rsid w:val="F1FF4503"/>
    <w:rsid w:val="F3E98182"/>
    <w:rsid w:val="F55F3A93"/>
    <w:rsid w:val="F5BFA81B"/>
    <w:rsid w:val="F5FCDA54"/>
    <w:rsid w:val="F5FE8976"/>
    <w:rsid w:val="F5FE8AC4"/>
    <w:rsid w:val="F5FF8EB1"/>
    <w:rsid w:val="F6EDF84B"/>
    <w:rsid w:val="F6FEFBB5"/>
    <w:rsid w:val="F71FAB1E"/>
    <w:rsid w:val="F737A51A"/>
    <w:rsid w:val="F777CD25"/>
    <w:rsid w:val="F77DBB24"/>
    <w:rsid w:val="F7AB7F1F"/>
    <w:rsid w:val="F7BE6221"/>
    <w:rsid w:val="F7BF5B46"/>
    <w:rsid w:val="F7D793B2"/>
    <w:rsid w:val="F7DBF7D3"/>
    <w:rsid w:val="F7DE0C4A"/>
    <w:rsid w:val="F7E78558"/>
    <w:rsid w:val="F7E7A595"/>
    <w:rsid w:val="F7F51A76"/>
    <w:rsid w:val="F7FD480C"/>
    <w:rsid w:val="F7FF5B9F"/>
    <w:rsid w:val="F87E0BDE"/>
    <w:rsid w:val="F8EFB83A"/>
    <w:rsid w:val="F8F9266D"/>
    <w:rsid w:val="F9D9236E"/>
    <w:rsid w:val="F9DB0CB0"/>
    <w:rsid w:val="F9DF941B"/>
    <w:rsid w:val="F9F57789"/>
    <w:rsid w:val="F9F808CD"/>
    <w:rsid w:val="FA5D7F7E"/>
    <w:rsid w:val="FAEEE4B9"/>
    <w:rsid w:val="FAF35FAE"/>
    <w:rsid w:val="FAFF965D"/>
    <w:rsid w:val="FB4FE629"/>
    <w:rsid w:val="FB5F91BA"/>
    <w:rsid w:val="FB7D3742"/>
    <w:rsid w:val="FBB4F984"/>
    <w:rsid w:val="FBBF57AE"/>
    <w:rsid w:val="FBD7B6E8"/>
    <w:rsid w:val="FBE7FAB3"/>
    <w:rsid w:val="FBEFBD7D"/>
    <w:rsid w:val="FBF0BD83"/>
    <w:rsid w:val="FBF56880"/>
    <w:rsid w:val="FBF5B4CF"/>
    <w:rsid w:val="FBFFEB77"/>
    <w:rsid w:val="FCD216DA"/>
    <w:rsid w:val="FCFB3E52"/>
    <w:rsid w:val="FD3A5E51"/>
    <w:rsid w:val="FD5E611E"/>
    <w:rsid w:val="FD7D7F04"/>
    <w:rsid w:val="FD7FA77D"/>
    <w:rsid w:val="FD8F9B3C"/>
    <w:rsid w:val="FDBE99A7"/>
    <w:rsid w:val="FDD43108"/>
    <w:rsid w:val="FDE79B1A"/>
    <w:rsid w:val="FDEBF6DC"/>
    <w:rsid w:val="FDFA7709"/>
    <w:rsid w:val="FDFB4244"/>
    <w:rsid w:val="FDFC5ACB"/>
    <w:rsid w:val="FDFE14CA"/>
    <w:rsid w:val="FE2F297A"/>
    <w:rsid w:val="FE7D3617"/>
    <w:rsid w:val="FE7DEC8B"/>
    <w:rsid w:val="FEABEFDE"/>
    <w:rsid w:val="FEBEF57B"/>
    <w:rsid w:val="FEE6FDF2"/>
    <w:rsid w:val="FEEF7364"/>
    <w:rsid w:val="FEF5FAB6"/>
    <w:rsid w:val="FEF9543F"/>
    <w:rsid w:val="FEF9CB32"/>
    <w:rsid w:val="FEFFACDE"/>
    <w:rsid w:val="FF63715B"/>
    <w:rsid w:val="FF66ADB7"/>
    <w:rsid w:val="FF7776D9"/>
    <w:rsid w:val="FF79463C"/>
    <w:rsid w:val="FF7DA9A8"/>
    <w:rsid w:val="FF7E7AD4"/>
    <w:rsid w:val="FF7EDE17"/>
    <w:rsid w:val="FF7FB0CB"/>
    <w:rsid w:val="FF8D2B2D"/>
    <w:rsid w:val="FFA75145"/>
    <w:rsid w:val="FFA7F915"/>
    <w:rsid w:val="FFADC881"/>
    <w:rsid w:val="FFB3AC06"/>
    <w:rsid w:val="FFB9E3C6"/>
    <w:rsid w:val="FFBE6324"/>
    <w:rsid w:val="FFBEE003"/>
    <w:rsid w:val="FFBF19DE"/>
    <w:rsid w:val="FFCB1C4F"/>
    <w:rsid w:val="FFD3F37B"/>
    <w:rsid w:val="FFDCD488"/>
    <w:rsid w:val="FFDE2D74"/>
    <w:rsid w:val="FFDF2A02"/>
    <w:rsid w:val="FFDF3A42"/>
    <w:rsid w:val="FFDF5DB0"/>
    <w:rsid w:val="FFDF663B"/>
    <w:rsid w:val="FFDF7A7E"/>
    <w:rsid w:val="FFDF9451"/>
    <w:rsid w:val="FFDFC7C8"/>
    <w:rsid w:val="FFE3AC2D"/>
    <w:rsid w:val="FFE5E6A5"/>
    <w:rsid w:val="FFEBAF5C"/>
    <w:rsid w:val="FFEDAADC"/>
    <w:rsid w:val="FFF53FC3"/>
    <w:rsid w:val="FFF6A9D8"/>
    <w:rsid w:val="FFFD6179"/>
    <w:rsid w:val="FFFD8663"/>
    <w:rsid w:val="FFFE8999"/>
    <w:rsid w:val="FFFEF3EA"/>
    <w:rsid w:val="FFFF74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61"/>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54"/>
    <w:unhideWhenUsed/>
    <w:qFormat/>
    <w:uiPriority w:val="0"/>
    <w:pPr>
      <w:keepNext/>
      <w:keepLines/>
      <w:spacing w:before="40" w:after="0"/>
      <w:outlineLvl w:val="1"/>
    </w:pPr>
    <w:rPr>
      <w:rFonts w:eastAsia="宋体" w:asciiTheme="majorHAnsi" w:hAnsiTheme="majorHAnsi" w:cstheme="majorBidi"/>
      <w:b/>
      <w:color w:val="104862" w:themeColor="accent1" w:themeShade="BF"/>
      <w:sz w:val="28"/>
      <w:szCs w:val="40"/>
      <w14:ligatures w14:val="none"/>
    </w:rPr>
  </w:style>
  <w:style w:type="paragraph" w:styleId="4">
    <w:name w:val="heading 3"/>
    <w:basedOn w:val="1"/>
    <w:next w:val="1"/>
    <w:link w:val="57"/>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67"/>
    <w:semiHidden/>
    <w:unhideWhenUsed/>
    <w:qFormat/>
    <w:uiPriority w:val="0"/>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68"/>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69"/>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70"/>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71"/>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72"/>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0" w:line="240" w:lineRule="auto"/>
      <w:ind w:left="2520" w:leftChars="1200"/>
      <w:jc w:val="both"/>
    </w:pPr>
    <w:rPr>
      <w:sz w:val="21"/>
      <w:szCs w:val="22"/>
    </w:rPr>
  </w:style>
  <w:style w:type="paragraph" w:styleId="12">
    <w:name w:val="Normal Indent"/>
    <w:basedOn w:val="1"/>
    <w:unhideWhenUsed/>
    <w:qFormat/>
    <w:uiPriority w:val="0"/>
    <w:pPr>
      <w:spacing w:after="0" w:line="240" w:lineRule="auto"/>
      <w:ind w:firstLine="420" w:firstLineChars="200"/>
      <w:jc w:val="both"/>
    </w:pPr>
    <w:rPr>
      <w:rFonts w:ascii="Calibri" w:hAnsi="Calibri" w:eastAsia="宋体" w:cs="Calibri"/>
      <w:sz w:val="24"/>
      <w:szCs w:val="20"/>
      <w:lang w:bidi="he-IL"/>
      <w14:ligatures w14:val="none"/>
    </w:r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annotation text"/>
    <w:basedOn w:val="1"/>
    <w:link w:val="100"/>
    <w:qFormat/>
    <w:uiPriority w:val="0"/>
    <w:pPr>
      <w:spacing w:after="0" w:line="240" w:lineRule="auto"/>
    </w:pPr>
    <w:rPr>
      <w:rFonts w:ascii="Calibri" w:hAnsi="Calibri" w:eastAsia="宋体" w:cs="Times New Roman"/>
      <w:sz w:val="21"/>
      <w:szCs w:val="22"/>
      <w14:ligatures w14:val="none"/>
    </w:rPr>
  </w:style>
  <w:style w:type="paragraph" w:styleId="15">
    <w:name w:val="Body Text 3"/>
    <w:basedOn w:val="1"/>
    <w:link w:val="101"/>
    <w:unhideWhenUsed/>
    <w:qFormat/>
    <w:uiPriority w:val="0"/>
    <w:pPr>
      <w:spacing w:after="0" w:line="240" w:lineRule="auto"/>
      <w:jc w:val="both"/>
    </w:pPr>
    <w:rPr>
      <w:rFonts w:ascii="宋体" w:hAnsi="Calibri" w:eastAsia="宋体" w:cs="Times New Roman"/>
      <w:kern w:val="0"/>
      <w:sz w:val="24"/>
      <w:szCs w:val="20"/>
      <w14:ligatures w14:val="none"/>
    </w:rPr>
  </w:style>
  <w:style w:type="paragraph" w:styleId="16">
    <w:name w:val="Body Text"/>
    <w:basedOn w:val="1"/>
    <w:link w:val="97"/>
    <w:qFormat/>
    <w:uiPriority w:val="0"/>
    <w:pPr>
      <w:spacing w:after="120"/>
    </w:pPr>
  </w:style>
  <w:style w:type="paragraph" w:styleId="17">
    <w:name w:val="Body Text Indent"/>
    <w:basedOn w:val="1"/>
    <w:next w:val="18"/>
    <w:link w:val="102"/>
    <w:qFormat/>
    <w:uiPriority w:val="0"/>
    <w:pPr>
      <w:spacing w:after="0" w:line="240" w:lineRule="auto"/>
      <w:ind w:firstLine="560" w:firstLineChars="200"/>
      <w:jc w:val="both"/>
    </w:pPr>
    <w:rPr>
      <w:rFonts w:ascii="Times New Roman" w:hAnsi="Times New Roman" w:eastAsia="宋体" w:cs="Times New Roman"/>
      <w:kern w:val="0"/>
      <w:sz w:val="28"/>
      <w14:ligatures w14:val="none"/>
    </w:rPr>
  </w:style>
  <w:style w:type="paragraph" w:styleId="18">
    <w:name w:val="envelope return"/>
    <w:basedOn w:val="1"/>
    <w:qFormat/>
    <w:uiPriority w:val="0"/>
    <w:pPr>
      <w:snapToGrid w:val="0"/>
      <w:spacing w:after="0" w:line="240" w:lineRule="auto"/>
      <w:jc w:val="both"/>
    </w:pPr>
    <w:rPr>
      <w:rFonts w:ascii="Arial" w:hAnsi="Arial" w:eastAsia="宋体" w:cs="Times New Roman"/>
      <w:sz w:val="21"/>
      <w14:ligatures w14:val="none"/>
    </w:rPr>
  </w:style>
  <w:style w:type="paragraph" w:styleId="19">
    <w:name w:val="toc 5"/>
    <w:basedOn w:val="1"/>
    <w:next w:val="1"/>
    <w:unhideWhenUsed/>
    <w:qFormat/>
    <w:uiPriority w:val="39"/>
    <w:pPr>
      <w:spacing w:after="0" w:line="240" w:lineRule="auto"/>
      <w:ind w:left="1680" w:leftChars="800"/>
      <w:jc w:val="both"/>
    </w:pPr>
    <w:rPr>
      <w:sz w:val="21"/>
      <w:szCs w:val="22"/>
    </w:rPr>
  </w:style>
  <w:style w:type="paragraph" w:styleId="20">
    <w:name w:val="toc 3"/>
    <w:basedOn w:val="1"/>
    <w:next w:val="1"/>
    <w:qFormat/>
    <w:uiPriority w:val="39"/>
    <w:pPr>
      <w:ind w:left="840" w:leftChars="400"/>
    </w:pPr>
  </w:style>
  <w:style w:type="paragraph" w:styleId="21">
    <w:name w:val="Plain Text"/>
    <w:basedOn w:val="1"/>
    <w:link w:val="122"/>
    <w:qFormat/>
    <w:uiPriority w:val="0"/>
    <w:rPr>
      <w:rFonts w:ascii="宋体" w:hAnsi="Courier New"/>
    </w:rPr>
  </w:style>
  <w:style w:type="paragraph" w:styleId="22">
    <w:name w:val="toc 8"/>
    <w:basedOn w:val="1"/>
    <w:next w:val="1"/>
    <w:unhideWhenUsed/>
    <w:qFormat/>
    <w:uiPriority w:val="39"/>
    <w:pPr>
      <w:spacing w:after="0" w:line="240" w:lineRule="auto"/>
      <w:ind w:left="2940" w:leftChars="1400"/>
      <w:jc w:val="both"/>
    </w:pPr>
    <w:rPr>
      <w:sz w:val="21"/>
      <w:szCs w:val="22"/>
    </w:rPr>
  </w:style>
  <w:style w:type="paragraph" w:styleId="23">
    <w:name w:val="Balloon Text"/>
    <w:basedOn w:val="1"/>
    <w:link w:val="128"/>
    <w:qFormat/>
    <w:uiPriority w:val="0"/>
    <w:pPr>
      <w:jc w:val="both"/>
    </w:pPr>
    <w:rPr>
      <w:rFonts w:ascii="Calibri" w:hAnsi="Calibri" w:eastAsia="宋体" w:cs="Times New Roman"/>
      <w:sz w:val="18"/>
      <w:szCs w:val="18"/>
      <w14:ligatures w14:val="none"/>
    </w:rPr>
  </w:style>
  <w:style w:type="paragraph" w:styleId="24">
    <w:name w:val="footer"/>
    <w:basedOn w:val="1"/>
    <w:link w:val="125"/>
    <w:qFormat/>
    <w:uiPriority w:val="0"/>
    <w:pPr>
      <w:tabs>
        <w:tab w:val="center" w:pos="4153"/>
        <w:tab w:val="right" w:pos="8306"/>
      </w:tabs>
      <w:snapToGrid w:val="0"/>
    </w:pPr>
    <w:rPr>
      <w:sz w:val="18"/>
      <w:szCs w:val="18"/>
    </w:rPr>
  </w:style>
  <w:style w:type="paragraph" w:styleId="25">
    <w:name w:val="header"/>
    <w:basedOn w:val="1"/>
    <w:link w:val="126"/>
    <w:qFormat/>
    <w:uiPriority w:val="0"/>
    <w:pP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nhideWhenUsed/>
    <w:qFormat/>
    <w:uiPriority w:val="39"/>
    <w:pPr>
      <w:spacing w:after="0" w:line="240" w:lineRule="auto"/>
      <w:ind w:left="1260" w:leftChars="600"/>
      <w:jc w:val="both"/>
    </w:pPr>
    <w:rPr>
      <w:sz w:val="21"/>
      <w:szCs w:val="22"/>
    </w:rPr>
  </w:style>
  <w:style w:type="paragraph" w:styleId="28">
    <w:name w:val="Subtitle"/>
    <w:basedOn w:val="1"/>
    <w:next w:val="1"/>
    <w:link w:val="7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List"/>
    <w:basedOn w:val="1"/>
    <w:qFormat/>
    <w:uiPriority w:val="0"/>
    <w:pPr>
      <w:ind w:left="200" w:hanging="200" w:hangingChars="200"/>
      <w:contextualSpacing/>
    </w:pPr>
  </w:style>
  <w:style w:type="paragraph" w:styleId="30">
    <w:name w:val="toc 6"/>
    <w:basedOn w:val="1"/>
    <w:next w:val="1"/>
    <w:unhideWhenUsed/>
    <w:qFormat/>
    <w:uiPriority w:val="39"/>
    <w:pPr>
      <w:spacing w:after="0" w:line="240" w:lineRule="auto"/>
      <w:ind w:left="2100" w:leftChars="1000"/>
      <w:jc w:val="both"/>
    </w:pPr>
    <w:rPr>
      <w:sz w:val="21"/>
      <w:szCs w:val="22"/>
    </w:rPr>
  </w:style>
  <w:style w:type="paragraph" w:styleId="31">
    <w:name w:val="Body Text Indent 3"/>
    <w:basedOn w:val="1"/>
    <w:link w:val="103"/>
    <w:qFormat/>
    <w:uiPriority w:val="0"/>
    <w:pPr>
      <w:spacing w:after="120" w:line="240" w:lineRule="auto"/>
      <w:ind w:left="200" w:leftChars="200"/>
      <w:jc w:val="both"/>
    </w:pPr>
    <w:rPr>
      <w:rFonts w:ascii="Calibri" w:hAnsi="Calibri" w:eastAsia="宋体" w:cs="Times New Roman"/>
      <w:kern w:val="0"/>
      <w:sz w:val="16"/>
      <w:szCs w:val="16"/>
      <w14:ligatures w14:val="none"/>
    </w:rPr>
  </w:style>
  <w:style w:type="paragraph" w:styleId="32">
    <w:name w:val="toc 2"/>
    <w:basedOn w:val="1"/>
    <w:next w:val="1"/>
    <w:qFormat/>
    <w:uiPriority w:val="39"/>
    <w:pPr>
      <w:tabs>
        <w:tab w:val="right" w:leader="dot" w:pos="9060"/>
      </w:tabs>
      <w:snapToGrid w:val="0"/>
      <w:spacing w:after="0" w:line="360" w:lineRule="auto"/>
      <w:ind w:left="420" w:leftChars="200"/>
    </w:pPr>
    <w:rPr>
      <w:rFonts w:ascii="Times New Roman" w:hAnsi="Times New Roman" w:eastAsia="宋体" w:cs="Times New Roman"/>
      <w:sz w:val="24"/>
      <w14:ligatures w14:val="none"/>
    </w:rPr>
  </w:style>
  <w:style w:type="paragraph" w:styleId="33">
    <w:name w:val="toc 9"/>
    <w:basedOn w:val="1"/>
    <w:next w:val="1"/>
    <w:unhideWhenUsed/>
    <w:qFormat/>
    <w:uiPriority w:val="39"/>
    <w:pPr>
      <w:spacing w:after="0" w:line="240" w:lineRule="auto"/>
      <w:ind w:left="3360" w:leftChars="1600"/>
      <w:jc w:val="both"/>
    </w:pPr>
    <w:rPr>
      <w:sz w:val="21"/>
      <w:szCs w:val="22"/>
    </w:rPr>
  </w:style>
  <w:style w:type="paragraph" w:styleId="34">
    <w:name w:val="Normal (Web)"/>
    <w:basedOn w:val="1"/>
    <w:qFormat/>
    <w:uiPriority w:val="0"/>
    <w:pPr>
      <w:spacing w:after="0" w:line="240" w:lineRule="auto"/>
    </w:pPr>
    <w:rPr>
      <w:rFonts w:ascii="微软雅黑" w:hAnsi="微软雅黑" w:eastAsia="微软雅黑" w:cs="Times New Roman"/>
      <w:kern w:val="0"/>
      <w:sz w:val="20"/>
      <w:szCs w:val="20"/>
      <w14:ligatures w14:val="none"/>
    </w:rPr>
  </w:style>
  <w:style w:type="paragraph" w:styleId="35">
    <w:name w:val="Title"/>
    <w:basedOn w:val="1"/>
    <w:next w:val="1"/>
    <w:link w:val="7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36">
    <w:name w:val="annotation subject"/>
    <w:basedOn w:val="14"/>
    <w:next w:val="14"/>
    <w:link w:val="121"/>
    <w:qFormat/>
    <w:uiPriority w:val="0"/>
    <w:pPr>
      <w:spacing w:after="160" w:line="278" w:lineRule="auto"/>
    </w:pPr>
    <w:rPr>
      <w:rFonts w:asciiTheme="minorHAnsi" w:hAnsiTheme="minorHAnsi" w:eastAsiaTheme="minorEastAsia" w:cstheme="minorBidi"/>
      <w:b/>
      <w:bCs/>
      <w:sz w:val="22"/>
      <w:szCs w:val="24"/>
      <w14:ligatures w14:val="standardContextual"/>
    </w:rPr>
  </w:style>
  <w:style w:type="paragraph" w:styleId="37">
    <w:name w:val="Body Text First Indent"/>
    <w:link w:val="104"/>
    <w:unhideWhenUsed/>
    <w:qFormat/>
    <w:uiPriority w:val="0"/>
    <w:pPr>
      <w:widowControl w:val="0"/>
      <w:spacing w:after="120" w:line="278" w:lineRule="auto"/>
      <w:ind w:firstLine="420" w:firstLineChars="100"/>
      <w:jc w:val="both"/>
    </w:pPr>
    <w:rPr>
      <w:rFonts w:ascii="Calibri" w:hAnsi="Calibri" w:eastAsia="宋体" w:cs="Times New Roman"/>
      <w:kern w:val="2"/>
      <w:sz w:val="21"/>
      <w:szCs w:val="21"/>
      <w:lang w:val="en-US" w:eastAsia="zh-CN" w:bidi="ar-SA"/>
    </w:rPr>
  </w:style>
  <w:style w:type="paragraph" w:styleId="38">
    <w:name w:val="Body Text First Indent 2"/>
    <w:basedOn w:val="17"/>
    <w:link w:val="105"/>
    <w:qFormat/>
    <w:uiPriority w:val="0"/>
    <w:pPr>
      <w:spacing w:line="420" w:lineRule="exact"/>
      <w:ind w:firstLine="420"/>
      <w:jc w:val="left"/>
    </w:pPr>
    <w:rPr>
      <w:rFonts w:ascii="宋体" w:hAnsi="宋体"/>
      <w:color w:val="000000"/>
      <w:sz w:val="24"/>
      <w:szCs w:val="18"/>
    </w:r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bCs/>
    </w:rPr>
  </w:style>
  <w:style w:type="character" w:styleId="43">
    <w:name w:val="Emphasis"/>
    <w:basedOn w:val="41"/>
    <w:qFormat/>
    <w:uiPriority w:val="20"/>
    <w:rPr>
      <w:i/>
      <w:iCs/>
    </w:rPr>
  </w:style>
  <w:style w:type="character" w:styleId="44">
    <w:name w:val="Hyperlink"/>
    <w:basedOn w:val="41"/>
    <w:qFormat/>
    <w:uiPriority w:val="99"/>
    <w:rPr>
      <w:color w:val="467886" w:themeColor="hyperlink"/>
      <w:u w:val="single"/>
      <w14:textFill>
        <w14:solidFill>
          <w14:schemeClr w14:val="hlink"/>
        </w14:solidFill>
      </w14:textFill>
    </w:rPr>
  </w:style>
  <w:style w:type="character" w:styleId="45">
    <w:name w:val="annotation reference"/>
    <w:basedOn w:val="41"/>
    <w:qFormat/>
    <w:uiPriority w:val="0"/>
    <w:rPr>
      <w:sz w:val="21"/>
      <w:szCs w:val="21"/>
    </w:rPr>
  </w:style>
  <w:style w:type="paragraph" w:customStyle="1" w:styleId="46">
    <w:name w:val="自定义正文"/>
    <w:basedOn w:val="1"/>
    <w:next w:val="1"/>
    <w:link w:val="47"/>
    <w:qFormat/>
    <w:uiPriority w:val="0"/>
    <w:pPr>
      <w:spacing w:after="0" w:line="360" w:lineRule="auto"/>
      <w:ind w:firstLine="200" w:firstLineChars="200"/>
    </w:pPr>
    <w:rPr>
      <w:rFonts w:eastAsia="宋体"/>
      <w:sz w:val="24"/>
      <w:szCs w:val="22"/>
    </w:rPr>
  </w:style>
  <w:style w:type="character" w:customStyle="1" w:styleId="47">
    <w:name w:val="自定义正文 字符"/>
    <w:basedOn w:val="41"/>
    <w:link w:val="46"/>
    <w:qFormat/>
    <w:uiPriority w:val="0"/>
    <w:rPr>
      <w:rFonts w:eastAsia="宋体"/>
      <w:sz w:val="24"/>
      <w:szCs w:val="22"/>
    </w:rPr>
  </w:style>
  <w:style w:type="paragraph" w:customStyle="1" w:styleId="48">
    <w:name w:val="自定义备注"/>
    <w:basedOn w:val="46"/>
    <w:link w:val="49"/>
    <w:qFormat/>
    <w:uiPriority w:val="0"/>
    <w:rPr>
      <w:b/>
      <w:sz w:val="21"/>
    </w:rPr>
  </w:style>
  <w:style w:type="character" w:customStyle="1" w:styleId="49">
    <w:name w:val="自定义备注 字符"/>
    <w:basedOn w:val="47"/>
    <w:link w:val="48"/>
    <w:qFormat/>
    <w:uiPriority w:val="0"/>
    <w:rPr>
      <w:rFonts w:eastAsia="宋体"/>
      <w:b/>
      <w:sz w:val="21"/>
      <w:szCs w:val="22"/>
    </w:rPr>
  </w:style>
  <w:style w:type="paragraph" w:customStyle="1" w:styleId="50">
    <w:name w:val="自定表格内容"/>
    <w:basedOn w:val="16"/>
    <w:link w:val="51"/>
    <w:qFormat/>
    <w:uiPriority w:val="0"/>
    <w:pPr>
      <w:spacing w:after="0" w:line="360" w:lineRule="auto"/>
    </w:pPr>
    <w:rPr>
      <w:sz w:val="21"/>
    </w:rPr>
  </w:style>
  <w:style w:type="character" w:customStyle="1" w:styleId="51">
    <w:name w:val="自定表格内容 字符"/>
    <w:basedOn w:val="47"/>
    <w:link w:val="50"/>
    <w:qFormat/>
    <w:uiPriority w:val="0"/>
    <w:rPr>
      <w:rFonts w:eastAsia="宋体"/>
      <w:sz w:val="21"/>
      <w:szCs w:val="22"/>
    </w:rPr>
  </w:style>
  <w:style w:type="paragraph" w:customStyle="1" w:styleId="52">
    <w:name w:val="K二级标题"/>
    <w:basedOn w:val="3"/>
    <w:link w:val="53"/>
    <w:qFormat/>
    <w:uiPriority w:val="0"/>
    <w:pPr>
      <w:spacing w:before="0" w:line="360" w:lineRule="auto"/>
    </w:pPr>
    <w:rPr>
      <w14:ligatures w14:val="standardContextual"/>
    </w:rPr>
  </w:style>
  <w:style w:type="character" w:customStyle="1" w:styleId="53">
    <w:name w:val="K二级标题 字符"/>
    <w:basedOn w:val="41"/>
    <w:link w:val="52"/>
    <w:qFormat/>
    <w:uiPriority w:val="0"/>
    <w:rPr>
      <w:rFonts w:eastAsia="宋体" w:asciiTheme="majorHAnsi" w:hAnsiTheme="majorHAnsi" w:cstheme="majorBidi"/>
      <w:b/>
      <w:bCs/>
      <w:kern w:val="2"/>
      <w:sz w:val="28"/>
      <w:szCs w:val="32"/>
      <w14:ligatures w14:val="standardContextual"/>
    </w:rPr>
  </w:style>
  <w:style w:type="character" w:customStyle="1" w:styleId="54">
    <w:name w:val="标题 2 字符"/>
    <w:basedOn w:val="41"/>
    <w:link w:val="3"/>
    <w:qFormat/>
    <w:uiPriority w:val="0"/>
    <w:rPr>
      <w:rFonts w:eastAsia="宋体" w:asciiTheme="majorHAnsi" w:hAnsiTheme="majorHAnsi" w:cstheme="majorBidi"/>
      <w:b/>
      <w:color w:val="104862" w:themeColor="accent1" w:themeShade="BF"/>
      <w:sz w:val="28"/>
      <w:szCs w:val="40"/>
      <w14:ligatures w14:val="none"/>
    </w:rPr>
  </w:style>
  <w:style w:type="paragraph" w:customStyle="1" w:styleId="55">
    <w:name w:val="K三级标题"/>
    <w:basedOn w:val="4"/>
    <w:link w:val="56"/>
    <w:qFormat/>
    <w:uiPriority w:val="0"/>
    <w:pPr>
      <w:spacing w:before="0" w:after="0"/>
    </w:pPr>
    <w:rPr>
      <w:rFonts w:eastAsia="宋体"/>
      <w:sz w:val="24"/>
    </w:rPr>
  </w:style>
  <w:style w:type="character" w:customStyle="1" w:styleId="56">
    <w:name w:val="K三级标题 字符"/>
    <w:basedOn w:val="57"/>
    <w:link w:val="55"/>
    <w:qFormat/>
    <w:uiPriority w:val="0"/>
    <w:rPr>
      <w:rFonts w:eastAsia="宋体" w:asciiTheme="majorHAnsi" w:hAnsiTheme="majorHAnsi" w:cstheme="majorBidi"/>
      <w:color w:val="104862" w:themeColor="accent1" w:themeShade="BF"/>
      <w:kern w:val="2"/>
      <w:sz w:val="24"/>
      <w:szCs w:val="32"/>
      <w14:ligatures w14:val="standardContextual"/>
    </w:rPr>
  </w:style>
  <w:style w:type="character" w:customStyle="1" w:styleId="57">
    <w:name w:val="标题 3 字符"/>
    <w:basedOn w:val="41"/>
    <w:link w:val="4"/>
    <w:qFormat/>
    <w:uiPriority w:val="0"/>
    <w:rPr>
      <w:rFonts w:asciiTheme="majorHAnsi" w:hAnsiTheme="majorHAnsi" w:eastAsiaTheme="majorEastAsia" w:cstheme="majorBidi"/>
      <w:color w:val="104862" w:themeColor="accent1" w:themeShade="BF"/>
      <w:sz w:val="32"/>
      <w:szCs w:val="32"/>
    </w:rPr>
  </w:style>
  <w:style w:type="paragraph" w:customStyle="1" w:styleId="58">
    <w:name w:val="K四级标题"/>
    <w:basedOn w:val="46"/>
    <w:link w:val="59"/>
    <w:qFormat/>
    <w:uiPriority w:val="0"/>
    <w:pPr>
      <w:ind w:firstLine="480"/>
    </w:pPr>
  </w:style>
  <w:style w:type="character" w:customStyle="1" w:styleId="59">
    <w:name w:val="K四级标题 字符"/>
    <w:basedOn w:val="47"/>
    <w:link w:val="58"/>
    <w:qFormat/>
    <w:uiPriority w:val="0"/>
    <w:rPr>
      <w:rFonts w:eastAsia="宋体"/>
      <w:kern w:val="2"/>
      <w:sz w:val="24"/>
      <w:szCs w:val="22"/>
      <w14:ligatures w14:val="standardContextual"/>
    </w:rPr>
  </w:style>
  <w:style w:type="paragraph" w:customStyle="1" w:styleId="60">
    <w:name w:val="K一级标题"/>
    <w:basedOn w:val="2"/>
    <w:qFormat/>
    <w:uiPriority w:val="0"/>
    <w:pPr>
      <w:spacing w:before="0" w:after="0" w:line="360" w:lineRule="auto"/>
      <w:jc w:val="center"/>
    </w:pPr>
    <w:rPr>
      <w:rFonts w:eastAsia="宋体"/>
      <w:sz w:val="32"/>
    </w:rPr>
  </w:style>
  <w:style w:type="character" w:customStyle="1" w:styleId="61">
    <w:name w:val="标题 1 字符"/>
    <w:basedOn w:val="41"/>
    <w:link w:val="2"/>
    <w:qFormat/>
    <w:uiPriority w:val="0"/>
    <w:rPr>
      <w:rFonts w:asciiTheme="majorHAnsi" w:hAnsiTheme="majorHAnsi" w:eastAsiaTheme="majorEastAsia" w:cstheme="majorBidi"/>
      <w:color w:val="104862" w:themeColor="accent1" w:themeShade="BF"/>
      <w:sz w:val="48"/>
      <w:szCs w:val="48"/>
    </w:rPr>
  </w:style>
  <w:style w:type="paragraph" w:customStyle="1" w:styleId="62">
    <w:name w:val="K重点"/>
    <w:basedOn w:val="46"/>
    <w:link w:val="63"/>
    <w:qFormat/>
    <w:uiPriority w:val="0"/>
    <w:pPr>
      <w:jc w:val="center"/>
    </w:pPr>
    <w:rPr>
      <w:b/>
      <w:bCs/>
      <w:sz w:val="30"/>
      <w:szCs w:val="30"/>
    </w:rPr>
  </w:style>
  <w:style w:type="character" w:customStyle="1" w:styleId="63">
    <w:name w:val="K重点 字符"/>
    <w:basedOn w:val="47"/>
    <w:link w:val="62"/>
    <w:qFormat/>
    <w:uiPriority w:val="0"/>
    <w:rPr>
      <w:rFonts w:eastAsia="宋体"/>
      <w:b/>
      <w:bCs/>
      <w:kern w:val="2"/>
      <w:sz w:val="30"/>
      <w:szCs w:val="30"/>
      <w14:ligatures w14:val="standardContextual"/>
    </w:rPr>
  </w:style>
  <w:style w:type="character" w:customStyle="1" w:styleId="64">
    <w:name w:val="未处理的提及1"/>
    <w:basedOn w:val="41"/>
    <w:semiHidden/>
    <w:unhideWhenUsed/>
    <w:qFormat/>
    <w:uiPriority w:val="99"/>
    <w:rPr>
      <w:color w:val="605E5C"/>
      <w:shd w:val="clear" w:color="auto" w:fill="E1DFDD"/>
    </w:rPr>
  </w:style>
  <w:style w:type="character" w:customStyle="1" w:styleId="65">
    <w:name w:val="页眉 字符"/>
    <w:basedOn w:val="41"/>
    <w:qFormat/>
    <w:uiPriority w:val="0"/>
    <w:rPr>
      <w:kern w:val="2"/>
      <w:sz w:val="18"/>
      <w:szCs w:val="18"/>
    </w:rPr>
  </w:style>
  <w:style w:type="character" w:customStyle="1" w:styleId="66">
    <w:name w:val="页脚 字符"/>
    <w:basedOn w:val="41"/>
    <w:qFormat/>
    <w:uiPriority w:val="99"/>
    <w:rPr>
      <w:kern w:val="2"/>
      <w:sz w:val="18"/>
      <w:szCs w:val="18"/>
    </w:rPr>
  </w:style>
  <w:style w:type="character" w:customStyle="1" w:styleId="67">
    <w:name w:val="标题 4 字符"/>
    <w:basedOn w:val="41"/>
    <w:link w:val="5"/>
    <w:semiHidden/>
    <w:qFormat/>
    <w:uiPriority w:val="9"/>
    <w:rPr>
      <w:rFonts w:cstheme="majorBidi"/>
      <w:color w:val="104862" w:themeColor="accent1" w:themeShade="BF"/>
      <w:sz w:val="28"/>
      <w:szCs w:val="28"/>
    </w:rPr>
  </w:style>
  <w:style w:type="character" w:customStyle="1" w:styleId="68">
    <w:name w:val="标题 5 字符"/>
    <w:basedOn w:val="41"/>
    <w:link w:val="6"/>
    <w:semiHidden/>
    <w:qFormat/>
    <w:uiPriority w:val="9"/>
    <w:rPr>
      <w:rFonts w:cstheme="majorBidi"/>
      <w:color w:val="104862" w:themeColor="accent1" w:themeShade="BF"/>
      <w:sz w:val="24"/>
    </w:rPr>
  </w:style>
  <w:style w:type="character" w:customStyle="1" w:styleId="69">
    <w:name w:val="标题 6 字符"/>
    <w:basedOn w:val="41"/>
    <w:link w:val="7"/>
    <w:semiHidden/>
    <w:qFormat/>
    <w:uiPriority w:val="9"/>
    <w:rPr>
      <w:rFonts w:cstheme="majorBidi"/>
      <w:b/>
      <w:bCs/>
      <w:color w:val="104862" w:themeColor="accent1" w:themeShade="BF"/>
    </w:rPr>
  </w:style>
  <w:style w:type="character" w:customStyle="1" w:styleId="70">
    <w:name w:val="标题 7 字符"/>
    <w:basedOn w:val="4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71">
    <w:name w:val="标题 8 字符"/>
    <w:basedOn w:val="4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72">
    <w:name w:val="标题 9 字符"/>
    <w:basedOn w:val="4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73">
    <w:name w:val="标题 字符"/>
    <w:basedOn w:val="41"/>
    <w:link w:val="35"/>
    <w:qFormat/>
    <w:uiPriority w:val="10"/>
    <w:rPr>
      <w:rFonts w:asciiTheme="majorHAnsi" w:hAnsiTheme="majorHAnsi" w:eastAsiaTheme="majorEastAsia" w:cstheme="majorBidi"/>
      <w:spacing w:val="-10"/>
      <w:kern w:val="28"/>
      <w:sz w:val="56"/>
      <w:szCs w:val="56"/>
    </w:rPr>
  </w:style>
  <w:style w:type="character" w:customStyle="1" w:styleId="74">
    <w:name w:val="副标题 字符"/>
    <w:basedOn w:val="41"/>
    <w:link w:val="2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75">
    <w:name w:val="No Spacing"/>
    <w:qFormat/>
    <w:uiPriority w:val="1"/>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76">
    <w:name w:val="Quote"/>
    <w:basedOn w:val="1"/>
    <w:next w:val="1"/>
    <w:link w:val="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77">
    <w:name w:val="引用 字符"/>
    <w:basedOn w:val="41"/>
    <w:link w:val="76"/>
    <w:qFormat/>
    <w:uiPriority w:val="29"/>
    <w:rPr>
      <w:i/>
      <w:iCs/>
      <w:color w:val="404040" w:themeColor="text1" w:themeTint="BF"/>
      <w14:textFill>
        <w14:solidFill>
          <w14:schemeClr w14:val="tx1">
            <w14:lumMod w14:val="75000"/>
            <w14:lumOff w14:val="25000"/>
          </w14:schemeClr>
        </w14:solidFill>
      </w14:textFill>
    </w:rPr>
  </w:style>
  <w:style w:type="paragraph" w:styleId="78">
    <w:name w:val="Intense Quote"/>
    <w:basedOn w:val="1"/>
    <w:next w:val="1"/>
    <w:link w:val="7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79">
    <w:name w:val="明显引用 字符"/>
    <w:basedOn w:val="41"/>
    <w:link w:val="78"/>
    <w:qFormat/>
    <w:uiPriority w:val="30"/>
    <w:rPr>
      <w:i/>
      <w:iCs/>
      <w:color w:val="104862" w:themeColor="accent1" w:themeShade="BF"/>
    </w:rPr>
  </w:style>
  <w:style w:type="character" w:customStyle="1" w:styleId="80">
    <w:name w:val="不明显强调1"/>
    <w:basedOn w:val="41"/>
    <w:qFormat/>
    <w:uiPriority w:val="19"/>
    <w:rPr>
      <w:i/>
      <w:iCs/>
      <w:color w:val="404040" w:themeColor="text1" w:themeTint="BF"/>
      <w14:textFill>
        <w14:solidFill>
          <w14:schemeClr w14:val="tx1">
            <w14:lumMod w14:val="75000"/>
            <w14:lumOff w14:val="25000"/>
          </w14:schemeClr>
        </w14:solidFill>
      </w14:textFill>
    </w:rPr>
  </w:style>
  <w:style w:type="character" w:customStyle="1" w:styleId="81">
    <w:name w:val="明显强调1"/>
    <w:basedOn w:val="41"/>
    <w:qFormat/>
    <w:uiPriority w:val="21"/>
    <w:rPr>
      <w:i/>
      <w:iCs/>
      <w:color w:val="104862" w:themeColor="accent1" w:themeShade="BF"/>
    </w:rPr>
  </w:style>
  <w:style w:type="character" w:customStyle="1" w:styleId="82">
    <w:name w:val="不明显参考1"/>
    <w:basedOn w:val="4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83">
    <w:name w:val="明显参考1"/>
    <w:basedOn w:val="41"/>
    <w:qFormat/>
    <w:uiPriority w:val="32"/>
    <w:rPr>
      <w:b/>
      <w:bCs/>
      <w:smallCaps/>
      <w:color w:val="104862" w:themeColor="accent1" w:themeShade="BF"/>
      <w:spacing w:val="5"/>
    </w:rPr>
  </w:style>
  <w:style w:type="character" w:customStyle="1" w:styleId="84">
    <w:name w:val="书籍标题1"/>
    <w:basedOn w:val="41"/>
    <w:qFormat/>
    <w:uiPriority w:val="33"/>
    <w:rPr>
      <w:b/>
      <w:bCs/>
      <w:i/>
      <w:iCs/>
      <w:spacing w:val="5"/>
    </w:rPr>
  </w:style>
  <w:style w:type="paragraph" w:customStyle="1" w:styleId="85">
    <w:name w:val="TOC 标题1"/>
    <w:basedOn w:val="2"/>
    <w:next w:val="1"/>
    <w:unhideWhenUsed/>
    <w:qFormat/>
    <w:uiPriority w:val="39"/>
    <w:pPr>
      <w:spacing w:before="340" w:after="330" w:line="578" w:lineRule="auto"/>
      <w:outlineLvl w:val="9"/>
    </w:pPr>
    <w:rPr>
      <w:rFonts w:asciiTheme="minorHAnsi" w:hAnsiTheme="minorHAnsi" w:eastAsiaTheme="minorEastAsia" w:cstheme="minorBidi"/>
      <w:b/>
      <w:bCs/>
      <w:color w:val="auto"/>
      <w:kern w:val="44"/>
      <w:sz w:val="44"/>
      <w:szCs w:val="44"/>
    </w:rPr>
  </w:style>
  <w:style w:type="paragraph" w:styleId="86">
    <w:name w:val="List Paragraph"/>
    <w:basedOn w:val="1"/>
    <w:qFormat/>
    <w:uiPriority w:val="34"/>
    <w:pPr>
      <w:ind w:left="720"/>
      <w:contextualSpacing/>
    </w:pPr>
  </w:style>
  <w:style w:type="paragraph" w:customStyle="1" w:styleId="87">
    <w:name w:val="自定表格标题"/>
    <w:basedOn w:val="29"/>
    <w:link w:val="88"/>
    <w:qFormat/>
    <w:uiPriority w:val="0"/>
    <w:pPr>
      <w:spacing w:after="0" w:line="360" w:lineRule="auto"/>
      <w:ind w:left="0" w:firstLine="0" w:firstLineChars="0"/>
      <w:jc w:val="center"/>
    </w:pPr>
    <w:rPr>
      <w:b/>
      <w:sz w:val="21"/>
      <w:lang w:eastAsia="zh-Hans"/>
    </w:rPr>
  </w:style>
  <w:style w:type="character" w:customStyle="1" w:styleId="88">
    <w:name w:val="自定表格标题 字符"/>
    <w:basedOn w:val="47"/>
    <w:link w:val="87"/>
    <w:qFormat/>
    <w:uiPriority w:val="0"/>
    <w:rPr>
      <w:rFonts w:eastAsia="宋体"/>
      <w:b/>
      <w:sz w:val="21"/>
      <w:szCs w:val="22"/>
      <w:lang w:eastAsia="zh-Hans"/>
    </w:rPr>
  </w:style>
  <w:style w:type="paragraph" w:customStyle="1" w:styleId="89">
    <w:name w:val="自定义4级"/>
    <w:basedOn w:val="5"/>
    <w:link w:val="90"/>
    <w:qFormat/>
    <w:uiPriority w:val="0"/>
    <w:pPr>
      <w:spacing w:before="0" w:after="0" w:line="360" w:lineRule="auto"/>
    </w:pPr>
    <w:rPr>
      <w:b/>
      <w:color w:val="auto"/>
      <w:lang w:eastAsia="zh-Hans"/>
    </w:rPr>
  </w:style>
  <w:style w:type="character" w:customStyle="1" w:styleId="90">
    <w:name w:val="自定义4级 字符"/>
    <w:basedOn w:val="59"/>
    <w:link w:val="89"/>
    <w:qFormat/>
    <w:uiPriority w:val="0"/>
    <w:rPr>
      <w:rFonts w:eastAsia="宋体" w:cstheme="majorBidi"/>
      <w:b/>
      <w:kern w:val="2"/>
      <w:sz w:val="28"/>
      <w:szCs w:val="28"/>
      <w:lang w:eastAsia="zh-Hans"/>
      <w14:ligatures w14:val="standardContextual"/>
    </w:rPr>
  </w:style>
  <w:style w:type="paragraph" w:customStyle="1" w:styleId="91">
    <w:name w:val="自定义3级"/>
    <w:basedOn w:val="4"/>
    <w:link w:val="92"/>
    <w:qFormat/>
    <w:uiPriority w:val="0"/>
    <w:pPr>
      <w:spacing w:before="0" w:after="0" w:line="360" w:lineRule="auto"/>
    </w:pPr>
    <w:rPr>
      <w:b/>
      <w:color w:val="auto"/>
      <w:sz w:val="30"/>
      <w:lang w:eastAsia="zh-Hans"/>
    </w:rPr>
  </w:style>
  <w:style w:type="character" w:customStyle="1" w:styleId="92">
    <w:name w:val="自定义3级 字符"/>
    <w:basedOn w:val="57"/>
    <w:link w:val="91"/>
    <w:qFormat/>
    <w:uiPriority w:val="0"/>
    <w:rPr>
      <w:rFonts w:asciiTheme="majorHAnsi" w:hAnsiTheme="majorHAnsi" w:eastAsiaTheme="majorEastAsia" w:cstheme="majorBidi"/>
      <w:b/>
      <w:color w:val="104862" w:themeColor="accent1" w:themeShade="BF"/>
      <w:sz w:val="30"/>
      <w:szCs w:val="32"/>
      <w:lang w:eastAsia="zh-Hans"/>
    </w:rPr>
  </w:style>
  <w:style w:type="paragraph" w:customStyle="1" w:styleId="93">
    <w:name w:val="自定义2级"/>
    <w:basedOn w:val="3"/>
    <w:link w:val="94"/>
    <w:qFormat/>
    <w:uiPriority w:val="0"/>
    <w:pPr>
      <w:spacing w:before="0" w:line="360" w:lineRule="auto"/>
    </w:pPr>
    <w:rPr>
      <w:color w:val="auto"/>
      <w:sz w:val="24"/>
      <w:lang w:eastAsia="zh-Hans"/>
    </w:rPr>
  </w:style>
  <w:style w:type="character" w:customStyle="1" w:styleId="94">
    <w:name w:val="自定义2级 字符"/>
    <w:basedOn w:val="54"/>
    <w:link w:val="93"/>
    <w:qFormat/>
    <w:uiPriority w:val="0"/>
    <w:rPr>
      <w:rFonts w:eastAsia="宋体" w:asciiTheme="majorHAnsi" w:hAnsiTheme="majorHAnsi" w:cstheme="majorBidi"/>
      <w:color w:val="104862" w:themeColor="accent1" w:themeShade="BF"/>
      <w:kern w:val="2"/>
      <w:sz w:val="24"/>
      <w:szCs w:val="40"/>
      <w:lang w:eastAsia="zh-Hans"/>
      <w14:ligatures w14:val="none"/>
    </w:rPr>
  </w:style>
  <w:style w:type="paragraph" w:customStyle="1" w:styleId="95">
    <w:name w:val="自定义1级"/>
    <w:basedOn w:val="2"/>
    <w:link w:val="96"/>
    <w:qFormat/>
    <w:uiPriority w:val="0"/>
    <w:pPr>
      <w:spacing w:before="0" w:after="0" w:line="360" w:lineRule="auto"/>
    </w:pPr>
    <w:rPr>
      <w:b/>
      <w:color w:val="auto"/>
      <w:sz w:val="28"/>
    </w:rPr>
  </w:style>
  <w:style w:type="character" w:customStyle="1" w:styleId="96">
    <w:name w:val="自定义1级 字符"/>
    <w:basedOn w:val="61"/>
    <w:link w:val="95"/>
    <w:qFormat/>
    <w:uiPriority w:val="0"/>
    <w:rPr>
      <w:rFonts w:asciiTheme="majorHAnsi" w:hAnsiTheme="majorHAnsi" w:eastAsiaTheme="majorEastAsia" w:cstheme="majorBidi"/>
      <w:b/>
      <w:color w:val="104862" w:themeColor="accent1" w:themeShade="BF"/>
      <w:kern w:val="2"/>
      <w:sz w:val="28"/>
      <w:szCs w:val="48"/>
      <w14:ligatures w14:val="standardContextual"/>
    </w:rPr>
  </w:style>
  <w:style w:type="character" w:customStyle="1" w:styleId="97">
    <w:name w:val="正文文本 字符"/>
    <w:basedOn w:val="41"/>
    <w:link w:val="16"/>
    <w:qFormat/>
    <w:uiPriority w:val="99"/>
  </w:style>
  <w:style w:type="paragraph" w:customStyle="1" w:styleId="98">
    <w:name w:val="自定义要点"/>
    <w:basedOn w:val="46"/>
    <w:link w:val="99"/>
    <w:qFormat/>
    <w:uiPriority w:val="0"/>
    <w:pPr>
      <w:tabs>
        <w:tab w:val="right" w:leader="dot" w:pos="9184"/>
      </w:tabs>
    </w:pPr>
    <w:rPr>
      <w:rFonts w:ascii="宋体" w:hAnsi="宋体"/>
      <w:b/>
      <w:bCs/>
      <w:caps/>
      <w:smallCaps/>
      <w:szCs w:val="26"/>
    </w:rPr>
  </w:style>
  <w:style w:type="character" w:customStyle="1" w:styleId="99">
    <w:name w:val="自定义要点 字符"/>
    <w:basedOn w:val="47"/>
    <w:link w:val="98"/>
    <w:qFormat/>
    <w:uiPriority w:val="0"/>
    <w:rPr>
      <w:rFonts w:ascii="宋体" w:hAnsi="宋体" w:eastAsia="宋体"/>
      <w:b/>
      <w:bCs/>
      <w:caps/>
      <w:smallCaps/>
      <w:sz w:val="24"/>
      <w:szCs w:val="26"/>
    </w:rPr>
  </w:style>
  <w:style w:type="character" w:customStyle="1" w:styleId="100">
    <w:name w:val="批注文字 字符"/>
    <w:basedOn w:val="41"/>
    <w:link w:val="14"/>
    <w:qFormat/>
    <w:uiPriority w:val="0"/>
    <w:rPr>
      <w:rFonts w:ascii="Calibri" w:hAnsi="Calibri" w:eastAsia="宋体" w:cs="Times New Roman"/>
      <w:sz w:val="21"/>
      <w:szCs w:val="22"/>
      <w14:ligatures w14:val="none"/>
    </w:rPr>
  </w:style>
  <w:style w:type="character" w:customStyle="1" w:styleId="101">
    <w:name w:val="正文文本 3 字符"/>
    <w:basedOn w:val="41"/>
    <w:link w:val="15"/>
    <w:qFormat/>
    <w:uiPriority w:val="0"/>
    <w:rPr>
      <w:rFonts w:ascii="宋体" w:hAnsi="Calibri" w:eastAsia="宋体" w:cs="Times New Roman"/>
      <w:kern w:val="0"/>
      <w:sz w:val="24"/>
      <w:szCs w:val="20"/>
      <w14:ligatures w14:val="none"/>
    </w:rPr>
  </w:style>
  <w:style w:type="character" w:customStyle="1" w:styleId="102">
    <w:name w:val="正文文本缩进 字符"/>
    <w:basedOn w:val="41"/>
    <w:link w:val="17"/>
    <w:qFormat/>
    <w:uiPriority w:val="0"/>
    <w:rPr>
      <w:rFonts w:ascii="Times New Roman" w:hAnsi="Times New Roman" w:eastAsia="宋体" w:cs="Times New Roman"/>
      <w:kern w:val="0"/>
      <w:sz w:val="28"/>
      <w14:ligatures w14:val="none"/>
    </w:rPr>
  </w:style>
  <w:style w:type="character" w:customStyle="1" w:styleId="103">
    <w:name w:val="正文文本缩进 3 字符"/>
    <w:basedOn w:val="41"/>
    <w:link w:val="31"/>
    <w:qFormat/>
    <w:uiPriority w:val="0"/>
    <w:rPr>
      <w:rFonts w:ascii="Calibri" w:hAnsi="Calibri" w:eastAsia="宋体" w:cs="Times New Roman"/>
      <w:kern w:val="0"/>
      <w:sz w:val="16"/>
      <w:szCs w:val="16"/>
      <w14:ligatures w14:val="none"/>
    </w:rPr>
  </w:style>
  <w:style w:type="character" w:customStyle="1" w:styleId="104">
    <w:name w:val="正文文本首行缩进 字符"/>
    <w:basedOn w:val="97"/>
    <w:link w:val="37"/>
    <w:qFormat/>
    <w:uiPriority w:val="0"/>
    <w:rPr>
      <w:rFonts w:ascii="Calibri" w:hAnsi="Calibri" w:eastAsia="宋体" w:cs="Times New Roman"/>
      <w:sz w:val="21"/>
      <w:szCs w:val="21"/>
      <w14:ligatures w14:val="none"/>
    </w:rPr>
  </w:style>
  <w:style w:type="character" w:customStyle="1" w:styleId="105">
    <w:name w:val="正文文本首行缩进 2 字符"/>
    <w:basedOn w:val="102"/>
    <w:link w:val="38"/>
    <w:qFormat/>
    <w:uiPriority w:val="0"/>
    <w:rPr>
      <w:rFonts w:ascii="宋体" w:hAnsi="宋体" w:eastAsia="宋体" w:cs="Times New Roman"/>
      <w:color w:val="000000"/>
      <w:kern w:val="0"/>
      <w:sz w:val="24"/>
      <w:szCs w:val="18"/>
      <w14:ligatures w14:val="none"/>
    </w:rPr>
  </w:style>
  <w:style w:type="paragraph" w:customStyle="1" w:styleId="106">
    <w:name w:val="公文正文"/>
    <w:qFormat/>
    <w:uiPriority w:val="0"/>
    <w:pPr>
      <w:widowControl w:val="0"/>
      <w:spacing w:after="160" w:line="360" w:lineRule="auto"/>
      <w:ind w:firstLine="629"/>
      <w:jc w:val="both"/>
    </w:pPr>
    <w:rPr>
      <w:rFonts w:ascii="仿宋_GB2312" w:hAnsi="Calisto MT" w:eastAsia="仿宋_GB2312" w:cs="Times New Roman"/>
      <w:color w:val="000000"/>
      <w:sz w:val="32"/>
      <w:lang w:val="en-US" w:eastAsia="zh-CN" w:bidi="ar-SA"/>
    </w:rPr>
  </w:style>
  <w:style w:type="paragraph" w:customStyle="1" w:styleId="107">
    <w:name w:val="列表段落1"/>
    <w:basedOn w:val="1"/>
    <w:qFormat/>
    <w:uiPriority w:val="0"/>
    <w:pPr>
      <w:spacing w:after="0" w:line="240" w:lineRule="auto"/>
      <w:ind w:firstLine="420" w:firstLineChars="200"/>
      <w:jc w:val="both"/>
    </w:pPr>
    <w:rPr>
      <w:rFonts w:ascii="Times New Roman" w:hAnsi="Times New Roman" w:eastAsia="宋体" w:cs="Times New Roman"/>
      <w:sz w:val="21"/>
      <w:szCs w:val="22"/>
      <w14:ligatures w14:val="none"/>
    </w:rPr>
  </w:style>
  <w:style w:type="paragraph" w:customStyle="1" w:styleId="108">
    <w:name w:val="列出段落1"/>
    <w:basedOn w:val="1"/>
    <w:qFormat/>
    <w:uiPriority w:val="0"/>
    <w:pPr>
      <w:spacing w:after="0" w:line="240" w:lineRule="auto"/>
      <w:ind w:firstLine="420" w:firstLineChars="200"/>
      <w:jc w:val="both"/>
    </w:pPr>
    <w:rPr>
      <w:rFonts w:ascii="Calibri" w:hAnsi="Calibri" w:eastAsia="宋体" w:cs="Calibri"/>
      <w:sz w:val="21"/>
      <w:szCs w:val="21"/>
      <w14:ligatures w14:val="none"/>
    </w:rPr>
  </w:style>
  <w:style w:type="paragraph" w:customStyle="1" w:styleId="109">
    <w:name w:val="表格文字"/>
    <w:basedOn w:val="1"/>
    <w:qFormat/>
    <w:uiPriority w:val="0"/>
    <w:pPr>
      <w:adjustRightInd w:val="0"/>
      <w:spacing w:after="0" w:line="420" w:lineRule="atLeast"/>
    </w:pPr>
    <w:rPr>
      <w:rFonts w:ascii="Times New Roman" w:hAnsi="Times New Roman" w:eastAsia="宋体" w:cs="Calibri"/>
      <w:kern w:val="0"/>
      <w:sz w:val="21"/>
      <w:szCs w:val="20"/>
      <w14:ligatures w14:val="none"/>
    </w:rPr>
  </w:style>
  <w:style w:type="paragraph" w:customStyle="1" w:styleId="110">
    <w:name w:val="章节二"/>
    <w:basedOn w:val="1"/>
    <w:next w:val="1"/>
    <w:qFormat/>
    <w:uiPriority w:val="0"/>
    <w:pPr>
      <w:topLinePunct/>
      <w:adjustRightInd w:val="0"/>
      <w:snapToGrid w:val="0"/>
      <w:spacing w:beforeLines="50" w:after="0" w:afterLines="50" w:line="240" w:lineRule="auto"/>
      <w:jc w:val="center"/>
      <w:outlineLvl w:val="1"/>
    </w:pPr>
    <w:rPr>
      <w:rFonts w:ascii="Times New Roman" w:hAnsi="Times New Roman" w:eastAsia="黑体" w:cs="Times New Roman"/>
      <w:b/>
      <w:snapToGrid w:val="0"/>
      <w:spacing w:val="4"/>
      <w:kern w:val="0"/>
      <w:sz w:val="30"/>
      <w:szCs w:val="30"/>
      <w14:ligatures w14:val="none"/>
    </w:rPr>
  </w:style>
  <w:style w:type="paragraph" w:customStyle="1" w:styleId="111">
    <w:name w:val="正题"/>
    <w:basedOn w:val="112"/>
    <w:next w:val="112"/>
    <w:qFormat/>
    <w:uiPriority w:val="0"/>
    <w:pPr>
      <w:ind w:firstLine="0" w:firstLineChars="0"/>
      <w:jc w:val="center"/>
    </w:pPr>
    <w:rPr>
      <w:rFonts w:ascii="Calibri" w:hAnsi="Calibri" w:eastAsia="黑体"/>
      <w:b/>
      <w:sz w:val="36"/>
      <w:szCs w:val="36"/>
    </w:rPr>
  </w:style>
  <w:style w:type="paragraph" w:customStyle="1" w:styleId="112">
    <w:name w:val="文一"/>
    <w:basedOn w:val="1"/>
    <w:link w:val="119"/>
    <w:qFormat/>
    <w:uiPriority w:val="0"/>
    <w:pPr>
      <w:topLinePunct/>
      <w:adjustRightInd w:val="0"/>
      <w:snapToGrid w:val="0"/>
      <w:spacing w:after="0" w:line="360" w:lineRule="auto"/>
      <w:ind w:firstLine="200" w:firstLineChars="200"/>
      <w:jc w:val="both"/>
    </w:pPr>
    <w:rPr>
      <w:rFonts w:ascii="Times New Roman" w:hAnsi="Times New Roman" w:eastAsia="宋体" w:cs="Times New Roman"/>
      <w:spacing w:val="4"/>
      <w:kern w:val="0"/>
      <w:sz w:val="24"/>
      <w14:ligatures w14:val="none"/>
    </w:rPr>
  </w:style>
  <w:style w:type="paragraph" w:customStyle="1" w:styleId="113">
    <w:name w:val="章节三"/>
    <w:basedOn w:val="112"/>
    <w:next w:val="112"/>
    <w:qFormat/>
    <w:uiPriority w:val="0"/>
    <w:pPr>
      <w:spacing w:beforeLines="50" w:afterLines="50" w:line="240" w:lineRule="auto"/>
      <w:ind w:firstLine="0" w:firstLineChars="0"/>
      <w:jc w:val="left"/>
      <w:outlineLvl w:val="2"/>
    </w:pPr>
    <w:rPr>
      <w:rFonts w:ascii="黑体" w:hAnsi="宋体" w:eastAsia="黑体"/>
      <w:b/>
    </w:rPr>
  </w:style>
  <w:style w:type="paragraph" w:customStyle="1" w:styleId="114">
    <w:name w:val="样式 宋体 行距: 1.5 倍行距"/>
    <w:basedOn w:val="1"/>
    <w:qFormat/>
    <w:uiPriority w:val="99"/>
    <w:pPr>
      <w:spacing w:after="0" w:line="240" w:lineRule="auto"/>
      <w:jc w:val="center"/>
    </w:pPr>
    <w:rPr>
      <w:rFonts w:ascii="Calibri" w:hAnsi="Calibri" w:eastAsia="宋体" w:cs="Times New Roman"/>
      <w:b/>
      <w:bCs/>
      <w:sz w:val="21"/>
      <w:szCs w:val="22"/>
      <w14:ligatures w14:val="none"/>
    </w:rPr>
  </w:style>
  <w:style w:type="paragraph" w:customStyle="1" w:styleId="115">
    <w:name w:val="文二"/>
    <w:basedOn w:val="1"/>
    <w:qFormat/>
    <w:uiPriority w:val="0"/>
    <w:pPr>
      <w:spacing w:after="0" w:line="240" w:lineRule="auto"/>
      <w:jc w:val="both"/>
    </w:pPr>
    <w:rPr>
      <w:rFonts w:ascii="宋体" w:hAnsi="宋体" w:eastAsia="宋体" w:cs="Calibri"/>
      <w:sz w:val="21"/>
      <w:szCs w:val="21"/>
      <w14:ligatures w14:val="none"/>
    </w:rPr>
  </w:style>
  <w:style w:type="paragraph" w:customStyle="1" w:styleId="116">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 w:type="paragraph" w:customStyle="1" w:styleId="117">
    <w:name w:val="修订1"/>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18">
    <w:name w:val="页眉 字符1"/>
    <w:qFormat/>
    <w:uiPriority w:val="0"/>
    <w:rPr>
      <w:kern w:val="2"/>
      <w:sz w:val="18"/>
      <w:szCs w:val="18"/>
    </w:rPr>
  </w:style>
  <w:style w:type="character" w:customStyle="1" w:styleId="119">
    <w:name w:val="文一 Char"/>
    <w:link w:val="112"/>
    <w:qFormat/>
    <w:uiPriority w:val="0"/>
    <w:rPr>
      <w:rFonts w:ascii="Times New Roman" w:hAnsi="Times New Roman" w:eastAsia="宋体" w:cs="Times New Roman"/>
      <w:spacing w:val="4"/>
      <w:kern w:val="0"/>
      <w:sz w:val="24"/>
      <w14:ligatures w14:val="none"/>
    </w:rPr>
  </w:style>
  <w:style w:type="paragraph" w:customStyle="1" w:styleId="120">
    <w:name w:val="修订2"/>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21">
    <w:name w:val="批注主题 字符"/>
    <w:basedOn w:val="100"/>
    <w:link w:val="36"/>
    <w:qFormat/>
    <w:uiPriority w:val="0"/>
    <w:rPr>
      <w:rFonts w:ascii="Calibri" w:hAnsi="Calibri" w:eastAsia="宋体" w:cs="Times New Roman"/>
      <w:b/>
      <w:bCs/>
      <w:kern w:val="2"/>
      <w:sz w:val="22"/>
      <w:szCs w:val="24"/>
      <w14:ligatures w14:val="standardContextual"/>
    </w:rPr>
  </w:style>
  <w:style w:type="character" w:customStyle="1" w:styleId="122">
    <w:name w:val="纯文本 字符"/>
    <w:basedOn w:val="41"/>
    <w:link w:val="21"/>
    <w:qFormat/>
    <w:uiPriority w:val="0"/>
    <w:rPr>
      <w:rFonts w:hint="eastAsia" w:ascii="等线" w:hAnsi="Courier New" w:eastAsia="等线" w:cs="Courier New"/>
      <w:kern w:val="2"/>
      <w:sz w:val="21"/>
      <w:szCs w:val="22"/>
    </w:rPr>
  </w:style>
  <w:style w:type="character" w:customStyle="1" w:styleId="123">
    <w:name w:val="页脚 Char1"/>
    <w:basedOn w:val="41"/>
    <w:qFormat/>
    <w:uiPriority w:val="0"/>
    <w:rPr>
      <w:kern w:val="2"/>
      <w:sz w:val="18"/>
      <w:szCs w:val="18"/>
    </w:rPr>
  </w:style>
  <w:style w:type="character" w:customStyle="1" w:styleId="124">
    <w:name w:val="页眉 Char1"/>
    <w:basedOn w:val="41"/>
    <w:qFormat/>
    <w:uiPriority w:val="0"/>
    <w:rPr>
      <w:kern w:val="2"/>
      <w:sz w:val="18"/>
      <w:szCs w:val="18"/>
    </w:rPr>
  </w:style>
  <w:style w:type="character" w:customStyle="1" w:styleId="125">
    <w:name w:val="页脚 字符1"/>
    <w:basedOn w:val="41"/>
    <w:link w:val="24"/>
    <w:qFormat/>
    <w:uiPriority w:val="0"/>
    <w:rPr>
      <w:sz w:val="18"/>
      <w:szCs w:val="18"/>
    </w:rPr>
  </w:style>
  <w:style w:type="character" w:customStyle="1" w:styleId="126">
    <w:name w:val="页眉 字符2"/>
    <w:basedOn w:val="41"/>
    <w:link w:val="25"/>
    <w:qFormat/>
    <w:uiPriority w:val="0"/>
    <w:rPr>
      <w:sz w:val="18"/>
      <w:szCs w:val="18"/>
    </w:rPr>
  </w:style>
  <w:style w:type="paragraph" w:customStyle="1" w:styleId="127">
    <w:name w:val="修订3"/>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28">
    <w:name w:val="批注框文本 字符"/>
    <w:basedOn w:val="41"/>
    <w:link w:val="23"/>
    <w:qFormat/>
    <w:uiPriority w:val="0"/>
    <w:rPr>
      <w:rFonts w:ascii="Calibri" w:hAnsi="Calibri"/>
      <w:kern w:val="2"/>
      <w:sz w:val="18"/>
      <w:szCs w:val="18"/>
    </w:rPr>
  </w:style>
  <w:style w:type="paragraph" w:customStyle="1" w:styleId="129">
    <w:name w:val="列出段落11"/>
    <w:basedOn w:val="1"/>
    <w:qFormat/>
    <w:uiPriority w:val="0"/>
    <w:pPr>
      <w:ind w:firstLine="420" w:firstLineChars="200"/>
      <w:jc w:val="both"/>
    </w:pPr>
    <w:rPr>
      <w:rFonts w:ascii="Calibri" w:hAnsi="Calibri" w:eastAsia="宋体" w:cs="Calibri"/>
      <w:sz w:val="21"/>
      <w:szCs w:val="21"/>
      <w14:ligatures w14:val="none"/>
    </w:rPr>
  </w:style>
  <w:style w:type="character" w:customStyle="1" w:styleId="130">
    <w:name w:val="未处理的提及2"/>
    <w:basedOn w:val="41"/>
    <w:semiHidden/>
    <w:unhideWhenUsed/>
    <w:qFormat/>
    <w:uiPriority w:val="99"/>
    <w:rPr>
      <w:color w:val="605E5C"/>
      <w:shd w:val="clear" w:color="auto" w:fill="E1DFDD"/>
    </w:rPr>
  </w:style>
  <w:style w:type="paragraph" w:customStyle="1" w:styleId="131">
    <w:name w:val="_Style 3"/>
    <w:basedOn w:val="1"/>
    <w:qFormat/>
    <w:uiPriority w:val="0"/>
    <w:pPr>
      <w:spacing w:after="0" w:line="240" w:lineRule="auto"/>
      <w:jc w:val="both"/>
    </w:pPr>
    <w:rPr>
      <w:rFonts w:ascii="Times New Roman" w:hAnsi="Times New Roman" w:eastAsia="宋体" w:cs="Times New Roman"/>
      <w:sz w:val="21"/>
      <w:szCs w:val="22"/>
    </w:rPr>
  </w:style>
  <w:style w:type="paragraph" w:customStyle="1" w:styleId="132">
    <w:name w:val="修订4"/>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带状边缘">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34930</Words>
  <Characters>36382</Characters>
  <Lines>2642</Lines>
  <Paragraphs>1277</Paragraphs>
  <TotalTime>0</TotalTime>
  <ScaleCrop>false</ScaleCrop>
  <LinksUpToDate>false</LinksUpToDate>
  <CharactersWithSpaces>37362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2025-10-23T03:08:00Z</dcterms:created>
  <dc:creator>Koma Lee</dc:creator>
  <cp:lastModifiedBy>HP</cp:lastModifiedBy>
  <cp:lastPrinted>2025-10-23T03:12:00Z</cp:lastPrinted>
  <dcterms:modified xsi:type="dcterms:W3CDTF">2025-11-21T07:40:05Z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C1B4C195BB4E4BFF94D8DE3E232F5814_13</vt:lpwstr>
  </property>
  <property fmtid="{D5CDD505-2E9C-101B-9397-08002B2CF9AE}" pid="4" name="KSOTemplateDocerSaveRecord">
    <vt:lpwstr>eyJoZGlkIjoiNzU3ZWMwNWU3MjgwNzE5OTUyNjNlNmJhOTY5NWJlOWMiLCJ1c2VySWQiOiIxMDQ1NDEyMjExIn0=</vt:lpwstr>
  </property>
</Properties>
</file>