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1B550">
      <w:pPr>
        <w:snapToGrid w:val="0"/>
        <w:spacing w:line="360" w:lineRule="auto"/>
        <w:ind w:left="-283" w:leftChars="-135"/>
        <w:jc w:val="center"/>
        <w:rPr>
          <w:rFonts w:hint="eastAsia" w:ascii="宋体" w:hAnsi="宋体" w:eastAsia="宋体" w:cs="宋体"/>
          <w:b/>
          <w:color w:val="auto"/>
          <w:sz w:val="40"/>
          <w:szCs w:val="40"/>
          <w:highlight w:val="none"/>
          <w:lang w:eastAsia="zh-CN"/>
        </w:rPr>
      </w:pPr>
    </w:p>
    <w:p w14:paraId="66E5E605">
      <w:pPr>
        <w:spacing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横琴高铁站站城开发项目</w:t>
      </w:r>
    </w:p>
    <w:p w14:paraId="7DD98202">
      <w:pPr>
        <w:spacing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投资收益分析和投融资开发模式</w:t>
      </w:r>
    </w:p>
    <w:p w14:paraId="5ED7B0DA">
      <w:pPr>
        <w:spacing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（含高铁可持续运营方案）研究</w:t>
      </w:r>
    </w:p>
    <w:p w14:paraId="58883A06">
      <w:pPr>
        <w:spacing w:line="360" w:lineRule="auto"/>
        <w:rPr>
          <w:rFonts w:hint="eastAsia" w:ascii="宋体" w:hAnsi="宋体" w:eastAsia="宋体" w:cs="宋体"/>
          <w:color w:val="auto"/>
          <w:highlight w:val="none"/>
        </w:rPr>
      </w:pPr>
    </w:p>
    <w:p w14:paraId="6267FF24">
      <w:pPr>
        <w:spacing w:line="200" w:lineRule="exact"/>
        <w:rPr>
          <w:rFonts w:hint="eastAsia" w:ascii="宋体" w:hAnsi="宋体" w:eastAsia="宋体" w:cs="宋体"/>
          <w:color w:val="auto"/>
          <w:highlight w:val="none"/>
        </w:rPr>
      </w:pPr>
    </w:p>
    <w:p w14:paraId="12D3A5A4">
      <w:pPr>
        <w:pStyle w:val="11"/>
        <w:rPr>
          <w:rFonts w:hint="eastAsia" w:ascii="宋体" w:hAnsi="宋体" w:eastAsia="宋体" w:cs="宋体"/>
          <w:color w:val="auto"/>
          <w:highlight w:val="none"/>
        </w:rPr>
      </w:pPr>
    </w:p>
    <w:p w14:paraId="54F80094">
      <w:pPr>
        <w:spacing w:line="200" w:lineRule="exact"/>
        <w:rPr>
          <w:rFonts w:hint="eastAsia" w:ascii="宋体" w:hAnsi="宋体" w:eastAsia="宋体" w:cs="宋体"/>
          <w:color w:val="auto"/>
          <w:highlight w:val="none"/>
        </w:rPr>
      </w:pPr>
    </w:p>
    <w:p w14:paraId="6BB8BE9D">
      <w:pPr>
        <w:spacing w:line="200" w:lineRule="exact"/>
        <w:rPr>
          <w:rFonts w:hint="eastAsia" w:ascii="宋体" w:hAnsi="宋体" w:eastAsia="宋体" w:cs="宋体"/>
          <w:color w:val="auto"/>
          <w:highlight w:val="none"/>
        </w:rPr>
      </w:pPr>
    </w:p>
    <w:p w14:paraId="13C79758">
      <w:pPr>
        <w:spacing w:line="200" w:lineRule="exact"/>
        <w:rPr>
          <w:rFonts w:hint="eastAsia" w:ascii="宋体" w:hAnsi="宋体" w:eastAsia="宋体" w:cs="宋体"/>
          <w:color w:val="auto"/>
          <w:highlight w:val="none"/>
        </w:rPr>
      </w:pPr>
    </w:p>
    <w:p w14:paraId="36600ED4">
      <w:pPr>
        <w:spacing w:line="200" w:lineRule="exact"/>
        <w:rPr>
          <w:rFonts w:hint="eastAsia" w:ascii="宋体" w:hAnsi="宋体" w:eastAsia="宋体" w:cs="宋体"/>
          <w:color w:val="auto"/>
          <w:highlight w:val="none"/>
        </w:rPr>
      </w:pPr>
    </w:p>
    <w:p w14:paraId="5F69445F">
      <w:pPr>
        <w:spacing w:line="200" w:lineRule="exact"/>
        <w:rPr>
          <w:rFonts w:hint="eastAsia" w:ascii="宋体" w:hAnsi="宋体" w:eastAsia="宋体" w:cs="宋体"/>
          <w:color w:val="auto"/>
          <w:highlight w:val="none"/>
        </w:rPr>
      </w:pPr>
    </w:p>
    <w:p w14:paraId="0518B2B4">
      <w:pPr>
        <w:spacing w:line="200" w:lineRule="exact"/>
        <w:rPr>
          <w:rFonts w:hint="eastAsia" w:ascii="宋体" w:hAnsi="宋体" w:eastAsia="宋体" w:cs="宋体"/>
          <w:color w:val="auto"/>
          <w:highlight w:val="none"/>
        </w:rPr>
      </w:pPr>
    </w:p>
    <w:p w14:paraId="5FA8381B">
      <w:pPr>
        <w:spacing w:line="200" w:lineRule="exact"/>
        <w:rPr>
          <w:rFonts w:hint="eastAsia" w:ascii="宋体" w:hAnsi="宋体" w:eastAsia="宋体" w:cs="宋体"/>
          <w:color w:val="auto"/>
          <w:highlight w:val="none"/>
        </w:rPr>
      </w:pPr>
    </w:p>
    <w:p w14:paraId="0B827FDC">
      <w:pPr>
        <w:spacing w:line="200" w:lineRule="exact"/>
        <w:rPr>
          <w:rFonts w:hint="eastAsia" w:ascii="宋体" w:hAnsi="宋体" w:eastAsia="宋体" w:cs="宋体"/>
          <w:color w:val="auto"/>
          <w:highlight w:val="none"/>
        </w:rPr>
      </w:pPr>
    </w:p>
    <w:p w14:paraId="316E7164">
      <w:pPr>
        <w:spacing w:line="200" w:lineRule="exact"/>
        <w:rPr>
          <w:rFonts w:hint="eastAsia" w:ascii="宋体" w:hAnsi="宋体" w:eastAsia="宋体" w:cs="宋体"/>
          <w:color w:val="auto"/>
          <w:highlight w:val="none"/>
        </w:rPr>
      </w:pPr>
    </w:p>
    <w:p w14:paraId="03408868">
      <w:pPr>
        <w:spacing w:line="269" w:lineRule="exact"/>
        <w:rPr>
          <w:rFonts w:hint="eastAsia" w:ascii="宋体" w:hAnsi="宋体" w:eastAsia="宋体" w:cs="宋体"/>
          <w:color w:val="auto"/>
          <w:highlight w:val="none"/>
        </w:rPr>
      </w:pPr>
    </w:p>
    <w:p w14:paraId="034374E3">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招标公告</w:t>
      </w:r>
    </w:p>
    <w:p w14:paraId="0BB67DB3">
      <w:pPr>
        <w:spacing w:line="200" w:lineRule="exact"/>
        <w:rPr>
          <w:rFonts w:hint="eastAsia" w:ascii="宋体" w:hAnsi="宋体" w:eastAsia="宋体" w:cs="宋体"/>
          <w:color w:val="auto"/>
          <w:highlight w:val="none"/>
        </w:rPr>
      </w:pPr>
    </w:p>
    <w:p w14:paraId="60508891">
      <w:pPr>
        <w:spacing w:line="200" w:lineRule="exact"/>
        <w:rPr>
          <w:rFonts w:hint="eastAsia" w:ascii="宋体" w:hAnsi="宋体" w:eastAsia="宋体" w:cs="宋体"/>
          <w:color w:val="auto"/>
          <w:highlight w:val="none"/>
        </w:rPr>
      </w:pPr>
    </w:p>
    <w:p w14:paraId="03787224">
      <w:pPr>
        <w:spacing w:line="200" w:lineRule="exact"/>
        <w:rPr>
          <w:rFonts w:hint="eastAsia" w:ascii="宋体" w:hAnsi="宋体" w:eastAsia="宋体" w:cs="宋体"/>
          <w:color w:val="auto"/>
          <w:highlight w:val="none"/>
        </w:rPr>
      </w:pPr>
    </w:p>
    <w:p w14:paraId="2F3D4E76">
      <w:pPr>
        <w:spacing w:line="200" w:lineRule="exact"/>
        <w:rPr>
          <w:rFonts w:hint="eastAsia" w:ascii="宋体" w:hAnsi="宋体" w:eastAsia="宋体" w:cs="宋体"/>
          <w:color w:val="auto"/>
          <w:highlight w:val="none"/>
        </w:rPr>
      </w:pPr>
    </w:p>
    <w:p w14:paraId="4C1632C3">
      <w:pPr>
        <w:spacing w:line="200" w:lineRule="exact"/>
        <w:rPr>
          <w:rFonts w:hint="eastAsia" w:ascii="宋体" w:hAnsi="宋体" w:eastAsia="宋体" w:cs="宋体"/>
          <w:color w:val="auto"/>
          <w:highlight w:val="none"/>
        </w:rPr>
      </w:pPr>
    </w:p>
    <w:p w14:paraId="0B4EC4A1">
      <w:pPr>
        <w:spacing w:line="200" w:lineRule="exact"/>
        <w:rPr>
          <w:rFonts w:hint="eastAsia" w:ascii="宋体" w:hAnsi="宋体" w:eastAsia="宋体" w:cs="宋体"/>
          <w:color w:val="auto"/>
          <w:highlight w:val="none"/>
        </w:rPr>
      </w:pPr>
    </w:p>
    <w:p w14:paraId="3D9A156E">
      <w:pPr>
        <w:spacing w:line="200" w:lineRule="exact"/>
        <w:rPr>
          <w:rFonts w:hint="eastAsia" w:ascii="宋体" w:hAnsi="宋体" w:eastAsia="宋体" w:cs="宋体"/>
          <w:color w:val="auto"/>
          <w:highlight w:val="none"/>
        </w:rPr>
      </w:pPr>
    </w:p>
    <w:p w14:paraId="566C03FE">
      <w:pPr>
        <w:spacing w:line="200" w:lineRule="exact"/>
        <w:rPr>
          <w:rFonts w:hint="eastAsia" w:ascii="宋体" w:hAnsi="宋体" w:eastAsia="宋体" w:cs="宋体"/>
          <w:color w:val="auto"/>
          <w:highlight w:val="none"/>
        </w:rPr>
      </w:pPr>
    </w:p>
    <w:p w14:paraId="1AB9B05B">
      <w:pPr>
        <w:spacing w:line="200" w:lineRule="exact"/>
        <w:rPr>
          <w:rFonts w:hint="eastAsia" w:ascii="宋体" w:hAnsi="宋体" w:eastAsia="宋体" w:cs="宋体"/>
          <w:color w:val="auto"/>
          <w:highlight w:val="none"/>
        </w:rPr>
      </w:pPr>
    </w:p>
    <w:p w14:paraId="435EC2B3">
      <w:pPr>
        <w:spacing w:line="200" w:lineRule="exact"/>
        <w:rPr>
          <w:rFonts w:hint="eastAsia" w:ascii="宋体" w:hAnsi="宋体" w:eastAsia="宋体" w:cs="宋体"/>
          <w:color w:val="auto"/>
          <w:highlight w:val="none"/>
        </w:rPr>
      </w:pPr>
    </w:p>
    <w:p w14:paraId="6B4ED6BF">
      <w:pPr>
        <w:spacing w:line="200" w:lineRule="exact"/>
        <w:rPr>
          <w:rFonts w:hint="eastAsia" w:ascii="宋体" w:hAnsi="宋体" w:eastAsia="宋体" w:cs="宋体"/>
          <w:color w:val="auto"/>
          <w:highlight w:val="none"/>
        </w:rPr>
      </w:pPr>
    </w:p>
    <w:p w14:paraId="63EE70CD">
      <w:pPr>
        <w:spacing w:line="200" w:lineRule="exact"/>
        <w:rPr>
          <w:rFonts w:hint="eastAsia" w:ascii="宋体" w:hAnsi="宋体" w:eastAsia="宋体" w:cs="宋体"/>
          <w:color w:val="auto"/>
          <w:highlight w:val="none"/>
        </w:rPr>
      </w:pPr>
    </w:p>
    <w:p w14:paraId="3B6A4F82">
      <w:pPr>
        <w:spacing w:line="200" w:lineRule="exact"/>
        <w:rPr>
          <w:rFonts w:hint="eastAsia" w:ascii="宋体" w:hAnsi="宋体" w:eastAsia="宋体" w:cs="宋体"/>
          <w:color w:val="auto"/>
          <w:highlight w:val="none"/>
        </w:rPr>
      </w:pPr>
    </w:p>
    <w:p w14:paraId="717EBEE9">
      <w:pPr>
        <w:spacing w:line="200" w:lineRule="exact"/>
        <w:rPr>
          <w:rFonts w:hint="eastAsia" w:ascii="宋体" w:hAnsi="宋体" w:eastAsia="宋体" w:cs="宋体"/>
          <w:color w:val="auto"/>
          <w:highlight w:val="none"/>
        </w:rPr>
      </w:pPr>
    </w:p>
    <w:p w14:paraId="0346D26D">
      <w:pPr>
        <w:spacing w:line="200" w:lineRule="exact"/>
        <w:rPr>
          <w:rFonts w:hint="eastAsia" w:ascii="宋体" w:hAnsi="宋体" w:eastAsia="宋体" w:cs="宋体"/>
          <w:color w:val="auto"/>
          <w:highlight w:val="none"/>
        </w:rPr>
      </w:pPr>
    </w:p>
    <w:p w14:paraId="47014247">
      <w:pPr>
        <w:pStyle w:val="11"/>
        <w:rPr>
          <w:rFonts w:hint="eastAsia" w:ascii="宋体" w:hAnsi="宋体" w:eastAsia="宋体" w:cs="宋体"/>
          <w:color w:val="auto"/>
          <w:highlight w:val="none"/>
        </w:rPr>
      </w:pPr>
    </w:p>
    <w:p w14:paraId="1CE7498B">
      <w:pPr>
        <w:pStyle w:val="11"/>
        <w:rPr>
          <w:rFonts w:hint="eastAsia" w:ascii="宋体" w:hAnsi="宋体" w:eastAsia="宋体" w:cs="宋体"/>
          <w:color w:val="auto"/>
          <w:highlight w:val="none"/>
        </w:rPr>
      </w:pPr>
    </w:p>
    <w:p w14:paraId="1BC4EB73">
      <w:pPr>
        <w:spacing w:line="200" w:lineRule="exact"/>
        <w:rPr>
          <w:rFonts w:hint="eastAsia" w:ascii="宋体" w:hAnsi="宋体" w:eastAsia="宋体" w:cs="宋体"/>
          <w:color w:val="auto"/>
          <w:highlight w:val="none"/>
        </w:rPr>
      </w:pPr>
    </w:p>
    <w:p w14:paraId="79902383">
      <w:pPr>
        <w:spacing w:line="200" w:lineRule="exact"/>
        <w:rPr>
          <w:rFonts w:hint="eastAsia" w:ascii="宋体" w:hAnsi="宋体" w:eastAsia="宋体" w:cs="宋体"/>
          <w:color w:val="auto"/>
          <w:highlight w:val="none"/>
        </w:rPr>
      </w:pPr>
    </w:p>
    <w:p w14:paraId="5D73283E">
      <w:pPr>
        <w:spacing w:line="200" w:lineRule="exact"/>
        <w:rPr>
          <w:rFonts w:hint="eastAsia" w:ascii="宋体" w:hAnsi="宋体" w:eastAsia="宋体" w:cs="宋体"/>
          <w:color w:val="auto"/>
          <w:highlight w:val="none"/>
        </w:rPr>
      </w:pPr>
    </w:p>
    <w:p w14:paraId="32768B64">
      <w:pPr>
        <w:spacing w:line="281" w:lineRule="exact"/>
        <w:rPr>
          <w:rFonts w:hint="eastAsia" w:ascii="宋体" w:hAnsi="宋体" w:eastAsia="宋体" w:cs="宋体"/>
          <w:color w:val="auto"/>
          <w:highlight w:val="none"/>
        </w:rPr>
      </w:pPr>
    </w:p>
    <w:p w14:paraId="172B5C7D">
      <w:pPr>
        <w:spacing w:line="281" w:lineRule="exact"/>
        <w:rPr>
          <w:rFonts w:hint="eastAsia" w:ascii="宋体" w:hAnsi="宋体" w:eastAsia="宋体" w:cs="宋体"/>
          <w:color w:val="auto"/>
          <w:highlight w:val="none"/>
        </w:rPr>
      </w:pPr>
    </w:p>
    <w:p w14:paraId="431DE62C">
      <w:pPr>
        <w:ind w:firstLine="1687" w:firstLineChars="60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招 标 人：</w:t>
      </w:r>
      <w:r>
        <w:rPr>
          <w:rFonts w:hint="eastAsia" w:ascii="宋体" w:hAnsi="宋体" w:cs="宋体"/>
          <w:b/>
          <w:color w:val="auto"/>
          <w:sz w:val="28"/>
          <w:highlight w:val="none"/>
          <w:lang w:eastAsia="zh-CN"/>
        </w:rPr>
        <w:t>横琴琴澳创新产业园开发建设有限公司</w:t>
      </w:r>
    </w:p>
    <w:p w14:paraId="32E5E702">
      <w:pPr>
        <w:ind w:firstLine="1687" w:firstLineChars="600"/>
        <w:rPr>
          <w:rFonts w:hint="eastAsia" w:ascii="宋体" w:hAnsi="宋体" w:eastAsia="宋体" w:cs="宋体"/>
          <w:color w:val="auto"/>
          <w:highlight w:val="none"/>
          <w:lang w:eastAsia="zh-CN"/>
        </w:rPr>
      </w:pPr>
      <w:r>
        <w:rPr>
          <w:rFonts w:hint="eastAsia" w:ascii="宋体" w:hAnsi="宋体" w:eastAsia="宋体" w:cs="宋体"/>
          <w:b/>
          <w:color w:val="auto"/>
          <w:sz w:val="28"/>
          <w:highlight w:val="none"/>
        </w:rPr>
        <w:t>招标代理：</w:t>
      </w:r>
      <w:r>
        <w:rPr>
          <w:rFonts w:hint="eastAsia" w:ascii="宋体" w:hAnsi="宋体" w:eastAsia="宋体" w:cs="宋体"/>
          <w:b/>
          <w:color w:val="auto"/>
          <w:sz w:val="28"/>
          <w:highlight w:val="none"/>
          <w:lang w:eastAsia="zh-CN"/>
        </w:rPr>
        <w:t>建成工程咨询股份有限公司</w:t>
      </w:r>
    </w:p>
    <w:p w14:paraId="577F8208">
      <w:pPr>
        <w:ind w:firstLine="1687" w:firstLineChars="6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lang w:val="en-US" w:eastAsia="zh-CN"/>
          <w:woUserID w:val="1"/>
        </w:rPr>
        <w:t>2025</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11</w:t>
      </w:r>
      <w:r>
        <w:rPr>
          <w:rFonts w:hint="eastAsia" w:ascii="宋体" w:hAnsi="宋体" w:eastAsia="宋体" w:cs="宋体"/>
          <w:b/>
          <w:color w:val="auto"/>
          <w:sz w:val="28"/>
          <w:szCs w:val="28"/>
          <w:highlight w:val="none"/>
        </w:rPr>
        <w:t>月</w:t>
      </w:r>
    </w:p>
    <w:p w14:paraId="091FD959">
      <w:pPr>
        <w:spacing w:line="0" w:lineRule="atLeast"/>
        <w:rPr>
          <w:rFonts w:hint="eastAsia" w:ascii="宋体" w:hAnsi="宋体" w:eastAsia="宋体" w:cs="宋体"/>
          <w:color w:val="auto"/>
          <w:sz w:val="24"/>
          <w:highlight w:val="none"/>
        </w:rPr>
        <w:sectPr>
          <w:headerReference r:id="rId4"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58E09A3B">
      <w:pPr>
        <w:widowControl/>
        <w:spacing w:line="360" w:lineRule="auto"/>
        <w:jc w:val="center"/>
        <w:rPr>
          <w:rFonts w:hint="eastAsia" w:ascii="宋体" w:hAnsi="宋体" w:cs="宋体"/>
          <w:b/>
          <w:color w:val="auto"/>
          <w:sz w:val="36"/>
          <w:szCs w:val="36"/>
          <w:highlight w:val="none"/>
          <w:lang w:eastAsia="zh-CN"/>
        </w:rPr>
      </w:pPr>
      <w:r>
        <w:rPr>
          <w:rFonts w:hint="eastAsia" w:ascii="宋体" w:hAnsi="宋体" w:cs="宋体"/>
          <w:b/>
          <w:color w:val="auto"/>
          <w:sz w:val="36"/>
          <w:szCs w:val="36"/>
          <w:highlight w:val="none"/>
          <w:lang w:eastAsia="zh-CN"/>
        </w:rPr>
        <w:t>横琴高铁站站城开发项目投资收益分析</w:t>
      </w:r>
    </w:p>
    <w:p w14:paraId="05A19C8A">
      <w:pPr>
        <w:widowControl/>
        <w:spacing w:line="360" w:lineRule="auto"/>
        <w:jc w:val="center"/>
        <w:rPr>
          <w:rFonts w:hint="default" w:ascii="宋体" w:hAnsi="宋体" w:cs="宋体"/>
          <w:b/>
          <w:color w:val="auto"/>
          <w:sz w:val="36"/>
          <w:szCs w:val="36"/>
          <w:highlight w:val="none"/>
          <w:lang w:val="en-US" w:eastAsia="zh-CN"/>
        </w:rPr>
      </w:pPr>
      <w:r>
        <w:rPr>
          <w:rFonts w:hint="eastAsia" w:ascii="宋体" w:hAnsi="宋体" w:cs="宋体"/>
          <w:b/>
          <w:color w:val="auto"/>
          <w:sz w:val="36"/>
          <w:szCs w:val="36"/>
          <w:highlight w:val="none"/>
          <w:lang w:eastAsia="zh-CN"/>
        </w:rPr>
        <w:t>和投融资开发模式（含高铁可持续运营方案）研究</w:t>
      </w:r>
    </w:p>
    <w:p w14:paraId="5C676C6C">
      <w:pPr>
        <w:widowControl/>
        <w:spacing w:line="360" w:lineRule="auto"/>
        <w:jc w:val="center"/>
        <w:rPr>
          <w:rFonts w:hint="eastAsia" w:ascii="宋体" w:hAnsi="宋体" w:eastAsia="宋体" w:cs="宋体"/>
          <w:b/>
          <w:color w:val="auto"/>
          <w:kern w:val="44"/>
          <w:sz w:val="36"/>
          <w:szCs w:val="36"/>
          <w:highlight w:val="none"/>
        </w:rPr>
      </w:pPr>
      <w:r>
        <w:rPr>
          <w:rFonts w:hint="eastAsia" w:ascii="宋体" w:hAnsi="宋体" w:eastAsia="宋体" w:cs="宋体"/>
          <w:b/>
          <w:color w:val="auto"/>
          <w:kern w:val="44"/>
          <w:sz w:val="36"/>
          <w:szCs w:val="36"/>
          <w:highlight w:val="none"/>
        </w:rPr>
        <w:t>招标公告</w:t>
      </w:r>
    </w:p>
    <w:p w14:paraId="680F6B7D">
      <w:pPr>
        <w:pStyle w:val="3"/>
        <w:spacing w:before="156" w:beforeLines="50" w:line="360" w:lineRule="auto"/>
        <w:rPr>
          <w:rFonts w:hint="eastAsia" w:ascii="宋体" w:hAnsi="宋体" w:eastAsia="宋体" w:cs="宋体"/>
          <w:color w:val="auto"/>
          <w:highlight w:val="none"/>
        </w:rPr>
      </w:pPr>
      <w:bookmarkStart w:id="0" w:name="_Toc529196504"/>
      <w:bookmarkStart w:id="1" w:name="_Toc535938695"/>
      <w:bookmarkStart w:id="2" w:name="_Toc511557025"/>
      <w:bookmarkStart w:id="3" w:name="_Toc529196507"/>
      <w:bookmarkStart w:id="4" w:name="_Toc511557028"/>
      <w:r>
        <w:rPr>
          <w:rFonts w:hint="eastAsia" w:ascii="宋体" w:hAnsi="宋体" w:eastAsia="宋体" w:cs="宋体"/>
          <w:color w:val="auto"/>
          <w:highlight w:val="none"/>
        </w:rPr>
        <w:t>1. 招标条件</w:t>
      </w:r>
      <w:bookmarkEnd w:id="0"/>
      <w:bookmarkEnd w:id="1"/>
      <w:bookmarkEnd w:id="2"/>
    </w:p>
    <w:p w14:paraId="1121871B">
      <w:pPr>
        <w:tabs>
          <w:tab w:val="left" w:pos="7513"/>
        </w:tabs>
        <w:spacing w:line="440" w:lineRule="exact"/>
        <w:ind w:firstLine="480" w:firstLineChars="200"/>
        <w:rPr>
          <w:rFonts w:hint="eastAsia" w:ascii="宋体" w:hAnsi="宋体" w:eastAsia="宋体" w:cs="宋体"/>
          <w:color w:val="auto"/>
          <w:sz w:val="24"/>
          <w:szCs w:val="24"/>
          <w:highlight w:val="none"/>
        </w:rPr>
      </w:pPr>
      <w:bookmarkStart w:id="5" w:name="_Toc511557026"/>
      <w:r>
        <w:rPr>
          <w:rFonts w:hint="eastAsia" w:ascii="宋体" w:hAnsi="宋体" w:eastAsia="宋体" w:cs="宋体"/>
          <w:color w:val="auto"/>
          <w:sz w:val="24"/>
          <w:szCs w:val="24"/>
          <w:highlight w:val="none"/>
          <w:u w:val="single"/>
        </w:rPr>
        <w:t>横琴高铁站站城开发项目投资收益分析和投融资开发模式（含高铁可持续运营方案）研究</w:t>
      </w:r>
      <w:r>
        <w:rPr>
          <w:rFonts w:hint="eastAsia" w:ascii="宋体" w:hAnsi="宋体" w:eastAsia="宋体" w:cs="宋体"/>
          <w:color w:val="auto"/>
          <w:sz w:val="24"/>
          <w:szCs w:val="24"/>
          <w:highlight w:val="none"/>
        </w:rPr>
        <w:t>项目业主为</w:t>
      </w:r>
      <w:r>
        <w:rPr>
          <w:rFonts w:hint="eastAsia" w:ascii="宋体" w:hAnsi="宋体" w:cs="宋体"/>
          <w:color w:val="auto"/>
          <w:sz w:val="24"/>
          <w:szCs w:val="24"/>
          <w:highlight w:val="none"/>
          <w:u w:val="single"/>
          <w:lang w:eastAsia="zh-CN"/>
        </w:rPr>
        <w:t>横琴琴澳创新产业园开发建设有限公司</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rPr>
        <w:t>企业自筹</w:t>
      </w:r>
      <w:r>
        <w:rPr>
          <w:rFonts w:hint="eastAsia" w:ascii="宋体" w:hAnsi="宋体" w:eastAsia="宋体" w:cs="宋体"/>
          <w:color w:val="auto"/>
          <w:sz w:val="24"/>
          <w:szCs w:val="24"/>
          <w:highlight w:val="none"/>
          <w:u w:val="none"/>
        </w:rPr>
        <w:t>，出资比例为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。招标人为：</w:t>
      </w:r>
      <w:r>
        <w:rPr>
          <w:rFonts w:hint="eastAsia" w:ascii="宋体" w:hAnsi="宋体" w:cs="宋体"/>
          <w:color w:val="auto"/>
          <w:sz w:val="24"/>
          <w:szCs w:val="24"/>
          <w:highlight w:val="none"/>
          <w:u w:val="single"/>
          <w:lang w:eastAsia="zh-CN"/>
        </w:rPr>
        <w:t>横琴琴澳创新产业园开发建设有限公司</w:t>
      </w:r>
      <w:r>
        <w:rPr>
          <w:rFonts w:hint="eastAsia" w:ascii="宋体" w:hAnsi="宋体" w:eastAsia="宋体" w:cs="宋体"/>
          <w:color w:val="auto"/>
          <w:sz w:val="24"/>
          <w:szCs w:val="24"/>
          <w:highlight w:val="none"/>
        </w:rPr>
        <w:t>，项目已具备招标条件，现对该项目的投资收益分析和投融资开发模式（含高铁可持续运营方案）研究进行公开招标。</w:t>
      </w:r>
    </w:p>
    <w:p w14:paraId="622DB779">
      <w:pPr>
        <w:pStyle w:val="3"/>
        <w:spacing w:before="156" w:beforeLines="50" w:line="360" w:lineRule="auto"/>
        <w:rPr>
          <w:rFonts w:hint="eastAsia" w:ascii="宋体" w:hAnsi="宋体" w:eastAsia="宋体" w:cs="宋体"/>
          <w:color w:val="auto"/>
          <w:highlight w:val="none"/>
        </w:rPr>
      </w:pPr>
      <w:bookmarkStart w:id="6" w:name="_Toc535938696"/>
      <w:bookmarkStart w:id="7" w:name="_Toc529196505"/>
      <w:r>
        <w:rPr>
          <w:rFonts w:hint="eastAsia" w:ascii="宋体" w:hAnsi="宋体" w:eastAsia="宋体" w:cs="宋体"/>
          <w:color w:val="auto"/>
          <w:highlight w:val="none"/>
        </w:rPr>
        <w:t>2. 项目概况与招标范围</w:t>
      </w:r>
      <w:bookmarkEnd w:id="5"/>
      <w:bookmarkEnd w:id="6"/>
      <w:bookmarkEnd w:id="7"/>
    </w:p>
    <w:p w14:paraId="28CEB1EB">
      <w:pPr>
        <w:tabs>
          <w:tab w:val="left" w:pos="7513"/>
        </w:tabs>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2.1招标项目概况</w:t>
      </w:r>
    </w:p>
    <w:p w14:paraId="3CDFFD93">
      <w:pPr>
        <w:tabs>
          <w:tab w:val="left" w:pos="7513"/>
        </w:tabs>
        <w:spacing w:line="440" w:lineRule="exact"/>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2.1.1招标项目名称：</w:t>
      </w:r>
      <w:r>
        <w:rPr>
          <w:rFonts w:hint="eastAsia" w:ascii="宋体" w:hAnsi="宋体" w:cs="宋体"/>
          <w:color w:val="auto"/>
          <w:sz w:val="24"/>
          <w:szCs w:val="24"/>
          <w:highlight w:val="none"/>
          <w:u w:val="single"/>
          <w:lang w:eastAsia="zh-CN"/>
        </w:rPr>
        <w:t>横琴高铁站站城开发项目投资收益分析和投融资开发模式（含高铁可持续运营方案）研究</w:t>
      </w:r>
    </w:p>
    <w:p w14:paraId="0B72A670">
      <w:pPr>
        <w:tabs>
          <w:tab w:val="left" w:pos="7513"/>
        </w:tabs>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2.1.2工程建设规模：</w:t>
      </w:r>
      <w:r>
        <w:rPr>
          <w:rFonts w:hint="eastAsia" w:ascii="宋体" w:hAnsi="宋体" w:eastAsia="宋体" w:cs="宋体"/>
          <w:color w:val="auto"/>
          <w:sz w:val="24"/>
          <w:szCs w:val="24"/>
          <w:highlight w:val="none"/>
          <w:u w:val="single"/>
        </w:rPr>
        <w:t>项目研究范围为顺景路、小横琴山、万利东道、天沐河围合区域，总面积约150公顷；站城一体化核心区范围为顺景路、向阳西路、港澳大道、中心大道围合区域，面积约29公顷。</w:t>
      </w:r>
      <w:r>
        <w:rPr>
          <w:rFonts w:hint="eastAsia" w:ascii="宋体" w:hAnsi="宋体" w:cs="宋体"/>
          <w:color w:val="auto"/>
          <w:sz w:val="24"/>
          <w:szCs w:val="24"/>
          <w:highlight w:val="none"/>
          <w:u w:val="single"/>
          <w:lang w:val="en-US" w:eastAsia="zh-CN"/>
        </w:rPr>
        <w:t>以及广州至珠海（澳门）高铁鹤洲至横琴段合作区境内工程。</w:t>
      </w:r>
    </w:p>
    <w:p w14:paraId="1E3B2F96">
      <w:pPr>
        <w:tabs>
          <w:tab w:val="left" w:pos="7513"/>
        </w:tabs>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2.1.3工程建设地点：</w:t>
      </w:r>
      <w:r>
        <w:rPr>
          <w:rFonts w:hint="eastAsia" w:ascii="宋体" w:hAnsi="宋体" w:eastAsia="宋体" w:cs="宋体"/>
          <w:color w:val="auto"/>
          <w:sz w:val="24"/>
          <w:szCs w:val="24"/>
          <w:highlight w:val="none"/>
          <w:u w:val="single"/>
        </w:rPr>
        <w:t>位于</w:t>
      </w:r>
      <w:r>
        <w:rPr>
          <w:rFonts w:hint="eastAsia" w:ascii="宋体" w:hAnsi="宋体" w:cs="宋体"/>
          <w:color w:val="auto"/>
          <w:sz w:val="24"/>
          <w:szCs w:val="24"/>
          <w:highlight w:val="none"/>
          <w:u w:val="single"/>
        </w:rPr>
        <w:t>横琴粤澳深度合作区</w:t>
      </w:r>
      <w:r>
        <w:rPr>
          <w:rFonts w:hint="eastAsia" w:ascii="宋体" w:hAnsi="宋体" w:cs="宋体"/>
          <w:color w:val="auto"/>
          <w:sz w:val="24"/>
          <w:szCs w:val="24"/>
          <w:highlight w:val="none"/>
          <w:u w:val="single"/>
          <w:lang w:eastAsia="zh-CN"/>
        </w:rPr>
        <w:t>内</w:t>
      </w:r>
      <w:r>
        <w:rPr>
          <w:rFonts w:hint="eastAsia" w:ascii="宋体" w:hAnsi="宋体" w:eastAsia="宋体" w:cs="宋体"/>
          <w:color w:val="auto"/>
          <w:sz w:val="24"/>
          <w:szCs w:val="24"/>
          <w:highlight w:val="none"/>
          <w:u w:val="single"/>
        </w:rPr>
        <w:t>。</w:t>
      </w:r>
    </w:p>
    <w:p w14:paraId="0A64244F">
      <w:pPr>
        <w:tabs>
          <w:tab w:val="left" w:pos="7513"/>
        </w:tabs>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2.2招标范围</w:t>
      </w:r>
    </w:p>
    <w:p w14:paraId="217EA25D">
      <w:pPr>
        <w:tabs>
          <w:tab w:val="left" w:pos="7513"/>
        </w:tabs>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w:t>
      </w:r>
      <w:r>
        <w:rPr>
          <w:rFonts w:hint="eastAsia" w:ascii="宋体" w:hAnsi="宋体" w:eastAsia="宋体" w:cs="宋体"/>
          <w:bCs/>
          <w:color w:val="auto"/>
          <w:sz w:val="24"/>
          <w:highlight w:val="none"/>
        </w:rPr>
        <w:t>标段划分：</w:t>
      </w:r>
      <w:r>
        <w:rPr>
          <w:rFonts w:hint="eastAsia" w:ascii="宋体" w:hAnsi="宋体" w:eastAsia="宋体" w:cs="宋体"/>
          <w:color w:val="auto"/>
          <w:sz w:val="24"/>
          <w:highlight w:val="none"/>
          <w:u w:val="single"/>
        </w:rPr>
        <w:t>本项目设</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个标段</w:t>
      </w:r>
      <w:r>
        <w:rPr>
          <w:rFonts w:hint="eastAsia" w:ascii="宋体" w:hAnsi="宋体" w:eastAsia="宋体" w:cs="宋体"/>
          <w:color w:val="auto"/>
          <w:sz w:val="24"/>
          <w:highlight w:val="none"/>
          <w:u w:val="single"/>
          <w:lang w:val="en-US" w:eastAsia="zh-CN"/>
        </w:rPr>
        <w:t>。</w:t>
      </w:r>
    </w:p>
    <w:p w14:paraId="6D12C07D">
      <w:pPr>
        <w:spacing w:line="44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t>2.2.2</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范围：</w:t>
      </w:r>
      <w:r>
        <w:rPr>
          <w:rFonts w:hint="eastAsia" w:ascii="宋体" w:hAnsi="宋体" w:cs="宋体"/>
          <w:color w:val="auto"/>
          <w:sz w:val="24"/>
          <w:szCs w:val="24"/>
          <w:highlight w:val="none"/>
          <w:u w:val="single"/>
          <w:lang w:eastAsia="zh-CN"/>
        </w:rPr>
        <w:t>包括但不限于投资收益分析（含前期商策方案梳理与优化）专题</w:t>
      </w:r>
      <w:r>
        <w:rPr>
          <w:rFonts w:hint="eastAsia" w:ascii="宋体" w:hAnsi="宋体" w:cs="宋体"/>
          <w:color w:val="auto"/>
          <w:sz w:val="24"/>
          <w:szCs w:val="24"/>
          <w:highlight w:val="none"/>
          <w:u w:val="single"/>
          <w:lang w:val="en-US" w:eastAsia="zh-CN"/>
        </w:rPr>
        <w:t>研究、</w:t>
      </w:r>
      <w:r>
        <w:rPr>
          <w:rFonts w:hint="eastAsia" w:ascii="宋体" w:hAnsi="宋体" w:cs="宋体"/>
          <w:color w:val="auto"/>
          <w:sz w:val="24"/>
          <w:szCs w:val="24"/>
          <w:highlight w:val="none"/>
          <w:u w:val="single"/>
          <w:lang w:eastAsia="zh-CN"/>
        </w:rPr>
        <w:t>投融资开发模式专题</w:t>
      </w:r>
      <w:r>
        <w:rPr>
          <w:rFonts w:hint="eastAsia" w:ascii="宋体" w:hAnsi="宋体" w:cs="宋体"/>
          <w:color w:val="auto"/>
          <w:sz w:val="24"/>
          <w:szCs w:val="24"/>
          <w:highlight w:val="none"/>
          <w:u w:val="single"/>
          <w:lang w:val="en-US" w:eastAsia="zh-CN"/>
        </w:rPr>
        <w:t>研究</w:t>
      </w:r>
      <w:r>
        <w:rPr>
          <w:rFonts w:hint="eastAsia" w:ascii="宋体" w:hAnsi="宋体" w:cs="宋体"/>
          <w:color w:val="auto"/>
          <w:sz w:val="24"/>
          <w:szCs w:val="24"/>
          <w:highlight w:val="none"/>
          <w:u w:val="single"/>
          <w:lang w:eastAsia="zh-CN"/>
        </w:rPr>
        <w:t>、高铁可持续经营方案专题</w:t>
      </w:r>
      <w:r>
        <w:rPr>
          <w:rFonts w:hint="eastAsia" w:ascii="宋体" w:hAnsi="宋体" w:cs="宋体"/>
          <w:color w:val="auto"/>
          <w:sz w:val="24"/>
          <w:szCs w:val="24"/>
          <w:highlight w:val="none"/>
          <w:u w:val="single"/>
          <w:lang w:val="en-US" w:eastAsia="zh-CN"/>
        </w:rPr>
        <w:t>研究</w:t>
      </w:r>
      <w:r>
        <w:rPr>
          <w:rFonts w:hint="eastAsia" w:ascii="宋体" w:hAnsi="宋体" w:cs="宋体"/>
          <w:color w:val="auto"/>
          <w:sz w:val="24"/>
          <w:szCs w:val="24"/>
          <w:highlight w:val="none"/>
          <w:u w:val="single"/>
          <w:lang w:eastAsia="zh-CN"/>
        </w:rPr>
        <w:t>、站城一体化可持续物管和商管经营策略专题</w:t>
      </w:r>
      <w:r>
        <w:rPr>
          <w:rFonts w:hint="eastAsia" w:ascii="宋体" w:hAnsi="宋体" w:cs="宋体"/>
          <w:color w:val="auto"/>
          <w:sz w:val="24"/>
          <w:szCs w:val="24"/>
          <w:highlight w:val="none"/>
          <w:u w:val="single"/>
          <w:lang w:val="en-US" w:eastAsia="zh-CN"/>
        </w:rPr>
        <w:t>研究</w:t>
      </w:r>
      <w:r>
        <w:rPr>
          <w:rFonts w:hint="eastAsia" w:ascii="宋体" w:hAnsi="宋体" w:eastAsia="宋体" w:cs="宋体"/>
          <w:color w:val="auto"/>
          <w:sz w:val="24"/>
          <w:szCs w:val="24"/>
          <w:highlight w:val="none"/>
          <w:u w:val="single"/>
          <w:lang w:eastAsia="zh-CN"/>
        </w:rPr>
        <w:t>，具体要求详</w:t>
      </w:r>
      <w:r>
        <w:rPr>
          <w:rFonts w:hint="eastAsia" w:ascii="宋体" w:hAnsi="宋体" w:cs="宋体"/>
          <w:color w:val="auto"/>
          <w:sz w:val="24"/>
          <w:szCs w:val="24"/>
          <w:highlight w:val="none"/>
          <w:u w:val="single"/>
          <w:lang w:eastAsia="zh-CN"/>
        </w:rPr>
        <w:t>见委托人要求。</w:t>
      </w:r>
    </w:p>
    <w:p w14:paraId="702518D3">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2.2.3服务期限：</w:t>
      </w:r>
      <w:r>
        <w:rPr>
          <w:rFonts w:hint="eastAsia" w:ascii="宋体" w:hAnsi="宋体" w:cs="宋体"/>
          <w:color w:val="auto"/>
          <w:sz w:val="24"/>
          <w:szCs w:val="24"/>
          <w:highlight w:val="none"/>
          <w:u w:val="single"/>
          <w:lang w:eastAsia="zh-CN"/>
        </w:rPr>
        <w:t>服务期约</w:t>
      </w:r>
      <w:r>
        <w:rPr>
          <w:rFonts w:hint="eastAsia" w:ascii="宋体" w:hAnsi="宋体" w:cs="宋体"/>
          <w:color w:val="auto"/>
          <w:sz w:val="24"/>
          <w:szCs w:val="24"/>
          <w:highlight w:val="none"/>
          <w:u w:val="single"/>
          <w:lang w:val="en-US" w:eastAsia="zh-CN"/>
        </w:rPr>
        <w:t>12个月，2025年12月启动工作，2026年3月完成初稿，2026年6月完成核心区域站城融合一体化（综合体）部分的报告送审稿；2026年12月完成本次研究咨询整个范围的报告送审稿</w:t>
      </w:r>
      <w:r>
        <w:rPr>
          <w:rFonts w:hint="eastAsia" w:ascii="宋体" w:hAnsi="宋体" w:cs="宋体"/>
          <w:color w:val="auto"/>
          <w:sz w:val="24"/>
          <w:szCs w:val="24"/>
          <w:highlight w:val="none"/>
          <w:u w:val="single"/>
          <w:lang w:eastAsia="zh-CN"/>
        </w:rPr>
        <w:t>，具体要求详见委托人要求。</w:t>
      </w:r>
    </w:p>
    <w:p w14:paraId="4B6BF38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2.3服务费最高投标限价</w:t>
      </w:r>
      <w:r>
        <w:rPr>
          <w:rFonts w:hint="eastAsia" w:ascii="宋体" w:hAnsi="宋体" w:cs="宋体"/>
          <w:color w:val="auto"/>
          <w:kern w:val="2"/>
          <w:sz w:val="24"/>
          <w:szCs w:val="24"/>
          <w:highlight w:val="none"/>
          <w:lang w:val="en-US" w:eastAsia="zh-CN" w:bidi="ar-SA"/>
        </w:rPr>
        <w:t>（含税）</w:t>
      </w:r>
      <w:r>
        <w:rPr>
          <w:rFonts w:hint="eastAsia" w:ascii="宋体" w:hAnsi="宋体" w:eastAsia="宋体" w:cs="宋体"/>
          <w:color w:val="auto"/>
          <w:kern w:val="2"/>
          <w:sz w:val="24"/>
          <w:szCs w:val="24"/>
          <w:highlight w:val="none"/>
          <w:u w:val="none"/>
          <w:lang w:val="en-US" w:eastAsia="zh-CN" w:bidi="ar-SA"/>
        </w:rPr>
        <w:t>：</w:t>
      </w:r>
      <w:r>
        <w:rPr>
          <w:rFonts w:hint="eastAsia" w:ascii="宋体" w:hAnsi="宋体" w:eastAsia="宋体" w:cs="宋体"/>
          <w:color w:val="auto"/>
          <w:kern w:val="2"/>
          <w:sz w:val="24"/>
          <w:szCs w:val="24"/>
          <w:highlight w:val="none"/>
          <w:u w:val="single"/>
          <w:lang w:val="en-US" w:eastAsia="zh-CN" w:bidi="ar-SA"/>
        </w:rPr>
        <w:t>2,720,000.00元</w:t>
      </w:r>
      <w:r>
        <w:rPr>
          <w:rFonts w:hint="eastAsia" w:ascii="宋体" w:hAnsi="宋体" w:eastAsia="宋体" w:cs="宋体"/>
          <w:color w:val="auto"/>
          <w:kern w:val="2"/>
          <w:sz w:val="24"/>
          <w:szCs w:val="24"/>
          <w:highlight w:val="none"/>
          <w:lang w:val="en-US" w:eastAsia="zh-CN" w:bidi="ar-SA"/>
        </w:rPr>
        <w:t>。</w:t>
      </w:r>
    </w:p>
    <w:p w14:paraId="7318387E">
      <w:pPr>
        <w:pStyle w:val="3"/>
        <w:spacing w:before="312" w:beforeLines="100" w:line="360" w:lineRule="auto"/>
        <w:rPr>
          <w:rFonts w:hint="eastAsia" w:ascii="宋体" w:hAnsi="宋体" w:eastAsia="宋体" w:cs="宋体"/>
          <w:color w:val="auto"/>
          <w:highlight w:val="none"/>
        </w:rPr>
      </w:pPr>
      <w:bookmarkStart w:id="8" w:name="_Toc511557027"/>
      <w:bookmarkStart w:id="9" w:name="_Toc535938697"/>
      <w:bookmarkStart w:id="10" w:name="_Toc529196506"/>
      <w:r>
        <w:rPr>
          <w:rFonts w:hint="eastAsia" w:ascii="宋体" w:hAnsi="宋体" w:eastAsia="宋体" w:cs="宋体"/>
          <w:color w:val="auto"/>
          <w:highlight w:val="none"/>
        </w:rPr>
        <w:t>3. 投标人资格要求</w:t>
      </w:r>
      <w:bookmarkEnd w:id="8"/>
      <w:bookmarkEnd w:id="9"/>
      <w:bookmarkEnd w:id="10"/>
    </w:p>
    <w:p w14:paraId="14447438">
      <w:pPr>
        <w:spacing w:line="360" w:lineRule="auto"/>
        <w:ind w:firstLine="480" w:firstLineChars="200"/>
        <w:rPr>
          <w:rFonts w:hint="eastAsia" w:ascii="宋体" w:hAnsi="宋体" w:eastAsia="宋体" w:cs="宋体"/>
          <w:color w:val="auto"/>
          <w:sz w:val="24"/>
          <w:szCs w:val="24"/>
          <w:highlight w:val="none"/>
          <w:u w:val="single"/>
        </w:rPr>
      </w:pPr>
      <w:bookmarkStart w:id="11" w:name="_Toc535938699"/>
      <w:r>
        <w:rPr>
          <w:rFonts w:hint="eastAsia" w:ascii="宋体" w:hAnsi="宋体" w:eastAsia="宋体" w:cs="宋体"/>
          <w:color w:val="auto"/>
          <w:sz w:val="24"/>
          <w:szCs w:val="24"/>
          <w:highlight w:val="none"/>
        </w:rPr>
        <w:t>3.1投标人</w:t>
      </w:r>
      <w:r>
        <w:rPr>
          <w:rFonts w:hint="eastAsia" w:ascii="宋体" w:hAnsi="宋体" w:cs="宋体"/>
          <w:color w:val="auto"/>
          <w:sz w:val="24"/>
          <w:szCs w:val="24"/>
          <w:highlight w:val="none"/>
          <w:lang w:val="en-US" w:eastAsia="zh-CN"/>
        </w:rPr>
        <w:t>（如联合体投标，指负责相应工作内容的一方）</w:t>
      </w:r>
      <w:r>
        <w:rPr>
          <w:rFonts w:hint="eastAsia" w:ascii="宋体" w:hAnsi="宋体" w:eastAsia="宋体" w:cs="宋体"/>
          <w:color w:val="auto"/>
          <w:sz w:val="24"/>
          <w:szCs w:val="24"/>
          <w:highlight w:val="none"/>
        </w:rPr>
        <w:t>须在“全国投资项目在线审批监管平台”完成工程咨询单位备案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须包含</w:t>
      </w:r>
      <w:r>
        <w:rPr>
          <w:rFonts w:hint="default" w:ascii="宋体" w:hAnsi="宋体" w:eastAsia="宋体" w:cs="宋体"/>
          <w:color w:val="auto"/>
          <w:sz w:val="24"/>
          <w:szCs w:val="24"/>
          <w:highlight w:val="none"/>
          <w:u w:val="single"/>
        </w:rPr>
        <w:t>①</w:t>
      </w:r>
      <w:r>
        <w:rPr>
          <w:rFonts w:hint="eastAsia" w:ascii="宋体" w:hAnsi="宋体" w:eastAsia="宋体" w:cs="宋体"/>
          <w:color w:val="auto"/>
          <w:sz w:val="24"/>
          <w:szCs w:val="24"/>
          <w:highlight w:val="none"/>
          <w:u w:val="single"/>
          <w:lang w:eastAsia="zh-CN"/>
        </w:rPr>
        <w:t>建筑专业的</w:t>
      </w:r>
      <w:r>
        <w:rPr>
          <w:rFonts w:hint="eastAsia" w:ascii="宋体" w:hAnsi="宋体" w:eastAsia="宋体" w:cs="宋体"/>
          <w:color w:val="auto"/>
          <w:sz w:val="24"/>
          <w:szCs w:val="24"/>
          <w:highlight w:val="none"/>
          <w:lang w:val="en-US" w:eastAsia="zh-CN"/>
        </w:rPr>
        <w:t>项目咨询</w:t>
      </w:r>
      <w:r>
        <w:rPr>
          <w:rFonts w:hint="eastAsia" w:ascii="宋体" w:hAnsi="宋体" w:eastAsia="宋体" w:cs="宋体"/>
          <w:color w:val="auto"/>
          <w:sz w:val="24"/>
          <w:szCs w:val="24"/>
          <w:highlight w:val="none"/>
          <w:u w:val="single"/>
          <w:lang w:eastAsia="zh-CN"/>
        </w:rPr>
        <w:t>、</w:t>
      </w:r>
      <w:r>
        <w:rPr>
          <w:rFonts w:hint="default" w:ascii="宋体" w:hAnsi="宋体" w:eastAsia="宋体" w:cs="宋体"/>
          <w:color w:val="auto"/>
          <w:sz w:val="24"/>
          <w:szCs w:val="24"/>
          <w:highlight w:val="none"/>
          <w:u w:val="single"/>
          <w:lang w:eastAsia="zh-CN"/>
        </w:rPr>
        <w:t>②</w:t>
      </w:r>
      <w:r>
        <w:rPr>
          <w:rFonts w:hint="eastAsia" w:ascii="宋体" w:hAnsi="宋体" w:eastAsia="宋体" w:cs="宋体"/>
          <w:color w:val="auto"/>
          <w:sz w:val="24"/>
          <w:szCs w:val="24"/>
          <w:highlight w:val="none"/>
          <w:u w:val="single"/>
        </w:rPr>
        <w:t>铁路、城市轨道交通</w:t>
      </w:r>
      <w:r>
        <w:rPr>
          <w:rFonts w:hint="eastAsia" w:ascii="宋体" w:hAnsi="宋体" w:eastAsia="宋体" w:cs="宋体"/>
          <w:color w:val="auto"/>
          <w:sz w:val="24"/>
          <w:szCs w:val="24"/>
          <w:highlight w:val="none"/>
          <w:u w:val="single"/>
          <w:lang w:eastAsia="zh-CN"/>
        </w:rPr>
        <w:t>专业的</w:t>
      </w:r>
      <w:r>
        <w:rPr>
          <w:rFonts w:hint="eastAsia" w:ascii="宋体" w:hAnsi="宋体" w:eastAsia="宋体" w:cs="宋体"/>
          <w:color w:val="auto"/>
          <w:sz w:val="24"/>
          <w:szCs w:val="24"/>
          <w:highlight w:val="none"/>
          <w:lang w:val="en-US" w:eastAsia="zh-CN"/>
        </w:rPr>
        <w:t>项目咨询</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投标人需提供全国投资项目在线审批监管平台完成咨询业务备案的截图，能够反映合格条件的相关要求</w:t>
      </w:r>
      <w:r>
        <w:rPr>
          <w:rFonts w:hint="eastAsia" w:ascii="宋体" w:hAnsi="宋体" w:cs="宋体"/>
          <w:color w:val="auto"/>
          <w:sz w:val="24"/>
          <w:szCs w:val="24"/>
          <w:highlight w:val="none"/>
          <w:u w:val="single"/>
          <w:lang w:eastAsia="zh-CN"/>
        </w:rPr>
        <w:t>）</w:t>
      </w:r>
    </w:p>
    <w:p w14:paraId="279690F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3.2</w:t>
      </w:r>
      <w:r>
        <w:rPr>
          <w:rFonts w:hint="eastAsia" w:ascii="宋体" w:hAnsi="宋体" w:eastAsia="宋体" w:cs="宋体"/>
          <w:color w:val="auto"/>
          <w:sz w:val="24"/>
          <w:szCs w:val="24"/>
          <w:highlight w:val="none"/>
        </w:rPr>
        <w:t>本次招标</w:t>
      </w:r>
      <w:r>
        <w:rPr>
          <w:rFonts w:hint="eastAsia" w:ascii="宋体" w:hAnsi="宋体" w:eastAsia="宋体" w:cs="宋体"/>
          <w:color w:val="auto"/>
          <w:sz w:val="24"/>
          <w:szCs w:val="24"/>
          <w:highlight w:val="none"/>
          <w:u w:val="single"/>
        </w:rPr>
        <w:t>接受</w:t>
      </w:r>
      <w:r>
        <w:rPr>
          <w:rFonts w:hint="eastAsia" w:ascii="宋体" w:hAnsi="宋体" w:eastAsia="宋体" w:cs="宋体"/>
          <w:color w:val="auto"/>
          <w:sz w:val="24"/>
          <w:szCs w:val="24"/>
          <w:highlight w:val="none"/>
        </w:rPr>
        <w:t>联合体投标</w:t>
      </w:r>
      <w:r>
        <w:rPr>
          <w:rFonts w:hint="eastAsia" w:ascii="宋体" w:hAnsi="宋体" w:cs="宋体"/>
          <w:color w:val="auto"/>
          <w:sz w:val="24"/>
          <w:szCs w:val="24"/>
          <w:highlight w:val="none"/>
          <w:lang w:eastAsia="zh-CN"/>
        </w:rPr>
        <w:t>，联合体成员不能多于[3]家</w:t>
      </w:r>
      <w:r>
        <w:rPr>
          <w:rFonts w:hint="eastAsia" w:ascii="宋体" w:hAnsi="宋体" w:eastAsia="宋体" w:cs="宋体"/>
          <w:color w:val="auto"/>
          <w:sz w:val="24"/>
          <w:szCs w:val="24"/>
          <w:highlight w:val="none"/>
        </w:rPr>
        <w:t>。</w:t>
      </w:r>
    </w:p>
    <w:p w14:paraId="5279DD5D">
      <w:pPr>
        <w:widowControl w:val="0"/>
        <w:adjustRightInd w:val="0"/>
        <w:spacing w:line="360" w:lineRule="auto"/>
        <w:ind w:right="6" w:firstLine="480" w:firstLineChars="200"/>
        <w:jc w:val="both"/>
        <w:rPr>
          <w:rFonts w:ascii="宋体" w:hAnsi="宋体" w:cs="宋体"/>
          <w:color w:val="auto"/>
          <w:sz w:val="24"/>
          <w:szCs w:val="24"/>
          <w:highlight w:val="none"/>
          <w:u w:val="single"/>
        </w:rPr>
      </w:pPr>
      <w:r>
        <w:rPr>
          <w:rFonts w:ascii="宋体" w:hAnsi="宋体" w:cs="宋体"/>
          <w:color w:val="auto"/>
          <w:sz w:val="24"/>
          <w:szCs w:val="24"/>
          <w:highlight w:val="none"/>
          <w:u w:val="single"/>
        </w:rPr>
        <w:t>联合体需</w:t>
      </w:r>
      <w:r>
        <w:rPr>
          <w:rFonts w:hint="eastAsia" w:ascii="宋体" w:hAnsi="宋体"/>
          <w:color w:val="auto"/>
          <w:sz w:val="24"/>
          <w:highlight w:val="none"/>
          <w:u w:val="single"/>
        </w:rPr>
        <w:t>签订联合体协议</w:t>
      </w:r>
      <w:r>
        <w:rPr>
          <w:rFonts w:hint="eastAsia" w:ascii="宋体" w:hAnsi="宋体" w:cs="宋体"/>
          <w:color w:val="auto"/>
          <w:sz w:val="24"/>
          <w:szCs w:val="24"/>
          <w:highlight w:val="none"/>
          <w:u w:val="single"/>
        </w:rPr>
        <w:t>（格式见招标公告附件二）</w:t>
      </w:r>
      <w:r>
        <w:rPr>
          <w:rFonts w:hint="eastAsia" w:ascii="宋体" w:hAnsi="宋体"/>
          <w:color w:val="auto"/>
          <w:sz w:val="24"/>
          <w:highlight w:val="none"/>
          <w:u w:val="single"/>
        </w:rPr>
        <w:t>，并</w:t>
      </w:r>
      <w:r>
        <w:rPr>
          <w:rFonts w:ascii="宋体" w:hAnsi="宋体" w:cs="宋体"/>
          <w:color w:val="auto"/>
          <w:sz w:val="24"/>
          <w:szCs w:val="24"/>
          <w:highlight w:val="none"/>
          <w:u w:val="single"/>
        </w:rPr>
        <w:t>在联合体协议书中明确联合体</w:t>
      </w:r>
      <w:r>
        <w:rPr>
          <w:rFonts w:hint="eastAsia" w:ascii="宋体" w:hAnsi="宋体" w:cs="宋体"/>
          <w:color w:val="auto"/>
          <w:sz w:val="24"/>
          <w:szCs w:val="24"/>
          <w:highlight w:val="none"/>
          <w:u w:val="single"/>
        </w:rPr>
        <w:t>各</w:t>
      </w:r>
      <w:r>
        <w:rPr>
          <w:rFonts w:ascii="宋体" w:hAnsi="宋体" w:cs="宋体"/>
          <w:color w:val="auto"/>
          <w:sz w:val="24"/>
          <w:szCs w:val="24"/>
          <w:highlight w:val="none"/>
          <w:u w:val="single"/>
        </w:rPr>
        <w:t>方各自的职责分工。</w:t>
      </w:r>
      <w:r>
        <w:rPr>
          <w:rFonts w:hint="eastAsia" w:ascii="宋体" w:hAnsi="宋体"/>
          <w:color w:val="auto"/>
          <w:sz w:val="24"/>
          <w:highlight w:val="none"/>
          <w:u w:val="single"/>
        </w:rPr>
        <w:t>拟派的项目负责人</w:t>
      </w:r>
      <w:r>
        <w:rPr>
          <w:rFonts w:hint="eastAsia" w:ascii="宋体" w:hAnsi="宋体" w:cs="宋体"/>
          <w:color w:val="auto"/>
          <w:sz w:val="24"/>
          <w:szCs w:val="24"/>
          <w:highlight w:val="none"/>
          <w:u w:val="single"/>
        </w:rPr>
        <w:t>须为联合体主办方</w:t>
      </w:r>
      <w:r>
        <w:rPr>
          <w:rFonts w:hint="eastAsia" w:ascii="宋体" w:hAnsi="宋体"/>
          <w:color w:val="auto"/>
          <w:sz w:val="24"/>
          <w:highlight w:val="none"/>
          <w:u w:val="single"/>
        </w:rPr>
        <w:t>正式员工</w:t>
      </w:r>
      <w:r>
        <w:rPr>
          <w:rFonts w:hint="eastAsia" w:ascii="宋体" w:hAnsi="宋体" w:cs="宋体"/>
          <w:color w:val="auto"/>
          <w:sz w:val="24"/>
          <w:szCs w:val="24"/>
          <w:highlight w:val="none"/>
          <w:u w:val="single"/>
        </w:rPr>
        <w:t>。</w:t>
      </w:r>
    </w:p>
    <w:p w14:paraId="4EDABB98">
      <w:pPr>
        <w:widowControl w:val="0"/>
        <w:adjustRightInd w:val="0"/>
        <w:spacing w:line="360" w:lineRule="auto"/>
        <w:ind w:firstLine="480" w:firstLineChars="200"/>
        <w:jc w:val="both"/>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联合体各方不得再以自己名义单独或加入其他联合体参加本项目的投标。</w:t>
      </w:r>
      <w:r>
        <w:rPr>
          <w:rFonts w:hint="eastAsia" w:ascii="宋体" w:hAnsi="宋体" w:cs="宋体"/>
          <w:b/>
          <w:bCs/>
          <w:color w:val="auto"/>
          <w:sz w:val="24"/>
          <w:szCs w:val="24"/>
          <w:highlight w:val="none"/>
          <w:u w:val="single"/>
        </w:rPr>
        <w:t>组成联合体投标各方在投标登记</w:t>
      </w:r>
      <w:r>
        <w:rPr>
          <w:rFonts w:hint="eastAsia" w:ascii="宋体" w:hAnsi="宋体" w:cs="宋体"/>
          <w:b/>
          <w:bCs/>
          <w:color w:val="auto"/>
          <w:sz w:val="24"/>
          <w:szCs w:val="24"/>
          <w:highlight w:val="none"/>
          <w:u w:val="single"/>
          <w:lang w:eastAsia="zh-CN"/>
        </w:rPr>
        <w:t>截止</w:t>
      </w:r>
      <w:r>
        <w:rPr>
          <w:rFonts w:hint="eastAsia" w:ascii="宋体" w:hAnsi="宋体" w:cs="宋体"/>
          <w:b/>
          <w:bCs/>
          <w:color w:val="auto"/>
          <w:sz w:val="24"/>
          <w:szCs w:val="24"/>
          <w:highlight w:val="none"/>
          <w:u w:val="single"/>
        </w:rPr>
        <w:t>后，不得再变更其组织形式及成员构成。</w:t>
      </w:r>
      <w:r>
        <w:rPr>
          <w:rFonts w:hint="eastAsia" w:ascii="宋体" w:hAnsi="宋体" w:cs="宋体"/>
          <w:color w:val="auto"/>
          <w:sz w:val="24"/>
          <w:szCs w:val="24"/>
          <w:highlight w:val="none"/>
          <w:u w:val="single"/>
        </w:rPr>
        <w:t>出现上述情况者，其投标申请和与此有关的联合体的投标将被拒绝。</w:t>
      </w:r>
    </w:p>
    <w:p w14:paraId="394E94B3">
      <w:pPr>
        <w:widowControl w:val="0"/>
        <w:adjustRightInd w:val="0"/>
        <w:spacing w:line="360" w:lineRule="auto"/>
        <w:ind w:firstLine="480" w:firstLineChars="200"/>
        <w:jc w:val="both"/>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联合体投标时，《联合体共同投标协议》需填妥并由联合体各方共同签字盖章；投标文件其他内容落款中的“投标人</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或</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投标单位”应填写联合体各方单位的全称【格式为：(主)XXXX公司(成)XXXX公司】，需要盖章或签字的部分可仅由联合体主办方盖章或签字即可。联合体投标的法定代表人证明书及授权委托证明书可由联合体主办方出具，其中“单位”一栏可只填写联合体主办方名称，并由联合体主办方签字、盖章。</w:t>
      </w:r>
    </w:p>
    <w:p w14:paraId="417E6A6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其他要求： </w:t>
      </w:r>
    </w:p>
    <w:p w14:paraId="7AB33F66">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①投标人参加投标的意思表达清楚，投标人代表被授权有效。</w:t>
      </w:r>
    </w:p>
    <w:p w14:paraId="50D90103">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②投标人均具有独立法人资格，持有有效的工商行政（或市场监管）管理部门核发的法人营业执照，按国家法律经营。</w:t>
      </w:r>
    </w:p>
    <w:p w14:paraId="4B1A8429">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③投标人已按规定格式签名《投标人声明》（格式见本招标公告附件一）。</w:t>
      </w:r>
    </w:p>
    <w:p w14:paraId="7F585995">
      <w:pPr>
        <w:spacing w:line="440" w:lineRule="exact"/>
        <w:ind w:firstLine="480" w:firstLineChars="200"/>
        <w:rPr>
          <w:rFonts w:hint="eastAsia" w:ascii="宋体" w:hAnsi="宋体" w:eastAsia="宋体" w:cs="宋体"/>
          <w:color w:val="auto"/>
          <w:kern w:val="0"/>
          <w:sz w:val="24"/>
          <w:highlight w:val="none"/>
          <w:u w:val="none"/>
        </w:rPr>
      </w:pPr>
      <w:r>
        <w:rPr>
          <w:rFonts w:hint="eastAsia" w:ascii="宋体" w:hAnsi="宋体" w:eastAsia="宋体" w:cs="宋体"/>
          <w:color w:val="auto"/>
          <w:sz w:val="24"/>
          <w:szCs w:val="24"/>
          <w:highlight w:val="none"/>
          <w:u w:val="none"/>
        </w:rPr>
        <w:t>④</w:t>
      </w:r>
      <w:r>
        <w:rPr>
          <w:rFonts w:hint="eastAsia" w:ascii="宋体" w:hAnsi="宋体"/>
          <w:b w:val="0"/>
          <w:bCs w:val="0"/>
          <w:color w:val="auto"/>
          <w:sz w:val="24"/>
          <w:highlight w:val="none"/>
          <w:u w:val="none"/>
        </w:rPr>
        <w:t>资格审查前，</w:t>
      </w:r>
      <w:r>
        <w:rPr>
          <w:rFonts w:hint="eastAsia" w:ascii="宋体" w:hAnsi="宋体" w:eastAsia="宋体" w:cs="宋体"/>
          <w:color w:val="auto"/>
          <w:sz w:val="24"/>
          <w:highlight w:val="none"/>
          <w:u w:val="none"/>
        </w:rPr>
        <w:t>投标人</w:t>
      </w:r>
      <w:r>
        <w:rPr>
          <w:rFonts w:hint="eastAsia" w:ascii="宋体" w:hAnsi="宋体" w:eastAsia="宋体" w:cs="宋体"/>
          <w:color w:val="auto"/>
          <w:sz w:val="24"/>
          <w:szCs w:val="24"/>
          <w:highlight w:val="none"/>
          <w:u w:val="none"/>
        </w:rPr>
        <w:t>（</w:t>
      </w:r>
      <w:r>
        <w:rPr>
          <w:rFonts w:hint="eastAsia" w:ascii="宋体" w:hAnsi="宋体"/>
          <w:b w:val="0"/>
          <w:bCs w:val="0"/>
          <w:color w:val="auto"/>
          <w:sz w:val="24"/>
          <w:highlight w:val="none"/>
          <w:u w:val="none"/>
        </w:rPr>
        <w:t>须在广州公共资源交易平台企业库办理企业信息登记。企业诚信档案取自投标截止时间投标人在企业库内的信息，投标人无需提交相关资料，若招标人延长递交投标文件截止时间的，信用档案信息的评审时点也相应延长（企业信息</w:t>
      </w:r>
      <w:r>
        <w:rPr>
          <w:rFonts w:hint="eastAsia" w:ascii="宋体" w:hAnsi="宋体"/>
          <w:b w:val="0"/>
          <w:bCs w:val="0"/>
          <w:color w:val="auto"/>
          <w:sz w:val="24"/>
          <w:highlight w:val="none"/>
          <w:u w:val="none"/>
          <w:lang w:eastAsia="zh-CN"/>
        </w:rPr>
        <w:t>登记办理详见</w:t>
      </w:r>
      <w:r>
        <w:rPr>
          <w:rFonts w:hint="eastAsia" w:ascii="宋体" w:hAnsi="宋体"/>
          <w:b w:val="0"/>
          <w:bCs w:val="0"/>
          <w:color w:val="auto"/>
          <w:sz w:val="24"/>
          <w:highlight w:val="none"/>
          <w:u w:val="none"/>
        </w:rPr>
        <w:t>广州公共资源交易平台企业库办理</w:t>
      </w:r>
      <w:r>
        <w:rPr>
          <w:rFonts w:hint="eastAsia" w:ascii="宋体" w:hAnsi="宋体"/>
          <w:b w:val="0"/>
          <w:bCs w:val="0"/>
          <w:color w:val="auto"/>
          <w:sz w:val="24"/>
          <w:highlight w:val="none"/>
          <w:u w:val="none"/>
          <w:lang w:eastAsia="zh-CN"/>
        </w:rPr>
        <w:t>相关指引）</w:t>
      </w:r>
      <w:r>
        <w:rPr>
          <w:rFonts w:hint="eastAsia" w:ascii="宋体" w:hAnsi="宋体"/>
          <w:b w:val="0"/>
          <w:bCs w:val="0"/>
          <w:color w:val="auto"/>
          <w:sz w:val="24"/>
          <w:highlight w:val="none"/>
          <w:u w:val="none"/>
        </w:rPr>
        <w:t>。</w:t>
      </w:r>
    </w:p>
    <w:p w14:paraId="430E94B8">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⑥投标人未出现以下情形：与本项目其它投标人的单位负责人为同一人或者存在控股、管理关系的（按投标人提供的《投标人声明》第六条内容进行评审）。如不同投标人出现单位负责人为同一人或者存在控股、管理关系的情形，则相关投标均无效。</w:t>
      </w:r>
    </w:p>
    <w:p w14:paraId="6DEDAD42">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highlight w:val="none"/>
          <w:u w:val="single"/>
        </w:rPr>
        <w:t>注：未在招标公告第3条单列的投标人资格要求条件，不作为资审不合格的依据。</w:t>
      </w:r>
    </w:p>
    <w:p w14:paraId="2886D305">
      <w:pPr>
        <w:pStyle w:val="3"/>
        <w:spacing w:before="312" w:beforeLines="100" w:line="360" w:lineRule="auto"/>
        <w:rPr>
          <w:rFonts w:hint="eastAsia" w:ascii="宋体" w:hAnsi="宋体" w:eastAsia="宋体" w:cs="宋体"/>
          <w:color w:val="auto"/>
          <w:highlight w:val="none"/>
        </w:rPr>
      </w:pPr>
      <w:r>
        <w:rPr>
          <w:rFonts w:hint="eastAsia" w:ascii="宋体" w:hAnsi="宋体" w:eastAsia="宋体" w:cs="宋体"/>
          <w:color w:val="auto"/>
          <w:highlight w:val="none"/>
        </w:rPr>
        <w:t>4.招标文件的获取</w:t>
      </w:r>
    </w:p>
    <w:p w14:paraId="1926E591">
      <w:pPr>
        <w:spacing w:line="440" w:lineRule="exact"/>
        <w:ind w:left="239" w:leftChars="114" w:firstLine="321" w:firstLineChars="134"/>
        <w:rPr>
          <w:rFonts w:hint="eastAsia" w:ascii="宋体" w:hAnsi="宋体" w:eastAsia="宋体" w:cs="宋体"/>
          <w:color w:val="auto"/>
          <w:sz w:val="24"/>
          <w:szCs w:val="24"/>
          <w:highlight w:val="none"/>
        </w:rPr>
      </w:pPr>
      <w:bookmarkStart w:id="12" w:name="_Toc3471142"/>
      <w:bookmarkStart w:id="13" w:name="_Toc514099628"/>
      <w:r>
        <w:rPr>
          <w:rFonts w:hint="eastAsia" w:ascii="宋体" w:hAnsi="宋体" w:eastAsia="宋体" w:cs="宋体"/>
          <w:color w:val="auto"/>
          <w:sz w:val="24"/>
          <w:szCs w:val="24"/>
          <w:highlight w:val="none"/>
        </w:rPr>
        <w:t>4.1凡有意参加投标者，请于</w:t>
      </w:r>
      <w:r>
        <w:rPr>
          <w:rFonts w:hint="eastAsia" w:ascii="宋体" w:hAnsi="宋体" w:eastAsia="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分(北京时间，下同)，登录</w:t>
      </w:r>
      <w:r>
        <w:rPr>
          <w:rFonts w:hint="eastAsia" w:ascii="宋体" w:hAnsi="宋体" w:eastAsia="宋体" w:cs="宋体"/>
          <w:color w:val="auto"/>
          <w:sz w:val="24"/>
          <w:szCs w:val="24"/>
          <w:highlight w:val="none"/>
          <w:u w:val="single"/>
        </w:rPr>
        <w:t>广州交易集团有限公司（广州公共资源交易中心）网站（网址：http://www.gzggzy.cn）</w:t>
      </w:r>
      <w:r>
        <w:rPr>
          <w:rFonts w:hint="eastAsia" w:ascii="宋体" w:hAnsi="宋体" w:eastAsia="宋体" w:cs="宋体"/>
          <w:color w:val="auto"/>
          <w:sz w:val="24"/>
          <w:szCs w:val="24"/>
          <w:highlight w:val="none"/>
        </w:rPr>
        <w:t>下载电子招标文件。</w:t>
      </w:r>
    </w:p>
    <w:p w14:paraId="46685350">
      <w:pPr>
        <w:spacing w:line="440" w:lineRule="exact"/>
        <w:ind w:firstLine="564" w:firstLineChars="235"/>
        <w:rPr>
          <w:rFonts w:hint="eastAsia" w:ascii="宋体" w:hAnsi="宋体" w:eastAsia="宋体" w:cs="宋体"/>
          <w:color w:val="auto"/>
          <w:sz w:val="24"/>
          <w:szCs w:val="24"/>
          <w:highlight w:val="none"/>
        </w:rPr>
      </w:pPr>
      <w:bookmarkStart w:id="14" w:name="_Toc511557030"/>
      <w:r>
        <w:rPr>
          <w:rFonts w:hint="eastAsia" w:ascii="宋体" w:hAnsi="宋体" w:eastAsia="宋体" w:cs="宋体"/>
          <w:color w:val="auto"/>
          <w:sz w:val="24"/>
          <w:szCs w:val="24"/>
          <w:highlight w:val="none"/>
        </w:rPr>
        <w:t>4.2 发布招标公告时间（含本日）</w:t>
      </w:r>
      <w:r>
        <w:rPr>
          <w:rFonts w:hint="eastAsia" w:ascii="宋体" w:hAnsi="宋体" w:eastAsia="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4B3219F6">
      <w:pPr>
        <w:spacing w:line="360" w:lineRule="auto"/>
        <w:ind w:left="-238" w:firstLine="566" w:firstLineChars="235"/>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注：发布招标公告的时间为招标公告发出之日起至递交投标文件截止时间止。</w:t>
      </w:r>
    </w:p>
    <w:bookmarkEnd w:id="12"/>
    <w:bookmarkEnd w:id="13"/>
    <w:bookmarkEnd w:id="14"/>
    <w:p w14:paraId="4D4F09FF">
      <w:pPr>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4.3 </w:t>
      </w:r>
      <w:r>
        <w:rPr>
          <w:rFonts w:hint="eastAsia" w:ascii="宋体" w:hAnsi="宋体" w:eastAsia="宋体" w:cs="宋体"/>
          <w:color w:val="auto"/>
          <w:kern w:val="0"/>
          <w:sz w:val="24"/>
          <w:szCs w:val="24"/>
          <w:highlight w:val="none"/>
        </w:rPr>
        <w:t>本项目设立投标登记环节，采取</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0"/>
          <w:sz w:val="24"/>
          <w:szCs w:val="24"/>
          <w:highlight w:val="none"/>
          <w:u w:val="single"/>
        </w:rPr>
        <w:t>网上投标登记</w:t>
      </w:r>
      <w:r>
        <w:rPr>
          <w:rFonts w:hint="eastAsia" w:ascii="宋体" w:hAnsi="宋体" w:eastAsia="宋体" w:cs="宋体"/>
          <w:color w:val="auto"/>
          <w:kern w:val="0"/>
          <w:sz w:val="24"/>
          <w:szCs w:val="24"/>
          <w:highlight w:val="none"/>
        </w:rPr>
        <w:t>方式进行投标登记</w:t>
      </w:r>
      <w:r>
        <w:rPr>
          <w:rFonts w:hint="eastAsia" w:ascii="宋体" w:hAnsi="宋体" w:cs="宋体"/>
          <w:b/>
          <w:bCs/>
          <w:color w:val="auto"/>
          <w:sz w:val="24"/>
          <w:highlight w:val="none"/>
        </w:rPr>
        <w:t>（如为联合体投标，需按交易平台要求进行联合体投标登记）</w:t>
      </w:r>
      <w:r>
        <w:rPr>
          <w:rFonts w:hint="eastAsia" w:ascii="宋体" w:hAnsi="宋体" w:eastAsia="宋体" w:cs="宋体"/>
          <w:color w:val="auto"/>
          <w:kern w:val="0"/>
          <w:sz w:val="24"/>
          <w:szCs w:val="24"/>
          <w:highlight w:val="none"/>
        </w:rPr>
        <w:t>，不接受现场投标登记</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参加投标登记之前，投标人应查询本企业在</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0"/>
          <w:sz w:val="24"/>
          <w:szCs w:val="24"/>
          <w:highlight w:val="none"/>
        </w:rPr>
        <w:t>的信息登记的状态，确保一切信息都是真实的、在有效期内的，以免出现相关信息不能被使用。上述情况有可能导致投标信息无法录入</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0"/>
          <w:sz w:val="24"/>
          <w:szCs w:val="24"/>
          <w:highlight w:val="none"/>
        </w:rPr>
        <w:t>信息系统。如出现上述情况，投标人有可能失去投标机会，因其可能所引起的一切后果由投标人承担。电子招投标操作流程详见</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0"/>
          <w:sz w:val="24"/>
          <w:szCs w:val="24"/>
          <w:highlight w:val="none"/>
        </w:rPr>
        <w:t>网站发布的最新版操作指引）。</w:t>
      </w:r>
    </w:p>
    <w:p w14:paraId="0C35FAA0">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4.3.1投标登记时间：</w:t>
      </w:r>
      <w:r>
        <w:rPr>
          <w:rFonts w:hint="eastAsia" w:ascii="宋体" w:hAnsi="宋体" w:eastAsia="宋体" w:cs="宋体"/>
          <w:color w:val="auto"/>
          <w:kern w:val="0"/>
          <w:sz w:val="24"/>
          <w:szCs w:val="24"/>
          <w:highlight w:val="none"/>
          <w:u w:val="single"/>
        </w:rPr>
        <w:t>20</w:t>
      </w:r>
      <w:r>
        <w:rPr>
          <w:rFonts w:hint="eastAsia" w:ascii="宋体" w:hAnsi="宋体" w:cs="宋体"/>
          <w:color w:val="auto"/>
          <w:kern w:val="0"/>
          <w:sz w:val="24"/>
          <w:szCs w:val="24"/>
          <w:highlight w:val="none"/>
          <w:u w:val="single"/>
          <w:lang w:val="en-US" w:eastAsia="zh-CN"/>
        </w:rPr>
        <w:t>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分至</w:t>
      </w:r>
      <w:r>
        <w:rPr>
          <w:rFonts w:hint="eastAsia" w:ascii="宋体" w:hAnsi="宋体" w:eastAsia="宋体" w:cs="宋体"/>
          <w:color w:val="auto"/>
          <w:kern w:val="0"/>
          <w:sz w:val="24"/>
          <w:szCs w:val="24"/>
          <w:highlight w:val="none"/>
          <w:u w:val="single"/>
        </w:rPr>
        <w:t>20</w:t>
      </w:r>
      <w:r>
        <w:rPr>
          <w:rFonts w:hint="eastAsia" w:ascii="宋体" w:hAnsi="宋体" w:cs="宋体"/>
          <w:color w:val="auto"/>
          <w:kern w:val="0"/>
          <w:sz w:val="24"/>
          <w:szCs w:val="24"/>
          <w:highlight w:val="none"/>
          <w:u w:val="single"/>
          <w:lang w:val="en-US" w:eastAsia="zh-CN"/>
        </w:rPr>
        <w:t>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4472504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本项目采用资格后审方式。</w:t>
      </w:r>
    </w:p>
    <w:p w14:paraId="470C4D7C">
      <w:pPr>
        <w:pStyle w:val="3"/>
        <w:spacing w:before="312" w:beforeLines="100" w:line="360" w:lineRule="auto"/>
        <w:rPr>
          <w:rFonts w:hint="eastAsia" w:ascii="宋体" w:hAnsi="宋体" w:eastAsia="宋体" w:cs="宋体"/>
          <w:color w:val="auto"/>
          <w:highlight w:val="none"/>
        </w:rPr>
      </w:pPr>
      <w:r>
        <w:rPr>
          <w:rFonts w:hint="eastAsia" w:ascii="宋体" w:hAnsi="宋体" w:eastAsia="宋体" w:cs="宋体"/>
          <w:color w:val="auto"/>
          <w:highlight w:val="none"/>
        </w:rPr>
        <w:t>5. 投标文件的递交</w:t>
      </w:r>
      <w:bookmarkEnd w:id="11"/>
    </w:p>
    <w:p w14:paraId="64414E05">
      <w:pPr>
        <w:pStyle w:val="18"/>
        <w:spacing w:line="440" w:lineRule="exact"/>
        <w:ind w:firstLine="480" w:firstLineChars="200"/>
        <w:rPr>
          <w:rFonts w:hint="eastAsia" w:ascii="宋体" w:hAnsi="宋体" w:eastAsia="宋体" w:cs="宋体"/>
          <w:color w:val="auto"/>
          <w:kern w:val="2"/>
          <w:sz w:val="24"/>
          <w:szCs w:val="24"/>
          <w:highlight w:val="none"/>
        </w:rPr>
      </w:pPr>
      <w:bookmarkStart w:id="15" w:name="_Toc535938700"/>
      <w:r>
        <w:rPr>
          <w:rFonts w:hint="eastAsia" w:ascii="宋体" w:hAnsi="宋体" w:eastAsia="宋体" w:cs="宋体"/>
          <w:color w:val="auto"/>
          <w:kern w:val="2"/>
          <w:sz w:val="24"/>
          <w:szCs w:val="24"/>
          <w:highlight w:val="none"/>
        </w:rPr>
        <w:t>5.1 投标文件递交的截止时间（投标截止时间，下同）为</w:t>
      </w:r>
      <w:r>
        <w:rPr>
          <w:rFonts w:hint="eastAsia" w:ascii="宋体" w:hAnsi="宋体" w:eastAsia="宋体" w:cs="宋体"/>
          <w:color w:val="auto"/>
          <w:kern w:val="2"/>
          <w:sz w:val="24"/>
          <w:szCs w:val="24"/>
          <w:highlight w:val="none"/>
          <w:u w:val="single"/>
        </w:rPr>
        <w:t>20</w:t>
      </w:r>
      <w:r>
        <w:rPr>
          <w:rFonts w:hint="eastAsia" w:ascii="宋体" w:hAnsi="宋体" w:eastAsia="宋体" w:cs="宋体"/>
          <w:color w:val="auto"/>
          <w:kern w:val="2"/>
          <w:sz w:val="24"/>
          <w:szCs w:val="24"/>
          <w:highlight w:val="none"/>
          <w:u w:val="single"/>
          <w:lang w:val="en-US" w:eastAsia="zh-CN"/>
        </w:rPr>
        <w:t>25</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分，投标人应在截止时间前通过</w:t>
      </w:r>
      <w:r>
        <w:rPr>
          <w:rFonts w:hint="eastAsia" w:ascii="宋体" w:hAnsi="宋体" w:eastAsia="宋体" w:cs="宋体"/>
          <w:color w:val="auto"/>
          <w:kern w:val="2"/>
          <w:sz w:val="24"/>
          <w:szCs w:val="24"/>
          <w:highlight w:val="none"/>
          <w:u w:val="single"/>
        </w:rPr>
        <w:t>广州交易集团有限公司（广州公共资源交易中心）数字交易平台（网址：http://www.gzggzy.cn）</w:t>
      </w:r>
      <w:r>
        <w:rPr>
          <w:rFonts w:hint="eastAsia" w:ascii="宋体" w:hAnsi="宋体" w:eastAsia="宋体" w:cs="宋体"/>
          <w:color w:val="auto"/>
          <w:kern w:val="2"/>
          <w:sz w:val="24"/>
          <w:szCs w:val="24"/>
          <w:highlight w:val="none"/>
        </w:rPr>
        <w:t>递交电子投标文件。</w:t>
      </w:r>
    </w:p>
    <w:p w14:paraId="5239128C">
      <w:pPr>
        <w:pStyle w:val="18"/>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5.2 递交备用投标文件电子光盘</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U盘）</w:t>
      </w:r>
      <w:r>
        <w:rPr>
          <w:rFonts w:hint="eastAsia" w:ascii="宋体" w:hAnsi="宋体" w:eastAsia="宋体" w:cs="宋体"/>
          <w:color w:val="auto"/>
          <w:kern w:val="2"/>
          <w:sz w:val="24"/>
          <w:szCs w:val="24"/>
          <w:highlight w:val="none"/>
        </w:rPr>
        <w:t>时间为：</w:t>
      </w:r>
      <w:r>
        <w:rPr>
          <w:rFonts w:hint="eastAsia" w:ascii="宋体" w:hAnsi="宋体" w:eastAsia="宋体" w:cs="宋体"/>
          <w:color w:val="auto"/>
          <w:kern w:val="2"/>
          <w:sz w:val="24"/>
          <w:szCs w:val="24"/>
          <w:highlight w:val="none"/>
          <w:u w:val="single"/>
        </w:rPr>
        <w:t>20</w:t>
      </w:r>
      <w:r>
        <w:rPr>
          <w:rFonts w:hint="eastAsia" w:ascii="宋体" w:hAnsi="宋体" w:eastAsia="宋体" w:cs="宋体"/>
          <w:color w:val="auto"/>
          <w:kern w:val="2"/>
          <w:sz w:val="24"/>
          <w:szCs w:val="24"/>
          <w:highlight w:val="none"/>
          <w:u w:val="single"/>
          <w:lang w:val="en-US" w:eastAsia="zh-CN"/>
        </w:rPr>
        <w:t>25</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分至</w:t>
      </w:r>
      <w:r>
        <w:rPr>
          <w:rFonts w:hint="eastAsia" w:ascii="宋体" w:hAnsi="宋体" w:eastAsia="宋体" w:cs="宋体"/>
          <w:color w:val="auto"/>
          <w:kern w:val="2"/>
          <w:sz w:val="24"/>
          <w:szCs w:val="24"/>
          <w:highlight w:val="none"/>
          <w:u w:val="single"/>
        </w:rPr>
        <w:t>20</w:t>
      </w:r>
      <w:r>
        <w:rPr>
          <w:rFonts w:hint="eastAsia" w:ascii="宋体" w:hAnsi="宋体" w:eastAsia="宋体" w:cs="宋体"/>
          <w:color w:val="auto"/>
          <w:kern w:val="2"/>
          <w:sz w:val="24"/>
          <w:szCs w:val="24"/>
          <w:highlight w:val="none"/>
          <w:u w:val="single"/>
          <w:lang w:val="en-US" w:eastAsia="zh-CN"/>
        </w:rPr>
        <w:t xml:space="preserve">25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分；地点：</w:t>
      </w:r>
      <w:r>
        <w:rPr>
          <w:rFonts w:hint="eastAsia" w:ascii="宋体" w:hAnsi="宋体" w:eastAsia="宋体" w:cs="宋体"/>
          <w:color w:val="auto"/>
          <w:kern w:val="2"/>
          <w:sz w:val="24"/>
          <w:szCs w:val="24"/>
          <w:highlight w:val="none"/>
          <w:u w:val="single"/>
        </w:rPr>
        <w:t>广州交易集团有限公司（广州公共资源交易中心）第  开标室</w:t>
      </w:r>
      <w:r>
        <w:rPr>
          <w:rFonts w:hint="eastAsia" w:ascii="宋体" w:hAnsi="宋体" w:eastAsia="宋体" w:cs="宋体"/>
          <w:color w:val="auto"/>
          <w:kern w:val="2"/>
          <w:sz w:val="24"/>
          <w:szCs w:val="24"/>
          <w:highlight w:val="none"/>
        </w:rPr>
        <w:t>。</w:t>
      </w:r>
      <w:r>
        <w:rPr>
          <w:rFonts w:hint="eastAsia" w:ascii="宋体" w:hAnsi="宋体" w:eastAsia="宋体" w:cs="宋体"/>
          <w:b/>
          <w:bCs/>
          <w:color w:val="auto"/>
          <w:kern w:val="2"/>
          <w:sz w:val="24"/>
          <w:szCs w:val="24"/>
          <w:highlight w:val="none"/>
          <w:u w:val="single"/>
        </w:rPr>
        <w:t>凭法定代表人证明书原件、授权委托书原件（仅限于非法定代表人）、本人身份证原件递交</w:t>
      </w:r>
      <w:r>
        <w:rPr>
          <w:rFonts w:hint="eastAsia" w:ascii="宋体" w:hAnsi="宋体" w:eastAsia="宋体" w:cs="宋体"/>
          <w:b/>
          <w:bCs/>
          <w:color w:val="auto"/>
          <w:kern w:val="2"/>
          <w:sz w:val="24"/>
          <w:szCs w:val="24"/>
          <w:highlight w:val="none"/>
          <w:u w:val="none"/>
        </w:rPr>
        <w:t>。</w:t>
      </w:r>
      <w:r>
        <w:rPr>
          <w:rFonts w:hint="eastAsia" w:ascii="宋体" w:hAnsi="宋体" w:eastAsia="宋体" w:cs="宋体"/>
          <w:color w:val="auto"/>
          <w:kern w:val="2"/>
          <w:sz w:val="24"/>
          <w:szCs w:val="24"/>
          <w:highlight w:val="none"/>
          <w:u w:val="none"/>
        </w:rPr>
        <w:t>（</w:t>
      </w:r>
      <w:r>
        <w:rPr>
          <w:rFonts w:hint="eastAsia" w:ascii="宋体" w:hAnsi="宋体" w:eastAsia="宋体" w:cs="宋体"/>
          <w:color w:val="auto"/>
          <w:kern w:val="2"/>
          <w:sz w:val="24"/>
          <w:szCs w:val="24"/>
          <w:highlight w:val="none"/>
        </w:rPr>
        <w:t>电子光盘</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U盘）</w:t>
      </w:r>
      <w:r>
        <w:rPr>
          <w:rFonts w:hint="eastAsia" w:ascii="宋体" w:hAnsi="宋体" w:eastAsia="宋体" w:cs="宋体"/>
          <w:color w:val="auto"/>
          <w:kern w:val="2"/>
          <w:sz w:val="24"/>
          <w:szCs w:val="24"/>
          <w:highlight w:val="none"/>
        </w:rPr>
        <w:t>需按规定封装。投标人在将数据刻录到光盘</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U盘）</w:t>
      </w:r>
      <w:r>
        <w:rPr>
          <w:rFonts w:hint="eastAsia" w:ascii="宋体" w:hAnsi="宋体" w:eastAsia="宋体" w:cs="宋体"/>
          <w:color w:val="auto"/>
          <w:kern w:val="2"/>
          <w:sz w:val="24"/>
          <w:szCs w:val="24"/>
          <w:highlight w:val="none"/>
        </w:rPr>
        <w:t>之后，投标前自行检查文件是否可以读取）。</w:t>
      </w:r>
    </w:p>
    <w:p w14:paraId="34CA3EA2">
      <w:pPr>
        <w:widowControl/>
        <w:shd w:val="clear" w:color="auto" w:fill="FFFFFF"/>
        <w:spacing w:line="360" w:lineRule="auto"/>
        <w:ind w:firstLine="537" w:firstLineChars="22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逾期送达的投标文件，电子招标投标交易平台将予以拒收。逾期未上传成功的电子投标文件，招标人拒绝接收。逾期或未在指定地点递交投标文件光盘</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U盘）</w:t>
      </w:r>
      <w:r>
        <w:rPr>
          <w:rFonts w:hint="eastAsia" w:ascii="宋体" w:hAnsi="宋体" w:eastAsia="宋体" w:cs="宋体"/>
          <w:color w:val="auto"/>
          <w:sz w:val="24"/>
          <w:szCs w:val="24"/>
          <w:highlight w:val="none"/>
        </w:rPr>
        <w:t>的,招标人拒绝接收其投标文件光盘</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U盘）</w:t>
      </w:r>
      <w:r>
        <w:rPr>
          <w:rFonts w:hint="eastAsia" w:ascii="宋体" w:hAnsi="宋体" w:eastAsia="宋体" w:cs="宋体"/>
          <w:color w:val="auto"/>
          <w:sz w:val="24"/>
          <w:szCs w:val="24"/>
          <w:highlight w:val="none"/>
        </w:rPr>
        <w:t>。</w:t>
      </w:r>
    </w:p>
    <w:p w14:paraId="22C307A2">
      <w:pPr>
        <w:pStyle w:val="18"/>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5.4 开标时间：</w:t>
      </w:r>
      <w:r>
        <w:rPr>
          <w:rFonts w:hint="eastAsia" w:ascii="宋体" w:hAnsi="宋体" w:eastAsia="宋体" w:cs="宋体"/>
          <w:color w:val="auto"/>
          <w:kern w:val="2"/>
          <w:sz w:val="24"/>
          <w:szCs w:val="24"/>
          <w:highlight w:val="none"/>
          <w:u w:val="single"/>
        </w:rPr>
        <w:t>20</w:t>
      </w:r>
      <w:r>
        <w:rPr>
          <w:rFonts w:hint="eastAsia" w:ascii="宋体" w:hAnsi="宋体" w:eastAsia="宋体" w:cs="宋体"/>
          <w:color w:val="auto"/>
          <w:kern w:val="2"/>
          <w:sz w:val="24"/>
          <w:szCs w:val="24"/>
          <w:highlight w:val="none"/>
          <w:u w:val="single"/>
          <w:lang w:val="en-US" w:eastAsia="zh-CN"/>
        </w:rPr>
        <w:t>25</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分。地点：</w:t>
      </w:r>
      <w:r>
        <w:rPr>
          <w:rFonts w:hint="eastAsia" w:ascii="宋体" w:hAnsi="宋体" w:eastAsia="宋体" w:cs="宋体"/>
          <w:color w:val="auto"/>
          <w:kern w:val="2"/>
          <w:sz w:val="24"/>
          <w:szCs w:val="24"/>
          <w:highlight w:val="none"/>
          <w:u w:val="single"/>
        </w:rPr>
        <w:t>广州交易集团有限公司（广州公共资源交易中心）第  开标室</w:t>
      </w:r>
      <w:r>
        <w:rPr>
          <w:rFonts w:hint="eastAsia" w:ascii="宋体" w:hAnsi="宋体" w:eastAsia="宋体" w:cs="宋体"/>
          <w:color w:val="auto"/>
          <w:kern w:val="2"/>
          <w:sz w:val="24"/>
          <w:szCs w:val="24"/>
          <w:highlight w:val="none"/>
        </w:rPr>
        <w:t>。</w:t>
      </w:r>
    </w:p>
    <w:p w14:paraId="1DF13B37">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5.5 递交投标文件截止时间及开标时间是否有变化，请密切留意</w:t>
      </w:r>
      <w:r>
        <w:rPr>
          <w:rFonts w:hint="eastAsia" w:ascii="宋体" w:hAnsi="宋体" w:eastAsia="宋体" w:cs="宋体"/>
          <w:color w:val="auto"/>
          <w:kern w:val="2"/>
          <w:sz w:val="24"/>
          <w:szCs w:val="24"/>
          <w:highlight w:val="none"/>
          <w:u w:val="single"/>
        </w:rPr>
        <w:t>广州交易集团有限公司（广州公共资源交易中心）</w:t>
      </w:r>
      <w:r>
        <w:rPr>
          <w:rFonts w:hint="eastAsia" w:ascii="宋体" w:hAnsi="宋体" w:eastAsia="宋体" w:cs="宋体"/>
          <w:color w:val="auto"/>
          <w:kern w:val="2"/>
          <w:sz w:val="24"/>
          <w:szCs w:val="24"/>
          <w:highlight w:val="none"/>
        </w:rPr>
        <w:t>网站中的相关信息。递交投标文件截止时间后，投标文件评审时间因故推迟的，相关资审信息仍以原递交投标文件截止时间的信息为准。本项目各项投标活动具体可通过</w:t>
      </w:r>
      <w:r>
        <w:rPr>
          <w:rFonts w:hint="eastAsia" w:ascii="宋体" w:hAnsi="宋体" w:eastAsia="宋体" w:cs="宋体"/>
          <w:color w:val="auto"/>
          <w:kern w:val="2"/>
          <w:sz w:val="24"/>
          <w:szCs w:val="24"/>
          <w:highlight w:val="none"/>
          <w:u w:val="single"/>
        </w:rPr>
        <w:t>广州交易集团有限公司（广州公共资源交易中心）</w:t>
      </w:r>
      <w:r>
        <w:rPr>
          <w:rFonts w:hint="eastAsia" w:ascii="宋体" w:hAnsi="宋体" w:eastAsia="宋体" w:cs="宋体"/>
          <w:color w:val="auto"/>
          <w:kern w:val="2"/>
          <w:sz w:val="24"/>
          <w:szCs w:val="24"/>
          <w:highlight w:val="none"/>
        </w:rPr>
        <w:t>网站查询具体的时间和场地安排。</w:t>
      </w:r>
    </w:p>
    <w:p w14:paraId="1ADADC6B">
      <w:pPr>
        <w:pStyle w:val="3"/>
        <w:spacing w:before="312" w:beforeLines="100" w:line="360" w:lineRule="auto"/>
        <w:rPr>
          <w:rFonts w:hint="eastAsia" w:ascii="宋体" w:hAnsi="宋体" w:eastAsia="宋体" w:cs="宋体"/>
          <w:color w:val="auto"/>
          <w:highlight w:val="none"/>
        </w:rPr>
      </w:pPr>
      <w:r>
        <w:rPr>
          <w:rFonts w:hint="eastAsia" w:ascii="宋体" w:hAnsi="宋体" w:eastAsia="宋体" w:cs="宋体"/>
          <w:color w:val="auto"/>
          <w:highlight w:val="none"/>
        </w:rPr>
        <w:t>6.</w:t>
      </w:r>
      <w:bookmarkEnd w:id="15"/>
      <w:bookmarkStart w:id="16" w:name="_Toc535938701"/>
      <w:r>
        <w:rPr>
          <w:rFonts w:hint="eastAsia" w:ascii="宋体" w:hAnsi="宋体" w:eastAsia="宋体" w:cs="宋体"/>
          <w:color w:val="auto"/>
          <w:highlight w:val="none"/>
        </w:rPr>
        <w:t>发布公告的媒介</w:t>
      </w:r>
      <w:bookmarkEnd w:id="16"/>
    </w:p>
    <w:p w14:paraId="297BA561">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次招标公告同时在广州交易集团有限公司（广州公共资源交易中心）网站（网址：http://www.gzggzy.cn/）和中国招标投标公共服务平台（网址：http：//www.cebpubservice.com/）等媒体上发布，本公告的修改、补充，在广州交易集团有限公司（广州公共资源交易中心）网站上发布。</w:t>
      </w:r>
    </w:p>
    <w:p w14:paraId="5D5555E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6.2潜在投标人或利害关系人对本招标公告及招标文件有异议的，应当在投标截止时间10日前向招标人提出。</w:t>
      </w:r>
    </w:p>
    <w:p w14:paraId="2678D782">
      <w:pPr>
        <w:pStyle w:val="18"/>
        <w:widowControl/>
        <w:spacing w:line="400" w:lineRule="exact"/>
        <w:ind w:firstLine="484" w:firstLineChars="202"/>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异议受理部门：</w:t>
      </w:r>
      <w:r>
        <w:rPr>
          <w:rFonts w:hint="eastAsia" w:ascii="宋体" w:hAnsi="宋体" w:eastAsia="宋体" w:cs="宋体"/>
          <w:color w:val="auto"/>
          <w:kern w:val="2"/>
          <w:sz w:val="24"/>
          <w:szCs w:val="24"/>
          <w:highlight w:val="none"/>
          <w:u w:val="single"/>
          <w:lang w:eastAsia="zh-CN"/>
        </w:rPr>
        <w:t>横琴琴澳创新产业园开发建设有限公司</w:t>
      </w:r>
    </w:p>
    <w:p w14:paraId="6C9F7A0C">
      <w:pPr>
        <w:pStyle w:val="18"/>
        <w:widowControl/>
        <w:spacing w:line="400" w:lineRule="exact"/>
        <w:ind w:firstLine="484" w:firstLineChars="202"/>
        <w:rPr>
          <w:rFonts w:hint="default"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rPr>
        <w:t>异议受理电话：</w:t>
      </w:r>
      <w:r>
        <w:rPr>
          <w:rFonts w:hint="eastAsia" w:ascii="宋体" w:hAnsi="宋体" w:eastAsia="宋体" w:cs="宋体"/>
          <w:color w:val="auto"/>
          <w:kern w:val="2"/>
          <w:sz w:val="24"/>
          <w:szCs w:val="24"/>
          <w:highlight w:val="none"/>
          <w:u w:val="single"/>
          <w:lang w:val="en-US" w:eastAsia="zh-CN"/>
        </w:rPr>
        <w:t>崔工、18666996859</w:t>
      </w:r>
    </w:p>
    <w:p w14:paraId="6064F7BC">
      <w:pPr>
        <w:pStyle w:val="18"/>
        <w:widowControl/>
        <w:spacing w:line="400" w:lineRule="exact"/>
        <w:ind w:firstLine="484" w:firstLineChars="202"/>
        <w:rPr>
          <w:rFonts w:hint="default"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rPr>
        <w:t>联系地址：</w:t>
      </w:r>
      <w:r>
        <w:rPr>
          <w:rFonts w:hint="eastAsia" w:ascii="宋体" w:hAnsi="宋体" w:eastAsia="宋体" w:cs="宋体"/>
          <w:color w:val="auto"/>
          <w:sz w:val="24"/>
          <w:szCs w:val="24"/>
          <w:highlight w:val="none"/>
          <w:u w:val="single"/>
        </w:rPr>
        <w:t>广东横琴粤澳深度合作区宝兴路49-59号</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403</w:t>
      </w:r>
    </w:p>
    <w:p w14:paraId="2BF40BEA">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rPr>
        <w:t>注：</w:t>
      </w:r>
      <w:r>
        <w:rPr>
          <w:rFonts w:hint="eastAsia" w:ascii="宋体" w:hAnsi="宋体" w:eastAsia="宋体" w:cs="宋体"/>
          <w:b/>
          <w:bCs/>
          <w:color w:val="auto"/>
          <w:sz w:val="24"/>
          <w:szCs w:val="24"/>
          <w:highlight w:val="non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3"/>
    <w:bookmarkEnd w:id="4"/>
    <w:p w14:paraId="5D665137">
      <w:pPr>
        <w:pStyle w:val="3"/>
        <w:spacing w:before="312" w:beforeLines="100" w:line="360" w:lineRule="auto"/>
        <w:rPr>
          <w:rFonts w:hint="eastAsia" w:ascii="宋体" w:hAnsi="宋体" w:eastAsia="宋体" w:cs="宋体"/>
          <w:color w:val="auto"/>
          <w:highlight w:val="none"/>
        </w:rPr>
      </w:pPr>
      <w:bookmarkStart w:id="17" w:name="_Toc529196510"/>
      <w:bookmarkStart w:id="18" w:name="_Toc516170523"/>
      <w:bookmarkStart w:id="19" w:name="_Toc511557031"/>
      <w:bookmarkStart w:id="20" w:name="_Toc535938702"/>
      <w:bookmarkStart w:id="21" w:name="_Toc247527537"/>
      <w:bookmarkStart w:id="22" w:name="_Toc384308189"/>
      <w:bookmarkStart w:id="23" w:name="_Toc144974482"/>
      <w:bookmarkStart w:id="24" w:name="_Toc2312"/>
      <w:bookmarkStart w:id="25" w:name="_Toc152045514"/>
      <w:bookmarkStart w:id="26" w:name="_Toc247513936"/>
      <w:bookmarkStart w:id="27" w:name="_Toc369531499"/>
      <w:bookmarkStart w:id="28" w:name="_Toc152042290"/>
      <w:bookmarkStart w:id="29" w:name="_Toc361508564"/>
      <w:bookmarkStart w:id="30" w:name="_Toc300834931"/>
      <w:bookmarkStart w:id="31" w:name="_Toc352691457"/>
      <w:r>
        <w:rPr>
          <w:rFonts w:hint="eastAsia" w:ascii="宋体" w:hAnsi="宋体" w:eastAsia="宋体" w:cs="宋体"/>
          <w:color w:val="auto"/>
          <w:highlight w:val="none"/>
        </w:rPr>
        <w:t>7.联系方式</w:t>
      </w:r>
      <w:bookmarkEnd w:id="17"/>
      <w:bookmarkEnd w:id="18"/>
      <w:bookmarkEnd w:id="19"/>
      <w:bookmarkEnd w:id="20"/>
    </w:p>
    <w:bookmarkEnd w:id="21"/>
    <w:bookmarkEnd w:id="22"/>
    <w:bookmarkEnd w:id="23"/>
    <w:bookmarkEnd w:id="24"/>
    <w:bookmarkEnd w:id="25"/>
    <w:bookmarkEnd w:id="26"/>
    <w:bookmarkEnd w:id="27"/>
    <w:bookmarkEnd w:id="28"/>
    <w:bookmarkEnd w:id="29"/>
    <w:bookmarkEnd w:id="30"/>
    <w:bookmarkEnd w:id="31"/>
    <w:p w14:paraId="59C16E67">
      <w:pPr>
        <w:spacing w:line="44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招标人：</w:t>
      </w:r>
      <w:r>
        <w:rPr>
          <w:rFonts w:hint="eastAsia" w:ascii="宋体" w:hAnsi="宋体" w:cs="宋体"/>
          <w:color w:val="auto"/>
          <w:sz w:val="24"/>
          <w:szCs w:val="24"/>
          <w:highlight w:val="none"/>
          <w:u w:val="single"/>
          <w:lang w:eastAsia="zh-CN"/>
        </w:rPr>
        <w:t>横琴琴澳创新产业园开发建设有限公司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CE97F71">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广东横琴粤澳深度合作区宝兴路49-59号 403</w:t>
      </w:r>
    </w:p>
    <w:p w14:paraId="7FCAA258">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kern w:val="2"/>
          <w:sz w:val="24"/>
          <w:szCs w:val="24"/>
          <w:highlight w:val="none"/>
          <w:u w:val="single"/>
          <w:lang w:val="en-US" w:eastAsia="zh-CN"/>
        </w:rPr>
        <w:t>崔工</w:t>
      </w:r>
      <w:r>
        <w:rPr>
          <w:rFonts w:hint="eastAsia" w:ascii="宋体" w:hAnsi="宋体" w:eastAsia="宋体" w:cs="宋体"/>
          <w:color w:val="auto"/>
          <w:sz w:val="24"/>
          <w:szCs w:val="24"/>
          <w:highlight w:val="none"/>
        </w:rPr>
        <w:t xml:space="preserve">                               </w:t>
      </w:r>
    </w:p>
    <w:p w14:paraId="70962C43">
      <w:pPr>
        <w:topLinePunct/>
        <w:spacing w:line="360" w:lineRule="auto"/>
        <w:ind w:left="120" w:right="360"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kern w:val="2"/>
          <w:sz w:val="24"/>
          <w:szCs w:val="24"/>
          <w:highlight w:val="none"/>
          <w:u w:val="single"/>
          <w:lang w:val="en-US" w:eastAsia="zh-CN"/>
        </w:rPr>
        <w:t>18666996859</w:t>
      </w:r>
      <w:r>
        <w:rPr>
          <w:rFonts w:hint="eastAsia" w:ascii="宋体" w:hAnsi="宋体" w:eastAsia="宋体" w:cs="宋体"/>
          <w:color w:val="auto"/>
          <w:sz w:val="24"/>
          <w:szCs w:val="24"/>
          <w:highlight w:val="none"/>
        </w:rPr>
        <w:t xml:space="preserve">     </w:t>
      </w:r>
    </w:p>
    <w:p w14:paraId="109DB68D">
      <w:pPr>
        <w:spacing w:line="360" w:lineRule="auto"/>
        <w:ind w:right="360"/>
        <w:jc w:val="left"/>
        <w:rPr>
          <w:rFonts w:hint="eastAsia" w:ascii="宋体" w:hAnsi="宋体" w:eastAsia="宋体" w:cs="宋体"/>
          <w:color w:val="auto"/>
          <w:sz w:val="24"/>
          <w:szCs w:val="24"/>
          <w:highlight w:val="none"/>
        </w:rPr>
      </w:pPr>
    </w:p>
    <w:p w14:paraId="44B74075">
      <w:pPr>
        <w:spacing w:line="360" w:lineRule="auto"/>
        <w:ind w:right="36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lang w:eastAsia="zh-CN"/>
        </w:rPr>
        <w:t>建成工程咨询股份有限公司</w:t>
      </w:r>
    </w:p>
    <w:p w14:paraId="4DB644B6">
      <w:pPr>
        <w:topLinePunct/>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u w:val="single"/>
        </w:rPr>
        <w:t>广州市</w:t>
      </w:r>
      <w:r>
        <w:rPr>
          <w:rFonts w:hint="eastAsia" w:ascii="宋体" w:hAnsi="宋体" w:eastAsia="宋体" w:cs="宋体"/>
          <w:color w:val="auto"/>
          <w:sz w:val="24"/>
          <w:szCs w:val="24"/>
          <w:highlight w:val="none"/>
          <w:u w:val="single"/>
          <w:lang w:eastAsia="zh-CN"/>
        </w:rPr>
        <w:t>越秀区东风中路</w:t>
      </w:r>
      <w:r>
        <w:rPr>
          <w:rFonts w:hint="eastAsia" w:ascii="宋体" w:hAnsi="宋体" w:eastAsia="宋体" w:cs="宋体"/>
          <w:color w:val="auto"/>
          <w:sz w:val="24"/>
          <w:szCs w:val="24"/>
          <w:highlight w:val="none"/>
          <w:u w:val="single"/>
          <w:lang w:val="en-US" w:eastAsia="zh-CN"/>
        </w:rPr>
        <w:t>318号22楼</w:t>
      </w:r>
      <w:bookmarkStart w:id="34" w:name="_GoBack"/>
      <w:bookmarkEnd w:id="34"/>
    </w:p>
    <w:p w14:paraId="0541EFC0">
      <w:pPr>
        <w:topLinePunct/>
        <w:spacing w:line="360" w:lineRule="auto"/>
        <w:ind w:left="7486" w:hanging="7485" w:hangingChars="3119"/>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cs="宋体"/>
          <w:color w:val="auto"/>
          <w:sz w:val="24"/>
          <w:highlight w:val="none"/>
          <w:u w:val="single"/>
          <w:lang w:eastAsia="zh-CN"/>
        </w:rPr>
        <w:t>梁工</w:t>
      </w:r>
      <w:r>
        <w:rPr>
          <w:rFonts w:hint="eastAsia" w:ascii="宋体" w:hAnsi="宋体" w:eastAsia="宋体" w:cs="宋体"/>
          <w:color w:val="auto"/>
          <w:sz w:val="24"/>
          <w:highlight w:val="none"/>
        </w:rPr>
        <w:t xml:space="preserve">    </w:t>
      </w:r>
    </w:p>
    <w:p w14:paraId="72A1B0B1">
      <w:pPr>
        <w:topLinePunct/>
        <w:spacing w:line="360" w:lineRule="auto"/>
        <w:ind w:left="7486" w:hanging="7485" w:hangingChars="3119"/>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highlight w:val="none"/>
        </w:rPr>
        <w:t>联系电话：</w:t>
      </w:r>
      <w:r>
        <w:rPr>
          <w:rFonts w:hint="eastAsia" w:ascii="宋体" w:hAnsi="宋体" w:eastAsia="宋体" w:cs="宋体"/>
          <w:color w:val="auto"/>
          <w:sz w:val="24"/>
          <w:szCs w:val="24"/>
          <w:highlight w:val="none"/>
          <w:u w:val="single"/>
        </w:rPr>
        <w:t>020-8</w:t>
      </w:r>
      <w:r>
        <w:rPr>
          <w:rFonts w:hint="eastAsia" w:ascii="宋体" w:hAnsi="宋体" w:eastAsia="宋体" w:cs="宋体"/>
          <w:color w:val="auto"/>
          <w:sz w:val="24"/>
          <w:szCs w:val="24"/>
          <w:highlight w:val="none"/>
          <w:u w:val="single"/>
          <w:lang w:val="en-US" w:eastAsia="zh-CN"/>
        </w:rPr>
        <w:t>3630072</w:t>
      </w:r>
    </w:p>
    <w:p w14:paraId="36973D85">
      <w:pPr>
        <w:snapToGrid w:val="0"/>
        <w:spacing w:line="440" w:lineRule="exact"/>
        <w:ind w:firstLine="400" w:firstLineChars="200"/>
        <w:rPr>
          <w:rFonts w:hint="eastAsia" w:ascii="宋体" w:hAnsi="宋体" w:eastAsia="宋体" w:cs="宋体"/>
          <w:color w:val="auto"/>
          <w:sz w:val="20"/>
          <w:szCs w:val="20"/>
          <w:highlight w:val="none"/>
        </w:rPr>
      </w:pPr>
    </w:p>
    <w:p w14:paraId="39084B55">
      <w:pPr>
        <w:topLinePunct/>
        <w:spacing w:line="360" w:lineRule="auto"/>
        <w:ind w:left="7486" w:hanging="7485" w:hangingChars="3119"/>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招标监督机构：</w:t>
      </w:r>
      <w:r>
        <w:rPr>
          <w:rFonts w:hint="eastAsia" w:ascii="宋体" w:hAnsi="宋体" w:eastAsia="宋体" w:cs="宋体"/>
          <w:color w:val="auto"/>
          <w:sz w:val="24"/>
          <w:szCs w:val="24"/>
          <w:highlight w:val="none"/>
          <w:u w:val="single"/>
          <w:lang w:val="en-US" w:eastAsia="zh-CN" w:bidi="ar"/>
        </w:rPr>
        <w:t>横琴深合投资有限公司</w:t>
      </w:r>
    </w:p>
    <w:p w14:paraId="37D1A6D2">
      <w:pPr>
        <w:topLinePunct/>
        <w:spacing w:line="360" w:lineRule="auto"/>
        <w:ind w:left="7486" w:hanging="7485" w:hangingChars="3119"/>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地址：</w:t>
      </w:r>
      <w:r>
        <w:rPr>
          <w:rFonts w:hint="eastAsia" w:ascii="宋体" w:hAnsi="宋体" w:eastAsia="宋体" w:cs="宋体"/>
          <w:color w:val="auto"/>
          <w:sz w:val="24"/>
          <w:szCs w:val="24"/>
          <w:highlight w:val="none"/>
          <w:u w:val="single"/>
          <w:lang w:val="en-US" w:eastAsia="zh-CN" w:bidi="ar"/>
        </w:rPr>
        <w:t>广东横琴粤澳深度合作区宝兴路49-59号</w:t>
      </w:r>
      <w:r>
        <w:rPr>
          <w:rFonts w:hint="eastAsia" w:ascii="宋体" w:hAnsi="宋体" w:eastAsia="宋体" w:cs="宋体"/>
          <w:color w:val="auto"/>
          <w:sz w:val="24"/>
          <w:szCs w:val="24"/>
          <w:highlight w:val="none"/>
          <w:lang w:val="en-US" w:eastAsia="zh-CN" w:bidi="ar"/>
        </w:rPr>
        <w:t xml:space="preserve">       </w:t>
      </w:r>
    </w:p>
    <w:p w14:paraId="56FAF95E">
      <w:pPr>
        <w:topLinePunct/>
        <w:spacing w:line="360" w:lineRule="auto"/>
        <w:ind w:left="7486" w:hanging="7485" w:hangingChars="3119"/>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电话：</w:t>
      </w:r>
      <w:r>
        <w:rPr>
          <w:rFonts w:hint="eastAsia" w:ascii="宋体" w:hAnsi="宋体" w:eastAsia="宋体" w:cs="宋体"/>
          <w:color w:val="auto"/>
          <w:sz w:val="24"/>
          <w:szCs w:val="24"/>
          <w:highlight w:val="none"/>
          <w:u w:val="single"/>
          <w:lang w:val="en-US" w:eastAsia="zh-CN" w:bidi="ar"/>
        </w:rPr>
        <w:t>0756-3931616</w:t>
      </w:r>
      <w:r>
        <w:rPr>
          <w:rFonts w:hint="eastAsia" w:ascii="宋体" w:hAnsi="宋体" w:eastAsia="宋体" w:cs="宋体"/>
          <w:color w:val="auto"/>
          <w:sz w:val="24"/>
          <w:szCs w:val="24"/>
          <w:highlight w:val="none"/>
          <w:lang w:val="en-US" w:eastAsia="zh-CN" w:bidi="ar"/>
        </w:rPr>
        <w:t xml:space="preserve">        </w:t>
      </w:r>
    </w:p>
    <w:p w14:paraId="4F253252">
      <w:pPr>
        <w:topLinePunct/>
        <w:spacing w:line="360" w:lineRule="auto"/>
        <w:ind w:left="7486" w:hanging="7485" w:hangingChars="3119"/>
        <w:jc w:val="left"/>
        <w:rPr>
          <w:rFonts w:hint="eastAsia" w:ascii="宋体" w:hAnsi="宋体" w:eastAsia="宋体" w:cs="宋体"/>
          <w:color w:val="auto"/>
          <w:sz w:val="24"/>
          <w:szCs w:val="24"/>
          <w:highlight w:val="none"/>
          <w:lang w:val="en-US" w:eastAsia="zh-CN" w:bidi="ar"/>
        </w:rPr>
      </w:pPr>
    </w:p>
    <w:p w14:paraId="650F7AA3">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0B0ED112">
      <w:pPr>
        <w:widowControl/>
        <w:spacing w:line="440" w:lineRule="exact"/>
        <w:jc w:val="left"/>
        <w:outlineLvl w:val="1"/>
        <w:rPr>
          <w:rFonts w:hint="eastAsia" w:ascii="宋体" w:hAnsi="宋体" w:eastAsia="宋体" w:cs="宋体"/>
          <w:color w:val="auto"/>
          <w:highlight w:val="none"/>
        </w:rPr>
      </w:pPr>
      <w:r>
        <w:rPr>
          <w:rFonts w:hint="eastAsia" w:ascii="宋体" w:hAnsi="宋体" w:eastAsia="宋体" w:cs="宋体"/>
          <w:b/>
          <w:color w:val="auto"/>
          <w:kern w:val="0"/>
          <w:sz w:val="28"/>
          <w:szCs w:val="28"/>
          <w:highlight w:val="none"/>
        </w:rPr>
        <w:t>附件一：</w:t>
      </w:r>
      <w:r>
        <w:rPr>
          <w:rFonts w:hint="eastAsia" w:ascii="宋体" w:hAnsi="宋体" w:eastAsia="宋体" w:cs="宋体"/>
          <w:color w:val="auto"/>
          <w:highlight w:val="none"/>
        </w:rPr>
        <w:t xml:space="preserve"> </w:t>
      </w:r>
    </w:p>
    <w:p w14:paraId="73D24DBA">
      <w:pPr>
        <w:pStyle w:val="3"/>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投标人声明</w:t>
      </w:r>
    </w:p>
    <w:p w14:paraId="1BD28DD3">
      <w:pPr>
        <w:spacing w:line="420" w:lineRule="exact"/>
        <w:rPr>
          <w:rFonts w:hint="eastAsia" w:ascii="宋体" w:hAnsi="宋体" w:eastAsia="宋体" w:cs="宋体"/>
          <w:color w:val="auto"/>
          <w:kern w:val="0"/>
          <w:sz w:val="24"/>
          <w:szCs w:val="24"/>
          <w:highlight w:val="none"/>
          <w:u w:val="none"/>
        </w:rPr>
      </w:pPr>
      <w:r>
        <w:rPr>
          <w:rFonts w:hint="eastAsia" w:ascii="宋体" w:hAnsi="宋体" w:cs="宋体"/>
          <w:color w:val="auto"/>
          <w:sz w:val="24"/>
          <w:szCs w:val="24"/>
          <w:highlight w:val="none"/>
        </w:rPr>
        <w:t>本招标项目招标人及招标监管机构：</w:t>
      </w:r>
    </w:p>
    <w:p w14:paraId="6D818A36">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本公司就参加</w:t>
      </w:r>
      <w:r>
        <w:rPr>
          <w:rFonts w:hint="eastAsia" w:ascii="宋体" w:hAnsi="宋体" w:cs="宋体"/>
          <w:color w:val="auto"/>
          <w:sz w:val="24"/>
          <w:szCs w:val="24"/>
          <w:highlight w:val="none"/>
          <w:u w:val="single"/>
          <w:lang w:eastAsia="zh-CN"/>
        </w:rPr>
        <w:t>横琴高铁站站城开发项目投资收益分析和投融资开发模式（含高铁可持续运营方案）研究</w:t>
      </w:r>
      <w:r>
        <w:rPr>
          <w:rFonts w:hint="eastAsia" w:ascii="宋体" w:hAnsi="宋体" w:eastAsia="宋体" w:cs="宋体"/>
          <w:color w:val="auto"/>
          <w:kern w:val="0"/>
          <w:sz w:val="24"/>
          <w:szCs w:val="24"/>
          <w:highlight w:val="none"/>
        </w:rPr>
        <w:t>项目投标工作，作出郑重声明：</w:t>
      </w:r>
    </w:p>
    <w:p w14:paraId="1531A9E8">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一、本公司保证投标</w:t>
      </w:r>
      <w:r>
        <w:rPr>
          <w:rFonts w:hint="eastAsia" w:ascii="宋体" w:hAnsi="宋体" w:eastAsia="宋体" w:cs="宋体"/>
          <w:color w:val="auto"/>
          <w:kern w:val="0"/>
          <w:sz w:val="24"/>
          <w:szCs w:val="24"/>
          <w:highlight w:val="none"/>
          <w:u w:val="none"/>
        </w:rPr>
        <w:t>登记</w:t>
      </w:r>
      <w:r>
        <w:rPr>
          <w:rFonts w:hint="eastAsia" w:ascii="宋体" w:hAnsi="宋体" w:eastAsia="宋体" w:cs="宋体"/>
          <w:color w:val="auto"/>
          <w:kern w:val="0"/>
          <w:sz w:val="24"/>
          <w:szCs w:val="24"/>
          <w:highlight w:val="none"/>
        </w:rPr>
        <w:t>材料及其后提供的一切材料都是真实的。</w:t>
      </w:r>
    </w:p>
    <w:p w14:paraId="3A3F541B">
      <w:pPr>
        <w:spacing w:line="420" w:lineRule="exact"/>
        <w:ind w:firstLine="480" w:firstLineChars="200"/>
        <w:rPr>
          <w:rFonts w:hint="eastAsia" w:ascii="宋体" w:hAnsi="宋体" w:eastAsia="宋体" w:cs="宋体"/>
          <w:b w:val="0"/>
          <w:color w:val="auto"/>
          <w:kern w:val="0"/>
          <w:sz w:val="24"/>
          <w:szCs w:val="24"/>
          <w:highlight w:val="none"/>
          <w:lang w:eastAsia="zh-CN"/>
        </w:rPr>
      </w:pPr>
      <w:r>
        <w:rPr>
          <w:rFonts w:hint="eastAsia" w:ascii="宋体" w:hAnsi="宋体" w:eastAsia="宋体" w:cs="宋体"/>
          <w:b w:val="0"/>
          <w:color w:val="auto"/>
          <w:kern w:val="0"/>
          <w:sz w:val="24"/>
          <w:szCs w:val="24"/>
          <w:highlight w:val="none"/>
          <w:woUserID w:val="0"/>
        </w:rPr>
        <w:t>二、</w:t>
      </w:r>
      <w:r>
        <w:rPr>
          <w:rFonts w:hint="eastAsia" w:ascii="宋体" w:hAnsi="宋体" w:eastAsia="宋体" w:cs="宋体"/>
          <w:b w:val="0"/>
          <w:color w:val="auto"/>
          <w:kern w:val="0"/>
          <w:sz w:val="24"/>
          <w:szCs w:val="24"/>
          <w:highlight w:val="none"/>
        </w:rPr>
        <w:t>本公司承诺遵循公平</w:t>
      </w:r>
      <w:r>
        <w:rPr>
          <w:rFonts w:hint="eastAsia" w:ascii="宋体" w:hAnsi="宋体" w:eastAsia="宋体" w:cs="宋体"/>
          <w:b w:val="0"/>
          <w:color w:val="auto"/>
          <w:kern w:val="0"/>
          <w:sz w:val="24"/>
          <w:szCs w:val="24"/>
          <w:highlight w:val="none"/>
          <w:lang w:eastAsia="zh-CN"/>
        </w:rPr>
        <w:t>、</w:t>
      </w:r>
      <w:r>
        <w:rPr>
          <w:rFonts w:hint="eastAsia" w:ascii="宋体" w:hAnsi="宋体" w:eastAsia="宋体" w:cs="宋体"/>
          <w:b w:val="0"/>
          <w:color w:val="auto"/>
          <w:kern w:val="0"/>
          <w:sz w:val="24"/>
          <w:szCs w:val="24"/>
          <w:highlight w:val="none"/>
        </w:rPr>
        <w:t>公正、公开、诚实信用原则，在本项目投标中诚信投标，真实反映企业实力，公平竞争，不弄虚作假，不以低于企业成本价竞标而降低服务质量，不与任何建设单位订立违背企业成本取费标准及相关规定的“阴阳合同”进行恶性竞争，扰乱市场秩序，不与其他单位串通投标或以行贿手段谋取中标，不出借资质、</w:t>
      </w:r>
      <w:r>
        <w:rPr>
          <w:rFonts w:hint="eastAsia" w:ascii="宋体" w:hAnsi="宋体" w:eastAsia="宋体" w:cs="宋体"/>
          <w:b w:val="0"/>
          <w:color w:val="auto"/>
          <w:kern w:val="0"/>
          <w:sz w:val="24"/>
          <w:szCs w:val="24"/>
          <w:highlight w:val="none"/>
          <w:lang w:val="en-US" w:eastAsia="zh-CN"/>
        </w:rPr>
        <w:t>转包或违法分包</w:t>
      </w:r>
      <w:r>
        <w:rPr>
          <w:rFonts w:hint="eastAsia" w:ascii="宋体" w:hAnsi="宋体" w:eastAsia="宋体" w:cs="宋体"/>
          <w:b w:val="0"/>
          <w:color w:val="auto"/>
          <w:kern w:val="0"/>
          <w:sz w:val="24"/>
          <w:szCs w:val="24"/>
          <w:highlight w:val="none"/>
        </w:rPr>
        <w:t>业务。不存在少放、不放业绩、奖项等客观评审资料，减少自身竞争力的情形，若存在以上情形的，将自愿接受被招标人列入拒绝投标名单，不能参与招标人后续招标项目的投标</w:t>
      </w:r>
      <w:r>
        <w:rPr>
          <w:rFonts w:hint="eastAsia" w:ascii="宋体" w:hAnsi="宋体" w:eastAsia="宋体" w:cs="宋体"/>
          <w:b w:val="0"/>
          <w:color w:val="auto"/>
          <w:kern w:val="0"/>
          <w:sz w:val="24"/>
          <w:szCs w:val="24"/>
          <w:highlight w:val="none"/>
          <w:lang w:eastAsia="zh-CN"/>
        </w:rPr>
        <w:t>。</w:t>
      </w:r>
    </w:p>
    <w:p w14:paraId="4352A058">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woUserID w:val="1"/>
        </w:rPr>
        <w:t>三</w:t>
      </w:r>
      <w:r>
        <w:rPr>
          <w:rFonts w:hint="eastAsia" w:ascii="宋体" w:hAnsi="宋体" w:eastAsia="宋体" w:cs="宋体"/>
          <w:color w:val="auto"/>
          <w:kern w:val="0"/>
          <w:sz w:val="24"/>
          <w:szCs w:val="24"/>
          <w:highlight w:val="none"/>
        </w:rPr>
        <w:t>、本公司不存在招标文件第二章投标人须知第1.4.3项所规定的任何一种情形。</w:t>
      </w:r>
    </w:p>
    <w:p w14:paraId="7DDFFED6">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woUserID w:val="1"/>
        </w:rPr>
        <w:t>四</w:t>
      </w:r>
      <w:r>
        <w:rPr>
          <w:rFonts w:hint="eastAsia" w:ascii="宋体" w:hAnsi="宋体" w:eastAsia="宋体" w:cs="宋体"/>
          <w:color w:val="auto"/>
          <w:kern w:val="0"/>
          <w:sz w:val="24"/>
          <w:szCs w:val="24"/>
          <w:highlight w:val="none"/>
        </w:rPr>
        <w:t>、本公司及其有隶属关系的机构，没有参加本项目招标文件的编写工作；本公司与本次招标的招标代理机构没有隶属关系或其他利害关系。</w:t>
      </w:r>
    </w:p>
    <w:p w14:paraId="1DD5DCA7">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woUserID w:val="1"/>
        </w:rPr>
        <w:t>五</w:t>
      </w:r>
      <w:r>
        <w:rPr>
          <w:rFonts w:hint="eastAsia" w:ascii="宋体" w:hAnsi="宋体" w:eastAsia="宋体" w:cs="宋体"/>
          <w:color w:val="auto"/>
          <w:kern w:val="0"/>
          <w:sz w:val="24"/>
          <w:szCs w:val="24"/>
          <w:highlight w:val="none"/>
        </w:rPr>
        <w:t>、本公司承诺，中标后严格执行安全生产相关管理规定。</w:t>
      </w:r>
    </w:p>
    <w:p w14:paraId="174923B6">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woUserID w:val="0"/>
        </w:rPr>
        <w:t>六</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与本公司单位负责人为同一人或者与本公司存在控股、管理关系的其他单位包括：</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none"/>
        </w:rPr>
        <w:t xml:space="preserve"> </w:t>
      </w:r>
      <w:r>
        <w:rPr>
          <w:rFonts w:hint="eastAsia" w:ascii="宋体" w:hAnsi="宋体" w:eastAsia="宋体" w:cs="宋体"/>
          <w:b w:val="0"/>
          <w:bCs w:val="0"/>
          <w:color w:val="auto"/>
          <w:kern w:val="0"/>
          <w:sz w:val="24"/>
          <w:szCs w:val="24"/>
          <w:highlight w:val="none"/>
        </w:rPr>
        <w:t>。</w:t>
      </w:r>
      <w:r>
        <w:rPr>
          <w:rFonts w:hint="eastAsia" w:ascii="宋体" w:hAnsi="宋体" w:eastAsia="宋体" w:cs="宋体"/>
          <w:color w:val="auto"/>
          <w:kern w:val="0"/>
          <w:sz w:val="24"/>
          <w:szCs w:val="24"/>
          <w:highlight w:val="none"/>
        </w:rPr>
        <w:t>（注：本条由投标人如实填写</w:t>
      </w:r>
      <w:r>
        <w:rPr>
          <w:rFonts w:hint="eastAsia" w:ascii="宋体" w:hAnsi="宋体" w:cs="宋体"/>
          <w:color w:val="auto"/>
          <w:kern w:val="0"/>
          <w:sz w:val="24"/>
          <w:szCs w:val="24"/>
          <w:highlight w:val="none"/>
          <w:lang w:eastAsia="zh-CN"/>
        </w:rPr>
        <w:t>，联合体投标的，联合体各方情况均需填写。</w:t>
      </w:r>
      <w:r>
        <w:rPr>
          <w:rFonts w:hint="eastAsia" w:ascii="宋体" w:hAnsi="宋体" w:eastAsia="宋体" w:cs="宋体"/>
          <w:color w:val="auto"/>
          <w:kern w:val="0"/>
          <w:sz w:val="24"/>
          <w:szCs w:val="24"/>
          <w:highlight w:val="none"/>
        </w:rPr>
        <w:t>如有，应列出全部满足招标公告资质要求的相关单位的名称；如无，则填写“无”。）</w:t>
      </w:r>
    </w:p>
    <w:p w14:paraId="5ABC5A42">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本公司违反上述承诺，或本声明陈述与事实不符，经查实，本公司愿意接受公开通报，承担由此带来的一切后果，并自愿停止参加广州市行政辖区内的招标投标活动三个月</w:t>
      </w:r>
      <w:r>
        <w:rPr>
          <w:rFonts w:hint="eastAsia" w:ascii="宋体" w:hAnsi="宋体" w:cs="宋体"/>
          <w:color w:val="auto"/>
          <w:sz w:val="24"/>
          <w:szCs w:val="24"/>
          <w:highlight w:val="none"/>
        </w:rPr>
        <w:t>。</w:t>
      </w:r>
    </w:p>
    <w:p w14:paraId="72E14BEA">
      <w:pPr>
        <w:spacing w:line="420" w:lineRule="exact"/>
        <w:ind w:firstLine="480" w:firstLineChars="200"/>
        <w:rPr>
          <w:rFonts w:hint="eastAsia" w:ascii="宋体" w:hAnsi="宋体" w:eastAsia="宋体" w:cs="宋体"/>
          <w:color w:val="auto"/>
          <w:kern w:val="0"/>
          <w:sz w:val="24"/>
          <w:szCs w:val="24"/>
          <w:highlight w:val="none"/>
        </w:rPr>
      </w:pPr>
    </w:p>
    <w:p w14:paraId="0784D6F4">
      <w:pPr>
        <w:widowControl/>
        <w:shd w:val="clear" w:color="auto" w:fill="FFFFFF"/>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14:paraId="094F64F7">
      <w:pPr>
        <w:snapToGrid w:val="0"/>
        <w:spacing w:line="420" w:lineRule="exact"/>
        <w:ind w:firstLine="4320" w:firstLineChars="1800"/>
        <w:rPr>
          <w:rFonts w:hint="eastAsia" w:ascii="宋体" w:hAnsi="宋体" w:eastAsia="宋体" w:cs="宋体"/>
          <w:strike/>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声明企业：          </w:t>
      </w:r>
      <w:r>
        <w:rPr>
          <w:rFonts w:hint="eastAsia" w:ascii="宋体" w:hAnsi="宋体" w:cs="宋体"/>
          <w:color w:val="auto"/>
          <w:kern w:val="0"/>
          <w:sz w:val="24"/>
          <w:szCs w:val="24"/>
          <w:highlight w:val="none"/>
          <w:lang w:eastAsia="zh-CN"/>
        </w:rPr>
        <w:t>（盖公章）</w:t>
      </w:r>
    </w:p>
    <w:p w14:paraId="1EFEE3C4">
      <w:pPr>
        <w:snapToGrid w:val="0"/>
        <w:spacing w:line="420" w:lineRule="exact"/>
        <w:ind w:firstLine="4320" w:firstLineChars="18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w:t>
      </w:r>
    </w:p>
    <w:p w14:paraId="763E7FB2">
      <w:pPr>
        <w:spacing w:line="420" w:lineRule="exact"/>
        <w:ind w:firstLine="4920" w:firstLineChars="20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233F11AE">
      <w:pPr>
        <w:tabs>
          <w:tab w:val="left" w:pos="1212"/>
        </w:tabs>
        <w:jc w:val="left"/>
        <w:rPr>
          <w:rFonts w:hint="eastAsia" w:ascii="宋体" w:hAnsi="宋体" w:eastAsia="宋体"/>
          <w:b/>
          <w:bCs/>
          <w:color w:val="auto"/>
          <w:sz w:val="32"/>
          <w:highlight w:val="none"/>
          <w:lang w:eastAsia="zh-CN"/>
        </w:rPr>
      </w:pP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二</w:t>
      </w:r>
      <w:r>
        <w:rPr>
          <w:rFonts w:hint="eastAsia" w:ascii="宋体" w:hAnsi="宋体" w:eastAsia="宋体" w:cs="宋体"/>
          <w:b/>
          <w:bCs/>
          <w:color w:val="auto"/>
          <w:kern w:val="0"/>
          <w:sz w:val="28"/>
          <w:szCs w:val="28"/>
          <w:highlight w:val="none"/>
        </w:rPr>
        <w:t>：</w:t>
      </w:r>
    </w:p>
    <w:p w14:paraId="647D52F5">
      <w:pPr>
        <w:jc w:val="center"/>
        <w:rPr>
          <w:rFonts w:hint="eastAsia" w:ascii="宋体" w:hAnsi="宋体"/>
          <w:color w:val="auto"/>
          <w:sz w:val="24"/>
          <w:highlight w:val="none"/>
        </w:rPr>
      </w:pPr>
      <w:r>
        <w:rPr>
          <w:rFonts w:hint="eastAsia" w:ascii="宋体" w:hAnsi="宋体"/>
          <w:b/>
          <w:bCs/>
          <w:color w:val="auto"/>
          <w:sz w:val="32"/>
          <w:highlight w:val="none"/>
        </w:rPr>
        <w:t>联合体共同投标协议</w:t>
      </w:r>
    </w:p>
    <w:p w14:paraId="14A29313">
      <w:pPr>
        <w:spacing w:line="36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u w:val="single"/>
          <w:lang w:eastAsia="zh-CN"/>
        </w:rPr>
        <w:t>横琴高铁站站城开发项目投资收益分析和投融资开发模式（含高铁可持续运营方案）研究</w:t>
      </w:r>
    </w:p>
    <w:p w14:paraId="72AD5370">
      <w:pPr>
        <w:pStyle w:val="2"/>
        <w:spacing w:line="360" w:lineRule="auto"/>
        <w:rPr>
          <w:rFonts w:ascii="宋体" w:hAnsi="宋体"/>
          <w:color w:val="auto"/>
          <w:sz w:val="24"/>
          <w:highlight w:val="none"/>
        </w:rPr>
      </w:pPr>
      <w:r>
        <w:rPr>
          <w:rFonts w:hint="eastAsia" w:hAnsi="宋体"/>
          <w:color w:val="auto"/>
          <w:sz w:val="24"/>
          <w:szCs w:val="24"/>
          <w:highlight w:val="none"/>
        </w:rPr>
        <w:t>致：</w:t>
      </w:r>
      <w:r>
        <w:rPr>
          <w:rFonts w:hint="eastAsia" w:hAnsi="宋体" w:cs="宋体"/>
          <w:color w:val="auto"/>
          <w:sz w:val="24"/>
          <w:szCs w:val="24"/>
          <w:highlight w:val="none"/>
          <w:u w:val="single"/>
          <w:lang w:eastAsia="zh-CN"/>
        </w:rPr>
        <w:t>横琴琴澳创新产业园开发建设有限公司</w:t>
      </w:r>
    </w:p>
    <w:p w14:paraId="5F17061A">
      <w:pPr>
        <w:pStyle w:val="2"/>
        <w:spacing w:line="360" w:lineRule="auto"/>
        <w:ind w:firstLine="420"/>
        <w:rPr>
          <w:rFonts w:hint="eastAsia" w:hAnsi="宋体"/>
          <w:color w:val="auto"/>
          <w:sz w:val="24"/>
          <w:szCs w:val="24"/>
          <w:highlight w:val="none"/>
        </w:rPr>
      </w:pPr>
      <w:r>
        <w:rPr>
          <w:rFonts w:hint="eastAsia" w:hAnsi="宋体"/>
          <w:color w:val="auto"/>
          <w:sz w:val="24"/>
          <w:szCs w:val="24"/>
          <w:highlight w:val="none"/>
        </w:rPr>
        <w:t>我方决定组成联合体共同参加以上项目的投标，若中标，联合体各成员向招标人承担连带责任。我方授权委托本协议</w:t>
      </w:r>
      <w:r>
        <w:rPr>
          <w:rFonts w:hint="eastAsia" w:ascii="宋体" w:hAnsi="宋体" w:cs="宋体"/>
          <w:color w:val="auto"/>
          <w:sz w:val="24"/>
          <w:szCs w:val="24"/>
          <w:highlight w:val="none"/>
        </w:rPr>
        <w:t>主办方</w:t>
      </w:r>
      <w:r>
        <w:rPr>
          <w:rFonts w:hint="eastAsia" w:hAnsi="宋体"/>
          <w:color w:val="auto"/>
          <w:sz w:val="24"/>
          <w:szCs w:val="24"/>
          <w:highlight w:val="none"/>
          <w:lang w:eastAsia="zh-CN"/>
        </w:rPr>
        <w:t>（</w:t>
      </w:r>
      <w:r>
        <w:rPr>
          <w:rFonts w:hint="eastAsia" w:hAnsi="宋体"/>
          <w:color w:val="auto"/>
          <w:sz w:val="24"/>
          <w:szCs w:val="24"/>
          <w:highlight w:val="none"/>
        </w:rPr>
        <w:t>牵头人</w:t>
      </w:r>
      <w:r>
        <w:rPr>
          <w:rFonts w:hint="eastAsia" w:hAnsi="宋体"/>
          <w:color w:val="auto"/>
          <w:sz w:val="24"/>
          <w:szCs w:val="24"/>
          <w:highlight w:val="none"/>
          <w:lang w:eastAsia="zh-CN"/>
        </w:rPr>
        <w:t>）</w:t>
      </w:r>
      <w:r>
        <w:rPr>
          <w:rFonts w:hint="eastAsia" w:hAnsi="宋体"/>
          <w:color w:val="auto"/>
          <w:sz w:val="24"/>
          <w:szCs w:val="24"/>
          <w:highlight w:val="none"/>
        </w:rPr>
        <w:t>，代表所有联合体成员参加投标、提交投标文件，以及与招标人签订合同，负责整个合同实施阶段的协调工作。</w:t>
      </w:r>
    </w:p>
    <w:p w14:paraId="386E6D08">
      <w:pPr>
        <w:pStyle w:val="2"/>
        <w:spacing w:line="360" w:lineRule="auto"/>
        <w:ind w:firstLine="420"/>
        <w:rPr>
          <w:rFonts w:hint="eastAsia" w:hAnsi="宋体"/>
          <w:color w:val="auto"/>
          <w:sz w:val="24"/>
          <w:szCs w:val="24"/>
          <w:highlight w:val="none"/>
        </w:rPr>
      </w:pPr>
      <w:bookmarkStart w:id="32" w:name="OLE_LINK2"/>
      <w:r>
        <w:rPr>
          <w:rFonts w:hint="eastAsia" w:hAnsi="宋体"/>
          <w:color w:val="auto"/>
          <w:sz w:val="24"/>
          <w:szCs w:val="24"/>
          <w:highlight w:val="none"/>
        </w:rPr>
        <w:t>本协议</w:t>
      </w:r>
      <w:r>
        <w:rPr>
          <w:rFonts w:hint="eastAsia" w:ascii="宋体" w:hAnsi="宋体" w:cs="宋体"/>
          <w:color w:val="auto"/>
          <w:sz w:val="24"/>
          <w:szCs w:val="24"/>
          <w:highlight w:val="none"/>
        </w:rPr>
        <w:t>主办方</w:t>
      </w:r>
      <w:r>
        <w:rPr>
          <w:rFonts w:hint="eastAsia" w:hAnsi="宋体"/>
          <w:color w:val="auto"/>
          <w:sz w:val="24"/>
          <w:szCs w:val="24"/>
          <w:highlight w:val="none"/>
        </w:rPr>
        <w:t>及联合体成员单位单方签署、盖章确认的本项目投标文件及相关投标资料，均视</w:t>
      </w:r>
      <w:bookmarkStart w:id="33" w:name="OLE_LINK30"/>
      <w:r>
        <w:rPr>
          <w:rFonts w:hint="eastAsia" w:hAnsi="宋体"/>
          <w:color w:val="auto"/>
          <w:sz w:val="24"/>
          <w:szCs w:val="24"/>
          <w:highlight w:val="none"/>
        </w:rPr>
        <w:t>为联合体成员单位共</w:t>
      </w:r>
      <w:bookmarkEnd w:id="33"/>
      <w:r>
        <w:rPr>
          <w:rFonts w:hint="eastAsia" w:hAnsi="宋体"/>
          <w:color w:val="auto"/>
          <w:sz w:val="24"/>
          <w:szCs w:val="24"/>
          <w:highlight w:val="none"/>
        </w:rPr>
        <w:t>同编制，联合体成员单位均承认其法律效力，</w:t>
      </w:r>
      <w:bookmarkEnd w:id="32"/>
      <w:r>
        <w:rPr>
          <w:rFonts w:hint="eastAsia" w:hAnsi="宋体"/>
          <w:color w:val="auto"/>
          <w:sz w:val="24"/>
          <w:szCs w:val="24"/>
          <w:highlight w:val="none"/>
        </w:rPr>
        <w:t>并共同对投标文件内容的真实性、合法性和完整性承担民事、行政、刑事责任。</w:t>
      </w:r>
    </w:p>
    <w:p w14:paraId="76DBE4B7">
      <w:pPr>
        <w:pStyle w:val="2"/>
        <w:spacing w:line="360" w:lineRule="auto"/>
        <w:rPr>
          <w:rFonts w:hint="eastAsia" w:hAnsi="宋体"/>
          <w:color w:val="auto"/>
          <w:sz w:val="24"/>
          <w:szCs w:val="24"/>
          <w:highlight w:val="none"/>
        </w:rPr>
      </w:pPr>
    </w:p>
    <w:p w14:paraId="228645F4">
      <w:pPr>
        <w:pStyle w:val="2"/>
        <w:spacing w:line="360" w:lineRule="auto"/>
        <w:ind w:firstLine="405"/>
        <w:rPr>
          <w:rFonts w:hint="eastAsia" w:hAnsi="宋体"/>
          <w:color w:val="auto"/>
          <w:sz w:val="24"/>
          <w:szCs w:val="24"/>
          <w:highlight w:val="none"/>
        </w:rPr>
      </w:pPr>
      <w:r>
        <w:rPr>
          <w:rFonts w:hint="eastAsia" w:hAnsi="宋体"/>
          <w:color w:val="auto"/>
          <w:sz w:val="24"/>
          <w:szCs w:val="24"/>
          <w:highlight w:val="none"/>
        </w:rPr>
        <w:t>投标</w:t>
      </w:r>
      <w:r>
        <w:rPr>
          <w:rFonts w:hint="eastAsia" w:ascii="宋体" w:hAnsi="宋体" w:cs="宋体"/>
          <w:color w:val="auto"/>
          <w:sz w:val="24"/>
          <w:szCs w:val="24"/>
          <w:highlight w:val="none"/>
        </w:rPr>
        <w:t>主办方</w:t>
      </w:r>
      <w:r>
        <w:rPr>
          <w:rFonts w:hint="eastAsia" w:hAnsi="宋体"/>
          <w:color w:val="auto"/>
          <w:sz w:val="24"/>
          <w:szCs w:val="24"/>
          <w:highlight w:val="none"/>
          <w:lang w:eastAsia="zh-CN"/>
        </w:rPr>
        <w:t>（</w:t>
      </w:r>
      <w:r>
        <w:rPr>
          <w:rFonts w:hint="eastAsia" w:hAnsi="宋体"/>
          <w:color w:val="auto"/>
          <w:sz w:val="24"/>
          <w:szCs w:val="24"/>
          <w:highlight w:val="none"/>
        </w:rPr>
        <w:t>牵头人</w:t>
      </w:r>
      <w:r>
        <w:rPr>
          <w:rFonts w:hint="eastAsia" w:hAnsi="宋体"/>
          <w:color w:val="auto"/>
          <w:sz w:val="24"/>
          <w:szCs w:val="24"/>
          <w:highlight w:val="none"/>
          <w:lang w:eastAsia="zh-CN"/>
        </w:rPr>
        <w:t>）</w:t>
      </w:r>
      <w:r>
        <w:rPr>
          <w:rFonts w:hint="eastAsia" w:hAnsi="宋体"/>
          <w:color w:val="auto"/>
          <w:sz w:val="24"/>
          <w:szCs w:val="24"/>
          <w:highlight w:val="none"/>
        </w:rPr>
        <w:t>：（盖章）</w:t>
      </w:r>
      <w:r>
        <w:rPr>
          <w:rFonts w:hint="eastAsia" w:hAnsi="宋体"/>
          <w:color w:val="auto"/>
          <w:sz w:val="24"/>
          <w:szCs w:val="24"/>
          <w:highlight w:val="none"/>
          <w:u w:val="single"/>
        </w:rPr>
        <w:t xml:space="preserve">                                </w:t>
      </w:r>
    </w:p>
    <w:p w14:paraId="6107E9A2">
      <w:pPr>
        <w:pStyle w:val="2"/>
        <w:spacing w:line="360" w:lineRule="auto"/>
        <w:ind w:firstLine="405"/>
        <w:rPr>
          <w:rFonts w:hint="eastAsia" w:hAnsi="宋体"/>
          <w:color w:val="auto"/>
          <w:sz w:val="24"/>
          <w:szCs w:val="24"/>
          <w:highlight w:val="none"/>
        </w:rPr>
      </w:pPr>
      <w:r>
        <w:rPr>
          <w:rFonts w:hint="eastAsia" w:hAnsi="宋体"/>
          <w:color w:val="auto"/>
          <w:sz w:val="24"/>
          <w:szCs w:val="24"/>
          <w:highlight w:val="none"/>
        </w:rPr>
        <w:t>法定代表人：（签字或盖章）</w:t>
      </w:r>
      <w:r>
        <w:rPr>
          <w:rFonts w:hint="eastAsia" w:hAnsi="宋体"/>
          <w:color w:val="auto"/>
          <w:sz w:val="24"/>
          <w:szCs w:val="24"/>
          <w:highlight w:val="none"/>
          <w:u w:val="single"/>
        </w:rPr>
        <w:t xml:space="preserve">                                   </w:t>
      </w:r>
    </w:p>
    <w:p w14:paraId="3E7CE2F5">
      <w:pPr>
        <w:pStyle w:val="2"/>
        <w:spacing w:line="360" w:lineRule="auto"/>
        <w:ind w:firstLine="405"/>
        <w:rPr>
          <w:rFonts w:hint="eastAsia" w:hAnsi="宋体"/>
          <w:color w:val="auto"/>
          <w:sz w:val="24"/>
          <w:szCs w:val="24"/>
          <w:highlight w:val="none"/>
        </w:rPr>
      </w:pPr>
      <w:r>
        <w:rPr>
          <w:rFonts w:hint="eastAsia" w:hAnsi="宋体"/>
          <w:color w:val="auto"/>
          <w:sz w:val="24"/>
          <w:szCs w:val="24"/>
          <w:highlight w:val="none"/>
        </w:rPr>
        <w:t>委托代理人：（签字或盖章）</w:t>
      </w:r>
      <w:r>
        <w:rPr>
          <w:rFonts w:hint="eastAsia" w:hAnsi="宋体"/>
          <w:color w:val="auto"/>
          <w:sz w:val="24"/>
          <w:szCs w:val="24"/>
          <w:highlight w:val="none"/>
          <w:u w:val="single"/>
        </w:rPr>
        <w:t xml:space="preserve">                                   </w:t>
      </w:r>
    </w:p>
    <w:p w14:paraId="67FB2E9D">
      <w:pPr>
        <w:pStyle w:val="2"/>
        <w:spacing w:line="360" w:lineRule="auto"/>
        <w:ind w:firstLine="405"/>
        <w:rPr>
          <w:rFonts w:hint="eastAsia" w:hAnsi="宋体"/>
          <w:color w:val="auto"/>
          <w:sz w:val="24"/>
          <w:szCs w:val="24"/>
          <w:highlight w:val="none"/>
        </w:rPr>
      </w:pPr>
      <w:r>
        <w:rPr>
          <w:rFonts w:hint="eastAsia" w:hAnsi="宋体"/>
          <w:color w:val="auto"/>
          <w:sz w:val="24"/>
          <w:szCs w:val="24"/>
          <w:highlight w:val="none"/>
        </w:rPr>
        <w:t>地址：</w:t>
      </w:r>
      <w:r>
        <w:rPr>
          <w:rFonts w:hint="eastAsia" w:hAnsi="宋体"/>
          <w:color w:val="auto"/>
          <w:sz w:val="24"/>
          <w:szCs w:val="24"/>
          <w:highlight w:val="none"/>
          <w:u w:val="single"/>
        </w:rPr>
        <w:t xml:space="preserve">                                                      </w:t>
      </w:r>
    </w:p>
    <w:p w14:paraId="61C630D2">
      <w:pPr>
        <w:pStyle w:val="2"/>
        <w:spacing w:line="360" w:lineRule="auto"/>
        <w:ind w:firstLine="405"/>
        <w:rPr>
          <w:rFonts w:hint="eastAsia" w:hAnsi="宋体"/>
          <w:color w:val="auto"/>
          <w:sz w:val="24"/>
          <w:szCs w:val="24"/>
          <w:highlight w:val="none"/>
        </w:rPr>
      </w:pPr>
      <w:r>
        <w:rPr>
          <w:rFonts w:hint="eastAsia" w:hAnsi="宋体"/>
          <w:color w:val="auto"/>
          <w:sz w:val="24"/>
          <w:szCs w:val="24"/>
          <w:highlight w:val="none"/>
        </w:rPr>
        <w:t>邮政编码：</w:t>
      </w:r>
      <w:r>
        <w:rPr>
          <w:rFonts w:hint="eastAsia" w:hAnsi="宋体"/>
          <w:color w:val="auto"/>
          <w:sz w:val="24"/>
          <w:szCs w:val="24"/>
          <w:highlight w:val="none"/>
          <w:u w:val="single"/>
        </w:rPr>
        <w:t xml:space="preserve">          </w:t>
      </w:r>
      <w:r>
        <w:rPr>
          <w:rFonts w:hint="eastAsia" w:hAnsi="宋体"/>
          <w:color w:val="auto"/>
          <w:sz w:val="24"/>
          <w:szCs w:val="24"/>
          <w:highlight w:val="none"/>
        </w:rPr>
        <w:t>电话/传真：</w:t>
      </w:r>
      <w:r>
        <w:rPr>
          <w:rFonts w:hint="eastAsia" w:hAnsi="宋体"/>
          <w:color w:val="auto"/>
          <w:sz w:val="24"/>
          <w:szCs w:val="24"/>
          <w:highlight w:val="none"/>
          <w:u w:val="single"/>
        </w:rPr>
        <w:t xml:space="preserve">                             </w:t>
      </w:r>
    </w:p>
    <w:p w14:paraId="7923C8D5">
      <w:pPr>
        <w:pStyle w:val="2"/>
        <w:spacing w:line="360" w:lineRule="auto"/>
        <w:ind w:firstLine="405"/>
        <w:rPr>
          <w:rFonts w:hint="eastAsia" w:hAnsi="宋体"/>
          <w:color w:val="auto"/>
          <w:sz w:val="24"/>
          <w:szCs w:val="24"/>
          <w:highlight w:val="none"/>
        </w:rPr>
      </w:pPr>
      <w:r>
        <w:rPr>
          <w:rFonts w:hint="eastAsia" w:hAnsi="宋体"/>
          <w:color w:val="auto"/>
          <w:sz w:val="24"/>
          <w:szCs w:val="24"/>
          <w:highlight w:val="none"/>
        </w:rPr>
        <w:t>分工内容：</w:t>
      </w:r>
      <w:r>
        <w:rPr>
          <w:rFonts w:hint="eastAsia" w:hAnsi="宋体"/>
          <w:color w:val="auto"/>
          <w:sz w:val="24"/>
          <w:szCs w:val="24"/>
          <w:highlight w:val="none"/>
          <w:u w:val="single"/>
        </w:rPr>
        <w:t xml:space="preserve">                                                  </w:t>
      </w:r>
    </w:p>
    <w:p w14:paraId="577187A7">
      <w:pPr>
        <w:pStyle w:val="2"/>
        <w:spacing w:line="360" w:lineRule="auto"/>
        <w:rPr>
          <w:rFonts w:hint="eastAsia" w:hAnsi="宋体"/>
          <w:color w:val="auto"/>
          <w:sz w:val="24"/>
          <w:szCs w:val="24"/>
          <w:highlight w:val="none"/>
        </w:rPr>
      </w:pPr>
    </w:p>
    <w:p w14:paraId="578DE09D">
      <w:pPr>
        <w:pStyle w:val="2"/>
        <w:spacing w:line="360" w:lineRule="auto"/>
        <w:ind w:firstLine="405"/>
        <w:rPr>
          <w:rFonts w:hint="eastAsia" w:hAnsi="宋体"/>
          <w:color w:val="auto"/>
          <w:sz w:val="24"/>
          <w:szCs w:val="24"/>
          <w:highlight w:val="none"/>
        </w:rPr>
      </w:pPr>
      <w:r>
        <w:rPr>
          <w:rFonts w:hint="eastAsia" w:hAnsi="宋体"/>
          <w:color w:val="auto"/>
          <w:sz w:val="24"/>
          <w:szCs w:val="24"/>
          <w:highlight w:val="none"/>
        </w:rPr>
        <w:t>联合体成员：（盖章）</w:t>
      </w:r>
      <w:r>
        <w:rPr>
          <w:rFonts w:hint="eastAsia" w:hAnsi="宋体"/>
          <w:color w:val="auto"/>
          <w:sz w:val="24"/>
          <w:szCs w:val="24"/>
          <w:highlight w:val="none"/>
          <w:u w:val="single"/>
        </w:rPr>
        <w:t xml:space="preserve">                                         </w:t>
      </w:r>
    </w:p>
    <w:p w14:paraId="2DF84EEE">
      <w:pPr>
        <w:pStyle w:val="2"/>
        <w:spacing w:line="360" w:lineRule="auto"/>
        <w:ind w:firstLine="405"/>
        <w:rPr>
          <w:rFonts w:hint="eastAsia" w:hAnsi="宋体"/>
          <w:color w:val="auto"/>
          <w:sz w:val="24"/>
          <w:szCs w:val="24"/>
          <w:highlight w:val="none"/>
        </w:rPr>
      </w:pPr>
      <w:r>
        <w:rPr>
          <w:rFonts w:hint="eastAsia" w:hAnsi="宋体"/>
          <w:color w:val="auto"/>
          <w:sz w:val="24"/>
          <w:szCs w:val="24"/>
          <w:highlight w:val="none"/>
        </w:rPr>
        <w:t>法定代表人：（签字或盖章）</w:t>
      </w:r>
      <w:r>
        <w:rPr>
          <w:rFonts w:hint="eastAsia" w:hAnsi="宋体"/>
          <w:color w:val="auto"/>
          <w:sz w:val="24"/>
          <w:szCs w:val="24"/>
          <w:highlight w:val="none"/>
          <w:u w:val="single"/>
        </w:rPr>
        <w:t xml:space="preserve">                                   </w:t>
      </w:r>
    </w:p>
    <w:p w14:paraId="792E8C6F">
      <w:pPr>
        <w:pStyle w:val="2"/>
        <w:spacing w:line="360" w:lineRule="auto"/>
        <w:ind w:firstLine="405"/>
        <w:rPr>
          <w:rFonts w:hint="eastAsia" w:hAnsi="宋体"/>
          <w:color w:val="auto"/>
          <w:sz w:val="24"/>
          <w:szCs w:val="24"/>
          <w:highlight w:val="none"/>
        </w:rPr>
      </w:pPr>
      <w:r>
        <w:rPr>
          <w:rFonts w:hint="eastAsia" w:hAnsi="宋体"/>
          <w:color w:val="auto"/>
          <w:sz w:val="24"/>
          <w:szCs w:val="24"/>
          <w:highlight w:val="none"/>
        </w:rPr>
        <w:t>委托代理人：（签字或盖章）</w:t>
      </w:r>
      <w:r>
        <w:rPr>
          <w:rFonts w:hint="eastAsia" w:hAnsi="宋体"/>
          <w:color w:val="auto"/>
          <w:sz w:val="24"/>
          <w:szCs w:val="24"/>
          <w:highlight w:val="none"/>
          <w:u w:val="single"/>
        </w:rPr>
        <w:t xml:space="preserve">                                   </w:t>
      </w:r>
    </w:p>
    <w:p w14:paraId="13AB94C5">
      <w:pPr>
        <w:pStyle w:val="2"/>
        <w:spacing w:line="360" w:lineRule="auto"/>
        <w:ind w:firstLine="405"/>
        <w:rPr>
          <w:rFonts w:hint="eastAsia" w:hAnsi="宋体"/>
          <w:color w:val="auto"/>
          <w:sz w:val="24"/>
          <w:szCs w:val="24"/>
          <w:highlight w:val="none"/>
        </w:rPr>
      </w:pPr>
      <w:r>
        <w:rPr>
          <w:rFonts w:hint="eastAsia" w:hAnsi="宋体"/>
          <w:color w:val="auto"/>
          <w:sz w:val="24"/>
          <w:szCs w:val="24"/>
          <w:highlight w:val="none"/>
        </w:rPr>
        <w:t>地址：</w:t>
      </w:r>
      <w:r>
        <w:rPr>
          <w:rFonts w:hint="eastAsia" w:hAnsi="宋体"/>
          <w:color w:val="auto"/>
          <w:sz w:val="24"/>
          <w:szCs w:val="24"/>
          <w:highlight w:val="none"/>
          <w:u w:val="single"/>
        </w:rPr>
        <w:t xml:space="preserve">                                                      </w:t>
      </w:r>
    </w:p>
    <w:p w14:paraId="71B44D8B">
      <w:pPr>
        <w:pStyle w:val="2"/>
        <w:spacing w:line="360" w:lineRule="auto"/>
        <w:ind w:firstLine="405"/>
        <w:rPr>
          <w:rFonts w:hint="eastAsia" w:hAnsi="宋体"/>
          <w:color w:val="auto"/>
          <w:sz w:val="24"/>
          <w:szCs w:val="24"/>
          <w:highlight w:val="none"/>
        </w:rPr>
      </w:pPr>
      <w:r>
        <w:rPr>
          <w:rFonts w:hint="eastAsia" w:hAnsi="宋体"/>
          <w:color w:val="auto"/>
          <w:sz w:val="24"/>
          <w:szCs w:val="24"/>
          <w:highlight w:val="none"/>
        </w:rPr>
        <w:t>邮政编码：</w:t>
      </w:r>
      <w:r>
        <w:rPr>
          <w:rFonts w:hint="eastAsia" w:hAnsi="宋体"/>
          <w:color w:val="auto"/>
          <w:sz w:val="24"/>
          <w:szCs w:val="24"/>
          <w:highlight w:val="none"/>
          <w:u w:val="single"/>
        </w:rPr>
        <w:t xml:space="preserve">          </w:t>
      </w:r>
      <w:r>
        <w:rPr>
          <w:rFonts w:hint="eastAsia" w:hAnsi="宋体"/>
          <w:color w:val="auto"/>
          <w:sz w:val="24"/>
          <w:szCs w:val="24"/>
          <w:highlight w:val="none"/>
        </w:rPr>
        <w:t>电话/传真：</w:t>
      </w:r>
      <w:r>
        <w:rPr>
          <w:rFonts w:hint="eastAsia" w:hAnsi="宋体"/>
          <w:color w:val="auto"/>
          <w:sz w:val="24"/>
          <w:szCs w:val="24"/>
          <w:highlight w:val="none"/>
          <w:u w:val="single"/>
        </w:rPr>
        <w:t xml:space="preserve">                             </w:t>
      </w:r>
    </w:p>
    <w:p w14:paraId="5543F9A8">
      <w:pPr>
        <w:pStyle w:val="2"/>
        <w:spacing w:line="360" w:lineRule="auto"/>
        <w:ind w:firstLine="405"/>
        <w:rPr>
          <w:rFonts w:hint="eastAsia" w:hAnsi="宋体"/>
          <w:color w:val="auto"/>
          <w:sz w:val="24"/>
          <w:szCs w:val="24"/>
          <w:highlight w:val="none"/>
          <w:u w:val="single"/>
        </w:rPr>
      </w:pPr>
      <w:r>
        <w:rPr>
          <w:rFonts w:hint="eastAsia" w:hAnsi="宋体"/>
          <w:color w:val="auto"/>
          <w:sz w:val="24"/>
          <w:szCs w:val="24"/>
          <w:highlight w:val="none"/>
        </w:rPr>
        <w:t>分工内容：</w:t>
      </w:r>
      <w:r>
        <w:rPr>
          <w:rFonts w:hint="eastAsia" w:hAnsi="宋体"/>
          <w:color w:val="auto"/>
          <w:sz w:val="24"/>
          <w:szCs w:val="24"/>
          <w:highlight w:val="none"/>
          <w:u w:val="single"/>
        </w:rPr>
        <w:t xml:space="preserve">                                                  </w:t>
      </w:r>
    </w:p>
    <w:p w14:paraId="50DBB36F">
      <w:pPr>
        <w:spacing w:line="360" w:lineRule="auto"/>
        <w:rPr>
          <w:rFonts w:hint="eastAsia" w:ascii="宋体" w:hAnsi="宋体"/>
          <w:color w:val="auto"/>
          <w:sz w:val="24"/>
          <w:highlight w:val="none"/>
        </w:rPr>
      </w:pPr>
      <w:r>
        <w:rPr>
          <w:rFonts w:hint="eastAsia" w:ascii="宋体" w:hAnsi="宋体"/>
          <w:color w:val="auto"/>
          <w:sz w:val="24"/>
          <w:highlight w:val="none"/>
        </w:rPr>
        <w:t xml:space="preserve">                                 签订日期：       年    月    日</w:t>
      </w:r>
    </w:p>
    <w:p w14:paraId="5E921C1E">
      <w:pPr>
        <w:pStyle w:val="17"/>
        <w:rPr>
          <w:rFonts w:hint="eastAsia"/>
          <w:color w:val="auto"/>
          <w:highlight w:val="none"/>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5D15">
    <w:pPr>
      <w:pStyle w:val="9"/>
      <w:jc w:val="center"/>
    </w:pPr>
  </w:p>
  <w:p w14:paraId="796E54C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96E5">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4BC8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44BC87">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68408D0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CE5C">
    <w:pPr>
      <w:pStyle w:val="10"/>
      <w:ind w:left="420"/>
      <w:jc w:val="right"/>
      <w:rPr>
        <w:rFonts w:hint="eastAsia"/>
        <w:b/>
        <w:bCs/>
        <w:sz w:val="24"/>
        <w:szCs w:val="24"/>
      </w:rPr>
    </w:pPr>
  </w:p>
  <w:p w14:paraId="6ED7ACD9">
    <w:pPr>
      <w:pStyle w:val="10"/>
      <w:ind w:left="420"/>
      <w:jc w:val="right"/>
      <w:rPr>
        <w:rFonts w:hint="eastAsia"/>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E6F3">
    <w:pPr>
      <w:pBdr>
        <w:bottom w:val="none" w:color="auto" w:sz="0" w:space="1"/>
      </w:pBdr>
      <w:tabs>
        <w:tab w:val="center" w:pos="4153"/>
        <w:tab w:val="right" w:pos="8306"/>
      </w:tabs>
      <w:snapToGrid w:val="0"/>
      <w:jc w:val="center"/>
      <w:rPr>
        <w:kern w:val="0"/>
        <w:sz w:val="18"/>
        <w:szCs w:val="18"/>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415CE"/>
    <w:rsid w:val="010D41CE"/>
    <w:rsid w:val="011253ED"/>
    <w:rsid w:val="015155C3"/>
    <w:rsid w:val="01A00C4B"/>
    <w:rsid w:val="021B6850"/>
    <w:rsid w:val="026D4066"/>
    <w:rsid w:val="02BD634D"/>
    <w:rsid w:val="034E0269"/>
    <w:rsid w:val="04512DC5"/>
    <w:rsid w:val="04FA7C83"/>
    <w:rsid w:val="06287461"/>
    <w:rsid w:val="07415EC4"/>
    <w:rsid w:val="08AC7C46"/>
    <w:rsid w:val="09D87C1F"/>
    <w:rsid w:val="09FE0C04"/>
    <w:rsid w:val="0B052862"/>
    <w:rsid w:val="0B7C0033"/>
    <w:rsid w:val="0C221C2E"/>
    <w:rsid w:val="0C630742"/>
    <w:rsid w:val="0C9D5A01"/>
    <w:rsid w:val="0CE320C5"/>
    <w:rsid w:val="0D390733"/>
    <w:rsid w:val="0E464928"/>
    <w:rsid w:val="0E5139F9"/>
    <w:rsid w:val="0ED06E00"/>
    <w:rsid w:val="10A36B60"/>
    <w:rsid w:val="10C61D50"/>
    <w:rsid w:val="12331EA3"/>
    <w:rsid w:val="12340EC2"/>
    <w:rsid w:val="12C549B5"/>
    <w:rsid w:val="13633809"/>
    <w:rsid w:val="13B556E3"/>
    <w:rsid w:val="13D35072"/>
    <w:rsid w:val="13DA34B8"/>
    <w:rsid w:val="141B23B3"/>
    <w:rsid w:val="160B0931"/>
    <w:rsid w:val="168D4734"/>
    <w:rsid w:val="16A42B33"/>
    <w:rsid w:val="17580AAC"/>
    <w:rsid w:val="177056E6"/>
    <w:rsid w:val="18013CED"/>
    <w:rsid w:val="192904AF"/>
    <w:rsid w:val="1A1A4D67"/>
    <w:rsid w:val="1A332204"/>
    <w:rsid w:val="1A9A04D5"/>
    <w:rsid w:val="1AC57416"/>
    <w:rsid w:val="1B6D7547"/>
    <w:rsid w:val="1B83186C"/>
    <w:rsid w:val="1BC03F6C"/>
    <w:rsid w:val="1C5A616E"/>
    <w:rsid w:val="1D4E5271"/>
    <w:rsid w:val="1DB573D4"/>
    <w:rsid w:val="1E6E4153"/>
    <w:rsid w:val="1EFD247E"/>
    <w:rsid w:val="1F525BA3"/>
    <w:rsid w:val="1F664E2A"/>
    <w:rsid w:val="1FA52A9C"/>
    <w:rsid w:val="200635B4"/>
    <w:rsid w:val="200C6A63"/>
    <w:rsid w:val="207F7945"/>
    <w:rsid w:val="209A2298"/>
    <w:rsid w:val="21435911"/>
    <w:rsid w:val="219D1D2B"/>
    <w:rsid w:val="22313E69"/>
    <w:rsid w:val="22B1460E"/>
    <w:rsid w:val="22C54B49"/>
    <w:rsid w:val="23A75A11"/>
    <w:rsid w:val="23AB0DA5"/>
    <w:rsid w:val="23CD1DF4"/>
    <w:rsid w:val="23D3695E"/>
    <w:rsid w:val="23E17175"/>
    <w:rsid w:val="23F77210"/>
    <w:rsid w:val="243C084F"/>
    <w:rsid w:val="247748A6"/>
    <w:rsid w:val="26A720D0"/>
    <w:rsid w:val="26B4291F"/>
    <w:rsid w:val="26D023AE"/>
    <w:rsid w:val="277D48B0"/>
    <w:rsid w:val="27B836EB"/>
    <w:rsid w:val="27C070A1"/>
    <w:rsid w:val="280A67EE"/>
    <w:rsid w:val="284D013E"/>
    <w:rsid w:val="284E28FF"/>
    <w:rsid w:val="28FF098D"/>
    <w:rsid w:val="299B3D8A"/>
    <w:rsid w:val="29B125C7"/>
    <w:rsid w:val="2A08305C"/>
    <w:rsid w:val="2A3E65CC"/>
    <w:rsid w:val="2A5F29FA"/>
    <w:rsid w:val="2B1D5ED7"/>
    <w:rsid w:val="2B700021"/>
    <w:rsid w:val="2BB05DAB"/>
    <w:rsid w:val="2BE8040C"/>
    <w:rsid w:val="2BF973AC"/>
    <w:rsid w:val="2C7C5C8D"/>
    <w:rsid w:val="2C8213EC"/>
    <w:rsid w:val="2CA67207"/>
    <w:rsid w:val="2D05727C"/>
    <w:rsid w:val="2E1605B3"/>
    <w:rsid w:val="2E622E7D"/>
    <w:rsid w:val="2E750BE6"/>
    <w:rsid w:val="2EA63495"/>
    <w:rsid w:val="2EF73CF0"/>
    <w:rsid w:val="2F2C5B4C"/>
    <w:rsid w:val="2FBF4562"/>
    <w:rsid w:val="2FDB53C0"/>
    <w:rsid w:val="31C473E1"/>
    <w:rsid w:val="31F9114F"/>
    <w:rsid w:val="32583CE9"/>
    <w:rsid w:val="32622F3B"/>
    <w:rsid w:val="33EE5754"/>
    <w:rsid w:val="34D247B5"/>
    <w:rsid w:val="353C74EB"/>
    <w:rsid w:val="35A64E30"/>
    <w:rsid w:val="36560098"/>
    <w:rsid w:val="36AA789A"/>
    <w:rsid w:val="377F77E3"/>
    <w:rsid w:val="37815CA2"/>
    <w:rsid w:val="37F30ECD"/>
    <w:rsid w:val="38156F95"/>
    <w:rsid w:val="38690AB9"/>
    <w:rsid w:val="399A73FF"/>
    <w:rsid w:val="39ED6456"/>
    <w:rsid w:val="3A2F6CE9"/>
    <w:rsid w:val="3A9D05C4"/>
    <w:rsid w:val="3AE754F7"/>
    <w:rsid w:val="3B4262F3"/>
    <w:rsid w:val="3B781784"/>
    <w:rsid w:val="3B950B19"/>
    <w:rsid w:val="3B9D279F"/>
    <w:rsid w:val="3C5F1DD5"/>
    <w:rsid w:val="3C9D3755"/>
    <w:rsid w:val="3CC35212"/>
    <w:rsid w:val="3CE33B06"/>
    <w:rsid w:val="3D4A76E1"/>
    <w:rsid w:val="3D8221FE"/>
    <w:rsid w:val="3E701E27"/>
    <w:rsid w:val="3E927680"/>
    <w:rsid w:val="3F23307D"/>
    <w:rsid w:val="3F665632"/>
    <w:rsid w:val="3F8E1B07"/>
    <w:rsid w:val="3F9D552F"/>
    <w:rsid w:val="3FD341E0"/>
    <w:rsid w:val="402C1320"/>
    <w:rsid w:val="415B2038"/>
    <w:rsid w:val="416234E1"/>
    <w:rsid w:val="41850740"/>
    <w:rsid w:val="42315607"/>
    <w:rsid w:val="42436411"/>
    <w:rsid w:val="42467D8C"/>
    <w:rsid w:val="42D9753D"/>
    <w:rsid w:val="42DB353F"/>
    <w:rsid w:val="4339622E"/>
    <w:rsid w:val="436860C9"/>
    <w:rsid w:val="436B0FB1"/>
    <w:rsid w:val="438745BA"/>
    <w:rsid w:val="43E53CC0"/>
    <w:rsid w:val="43FB6126"/>
    <w:rsid w:val="453955D2"/>
    <w:rsid w:val="45AC635D"/>
    <w:rsid w:val="45CD0EAF"/>
    <w:rsid w:val="46190645"/>
    <w:rsid w:val="472319D4"/>
    <w:rsid w:val="47541B6A"/>
    <w:rsid w:val="475E110C"/>
    <w:rsid w:val="47867568"/>
    <w:rsid w:val="47ED6096"/>
    <w:rsid w:val="48231BCD"/>
    <w:rsid w:val="49787384"/>
    <w:rsid w:val="497E0E3E"/>
    <w:rsid w:val="4B0D06CC"/>
    <w:rsid w:val="4B6A5C28"/>
    <w:rsid w:val="4B6E0A3F"/>
    <w:rsid w:val="4B7E5126"/>
    <w:rsid w:val="4BB8594F"/>
    <w:rsid w:val="4C292A4A"/>
    <w:rsid w:val="4CDE39A2"/>
    <w:rsid w:val="4E0C3C36"/>
    <w:rsid w:val="4E5C497E"/>
    <w:rsid w:val="4EC07803"/>
    <w:rsid w:val="4EC80562"/>
    <w:rsid w:val="4FEC6F52"/>
    <w:rsid w:val="50095314"/>
    <w:rsid w:val="506C38E8"/>
    <w:rsid w:val="511D2CEB"/>
    <w:rsid w:val="5215130D"/>
    <w:rsid w:val="52176FBF"/>
    <w:rsid w:val="528F7884"/>
    <w:rsid w:val="54730B55"/>
    <w:rsid w:val="549415CE"/>
    <w:rsid w:val="54BA2B64"/>
    <w:rsid w:val="54DF3475"/>
    <w:rsid w:val="55766565"/>
    <w:rsid w:val="55D65B5E"/>
    <w:rsid w:val="55EF562C"/>
    <w:rsid w:val="57007337"/>
    <w:rsid w:val="57025FF9"/>
    <w:rsid w:val="57E44562"/>
    <w:rsid w:val="58C779E0"/>
    <w:rsid w:val="592866D1"/>
    <w:rsid w:val="593453EC"/>
    <w:rsid w:val="5A292701"/>
    <w:rsid w:val="5A444BA8"/>
    <w:rsid w:val="5AF812E0"/>
    <w:rsid w:val="5BBE331C"/>
    <w:rsid w:val="5D4E247E"/>
    <w:rsid w:val="5D6930F2"/>
    <w:rsid w:val="5DA0669D"/>
    <w:rsid w:val="5DC51B19"/>
    <w:rsid w:val="5E0A2849"/>
    <w:rsid w:val="5FBA204D"/>
    <w:rsid w:val="61202383"/>
    <w:rsid w:val="61290ED2"/>
    <w:rsid w:val="61A90665"/>
    <w:rsid w:val="625304A7"/>
    <w:rsid w:val="62532876"/>
    <w:rsid w:val="62967210"/>
    <w:rsid w:val="62EE098B"/>
    <w:rsid w:val="63275C4B"/>
    <w:rsid w:val="646507D9"/>
    <w:rsid w:val="646E29E9"/>
    <w:rsid w:val="64F14763"/>
    <w:rsid w:val="66064957"/>
    <w:rsid w:val="66694410"/>
    <w:rsid w:val="66B27F22"/>
    <w:rsid w:val="66BC48FC"/>
    <w:rsid w:val="6897117D"/>
    <w:rsid w:val="68EA4EF1"/>
    <w:rsid w:val="68F47009"/>
    <w:rsid w:val="6A34672D"/>
    <w:rsid w:val="6A8F7C0E"/>
    <w:rsid w:val="6BBE6705"/>
    <w:rsid w:val="6C67289A"/>
    <w:rsid w:val="6C73523E"/>
    <w:rsid w:val="7033338E"/>
    <w:rsid w:val="71211F2C"/>
    <w:rsid w:val="71391697"/>
    <w:rsid w:val="72730565"/>
    <w:rsid w:val="73093641"/>
    <w:rsid w:val="73AC0B88"/>
    <w:rsid w:val="75F55735"/>
    <w:rsid w:val="77094E6E"/>
    <w:rsid w:val="77550B81"/>
    <w:rsid w:val="77701517"/>
    <w:rsid w:val="78370287"/>
    <w:rsid w:val="78CD4B70"/>
    <w:rsid w:val="78D13E99"/>
    <w:rsid w:val="7935571C"/>
    <w:rsid w:val="7B2A685F"/>
    <w:rsid w:val="7BAD06C1"/>
    <w:rsid w:val="7C683105"/>
    <w:rsid w:val="7C744059"/>
    <w:rsid w:val="7CD47394"/>
    <w:rsid w:val="7D520F05"/>
    <w:rsid w:val="7E5B02D6"/>
    <w:rsid w:val="7E97382D"/>
    <w:rsid w:val="7EF742CC"/>
    <w:rsid w:val="7F0D3AEF"/>
    <w:rsid w:val="7F8A3392"/>
    <w:rsid w:val="7FA30D65"/>
    <w:rsid w:val="7FB623F3"/>
    <w:rsid w:val="7FD17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0"/>
    <w:pPr>
      <w:jc w:val="left"/>
      <w:outlineLvl w:val="1"/>
    </w:pPr>
    <w:rPr>
      <w:rFonts w:ascii="Arial" w:hAnsi="Arial" w:eastAsia="黑体"/>
      <w:b/>
      <w:bCs/>
      <w:color w:val="000000"/>
      <w:kern w:val="0"/>
      <w:sz w:val="36"/>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4">
    <w:name w:val="Normal Indent"/>
    <w:basedOn w:val="1"/>
    <w:next w:val="1"/>
    <w:unhideWhenUsed/>
    <w:qFormat/>
    <w:uiPriority w:val="99"/>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kern w:val="0"/>
      <w:sz w:val="20"/>
      <w:szCs w:val="20"/>
    </w:rPr>
  </w:style>
  <w:style w:type="paragraph" w:styleId="7">
    <w:name w:val="Body Text Indent"/>
    <w:basedOn w:val="1"/>
    <w:next w:val="8"/>
    <w:qFormat/>
    <w:uiPriority w:val="0"/>
    <w:pPr>
      <w:spacing w:after="120"/>
      <w:ind w:left="420" w:leftChars="200"/>
    </w:pPr>
    <w:rPr>
      <w:kern w:val="0"/>
      <w:sz w:val="20"/>
      <w:szCs w:val="20"/>
    </w:rPr>
  </w:style>
  <w:style w:type="paragraph" w:styleId="8">
    <w:name w:val="envelope return"/>
    <w:basedOn w:val="1"/>
    <w:qFormat/>
    <w:uiPriority w:val="0"/>
    <w:pPr>
      <w:snapToGrid w:val="0"/>
    </w:pPr>
    <w:rPr>
      <w:rFonts w:ascii="Arial" w:hAnsi="Arial"/>
      <w:szCs w:val="24"/>
    </w:rPr>
  </w:style>
  <w:style w:type="paragraph" w:styleId="9">
    <w:name w:val="footer"/>
    <w:basedOn w:val="1"/>
    <w:qFormat/>
    <w:uiPriority w:val="0"/>
    <w:pPr>
      <w:tabs>
        <w:tab w:val="center" w:pos="4153"/>
        <w:tab w:val="right" w:pos="8306"/>
      </w:tabs>
      <w:snapToGrid w:val="0"/>
      <w:jc w:val="left"/>
    </w:pPr>
    <w:rPr>
      <w:kern w:val="0"/>
      <w:sz w:val="18"/>
      <w:szCs w:val="18"/>
    </w:rPr>
  </w:style>
  <w:style w:type="paragraph" w:styleId="10">
    <w:name w:val="Body Text Indent 3"/>
    <w:basedOn w:val="1"/>
    <w:qFormat/>
    <w:uiPriority w:val="0"/>
    <w:pPr>
      <w:spacing w:after="120"/>
      <w:ind w:left="200" w:leftChars="200"/>
    </w:pPr>
    <w:rPr>
      <w:kern w:val="0"/>
      <w:sz w:val="16"/>
      <w:szCs w:val="16"/>
    </w:rPr>
  </w:style>
  <w:style w:type="paragraph" w:styleId="11">
    <w:name w:val="Body Text First Indent"/>
    <w:basedOn w:val="6"/>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paragraph" w:styleId="12">
    <w:name w:val="Body Text First Indent 2"/>
    <w:basedOn w:val="7"/>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character" w:styleId="15">
    <w:name w:val="Strong"/>
    <w:basedOn w:val="14"/>
    <w:qFormat/>
    <w:uiPriority w:val="0"/>
    <w:rPr>
      <w:b/>
    </w:rPr>
  </w:style>
  <w:style w:type="character" w:styleId="16">
    <w:name w:val="Hyperlink"/>
    <w:qFormat/>
    <w:uiPriority w:val="0"/>
    <w:rPr>
      <w:rFonts w:hint="default" w:ascii="Calibri" w:hAnsi="Calibri" w:eastAsia="宋体" w:cs="Calibri"/>
      <w:color w:val="0000FF"/>
      <w:u w:val="single"/>
    </w:rPr>
  </w:style>
  <w:style w:type="paragraph" w:customStyle="1" w:styleId="17">
    <w:name w:val="Plain Text1"/>
    <w:basedOn w:val="1"/>
    <w:qFormat/>
    <w:uiPriority w:val="0"/>
    <w:rPr>
      <w:rFonts w:ascii="Courier New" w:hAnsi="Courier New" w:eastAsia="楷体_GB2312"/>
    </w:rPr>
  </w:style>
  <w:style w:type="paragraph" w:customStyle="1" w:styleId="1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
    <w:name w:val="List Paragraph"/>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4245</Words>
  <Characters>4540</Characters>
  <Lines>0</Lines>
  <Paragraphs>0</Paragraphs>
  <TotalTime>0</TotalTime>
  <ScaleCrop>false</ScaleCrop>
  <LinksUpToDate>false</LinksUpToDate>
  <CharactersWithSpaces>5279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2025-01-02T10:03:00Z</dcterms:created>
  <dc:creator>Administrator</dc:creator>
  <cp:lastModifiedBy>Administrator</cp:lastModifiedBy>
  <dcterms:modified xsi:type="dcterms:W3CDTF">2025-11-21T02:00:39Z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9A49537C5A364A56AE2E8715C0825354_13</vt:lpwstr>
  </property>
  <property fmtid="{D5CDD505-2E9C-101B-9397-08002B2CF9AE}" pid="4" name="KSOTemplateDocerSaveRecord">
    <vt:lpwstr>eyJoZGlkIjoiZDgyMmM3MGIxNGY3N2U4NGRjNTFkYzVlN2VkYTVkMzEiLCJ1c2VySWQiOiIxOTI5NDk1MDIifQ==</vt:lpwstr>
  </property>
</Properties>
</file>