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6B914">
      <w:pPr>
        <w:spacing w:line="360" w:lineRule="auto"/>
        <w:rPr>
          <w:rFonts w:ascii="宋体" w:hAnsi="宋体" w:cs="宋体"/>
          <w:color w:val="auto"/>
          <w:sz w:val="24"/>
          <w:highlight w:val="none"/>
        </w:rPr>
      </w:pPr>
      <w:bookmarkStart w:id="148" w:name="_GoBack"/>
      <w:bookmarkEnd w:id="148"/>
    </w:p>
    <w:p w14:paraId="07C9D717">
      <w:pPr>
        <w:spacing w:line="360" w:lineRule="auto"/>
        <w:rPr>
          <w:rFonts w:ascii="宋体" w:hAnsi="宋体" w:cs="宋体"/>
          <w:color w:val="auto"/>
          <w:sz w:val="24"/>
          <w:highlight w:val="none"/>
        </w:rPr>
      </w:pPr>
    </w:p>
    <w:p w14:paraId="29FAF722">
      <w:pPr>
        <w:spacing w:line="360" w:lineRule="auto"/>
        <w:rPr>
          <w:rFonts w:ascii="宋体" w:hAnsi="宋体" w:cs="宋体"/>
          <w:b/>
          <w:bCs/>
          <w:color w:val="auto"/>
          <w:sz w:val="24"/>
          <w:highlight w:val="none"/>
        </w:rPr>
      </w:pPr>
    </w:p>
    <w:p w14:paraId="3CA95328">
      <w:pPr>
        <w:pStyle w:val="53"/>
        <w:rPr>
          <w:rFonts w:ascii="宋体" w:hAnsi="宋体" w:cs="宋体"/>
          <w:color w:val="auto"/>
          <w:sz w:val="24"/>
          <w:highlight w:val="none"/>
        </w:rPr>
      </w:pPr>
    </w:p>
    <w:p w14:paraId="01CB99BC">
      <w:pPr>
        <w:pStyle w:val="53"/>
        <w:rPr>
          <w:rFonts w:ascii="宋体" w:hAnsi="宋体" w:cs="宋体"/>
          <w:color w:val="auto"/>
          <w:sz w:val="24"/>
          <w:highlight w:val="none"/>
        </w:rPr>
      </w:pPr>
    </w:p>
    <w:p w14:paraId="6C226662">
      <w:pPr>
        <w:ind w:left="-2" w:leftChars="-200" w:right="-313" w:rightChars="-149" w:hanging="418" w:hangingChars="80"/>
        <w:jc w:val="center"/>
        <w:outlineLvl w:val="0"/>
        <w:rPr>
          <w:rFonts w:ascii="宋体" w:hAnsi="宋体" w:cs="宋体"/>
          <w:b/>
          <w:bCs/>
          <w:color w:val="auto"/>
          <w:sz w:val="52"/>
          <w:szCs w:val="52"/>
          <w:highlight w:val="none"/>
          <w:u w:val="single"/>
        </w:rPr>
      </w:pPr>
      <w:bookmarkStart w:id="0" w:name="_Toc8080"/>
      <w:r>
        <w:rPr>
          <w:rFonts w:hint="eastAsia" w:ascii="宋体" w:hAnsi="宋体" w:eastAsia="宋体" w:cs="宋体"/>
          <w:b/>
          <w:bCs/>
          <w:color w:val="auto"/>
          <w:sz w:val="52"/>
          <w:szCs w:val="52"/>
          <w:highlight w:val="none"/>
          <w:u w:val="single"/>
        </w:rPr>
        <w:t>芳村花园</w:t>
      </w:r>
      <w:r>
        <w:rPr>
          <w:rFonts w:hint="eastAsia" w:ascii="宋体" w:hAnsi="宋体" w:cs="宋体"/>
          <w:b/>
          <w:bCs/>
          <w:color w:val="auto"/>
          <w:sz w:val="52"/>
          <w:szCs w:val="52"/>
          <w:highlight w:val="none"/>
          <w:u w:val="single"/>
        </w:rPr>
        <w:t>消防设施</w:t>
      </w:r>
      <w:r>
        <w:rPr>
          <w:rFonts w:hint="eastAsia" w:ascii="宋体" w:hAnsi="宋体" w:eastAsia="宋体" w:cs="宋体"/>
          <w:b/>
          <w:bCs/>
          <w:color w:val="auto"/>
          <w:sz w:val="52"/>
          <w:szCs w:val="52"/>
          <w:highlight w:val="none"/>
          <w:u w:val="single"/>
        </w:rPr>
        <w:t>设备</w:t>
      </w:r>
      <w:r>
        <w:rPr>
          <w:rFonts w:hint="eastAsia" w:ascii="宋体" w:hAnsi="宋体" w:cs="宋体"/>
          <w:b/>
          <w:bCs/>
          <w:color w:val="auto"/>
          <w:sz w:val="52"/>
          <w:szCs w:val="52"/>
          <w:highlight w:val="none"/>
          <w:u w:val="single"/>
        </w:rPr>
        <w:t>维修</w:t>
      </w:r>
      <w:r>
        <w:rPr>
          <w:rFonts w:hint="eastAsia" w:ascii="宋体" w:hAnsi="宋体" w:eastAsia="宋体" w:cs="宋体"/>
          <w:b/>
          <w:bCs/>
          <w:color w:val="auto"/>
          <w:sz w:val="52"/>
          <w:szCs w:val="52"/>
          <w:highlight w:val="none"/>
          <w:u w:val="single"/>
          <w:lang w:eastAsia="zh-CN"/>
        </w:rPr>
        <w:t>更换</w:t>
      </w:r>
      <w:r>
        <w:rPr>
          <w:rFonts w:hint="eastAsia" w:ascii="宋体" w:hAnsi="宋体" w:cs="宋体"/>
          <w:b/>
          <w:bCs/>
          <w:color w:val="auto"/>
          <w:sz w:val="52"/>
          <w:szCs w:val="52"/>
          <w:highlight w:val="none"/>
          <w:u w:val="single"/>
        </w:rPr>
        <w:t>项目</w:t>
      </w:r>
      <w:bookmarkEnd w:id="0"/>
    </w:p>
    <w:p w14:paraId="15711245">
      <w:pPr>
        <w:ind w:left="-2" w:leftChars="-200" w:right="-313" w:rightChars="-149" w:hanging="418" w:hangingChars="80"/>
        <w:jc w:val="center"/>
        <w:rPr>
          <w:rFonts w:ascii="宋体" w:hAnsi="宋体" w:cs="宋体"/>
          <w:b/>
          <w:bCs/>
          <w:color w:val="auto"/>
          <w:sz w:val="52"/>
          <w:szCs w:val="52"/>
          <w:highlight w:val="none"/>
        </w:rPr>
      </w:pPr>
      <w:r>
        <w:rPr>
          <w:rFonts w:hint="eastAsia" w:ascii="宋体" w:hAnsi="宋体" w:cs="宋体"/>
          <w:b/>
          <w:bCs/>
          <w:color w:val="auto"/>
          <w:sz w:val="52"/>
          <w:szCs w:val="52"/>
          <w:highlight w:val="none"/>
          <w:u w:val="single"/>
        </w:rPr>
        <w:t>设计施工总承包</w:t>
      </w:r>
      <w:r>
        <w:rPr>
          <w:rFonts w:hint="eastAsia" w:ascii="宋体" w:hAnsi="宋体" w:cs="宋体"/>
          <w:b/>
          <w:bCs/>
          <w:color w:val="auto"/>
          <w:sz w:val="52"/>
          <w:szCs w:val="52"/>
          <w:highlight w:val="none"/>
        </w:rPr>
        <w:t>合同</w:t>
      </w:r>
    </w:p>
    <w:p w14:paraId="7329A707">
      <w:pPr>
        <w:spacing w:line="360" w:lineRule="auto"/>
        <w:jc w:val="center"/>
        <w:rPr>
          <w:rFonts w:ascii="宋体" w:hAnsi="宋体" w:cs="宋体"/>
          <w:color w:val="auto"/>
          <w:sz w:val="52"/>
          <w:szCs w:val="52"/>
          <w:highlight w:val="none"/>
        </w:rPr>
      </w:pPr>
    </w:p>
    <w:p w14:paraId="0147E8A7">
      <w:pPr>
        <w:spacing w:line="360" w:lineRule="auto"/>
        <w:jc w:val="center"/>
        <w:rPr>
          <w:rFonts w:ascii="宋体" w:hAnsi="宋体" w:cs="宋体"/>
          <w:color w:val="auto"/>
          <w:sz w:val="24"/>
          <w:highlight w:val="none"/>
        </w:rPr>
      </w:pPr>
    </w:p>
    <w:p w14:paraId="7718D04E">
      <w:pPr>
        <w:spacing w:line="360" w:lineRule="auto"/>
        <w:jc w:val="center"/>
        <w:rPr>
          <w:rFonts w:ascii="宋体" w:hAnsi="宋体" w:cs="宋体"/>
          <w:color w:val="auto"/>
          <w:sz w:val="24"/>
          <w:highlight w:val="none"/>
        </w:rPr>
      </w:pPr>
    </w:p>
    <w:p w14:paraId="33A0BD79">
      <w:pPr>
        <w:pStyle w:val="2"/>
        <w:rPr>
          <w:color w:val="auto"/>
          <w:highlight w:val="none"/>
        </w:rPr>
      </w:pPr>
    </w:p>
    <w:p w14:paraId="23B62A81">
      <w:pPr>
        <w:rPr>
          <w:color w:val="auto"/>
          <w:highlight w:val="none"/>
        </w:rPr>
      </w:pPr>
    </w:p>
    <w:p w14:paraId="3AA131A6">
      <w:pPr>
        <w:pStyle w:val="18"/>
        <w:rPr>
          <w:rFonts w:ascii="宋体" w:hAnsi="宋体" w:eastAsia="宋体" w:cs="宋体"/>
          <w:color w:val="auto"/>
          <w:sz w:val="24"/>
          <w:szCs w:val="24"/>
          <w:highlight w:val="none"/>
        </w:rPr>
      </w:pPr>
    </w:p>
    <w:p w14:paraId="0E3FBB58">
      <w:pPr>
        <w:rPr>
          <w:rFonts w:ascii="宋体" w:hAnsi="宋体" w:cs="宋体"/>
          <w:color w:val="auto"/>
          <w:sz w:val="24"/>
          <w:highlight w:val="none"/>
        </w:rPr>
      </w:pPr>
    </w:p>
    <w:p w14:paraId="5F9082F7">
      <w:pPr>
        <w:spacing w:line="360" w:lineRule="auto"/>
        <w:jc w:val="center"/>
        <w:rPr>
          <w:rFonts w:ascii="宋体" w:hAnsi="宋体" w:cs="宋体"/>
          <w:color w:val="auto"/>
          <w:sz w:val="24"/>
          <w:highlight w:val="none"/>
        </w:rPr>
      </w:pPr>
    </w:p>
    <w:p w14:paraId="3EE0348C">
      <w:pPr>
        <w:spacing w:line="360" w:lineRule="auto"/>
        <w:jc w:val="center"/>
        <w:rPr>
          <w:rFonts w:ascii="宋体" w:hAnsi="宋体" w:cs="宋体"/>
          <w:color w:val="auto"/>
          <w:sz w:val="24"/>
          <w:highlight w:val="none"/>
        </w:rPr>
      </w:pPr>
    </w:p>
    <w:p w14:paraId="1E145997">
      <w:pPr>
        <w:pStyle w:val="2"/>
        <w:adjustRightInd w:val="0"/>
        <w:snapToGrid w:val="0"/>
        <w:spacing w:beforeLines="100" w:afterLines="100"/>
        <w:ind w:firstLine="1134" w:firstLineChars="405"/>
        <w:rPr>
          <w:rFonts w:hint="default" w:hAnsi="宋体" w:eastAsia="宋体" w:cs="宋体"/>
          <w:color w:val="auto"/>
          <w:sz w:val="28"/>
          <w:szCs w:val="28"/>
          <w:highlight w:val="none"/>
          <w:lang w:val="en-US" w:eastAsia="zh-CN"/>
        </w:rPr>
      </w:pPr>
      <w:r>
        <w:rPr>
          <w:rFonts w:hint="eastAsia" w:hAnsi="宋体" w:cs="宋体"/>
          <w:color w:val="auto"/>
          <w:sz w:val="28"/>
          <w:szCs w:val="28"/>
          <w:highlight w:val="none"/>
        </w:rPr>
        <w:t>合同编号：</w:t>
      </w:r>
      <w:r>
        <w:rPr>
          <w:rFonts w:hint="eastAsia" w:hAnsi="宋体" w:cs="宋体"/>
          <w:color w:val="auto"/>
          <w:sz w:val="28"/>
          <w:szCs w:val="28"/>
          <w:highlight w:val="none"/>
          <w:u w:val="single"/>
          <w:lang w:val="en-US" w:eastAsia="zh-CN"/>
        </w:rPr>
        <w:t xml:space="preserve">                               </w:t>
      </w:r>
    </w:p>
    <w:p w14:paraId="65BFDBC5">
      <w:pPr>
        <w:pStyle w:val="2"/>
        <w:adjustRightInd w:val="0"/>
        <w:snapToGrid w:val="0"/>
        <w:spacing w:beforeLines="100" w:afterLines="100"/>
        <w:ind w:firstLine="1134" w:firstLineChars="405"/>
        <w:rPr>
          <w:rFonts w:hAnsi="宋体" w:cs="宋体"/>
          <w:color w:val="auto"/>
          <w:sz w:val="28"/>
          <w:szCs w:val="28"/>
          <w:highlight w:val="none"/>
          <w:u w:val="single"/>
        </w:rPr>
      </w:pPr>
      <w:r>
        <w:rPr>
          <w:rFonts w:hint="eastAsia" w:hAnsi="宋体" w:cs="宋体"/>
          <w:color w:val="auto"/>
          <w:sz w:val="28"/>
          <w:szCs w:val="28"/>
          <w:highlight w:val="none"/>
        </w:rPr>
        <w:t>项目名称：</w:t>
      </w:r>
      <w:r>
        <w:rPr>
          <w:rFonts w:hint="eastAsia" w:ascii="宋体" w:hAnsi="宋体" w:eastAsia="宋体" w:cs="宋体"/>
          <w:b w:val="0"/>
          <w:bCs w:val="0"/>
          <w:color w:val="auto"/>
          <w:sz w:val="28"/>
          <w:szCs w:val="28"/>
          <w:highlight w:val="none"/>
          <w:u w:val="single"/>
        </w:rPr>
        <w:t>芳村花园</w:t>
      </w:r>
      <w:r>
        <w:rPr>
          <w:rFonts w:hint="eastAsia" w:ascii="宋体" w:hAnsi="宋体" w:cs="宋体"/>
          <w:b w:val="0"/>
          <w:bCs w:val="0"/>
          <w:color w:val="auto"/>
          <w:sz w:val="28"/>
          <w:szCs w:val="28"/>
          <w:highlight w:val="none"/>
          <w:u w:val="single"/>
        </w:rPr>
        <w:t>消防设</w:t>
      </w:r>
      <w:r>
        <w:rPr>
          <w:rFonts w:hint="eastAsia" w:ascii="宋体" w:hAnsi="宋体" w:eastAsia="宋体" w:cs="宋体"/>
          <w:b w:val="0"/>
          <w:bCs w:val="0"/>
          <w:color w:val="auto"/>
          <w:sz w:val="28"/>
          <w:szCs w:val="28"/>
          <w:highlight w:val="none"/>
          <w:u w:val="single"/>
        </w:rPr>
        <w:t>施设备维修</w:t>
      </w:r>
      <w:r>
        <w:rPr>
          <w:rFonts w:hint="eastAsia" w:ascii="宋体" w:hAnsi="宋体" w:eastAsia="宋体" w:cs="宋体"/>
          <w:b w:val="0"/>
          <w:bCs w:val="0"/>
          <w:color w:val="auto"/>
          <w:sz w:val="28"/>
          <w:szCs w:val="28"/>
          <w:highlight w:val="none"/>
          <w:u w:val="single"/>
          <w:lang w:eastAsia="zh-CN"/>
        </w:rPr>
        <w:t>更换</w:t>
      </w:r>
      <w:r>
        <w:rPr>
          <w:rFonts w:hint="eastAsia" w:hAnsi="宋体" w:cs="宋体"/>
          <w:color w:val="auto"/>
          <w:sz w:val="28"/>
          <w:szCs w:val="28"/>
          <w:highlight w:val="none"/>
          <w:u w:val="single"/>
        </w:rPr>
        <w:t>项目设计施工总承包</w:t>
      </w:r>
    </w:p>
    <w:p w14:paraId="686EF262">
      <w:pPr>
        <w:pStyle w:val="2"/>
        <w:adjustRightInd w:val="0"/>
        <w:snapToGrid w:val="0"/>
        <w:spacing w:beforeLines="100" w:afterLines="100"/>
        <w:ind w:firstLine="1134" w:firstLineChars="405"/>
        <w:outlineLvl w:val="0"/>
        <w:rPr>
          <w:rFonts w:hAnsi="宋体" w:cs="宋体"/>
          <w:color w:val="auto"/>
          <w:sz w:val="28"/>
          <w:szCs w:val="28"/>
          <w:highlight w:val="none"/>
        </w:rPr>
      </w:pPr>
      <w:bookmarkStart w:id="1" w:name="_Toc24113"/>
      <w:r>
        <w:rPr>
          <w:rFonts w:hint="eastAsia" w:hAnsi="宋体" w:cs="宋体"/>
          <w:color w:val="auto"/>
          <w:sz w:val="28"/>
          <w:szCs w:val="28"/>
          <w:highlight w:val="none"/>
        </w:rPr>
        <w:t>发 包 人：</w:t>
      </w:r>
      <w:r>
        <w:rPr>
          <w:rFonts w:hint="eastAsia" w:hAnsi="宋体" w:cs="宋体"/>
          <w:color w:val="auto"/>
          <w:kern w:val="0"/>
          <w:sz w:val="28"/>
          <w:szCs w:val="28"/>
          <w:highlight w:val="none"/>
          <w:u w:val="single"/>
        </w:rPr>
        <w:t>广州珠江住房租赁发展投资有限公司</w:t>
      </w:r>
      <w:bookmarkEnd w:id="1"/>
    </w:p>
    <w:p w14:paraId="1CC07D65">
      <w:pPr>
        <w:pStyle w:val="2"/>
        <w:adjustRightInd w:val="0"/>
        <w:snapToGrid w:val="0"/>
        <w:spacing w:beforeLines="100" w:afterLines="100"/>
        <w:ind w:left="1396" w:leftChars="541" w:hanging="260" w:hangingChars="93"/>
        <w:rPr>
          <w:rFonts w:hint="eastAsia" w:hAnsi="宋体" w:cs="宋体"/>
          <w:color w:val="auto"/>
          <w:kern w:val="0"/>
          <w:sz w:val="28"/>
          <w:szCs w:val="28"/>
          <w:highlight w:val="none"/>
          <w:u w:val="single"/>
          <w:lang w:val="en-US" w:eastAsia="zh-CN"/>
        </w:rPr>
      </w:pPr>
      <w:r>
        <w:rPr>
          <w:rFonts w:hint="eastAsia" w:hAnsi="宋体" w:cs="宋体"/>
          <w:color w:val="auto"/>
          <w:sz w:val="28"/>
          <w:szCs w:val="28"/>
          <w:highlight w:val="none"/>
        </w:rPr>
        <w:t>承 包 人：</w:t>
      </w:r>
      <w:r>
        <w:rPr>
          <w:rFonts w:hint="eastAsia" w:hAnsi="宋体" w:cs="宋体"/>
          <w:color w:val="auto"/>
          <w:kern w:val="0"/>
          <w:sz w:val="28"/>
          <w:szCs w:val="28"/>
          <w:highlight w:val="none"/>
          <w:u w:val="single"/>
        </w:rPr>
        <w:t>（主）</w:t>
      </w:r>
      <w:r>
        <w:rPr>
          <w:rFonts w:hint="eastAsia" w:hAnsi="宋体" w:cs="宋体"/>
          <w:color w:val="auto"/>
          <w:kern w:val="0"/>
          <w:sz w:val="28"/>
          <w:szCs w:val="28"/>
          <w:highlight w:val="none"/>
          <w:u w:val="single"/>
          <w:lang w:val="en-US" w:eastAsia="zh-CN"/>
        </w:rPr>
        <w:t xml:space="preserve">                                 </w:t>
      </w:r>
    </w:p>
    <w:p w14:paraId="57C1A4C2">
      <w:pPr>
        <w:pStyle w:val="2"/>
        <w:adjustRightInd w:val="0"/>
        <w:snapToGrid w:val="0"/>
        <w:spacing w:beforeLines="100" w:afterLines="100"/>
        <w:ind w:left="0" w:leftChars="0" w:firstLine="2520" w:firstLineChars="900"/>
        <w:rPr>
          <w:rFonts w:hint="eastAsia" w:hAnsi="宋体" w:cs="宋体"/>
          <w:color w:val="auto"/>
          <w:kern w:val="0"/>
          <w:sz w:val="28"/>
          <w:szCs w:val="28"/>
          <w:highlight w:val="none"/>
          <w:u w:val="single"/>
        </w:rPr>
      </w:pPr>
      <w:r>
        <w:rPr>
          <w:rFonts w:hint="eastAsia" w:hAnsi="宋体" w:cs="宋体"/>
          <w:color w:val="auto"/>
          <w:kern w:val="0"/>
          <w:sz w:val="28"/>
          <w:szCs w:val="28"/>
          <w:highlight w:val="none"/>
          <w:u w:val="single"/>
        </w:rPr>
        <w:t>（成）</w:t>
      </w:r>
      <w:r>
        <w:rPr>
          <w:rFonts w:hint="eastAsia" w:hAnsi="宋体" w:cs="宋体"/>
          <w:color w:val="auto"/>
          <w:kern w:val="0"/>
          <w:sz w:val="28"/>
          <w:szCs w:val="28"/>
          <w:highlight w:val="none"/>
          <w:u w:val="single"/>
          <w:lang w:val="en-US" w:eastAsia="zh-CN"/>
        </w:rPr>
        <w:t xml:space="preserve">                                 </w:t>
      </w:r>
    </w:p>
    <w:p w14:paraId="7388D757">
      <w:pPr>
        <w:pStyle w:val="2"/>
        <w:adjustRightInd w:val="0"/>
        <w:snapToGrid w:val="0"/>
        <w:spacing w:beforeLines="100" w:afterLines="100"/>
        <w:ind w:left="0" w:leftChars="0" w:firstLine="1120" w:firstLineChars="400"/>
        <w:rPr>
          <w:rFonts w:hAnsi="宋体" w:cs="宋体"/>
          <w:color w:val="auto"/>
          <w:sz w:val="28"/>
          <w:szCs w:val="28"/>
          <w:highlight w:val="none"/>
        </w:rPr>
      </w:pPr>
      <w:r>
        <w:rPr>
          <w:rFonts w:hint="eastAsia" w:hAnsi="宋体" w:cs="宋体"/>
          <w:color w:val="auto"/>
          <w:sz w:val="28"/>
          <w:szCs w:val="28"/>
          <w:highlight w:val="none"/>
        </w:rPr>
        <w:t>签订日期：</w:t>
      </w:r>
      <w:r>
        <w:rPr>
          <w:rFonts w:hint="eastAsia" w:hAnsi="宋体" w:cs="宋体"/>
          <w:color w:val="auto"/>
          <w:sz w:val="28"/>
          <w:szCs w:val="28"/>
          <w:highlight w:val="none"/>
          <w:u w:val="single"/>
          <w:lang w:val="en-US" w:eastAsia="zh-CN"/>
        </w:rPr>
        <w:t xml:space="preserve">    </w:t>
      </w:r>
      <w:r>
        <w:rPr>
          <w:rFonts w:hint="eastAsia" w:hAnsi="宋体" w:cs="宋体"/>
          <w:color w:val="auto"/>
          <w:sz w:val="28"/>
          <w:szCs w:val="28"/>
          <w:highlight w:val="none"/>
          <w:u w:val="single"/>
        </w:rPr>
        <w:t>年</w:t>
      </w:r>
      <w:r>
        <w:rPr>
          <w:rFonts w:hint="eastAsia" w:hAnsi="宋体" w:cs="宋体"/>
          <w:color w:val="auto"/>
          <w:sz w:val="28"/>
          <w:szCs w:val="28"/>
          <w:highlight w:val="none"/>
          <w:u w:val="single"/>
          <w:lang w:val="en-US" w:eastAsia="zh-CN"/>
        </w:rPr>
        <w:t xml:space="preserve">  </w:t>
      </w:r>
      <w:r>
        <w:rPr>
          <w:rFonts w:hint="eastAsia" w:hAnsi="宋体" w:cs="宋体"/>
          <w:color w:val="auto"/>
          <w:sz w:val="28"/>
          <w:szCs w:val="28"/>
          <w:highlight w:val="none"/>
          <w:u w:val="single"/>
        </w:rPr>
        <w:t>月</w:t>
      </w:r>
      <w:r>
        <w:rPr>
          <w:rFonts w:hint="eastAsia" w:hAnsi="宋体" w:cs="宋体"/>
          <w:color w:val="auto"/>
          <w:sz w:val="28"/>
          <w:szCs w:val="28"/>
          <w:highlight w:val="none"/>
          <w:u w:val="single"/>
          <w:lang w:val="en-US" w:eastAsia="zh-CN"/>
        </w:rPr>
        <w:t xml:space="preserve"> </w:t>
      </w:r>
      <w:r>
        <w:rPr>
          <w:rFonts w:hint="eastAsia" w:hAnsi="宋体" w:cs="宋体"/>
          <w:color w:val="auto"/>
          <w:sz w:val="28"/>
          <w:szCs w:val="28"/>
          <w:highlight w:val="none"/>
          <w:u w:val="single"/>
        </w:rPr>
        <w:t xml:space="preserve"> 日</w:t>
      </w:r>
    </w:p>
    <w:p w14:paraId="60F593F0">
      <w:pPr>
        <w:pStyle w:val="2"/>
        <w:adjustRightInd w:val="0"/>
        <w:snapToGrid w:val="0"/>
        <w:spacing w:beforeLines="100" w:afterLines="100"/>
        <w:ind w:firstLine="1134" w:firstLineChars="405"/>
        <w:jc w:val="left"/>
        <w:rPr>
          <w:rFonts w:hAnsi="宋体" w:cs="宋体"/>
          <w:color w:val="auto"/>
          <w:sz w:val="28"/>
          <w:szCs w:val="28"/>
          <w:highlight w:val="none"/>
        </w:rPr>
      </w:pPr>
      <w:r>
        <w:rPr>
          <w:rFonts w:hint="eastAsia" w:hAnsi="宋体" w:cs="宋体"/>
          <w:color w:val="auto"/>
          <w:sz w:val="28"/>
          <w:szCs w:val="28"/>
          <w:highlight w:val="none"/>
        </w:rPr>
        <w:t>签订地点：</w:t>
      </w:r>
      <w:r>
        <w:rPr>
          <w:rFonts w:hint="eastAsia" w:hAnsi="宋体" w:cs="宋体"/>
          <w:color w:val="auto"/>
          <w:sz w:val="28"/>
          <w:szCs w:val="28"/>
          <w:highlight w:val="none"/>
          <w:u w:val="single"/>
        </w:rPr>
        <w:t>广东省广州市</w:t>
      </w:r>
    </w:p>
    <w:p w14:paraId="699F670D">
      <w:pPr>
        <w:ind w:firstLine="1138" w:firstLineChars="405"/>
        <w:jc w:val="center"/>
        <w:rPr>
          <w:rFonts w:ascii="宋体" w:hAnsi="宋体" w:cs="宋体"/>
          <w:b/>
          <w:color w:val="auto"/>
          <w:sz w:val="28"/>
          <w:szCs w:val="28"/>
          <w:highlight w:val="none"/>
        </w:rPr>
        <w:sectPr>
          <w:headerReference r:id="rId3" w:type="default"/>
          <w:footerReference r:id="rId4" w:type="default"/>
          <w:pgSz w:w="11905" w:h="16838"/>
          <w:pgMar w:top="1247" w:right="1247" w:bottom="1247" w:left="1247" w:header="567" w:footer="850" w:gutter="0"/>
          <w:cols w:space="720" w:num="1"/>
          <w:docGrid w:type="lines" w:linePitch="312" w:charSpace="0"/>
        </w:sectPr>
      </w:pPr>
    </w:p>
    <w:p w14:paraId="50A05370">
      <w:pPr>
        <w:jc w:val="center"/>
        <w:rPr>
          <w:rFonts w:ascii="宋体" w:hAnsi="宋体"/>
          <w:b/>
          <w:bCs/>
          <w:color w:val="auto"/>
          <w:sz w:val="24"/>
          <w:highlight w:val="none"/>
        </w:rPr>
      </w:pPr>
      <w:r>
        <w:rPr>
          <w:rFonts w:ascii="宋体" w:hAnsi="宋体"/>
          <w:b/>
          <w:bCs/>
          <w:color w:val="auto"/>
          <w:sz w:val="24"/>
          <w:highlight w:val="none"/>
        </w:rPr>
        <w:t>目录</w:t>
      </w:r>
    </w:p>
    <w:p w14:paraId="49040F9D">
      <w:pPr>
        <w:pStyle w:val="2"/>
        <w:rPr>
          <w:color w:val="auto"/>
          <w:sz w:val="15"/>
          <w:szCs w:val="15"/>
          <w:highlight w:val="none"/>
        </w:rPr>
      </w:pPr>
    </w:p>
    <w:p w14:paraId="20F2C037">
      <w:pPr>
        <w:pStyle w:val="148"/>
        <w:tabs>
          <w:tab w:val="right" w:leader="dot" w:pos="9411"/>
        </w:tabs>
        <w:rPr>
          <w:b/>
          <w:color w:val="auto"/>
          <w:highlight w:val="none"/>
        </w:rPr>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TOC \o "1-2" \h \u </w:instrText>
      </w:r>
      <w:r>
        <w:rPr>
          <w:rFonts w:hint="eastAsia" w:ascii="宋体" w:hAnsi="宋体" w:cs="宋体"/>
          <w:b/>
          <w:color w:val="auto"/>
          <w:sz w:val="32"/>
          <w:szCs w:val="32"/>
          <w:highlight w:val="none"/>
        </w:rPr>
        <w:fldChar w:fldCharType="separate"/>
      </w:r>
      <w:r>
        <w:rPr>
          <w:color w:val="auto"/>
          <w:highlight w:val="none"/>
        </w:rPr>
        <w:fldChar w:fldCharType="begin"/>
      </w:r>
      <w:r>
        <w:rPr>
          <w:color w:val="auto"/>
          <w:highlight w:val="none"/>
        </w:rPr>
        <w:instrText xml:space="preserve"> HYPERLINK \l "_Toc25845" </w:instrText>
      </w:r>
      <w:r>
        <w:rPr>
          <w:color w:val="auto"/>
          <w:highlight w:val="none"/>
        </w:rPr>
        <w:fldChar w:fldCharType="separate"/>
      </w:r>
      <w:r>
        <w:rPr>
          <w:rFonts w:hint="eastAsia" w:ascii="宋体" w:hAnsi="宋体" w:cs="宋体"/>
          <w:b/>
          <w:color w:val="auto"/>
          <w:szCs w:val="32"/>
          <w:highlight w:val="none"/>
        </w:rPr>
        <w:t>第一部分   协议书</w:t>
      </w:r>
      <w:r>
        <w:rPr>
          <w:b/>
          <w:color w:val="auto"/>
          <w:highlight w:val="none"/>
        </w:rPr>
        <w:tab/>
      </w:r>
      <w:r>
        <w:rPr>
          <w:b/>
          <w:color w:val="auto"/>
          <w:highlight w:val="none"/>
        </w:rPr>
        <w:fldChar w:fldCharType="begin"/>
      </w:r>
      <w:r>
        <w:rPr>
          <w:b/>
          <w:color w:val="auto"/>
          <w:highlight w:val="none"/>
        </w:rPr>
        <w:instrText xml:space="preserve"> PAGEREF _Toc25845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14:paraId="548A8CC7">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"_Toc18398" </w:instrText>
      </w:r>
      <w:r>
        <w:rPr>
          <w:color w:val="auto"/>
          <w:highlight w:val="none"/>
        </w:rPr>
        <w:fldChar w:fldCharType="separate"/>
      </w:r>
      <w:r>
        <w:rPr>
          <w:rFonts w:hint="eastAsia" w:ascii="宋体" w:hAnsi="宋体" w:cs="宋体"/>
          <w:color w:val="auto"/>
          <w:szCs w:val="24"/>
          <w:highlight w:val="none"/>
        </w:rPr>
        <w:t>一、工程概况</w:t>
      </w:r>
      <w:r>
        <w:rPr>
          <w:color w:val="auto"/>
          <w:highlight w:val="none"/>
        </w:rPr>
        <w:tab/>
      </w:r>
      <w:r>
        <w:rPr>
          <w:color w:val="auto"/>
          <w:highlight w:val="none"/>
        </w:rPr>
        <w:fldChar w:fldCharType="begin"/>
      </w:r>
      <w:r>
        <w:rPr>
          <w:color w:val="auto"/>
          <w:highlight w:val="none"/>
        </w:rPr>
        <w:instrText xml:space="preserve"> PAGEREF _Toc18398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A8E14E9">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"_Toc23883" </w:instrText>
      </w:r>
      <w:r>
        <w:rPr>
          <w:color w:val="auto"/>
          <w:highlight w:val="none"/>
        </w:rPr>
        <w:fldChar w:fldCharType="separate"/>
      </w:r>
      <w:r>
        <w:rPr>
          <w:rFonts w:hint="eastAsia" w:ascii="宋体" w:hAnsi="宋体" w:cs="宋体"/>
          <w:color w:val="auto"/>
          <w:szCs w:val="24"/>
          <w:highlight w:val="none"/>
        </w:rPr>
        <w:t>二、工程承包范围及承包方式</w:t>
      </w:r>
      <w:r>
        <w:rPr>
          <w:color w:val="auto"/>
          <w:highlight w:val="none"/>
        </w:rPr>
        <w:tab/>
      </w:r>
      <w:r>
        <w:rPr>
          <w:color w:val="auto"/>
          <w:highlight w:val="none"/>
        </w:rPr>
        <w:fldChar w:fldCharType="begin"/>
      </w:r>
      <w:r>
        <w:rPr>
          <w:color w:val="auto"/>
          <w:highlight w:val="none"/>
        </w:rPr>
        <w:instrText xml:space="preserve"> PAGEREF _Toc23883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E0A180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"_Toc28114" </w:instrText>
      </w:r>
      <w:r>
        <w:rPr>
          <w:color w:val="auto"/>
          <w:highlight w:val="none"/>
        </w:rPr>
        <w:fldChar w:fldCharType="separate"/>
      </w:r>
      <w:r>
        <w:rPr>
          <w:rFonts w:hint="eastAsia" w:ascii="宋体" w:hAnsi="宋体" w:cs="宋体"/>
          <w:color w:val="auto"/>
          <w:szCs w:val="24"/>
          <w:highlight w:val="none"/>
        </w:rPr>
        <w:t>三、设计依据</w:t>
      </w:r>
      <w:r>
        <w:rPr>
          <w:color w:val="auto"/>
          <w:highlight w:val="none"/>
        </w:rPr>
        <w:tab/>
      </w:r>
      <w:r>
        <w:rPr>
          <w:color w:val="auto"/>
          <w:highlight w:val="none"/>
        </w:rPr>
        <w:fldChar w:fldCharType="begin"/>
      </w:r>
      <w:r>
        <w:rPr>
          <w:color w:val="auto"/>
          <w:highlight w:val="none"/>
        </w:rPr>
        <w:instrText xml:space="preserve"> PAGEREF _Toc28114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6E28019">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"_Toc7815" </w:instrText>
      </w:r>
      <w:r>
        <w:rPr>
          <w:color w:val="auto"/>
          <w:highlight w:val="none"/>
        </w:rPr>
        <w:fldChar w:fldCharType="separate"/>
      </w:r>
      <w:r>
        <w:rPr>
          <w:rFonts w:hint="eastAsia" w:ascii="宋体" w:hAnsi="宋体" w:cs="宋体"/>
          <w:color w:val="auto"/>
          <w:szCs w:val="24"/>
          <w:highlight w:val="none"/>
        </w:rPr>
        <w:t>四、合同工期</w:t>
      </w:r>
      <w:r>
        <w:rPr>
          <w:color w:val="auto"/>
          <w:highlight w:val="none"/>
        </w:rPr>
        <w:tab/>
      </w:r>
      <w:r>
        <w:rPr>
          <w:color w:val="auto"/>
          <w:highlight w:val="none"/>
        </w:rPr>
        <w:fldChar w:fldCharType="begin"/>
      </w:r>
      <w:r>
        <w:rPr>
          <w:color w:val="auto"/>
          <w:highlight w:val="none"/>
        </w:rPr>
        <w:instrText xml:space="preserve"> PAGEREF _Toc7815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3806FAA">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"_Toc10111" </w:instrText>
      </w:r>
      <w:r>
        <w:rPr>
          <w:color w:val="auto"/>
          <w:highlight w:val="none"/>
        </w:rPr>
        <w:fldChar w:fldCharType="separate"/>
      </w:r>
      <w:r>
        <w:rPr>
          <w:rFonts w:hint="eastAsia" w:ascii="宋体" w:hAnsi="宋体" w:cs="宋体"/>
          <w:color w:val="auto"/>
          <w:szCs w:val="24"/>
          <w:highlight w:val="none"/>
        </w:rPr>
        <w:t>五、质量、安全文明施工标准与检查</w:t>
      </w:r>
      <w:r>
        <w:rPr>
          <w:color w:val="auto"/>
          <w:highlight w:val="none"/>
        </w:rPr>
        <w:tab/>
      </w:r>
      <w:r>
        <w:rPr>
          <w:color w:val="auto"/>
          <w:highlight w:val="none"/>
        </w:rPr>
        <w:fldChar w:fldCharType="begin"/>
      </w:r>
      <w:r>
        <w:rPr>
          <w:color w:val="auto"/>
          <w:highlight w:val="none"/>
        </w:rPr>
        <w:instrText xml:space="preserve"> PAGEREF _Toc10111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B233A29">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"_Toc25158" </w:instrText>
      </w:r>
      <w:r>
        <w:rPr>
          <w:color w:val="auto"/>
          <w:highlight w:val="none"/>
        </w:rPr>
        <w:fldChar w:fldCharType="separate"/>
      </w:r>
      <w:r>
        <w:rPr>
          <w:rFonts w:hint="eastAsia" w:ascii="宋体" w:hAnsi="宋体" w:cs="宋体"/>
          <w:color w:val="auto"/>
          <w:szCs w:val="24"/>
          <w:highlight w:val="none"/>
        </w:rPr>
        <w:t>六、合同价款</w:t>
      </w:r>
      <w:r>
        <w:rPr>
          <w:color w:val="auto"/>
          <w:highlight w:val="none"/>
        </w:rPr>
        <w:tab/>
      </w:r>
      <w:r>
        <w:rPr>
          <w:color w:val="auto"/>
          <w:highlight w:val="none"/>
        </w:rPr>
        <w:fldChar w:fldCharType="begin"/>
      </w:r>
      <w:r>
        <w:rPr>
          <w:color w:val="auto"/>
          <w:highlight w:val="none"/>
        </w:rPr>
        <w:instrText xml:space="preserve"> PAGEREF _Toc25158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025B5DC">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"_Toc9051" </w:instrText>
      </w:r>
      <w:r>
        <w:rPr>
          <w:color w:val="auto"/>
          <w:highlight w:val="none"/>
        </w:rPr>
        <w:fldChar w:fldCharType="separate"/>
      </w:r>
      <w:r>
        <w:rPr>
          <w:rFonts w:hint="eastAsia" w:ascii="宋体" w:hAnsi="宋体" w:cs="宋体"/>
          <w:color w:val="auto"/>
          <w:szCs w:val="24"/>
          <w:highlight w:val="none"/>
        </w:rPr>
        <w:t>八、词语词义</w:t>
      </w:r>
      <w:r>
        <w:rPr>
          <w:color w:val="auto"/>
          <w:highlight w:val="none"/>
        </w:rPr>
        <w:tab/>
      </w:r>
      <w:r>
        <w:rPr>
          <w:color w:val="auto"/>
          <w:highlight w:val="none"/>
        </w:rPr>
        <w:fldChar w:fldCharType="begin"/>
      </w:r>
      <w:r>
        <w:rPr>
          <w:color w:val="auto"/>
          <w:highlight w:val="none"/>
        </w:rPr>
        <w:instrText xml:space="preserve"> PAGEREF _Toc9051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1349ACB">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"_Toc26293" </w:instrText>
      </w:r>
      <w:r>
        <w:rPr>
          <w:color w:val="auto"/>
          <w:highlight w:val="none"/>
        </w:rPr>
        <w:fldChar w:fldCharType="separate"/>
      </w:r>
      <w:r>
        <w:rPr>
          <w:rFonts w:hint="eastAsia" w:ascii="宋体" w:hAnsi="宋体" w:cs="宋体"/>
          <w:color w:val="auto"/>
          <w:szCs w:val="24"/>
          <w:highlight w:val="none"/>
        </w:rPr>
        <w:t>九、承诺</w:t>
      </w:r>
      <w:r>
        <w:rPr>
          <w:color w:val="auto"/>
          <w:highlight w:val="none"/>
        </w:rPr>
        <w:tab/>
      </w:r>
      <w:r>
        <w:rPr>
          <w:color w:val="auto"/>
          <w:highlight w:val="none"/>
        </w:rPr>
        <w:fldChar w:fldCharType="begin"/>
      </w:r>
      <w:r>
        <w:rPr>
          <w:color w:val="auto"/>
          <w:highlight w:val="none"/>
        </w:rPr>
        <w:instrText xml:space="preserve"> PAGEREF _Toc26293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C26BE22">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"_Toc12813" </w:instrText>
      </w:r>
      <w:r>
        <w:rPr>
          <w:color w:val="auto"/>
          <w:highlight w:val="none"/>
        </w:rPr>
        <w:fldChar w:fldCharType="separate"/>
      </w:r>
      <w:r>
        <w:rPr>
          <w:rFonts w:hint="eastAsia" w:ascii="宋体" w:hAnsi="宋体" w:cs="宋体"/>
          <w:color w:val="auto"/>
          <w:szCs w:val="24"/>
          <w:highlight w:val="none"/>
        </w:rPr>
        <w:t>十、禁止</w:t>
      </w:r>
      <w:r>
        <w:rPr>
          <w:color w:val="auto"/>
          <w:highlight w:val="none"/>
        </w:rPr>
        <w:tab/>
      </w:r>
      <w:r>
        <w:rPr>
          <w:color w:val="auto"/>
          <w:highlight w:val="none"/>
        </w:rPr>
        <w:fldChar w:fldCharType="begin"/>
      </w:r>
      <w:r>
        <w:rPr>
          <w:color w:val="auto"/>
          <w:highlight w:val="none"/>
        </w:rPr>
        <w:instrText xml:space="preserve"> PAGEREF _Toc12813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A29E346">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"_Toc21569" </w:instrText>
      </w:r>
      <w:r>
        <w:rPr>
          <w:color w:val="auto"/>
          <w:highlight w:val="none"/>
        </w:rPr>
        <w:fldChar w:fldCharType="separate"/>
      </w:r>
      <w:r>
        <w:rPr>
          <w:rFonts w:hint="eastAsia" w:ascii="宋体" w:hAnsi="宋体" w:cs="宋体"/>
          <w:color w:val="auto"/>
          <w:szCs w:val="24"/>
          <w:highlight w:val="none"/>
        </w:rPr>
        <w:t>十一、合同生效及期限</w:t>
      </w:r>
      <w:r>
        <w:rPr>
          <w:color w:val="auto"/>
          <w:highlight w:val="none"/>
        </w:rPr>
        <w:tab/>
      </w:r>
      <w:r>
        <w:rPr>
          <w:color w:val="auto"/>
          <w:highlight w:val="none"/>
        </w:rPr>
        <w:fldChar w:fldCharType="begin"/>
      </w:r>
      <w:r>
        <w:rPr>
          <w:color w:val="auto"/>
          <w:highlight w:val="none"/>
        </w:rPr>
        <w:instrText xml:space="preserve"> PAGEREF _Toc21569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E7D900E">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"_Toc21405" </w:instrText>
      </w:r>
      <w:r>
        <w:rPr>
          <w:color w:val="auto"/>
          <w:highlight w:val="none"/>
        </w:rPr>
        <w:fldChar w:fldCharType="separate"/>
      </w:r>
      <w:r>
        <w:rPr>
          <w:rFonts w:hint="eastAsia" w:ascii="宋体" w:hAnsi="宋体" w:cs="宋体"/>
          <w:color w:val="auto"/>
          <w:szCs w:val="24"/>
          <w:highlight w:val="none"/>
        </w:rPr>
        <w:t>十二、合同份数</w:t>
      </w:r>
      <w:r>
        <w:rPr>
          <w:color w:val="auto"/>
          <w:highlight w:val="none"/>
        </w:rPr>
        <w:tab/>
      </w:r>
      <w:r>
        <w:rPr>
          <w:color w:val="auto"/>
          <w:highlight w:val="none"/>
        </w:rPr>
        <w:fldChar w:fldCharType="begin"/>
      </w:r>
      <w:r>
        <w:rPr>
          <w:color w:val="auto"/>
          <w:highlight w:val="none"/>
        </w:rPr>
        <w:instrText xml:space="preserve"> PAGEREF _Toc21405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1370A7B">
      <w:pPr>
        <w:pStyle w:val="148"/>
        <w:tabs>
          <w:tab w:val="right" w:leader="dot" w:pos="9411"/>
        </w:tabs>
        <w:rPr>
          <w:b/>
          <w:color w:val="auto"/>
          <w:highlight w:val="none"/>
        </w:rPr>
      </w:pPr>
      <w:r>
        <w:rPr>
          <w:color w:val="auto"/>
          <w:highlight w:val="none"/>
        </w:rPr>
        <w:fldChar w:fldCharType="begin"/>
      </w:r>
      <w:r>
        <w:rPr>
          <w:color w:val="auto"/>
          <w:highlight w:val="none"/>
        </w:rPr>
        <w:instrText xml:space="preserve"> HYPERLINK \l "_Toc2957" </w:instrText>
      </w:r>
      <w:r>
        <w:rPr>
          <w:color w:val="auto"/>
          <w:highlight w:val="none"/>
        </w:rPr>
        <w:fldChar w:fldCharType="separate"/>
      </w:r>
      <w:r>
        <w:rPr>
          <w:rFonts w:hint="eastAsia" w:ascii="宋体" w:hAnsi="宋体" w:cs="宋体"/>
          <w:b/>
          <w:color w:val="auto"/>
          <w:szCs w:val="32"/>
          <w:highlight w:val="none"/>
        </w:rPr>
        <w:t>第二部分   通用条款</w:t>
      </w:r>
      <w:r>
        <w:rPr>
          <w:b/>
          <w:color w:val="auto"/>
          <w:highlight w:val="none"/>
        </w:rPr>
        <w:tab/>
      </w:r>
      <w:r>
        <w:rPr>
          <w:b/>
          <w:color w:val="auto"/>
          <w:highlight w:val="none"/>
        </w:rPr>
        <w:fldChar w:fldCharType="begin"/>
      </w:r>
      <w:r>
        <w:rPr>
          <w:b/>
          <w:color w:val="auto"/>
          <w:highlight w:val="none"/>
        </w:rPr>
        <w:instrText xml:space="preserve"> PAGEREF _Toc2957 \h </w:instrText>
      </w:r>
      <w:r>
        <w:rPr>
          <w:b/>
          <w:color w:val="auto"/>
          <w:highlight w:val="none"/>
        </w:rPr>
        <w:fldChar w:fldCharType="separate"/>
      </w:r>
      <w:r>
        <w:rPr>
          <w:b/>
          <w:color w:val="auto"/>
          <w:highlight w:val="none"/>
        </w:rPr>
        <w:t>16</w:t>
      </w:r>
      <w:r>
        <w:rPr>
          <w:b/>
          <w:color w:val="auto"/>
          <w:highlight w:val="none"/>
        </w:rPr>
        <w:fldChar w:fldCharType="end"/>
      </w:r>
      <w:r>
        <w:rPr>
          <w:b/>
          <w:color w:val="auto"/>
          <w:highlight w:val="none"/>
        </w:rPr>
        <w:fldChar w:fldCharType="end"/>
      </w:r>
    </w:p>
    <w:p w14:paraId="19C52A25">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"_Toc18913" </w:instrText>
      </w:r>
      <w:r>
        <w:rPr>
          <w:color w:val="auto"/>
          <w:highlight w:val="none"/>
        </w:rPr>
        <w:fldChar w:fldCharType="separate"/>
      </w:r>
      <w:r>
        <w:rPr>
          <w:rFonts w:hint="eastAsia" w:ascii="宋体" w:hAnsi="宋体" w:cs="宋体"/>
          <w:color w:val="auto"/>
          <w:szCs w:val="24"/>
          <w:highlight w:val="none"/>
        </w:rPr>
        <w:t>1. 一般约定</w:t>
      </w:r>
      <w:r>
        <w:rPr>
          <w:color w:val="auto"/>
          <w:highlight w:val="none"/>
        </w:rPr>
        <w:tab/>
      </w:r>
      <w:r>
        <w:rPr>
          <w:color w:val="auto"/>
          <w:highlight w:val="none"/>
        </w:rPr>
        <w:fldChar w:fldCharType="begin"/>
      </w:r>
      <w:r>
        <w:rPr>
          <w:color w:val="auto"/>
          <w:highlight w:val="none"/>
        </w:rPr>
        <w:instrText xml:space="preserve"> PAGEREF _Toc18913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F300A52">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"_Toc1003" </w:instrText>
      </w:r>
      <w:r>
        <w:rPr>
          <w:color w:val="auto"/>
          <w:highlight w:val="none"/>
        </w:rPr>
        <w:fldChar w:fldCharType="separate"/>
      </w:r>
      <w:r>
        <w:rPr>
          <w:rFonts w:hint="eastAsia" w:ascii="宋体" w:hAnsi="宋体" w:cs="宋体"/>
          <w:color w:val="auto"/>
          <w:szCs w:val="24"/>
          <w:highlight w:val="none"/>
        </w:rPr>
        <w:t>2. 发包人义务</w:t>
      </w:r>
      <w:r>
        <w:rPr>
          <w:color w:val="auto"/>
          <w:highlight w:val="none"/>
        </w:rPr>
        <w:tab/>
      </w:r>
      <w:r>
        <w:rPr>
          <w:color w:val="auto"/>
          <w:highlight w:val="none"/>
        </w:rPr>
        <w:fldChar w:fldCharType="begin"/>
      </w:r>
      <w:r>
        <w:rPr>
          <w:color w:val="auto"/>
          <w:highlight w:val="none"/>
        </w:rPr>
        <w:instrText xml:space="preserve"> PAGEREF _Toc1003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8DF2E79">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"_Toc16490" </w:instrText>
      </w:r>
      <w:r>
        <w:rPr>
          <w:color w:val="auto"/>
          <w:highlight w:val="none"/>
        </w:rPr>
        <w:fldChar w:fldCharType="separate"/>
      </w:r>
      <w:r>
        <w:rPr>
          <w:rFonts w:hint="eastAsia" w:ascii="宋体" w:hAnsi="宋体" w:cs="宋体"/>
          <w:color w:val="auto"/>
          <w:szCs w:val="24"/>
          <w:highlight w:val="none"/>
        </w:rPr>
        <w:t>3. 监理人</w:t>
      </w:r>
      <w:r>
        <w:rPr>
          <w:color w:val="auto"/>
          <w:highlight w:val="none"/>
        </w:rPr>
        <w:tab/>
      </w:r>
      <w:r>
        <w:rPr>
          <w:color w:val="auto"/>
          <w:highlight w:val="none"/>
        </w:rPr>
        <w:fldChar w:fldCharType="begin"/>
      </w:r>
      <w:r>
        <w:rPr>
          <w:color w:val="auto"/>
          <w:highlight w:val="none"/>
        </w:rPr>
        <w:instrText xml:space="preserve"> PAGEREF _Toc16490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006E467">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"_Toc11785" </w:instrText>
      </w:r>
      <w:r>
        <w:rPr>
          <w:color w:val="auto"/>
          <w:highlight w:val="none"/>
        </w:rPr>
        <w:fldChar w:fldCharType="separate"/>
      </w:r>
      <w:r>
        <w:rPr>
          <w:rFonts w:hint="eastAsia" w:ascii="宋体" w:hAnsi="宋体" w:cs="宋体"/>
          <w:color w:val="auto"/>
          <w:szCs w:val="24"/>
          <w:highlight w:val="none"/>
        </w:rPr>
        <w:t>4. 承包人</w:t>
      </w:r>
      <w:r>
        <w:rPr>
          <w:color w:val="auto"/>
          <w:highlight w:val="none"/>
        </w:rPr>
        <w:tab/>
      </w:r>
      <w:r>
        <w:rPr>
          <w:color w:val="auto"/>
          <w:highlight w:val="none"/>
        </w:rPr>
        <w:fldChar w:fldCharType="begin"/>
      </w:r>
      <w:r>
        <w:rPr>
          <w:color w:val="auto"/>
          <w:highlight w:val="none"/>
        </w:rPr>
        <w:instrText xml:space="preserve"> PAGEREF _Toc11785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8ABFB27">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"_Toc4873" </w:instrText>
      </w:r>
      <w:r>
        <w:rPr>
          <w:color w:val="auto"/>
          <w:highlight w:val="none"/>
        </w:rPr>
        <w:fldChar w:fldCharType="separate"/>
      </w:r>
      <w:r>
        <w:rPr>
          <w:rFonts w:hint="eastAsia" w:ascii="宋体" w:hAnsi="宋体" w:cs="宋体"/>
          <w:color w:val="auto"/>
          <w:szCs w:val="24"/>
          <w:highlight w:val="none"/>
        </w:rPr>
        <w:t>5. 设计</w:t>
      </w:r>
      <w:r>
        <w:rPr>
          <w:color w:val="auto"/>
          <w:highlight w:val="none"/>
        </w:rPr>
        <w:tab/>
      </w:r>
      <w:r>
        <w:rPr>
          <w:color w:val="auto"/>
          <w:highlight w:val="none"/>
        </w:rPr>
        <w:fldChar w:fldCharType="begin"/>
      </w:r>
      <w:r>
        <w:rPr>
          <w:color w:val="auto"/>
          <w:highlight w:val="none"/>
        </w:rPr>
        <w:instrText xml:space="preserve"> PAGEREF _Toc4873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D778269">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"_Toc21733" </w:instrText>
      </w:r>
      <w:r>
        <w:rPr>
          <w:color w:val="auto"/>
          <w:highlight w:val="none"/>
        </w:rPr>
        <w:fldChar w:fldCharType="separate"/>
      </w:r>
      <w:r>
        <w:rPr>
          <w:rFonts w:hint="eastAsia" w:ascii="宋体" w:hAnsi="宋体" w:cs="宋体"/>
          <w:color w:val="auto"/>
          <w:szCs w:val="24"/>
          <w:highlight w:val="none"/>
        </w:rPr>
        <w:t>6. 材料和工程设备</w:t>
      </w:r>
      <w:r>
        <w:rPr>
          <w:color w:val="auto"/>
          <w:highlight w:val="none"/>
        </w:rPr>
        <w:tab/>
      </w:r>
      <w:r>
        <w:rPr>
          <w:color w:val="auto"/>
          <w:highlight w:val="none"/>
        </w:rPr>
        <w:fldChar w:fldCharType="begin"/>
      </w:r>
      <w:r>
        <w:rPr>
          <w:color w:val="auto"/>
          <w:highlight w:val="none"/>
        </w:rPr>
        <w:instrText xml:space="preserve"> PAGEREF _Toc21733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F65D16A">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"_Toc3433" </w:instrText>
      </w:r>
      <w:r>
        <w:rPr>
          <w:color w:val="auto"/>
          <w:highlight w:val="none"/>
        </w:rPr>
        <w:fldChar w:fldCharType="separate"/>
      </w:r>
      <w:r>
        <w:rPr>
          <w:rFonts w:hint="eastAsia" w:ascii="宋体" w:hAnsi="宋体" w:cs="宋体"/>
          <w:color w:val="auto"/>
          <w:szCs w:val="24"/>
          <w:highlight w:val="none"/>
        </w:rPr>
        <w:t>7. 施工设备和临时设施</w:t>
      </w:r>
      <w:r>
        <w:rPr>
          <w:color w:val="auto"/>
          <w:highlight w:val="none"/>
        </w:rPr>
        <w:tab/>
      </w:r>
      <w:r>
        <w:rPr>
          <w:color w:val="auto"/>
          <w:highlight w:val="none"/>
        </w:rPr>
        <w:fldChar w:fldCharType="begin"/>
      </w:r>
      <w:r>
        <w:rPr>
          <w:color w:val="auto"/>
          <w:highlight w:val="none"/>
        </w:rPr>
        <w:instrText xml:space="preserve"> PAGEREF _Toc3433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3CFD82FC">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"_Toc14205" </w:instrText>
      </w:r>
      <w:r>
        <w:rPr>
          <w:color w:val="auto"/>
          <w:highlight w:val="none"/>
        </w:rPr>
        <w:fldChar w:fldCharType="separate"/>
      </w:r>
      <w:r>
        <w:rPr>
          <w:rFonts w:hint="eastAsia" w:ascii="宋体" w:hAnsi="宋体" w:cs="宋体"/>
          <w:color w:val="auto"/>
          <w:szCs w:val="24"/>
          <w:highlight w:val="none"/>
        </w:rPr>
        <w:t>8. 交通运输</w:t>
      </w:r>
      <w:r>
        <w:rPr>
          <w:color w:val="auto"/>
          <w:highlight w:val="none"/>
        </w:rPr>
        <w:tab/>
      </w:r>
      <w:r>
        <w:rPr>
          <w:color w:val="auto"/>
          <w:highlight w:val="none"/>
        </w:rPr>
        <w:fldChar w:fldCharType="begin"/>
      </w:r>
      <w:r>
        <w:rPr>
          <w:color w:val="auto"/>
          <w:highlight w:val="none"/>
        </w:rPr>
        <w:instrText xml:space="preserve"> PAGEREF _Toc14205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D9920A4">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"_Toc5266" </w:instrText>
      </w:r>
      <w:r>
        <w:rPr>
          <w:color w:val="auto"/>
          <w:highlight w:val="none"/>
        </w:rPr>
        <w:fldChar w:fldCharType="separate"/>
      </w:r>
      <w:r>
        <w:rPr>
          <w:rFonts w:hint="eastAsia" w:ascii="宋体" w:hAnsi="宋体" w:cs="宋体"/>
          <w:color w:val="auto"/>
          <w:szCs w:val="24"/>
          <w:highlight w:val="none"/>
        </w:rPr>
        <w:t>9. 测量放线</w:t>
      </w:r>
      <w:r>
        <w:rPr>
          <w:color w:val="auto"/>
          <w:highlight w:val="none"/>
        </w:rPr>
        <w:tab/>
      </w:r>
      <w:r>
        <w:rPr>
          <w:color w:val="auto"/>
          <w:highlight w:val="none"/>
        </w:rPr>
        <w:fldChar w:fldCharType="begin"/>
      </w:r>
      <w:r>
        <w:rPr>
          <w:color w:val="auto"/>
          <w:highlight w:val="none"/>
        </w:rPr>
        <w:instrText xml:space="preserve"> PAGEREF _Toc5266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0A42E2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"_Toc10450" </w:instrText>
      </w:r>
      <w:r>
        <w:rPr>
          <w:color w:val="auto"/>
          <w:highlight w:val="none"/>
        </w:rPr>
        <w:fldChar w:fldCharType="separate"/>
      </w:r>
      <w:r>
        <w:rPr>
          <w:rFonts w:hint="eastAsia" w:ascii="宋体" w:hAnsi="宋体" w:cs="宋体"/>
          <w:color w:val="auto"/>
          <w:szCs w:val="24"/>
          <w:highlight w:val="none"/>
        </w:rPr>
        <w:t>10. 安全、治安保卫和环境保护</w:t>
      </w:r>
      <w:r>
        <w:rPr>
          <w:color w:val="auto"/>
          <w:highlight w:val="none"/>
        </w:rPr>
        <w:tab/>
      </w:r>
      <w:r>
        <w:rPr>
          <w:color w:val="auto"/>
          <w:highlight w:val="none"/>
        </w:rPr>
        <w:fldChar w:fldCharType="begin"/>
      </w:r>
      <w:r>
        <w:rPr>
          <w:color w:val="auto"/>
          <w:highlight w:val="none"/>
        </w:rPr>
        <w:instrText xml:space="preserve"> PAGEREF _Toc10450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8235C5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"_Toc28999" </w:instrText>
      </w:r>
      <w:r>
        <w:rPr>
          <w:color w:val="auto"/>
          <w:highlight w:val="none"/>
        </w:rPr>
        <w:fldChar w:fldCharType="separate"/>
      </w:r>
      <w:r>
        <w:rPr>
          <w:rFonts w:hint="eastAsia" w:ascii="宋体" w:hAnsi="宋体" w:cs="宋体"/>
          <w:color w:val="auto"/>
          <w:szCs w:val="24"/>
          <w:highlight w:val="none"/>
        </w:rPr>
        <w:t>11. 开始工作和竣工</w:t>
      </w:r>
      <w:r>
        <w:rPr>
          <w:color w:val="auto"/>
          <w:highlight w:val="none"/>
        </w:rPr>
        <w:tab/>
      </w:r>
      <w:r>
        <w:rPr>
          <w:color w:val="auto"/>
          <w:highlight w:val="none"/>
        </w:rPr>
        <w:fldChar w:fldCharType="begin"/>
      </w:r>
      <w:r>
        <w:rPr>
          <w:color w:val="auto"/>
          <w:highlight w:val="none"/>
        </w:rPr>
        <w:instrText xml:space="preserve"> PAGEREF _Toc28999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B1F681B">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"_Toc12602" </w:instrText>
      </w:r>
      <w:r>
        <w:rPr>
          <w:color w:val="auto"/>
          <w:highlight w:val="none"/>
        </w:rPr>
        <w:fldChar w:fldCharType="separate"/>
      </w:r>
      <w:r>
        <w:rPr>
          <w:rFonts w:hint="eastAsia" w:ascii="宋体" w:hAnsi="宋体" w:cs="宋体"/>
          <w:color w:val="auto"/>
          <w:szCs w:val="24"/>
          <w:highlight w:val="none"/>
        </w:rPr>
        <w:t>12. 暂停工作</w:t>
      </w:r>
      <w:r>
        <w:rPr>
          <w:color w:val="auto"/>
          <w:highlight w:val="none"/>
        </w:rPr>
        <w:tab/>
      </w:r>
      <w:r>
        <w:rPr>
          <w:color w:val="auto"/>
          <w:highlight w:val="none"/>
        </w:rPr>
        <w:fldChar w:fldCharType="begin"/>
      </w:r>
      <w:r>
        <w:rPr>
          <w:color w:val="auto"/>
          <w:highlight w:val="none"/>
        </w:rPr>
        <w:instrText xml:space="preserve"> PAGEREF _Toc12602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70527DF7">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"_Toc27297" </w:instrText>
      </w:r>
      <w:r>
        <w:rPr>
          <w:color w:val="auto"/>
          <w:highlight w:val="none"/>
        </w:rPr>
        <w:fldChar w:fldCharType="separate"/>
      </w:r>
      <w:r>
        <w:rPr>
          <w:rFonts w:hint="eastAsia" w:ascii="宋体" w:hAnsi="宋体" w:cs="宋体"/>
          <w:color w:val="auto"/>
          <w:szCs w:val="24"/>
          <w:highlight w:val="none"/>
        </w:rPr>
        <w:t>13. 工程质量</w:t>
      </w:r>
      <w:r>
        <w:rPr>
          <w:color w:val="auto"/>
          <w:highlight w:val="none"/>
        </w:rPr>
        <w:tab/>
      </w:r>
      <w:r>
        <w:rPr>
          <w:color w:val="auto"/>
          <w:highlight w:val="none"/>
        </w:rPr>
        <w:fldChar w:fldCharType="begin"/>
      </w:r>
      <w:r>
        <w:rPr>
          <w:color w:val="auto"/>
          <w:highlight w:val="none"/>
        </w:rPr>
        <w:instrText xml:space="preserve"> PAGEREF _Toc27297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A18542F">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"_Toc17175" </w:instrText>
      </w:r>
      <w:r>
        <w:rPr>
          <w:color w:val="auto"/>
          <w:highlight w:val="none"/>
        </w:rPr>
        <w:fldChar w:fldCharType="separate"/>
      </w:r>
      <w:r>
        <w:rPr>
          <w:rFonts w:hint="eastAsia" w:ascii="宋体" w:hAnsi="宋体" w:cs="宋体"/>
          <w:color w:val="auto"/>
          <w:szCs w:val="24"/>
          <w:highlight w:val="none"/>
        </w:rPr>
        <w:t>14. 试验和检验</w:t>
      </w:r>
      <w:r>
        <w:rPr>
          <w:color w:val="auto"/>
          <w:highlight w:val="none"/>
        </w:rPr>
        <w:tab/>
      </w:r>
      <w:r>
        <w:rPr>
          <w:color w:val="auto"/>
          <w:highlight w:val="none"/>
        </w:rPr>
        <w:fldChar w:fldCharType="begin"/>
      </w:r>
      <w:r>
        <w:rPr>
          <w:color w:val="auto"/>
          <w:highlight w:val="none"/>
        </w:rPr>
        <w:instrText xml:space="preserve"> PAGEREF _Toc17175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167F60F1">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"_Toc6755" </w:instrText>
      </w:r>
      <w:r>
        <w:rPr>
          <w:color w:val="auto"/>
          <w:highlight w:val="none"/>
        </w:rPr>
        <w:fldChar w:fldCharType="separate"/>
      </w:r>
      <w:r>
        <w:rPr>
          <w:rFonts w:hint="eastAsia" w:ascii="宋体" w:hAnsi="宋体" w:cs="宋体"/>
          <w:color w:val="auto"/>
          <w:szCs w:val="24"/>
          <w:highlight w:val="none"/>
        </w:rPr>
        <w:t>15. 变更</w:t>
      </w:r>
      <w:r>
        <w:rPr>
          <w:color w:val="auto"/>
          <w:highlight w:val="none"/>
        </w:rPr>
        <w:tab/>
      </w:r>
      <w:r>
        <w:rPr>
          <w:color w:val="auto"/>
          <w:highlight w:val="none"/>
        </w:rPr>
        <w:fldChar w:fldCharType="begin"/>
      </w:r>
      <w:r>
        <w:rPr>
          <w:color w:val="auto"/>
          <w:highlight w:val="none"/>
        </w:rPr>
        <w:instrText xml:space="preserve"> PAGEREF _Toc6755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A9B70BA">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"_Toc26218" </w:instrText>
      </w:r>
      <w:r>
        <w:rPr>
          <w:color w:val="auto"/>
          <w:highlight w:val="none"/>
        </w:rPr>
        <w:fldChar w:fldCharType="separate"/>
      </w:r>
      <w:r>
        <w:rPr>
          <w:rFonts w:hint="eastAsia" w:ascii="宋体" w:hAnsi="宋体" w:cs="宋体"/>
          <w:color w:val="auto"/>
          <w:szCs w:val="24"/>
          <w:highlight w:val="none"/>
        </w:rPr>
        <w:t>16. 价格调整</w:t>
      </w:r>
      <w:r>
        <w:rPr>
          <w:color w:val="auto"/>
          <w:highlight w:val="none"/>
        </w:rPr>
        <w:tab/>
      </w:r>
      <w:r>
        <w:rPr>
          <w:color w:val="auto"/>
          <w:highlight w:val="none"/>
        </w:rPr>
        <w:fldChar w:fldCharType="begin"/>
      </w:r>
      <w:r>
        <w:rPr>
          <w:color w:val="auto"/>
          <w:highlight w:val="none"/>
        </w:rPr>
        <w:instrText xml:space="preserve"> PAGEREF _Toc26218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6F8A0D05">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"_Toc28867" </w:instrText>
      </w:r>
      <w:r>
        <w:rPr>
          <w:color w:val="auto"/>
          <w:highlight w:val="none"/>
        </w:rPr>
        <w:fldChar w:fldCharType="separate"/>
      </w:r>
      <w:r>
        <w:rPr>
          <w:rFonts w:hint="eastAsia" w:ascii="宋体" w:hAnsi="宋体" w:cs="宋体"/>
          <w:color w:val="auto"/>
          <w:szCs w:val="24"/>
          <w:highlight w:val="none"/>
        </w:rPr>
        <w:t>17. 合同价格与支付</w:t>
      </w:r>
      <w:r>
        <w:rPr>
          <w:color w:val="auto"/>
          <w:highlight w:val="none"/>
        </w:rPr>
        <w:tab/>
      </w:r>
      <w:r>
        <w:rPr>
          <w:color w:val="auto"/>
          <w:highlight w:val="none"/>
        </w:rPr>
        <w:fldChar w:fldCharType="begin"/>
      </w:r>
      <w:r>
        <w:rPr>
          <w:color w:val="auto"/>
          <w:highlight w:val="none"/>
        </w:rPr>
        <w:instrText xml:space="preserve"> PAGEREF _Toc28867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8D0544B">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"_Toc6622" </w:instrText>
      </w:r>
      <w:r>
        <w:rPr>
          <w:color w:val="auto"/>
          <w:highlight w:val="none"/>
        </w:rPr>
        <w:fldChar w:fldCharType="separate"/>
      </w:r>
      <w:r>
        <w:rPr>
          <w:rFonts w:hint="eastAsia" w:ascii="宋体" w:hAnsi="宋体" w:cs="宋体"/>
          <w:color w:val="auto"/>
          <w:szCs w:val="24"/>
          <w:highlight w:val="none"/>
        </w:rPr>
        <w:t>18. 竣工试验和竣工验收</w:t>
      </w:r>
      <w:r>
        <w:rPr>
          <w:color w:val="auto"/>
          <w:highlight w:val="none"/>
        </w:rPr>
        <w:tab/>
      </w:r>
      <w:r>
        <w:rPr>
          <w:color w:val="auto"/>
          <w:highlight w:val="none"/>
        </w:rPr>
        <w:fldChar w:fldCharType="begin"/>
      </w:r>
      <w:r>
        <w:rPr>
          <w:color w:val="auto"/>
          <w:highlight w:val="none"/>
        </w:rPr>
        <w:instrText xml:space="preserve"> PAGEREF _Toc6622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D3C3E2A">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"_Toc19402" </w:instrText>
      </w:r>
      <w:r>
        <w:rPr>
          <w:color w:val="auto"/>
          <w:highlight w:val="none"/>
        </w:rPr>
        <w:fldChar w:fldCharType="separate"/>
      </w:r>
      <w:r>
        <w:rPr>
          <w:rFonts w:hint="eastAsia" w:ascii="宋体" w:hAnsi="宋体" w:cs="宋体"/>
          <w:color w:val="auto"/>
          <w:szCs w:val="24"/>
          <w:highlight w:val="none"/>
        </w:rPr>
        <w:t>19. 缺陷责任与保修责任</w:t>
      </w:r>
      <w:r>
        <w:rPr>
          <w:color w:val="auto"/>
          <w:highlight w:val="none"/>
        </w:rPr>
        <w:tab/>
      </w:r>
      <w:r>
        <w:rPr>
          <w:color w:val="auto"/>
          <w:highlight w:val="none"/>
        </w:rPr>
        <w:fldChar w:fldCharType="begin"/>
      </w:r>
      <w:r>
        <w:rPr>
          <w:color w:val="auto"/>
          <w:highlight w:val="none"/>
        </w:rPr>
        <w:instrText xml:space="preserve"> PAGEREF _Toc19402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90251DF">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"_Toc23867" </w:instrText>
      </w:r>
      <w:r>
        <w:rPr>
          <w:color w:val="auto"/>
          <w:highlight w:val="none"/>
        </w:rPr>
        <w:fldChar w:fldCharType="separate"/>
      </w:r>
      <w:r>
        <w:rPr>
          <w:rFonts w:hint="eastAsia" w:ascii="宋体" w:hAnsi="宋体" w:cs="宋体"/>
          <w:color w:val="auto"/>
          <w:szCs w:val="24"/>
          <w:highlight w:val="none"/>
        </w:rPr>
        <w:t>20. 保险</w:t>
      </w:r>
      <w:r>
        <w:rPr>
          <w:color w:val="auto"/>
          <w:highlight w:val="none"/>
        </w:rPr>
        <w:tab/>
      </w:r>
      <w:r>
        <w:rPr>
          <w:color w:val="auto"/>
          <w:highlight w:val="none"/>
        </w:rPr>
        <w:fldChar w:fldCharType="begin"/>
      </w:r>
      <w:r>
        <w:rPr>
          <w:color w:val="auto"/>
          <w:highlight w:val="none"/>
        </w:rPr>
        <w:instrText xml:space="preserve"> PAGEREF _Toc23867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45A03BA">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"_Toc26238" </w:instrText>
      </w:r>
      <w:r>
        <w:rPr>
          <w:color w:val="auto"/>
          <w:highlight w:val="none"/>
        </w:rPr>
        <w:fldChar w:fldCharType="separate"/>
      </w:r>
      <w:r>
        <w:rPr>
          <w:rFonts w:hint="eastAsia" w:ascii="宋体" w:hAnsi="宋体" w:cs="宋体"/>
          <w:color w:val="auto"/>
          <w:szCs w:val="24"/>
          <w:highlight w:val="none"/>
        </w:rPr>
        <w:t>21. 不可抗力</w:t>
      </w:r>
      <w:r>
        <w:rPr>
          <w:color w:val="auto"/>
          <w:highlight w:val="none"/>
        </w:rPr>
        <w:tab/>
      </w:r>
      <w:r>
        <w:rPr>
          <w:color w:val="auto"/>
          <w:highlight w:val="none"/>
        </w:rPr>
        <w:fldChar w:fldCharType="begin"/>
      </w:r>
      <w:r>
        <w:rPr>
          <w:color w:val="auto"/>
          <w:highlight w:val="none"/>
        </w:rPr>
        <w:instrText xml:space="preserve"> PAGEREF _Toc26238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705EA99">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"_Toc14433" </w:instrText>
      </w:r>
      <w:r>
        <w:rPr>
          <w:color w:val="auto"/>
          <w:highlight w:val="none"/>
        </w:rPr>
        <w:fldChar w:fldCharType="separate"/>
      </w:r>
      <w:r>
        <w:rPr>
          <w:rFonts w:hint="eastAsia" w:ascii="宋体" w:hAnsi="宋体" w:cs="宋体"/>
          <w:color w:val="auto"/>
          <w:szCs w:val="24"/>
          <w:highlight w:val="none"/>
        </w:rPr>
        <w:t>22. 违约</w:t>
      </w:r>
      <w:r>
        <w:rPr>
          <w:color w:val="auto"/>
          <w:highlight w:val="none"/>
        </w:rPr>
        <w:tab/>
      </w:r>
      <w:r>
        <w:rPr>
          <w:color w:val="auto"/>
          <w:highlight w:val="none"/>
        </w:rPr>
        <w:fldChar w:fldCharType="begin"/>
      </w:r>
      <w:r>
        <w:rPr>
          <w:color w:val="auto"/>
          <w:highlight w:val="none"/>
        </w:rPr>
        <w:instrText xml:space="preserve"> PAGEREF _Toc14433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2FE81DA">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"_Toc18021" </w:instrText>
      </w:r>
      <w:r>
        <w:rPr>
          <w:color w:val="auto"/>
          <w:highlight w:val="none"/>
        </w:rPr>
        <w:fldChar w:fldCharType="separate"/>
      </w:r>
      <w:r>
        <w:rPr>
          <w:rFonts w:hint="eastAsia" w:ascii="宋体" w:hAnsi="宋体" w:cs="宋体"/>
          <w:color w:val="auto"/>
          <w:szCs w:val="24"/>
          <w:highlight w:val="none"/>
        </w:rPr>
        <w:t>23. 索赔</w:t>
      </w:r>
      <w:r>
        <w:rPr>
          <w:color w:val="auto"/>
          <w:highlight w:val="none"/>
        </w:rPr>
        <w:tab/>
      </w:r>
      <w:r>
        <w:rPr>
          <w:color w:val="auto"/>
          <w:highlight w:val="none"/>
        </w:rPr>
        <w:fldChar w:fldCharType="begin"/>
      </w:r>
      <w:r>
        <w:rPr>
          <w:color w:val="auto"/>
          <w:highlight w:val="none"/>
        </w:rPr>
        <w:instrText xml:space="preserve"> PAGEREF _Toc18021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4B5EE573">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"_Toc27456" </w:instrText>
      </w:r>
      <w:r>
        <w:rPr>
          <w:color w:val="auto"/>
          <w:highlight w:val="none"/>
        </w:rPr>
        <w:fldChar w:fldCharType="separate"/>
      </w:r>
      <w:r>
        <w:rPr>
          <w:rFonts w:hint="eastAsia" w:ascii="宋体" w:hAnsi="宋体" w:cs="宋体"/>
          <w:color w:val="auto"/>
          <w:szCs w:val="24"/>
          <w:highlight w:val="none"/>
        </w:rPr>
        <w:t>24. 争议的解决</w:t>
      </w:r>
      <w:r>
        <w:rPr>
          <w:color w:val="auto"/>
          <w:highlight w:val="none"/>
        </w:rPr>
        <w:tab/>
      </w:r>
      <w:r>
        <w:rPr>
          <w:color w:val="auto"/>
          <w:highlight w:val="none"/>
        </w:rPr>
        <w:fldChar w:fldCharType="begin"/>
      </w:r>
      <w:r>
        <w:rPr>
          <w:color w:val="auto"/>
          <w:highlight w:val="none"/>
        </w:rPr>
        <w:instrText xml:space="preserve"> PAGEREF _Toc27456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06023C8B">
      <w:pPr>
        <w:pStyle w:val="148"/>
        <w:tabs>
          <w:tab w:val="right" w:leader="dot" w:pos="9411"/>
        </w:tabs>
        <w:rPr>
          <w:b/>
          <w:color w:val="auto"/>
          <w:highlight w:val="none"/>
        </w:rPr>
      </w:pPr>
      <w:r>
        <w:rPr>
          <w:color w:val="auto"/>
          <w:highlight w:val="none"/>
        </w:rPr>
        <w:fldChar w:fldCharType="begin"/>
      </w:r>
      <w:r>
        <w:rPr>
          <w:color w:val="auto"/>
          <w:highlight w:val="none"/>
        </w:rPr>
        <w:instrText xml:space="preserve"> HYPERLINK \l "_Toc16940" </w:instrText>
      </w:r>
      <w:r>
        <w:rPr>
          <w:color w:val="auto"/>
          <w:highlight w:val="none"/>
        </w:rPr>
        <w:fldChar w:fldCharType="separate"/>
      </w:r>
      <w:r>
        <w:rPr>
          <w:rFonts w:hint="eastAsia" w:ascii="宋体" w:hAnsi="宋体" w:cs="宋体"/>
          <w:b/>
          <w:color w:val="auto"/>
          <w:szCs w:val="32"/>
          <w:highlight w:val="none"/>
        </w:rPr>
        <w:t>第三部分   专用条款</w:t>
      </w:r>
      <w:r>
        <w:rPr>
          <w:b/>
          <w:color w:val="auto"/>
          <w:highlight w:val="none"/>
        </w:rPr>
        <w:tab/>
      </w:r>
      <w:r>
        <w:rPr>
          <w:b/>
          <w:color w:val="auto"/>
          <w:highlight w:val="none"/>
        </w:rPr>
        <w:fldChar w:fldCharType="begin"/>
      </w:r>
      <w:r>
        <w:rPr>
          <w:b/>
          <w:color w:val="auto"/>
          <w:highlight w:val="none"/>
        </w:rPr>
        <w:instrText xml:space="preserve"> PAGEREF _Toc16940 \h </w:instrText>
      </w:r>
      <w:r>
        <w:rPr>
          <w:b/>
          <w:color w:val="auto"/>
          <w:highlight w:val="none"/>
        </w:rPr>
        <w:fldChar w:fldCharType="separate"/>
      </w:r>
      <w:r>
        <w:rPr>
          <w:b/>
          <w:color w:val="auto"/>
          <w:highlight w:val="none"/>
        </w:rPr>
        <w:t>64</w:t>
      </w:r>
      <w:r>
        <w:rPr>
          <w:b/>
          <w:color w:val="auto"/>
          <w:highlight w:val="none"/>
        </w:rPr>
        <w:fldChar w:fldCharType="end"/>
      </w:r>
      <w:r>
        <w:rPr>
          <w:b/>
          <w:color w:val="auto"/>
          <w:highlight w:val="none"/>
        </w:rPr>
        <w:fldChar w:fldCharType="end"/>
      </w:r>
    </w:p>
    <w:p w14:paraId="67A1968D">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"_Toc5733" </w:instrText>
      </w:r>
      <w:r>
        <w:rPr>
          <w:color w:val="auto"/>
          <w:highlight w:val="none"/>
        </w:rPr>
        <w:fldChar w:fldCharType="separate"/>
      </w:r>
      <w:r>
        <w:rPr>
          <w:rFonts w:hint="eastAsia" w:ascii="宋体" w:hAnsi="宋体" w:cs="宋体"/>
          <w:color w:val="auto"/>
          <w:szCs w:val="24"/>
          <w:highlight w:val="none"/>
        </w:rPr>
        <w:t>1. 一般约定</w:t>
      </w:r>
      <w:r>
        <w:rPr>
          <w:color w:val="auto"/>
          <w:highlight w:val="none"/>
        </w:rPr>
        <w:tab/>
      </w:r>
      <w:r>
        <w:rPr>
          <w:color w:val="auto"/>
          <w:highlight w:val="none"/>
        </w:rPr>
        <w:fldChar w:fldCharType="begin"/>
      </w:r>
      <w:r>
        <w:rPr>
          <w:color w:val="auto"/>
          <w:highlight w:val="none"/>
        </w:rPr>
        <w:instrText xml:space="preserve"> PAGEREF _Toc5733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50E8A651">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"_Toc21105" </w:instrText>
      </w:r>
      <w:r>
        <w:rPr>
          <w:color w:val="auto"/>
          <w:highlight w:val="none"/>
        </w:rPr>
        <w:fldChar w:fldCharType="separate"/>
      </w:r>
      <w:r>
        <w:rPr>
          <w:rFonts w:hint="eastAsia" w:ascii="宋体" w:hAnsi="宋体" w:cs="宋体"/>
          <w:color w:val="auto"/>
          <w:szCs w:val="24"/>
          <w:highlight w:val="none"/>
        </w:rPr>
        <w:t>2. 发包人权利和义务</w:t>
      </w:r>
      <w:r>
        <w:rPr>
          <w:color w:val="auto"/>
          <w:highlight w:val="none"/>
        </w:rPr>
        <w:tab/>
      </w:r>
      <w:r>
        <w:rPr>
          <w:color w:val="auto"/>
          <w:highlight w:val="none"/>
        </w:rPr>
        <w:fldChar w:fldCharType="begin"/>
      </w:r>
      <w:r>
        <w:rPr>
          <w:color w:val="auto"/>
          <w:highlight w:val="none"/>
        </w:rPr>
        <w:instrText xml:space="preserve"> PAGEREF _Toc21105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678B6054">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"_Toc9737" </w:instrText>
      </w:r>
      <w:r>
        <w:rPr>
          <w:color w:val="auto"/>
          <w:highlight w:val="none"/>
        </w:rPr>
        <w:fldChar w:fldCharType="separate"/>
      </w:r>
      <w:r>
        <w:rPr>
          <w:rFonts w:hint="eastAsia" w:ascii="宋体" w:hAnsi="宋体" w:cs="宋体"/>
          <w:color w:val="auto"/>
          <w:szCs w:val="24"/>
          <w:highlight w:val="none"/>
        </w:rPr>
        <w:t>3. 监理人</w:t>
      </w:r>
      <w:r>
        <w:rPr>
          <w:color w:val="auto"/>
          <w:highlight w:val="none"/>
        </w:rPr>
        <w:tab/>
      </w:r>
      <w:r>
        <w:rPr>
          <w:color w:val="auto"/>
          <w:highlight w:val="none"/>
        </w:rPr>
        <w:fldChar w:fldCharType="begin"/>
      </w:r>
      <w:r>
        <w:rPr>
          <w:color w:val="auto"/>
          <w:highlight w:val="none"/>
        </w:rPr>
        <w:instrText xml:space="preserve"> PAGEREF _Toc9737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57B01D1">
      <w:pPr>
        <w:pStyle w:val="149"/>
        <w:tabs>
          <w:tab w:val="right" w:leader="dot" w:pos="9411"/>
        </w:tabs>
        <w:ind w:left="420"/>
        <w:rPr>
          <w:rFonts w:ascii="宋体" w:hAnsi="宋体" w:cs="宋体"/>
          <w:color w:val="auto"/>
          <w:szCs w:val="32"/>
          <w:highlight w:val="none"/>
        </w:rPr>
        <w:sectPr>
          <w:footerReference r:id="rId5" w:type="default"/>
          <w:pgSz w:w="11905" w:h="16838"/>
          <w:pgMar w:top="1247" w:right="1247" w:bottom="1247" w:left="1247" w:header="567" w:footer="850" w:gutter="0"/>
          <w:pgNumType w:start="1"/>
          <w:cols w:space="720" w:num="1"/>
          <w:docGrid w:type="lines" w:linePitch="312" w:charSpace="0"/>
        </w:sectPr>
      </w:pPr>
    </w:p>
    <w:p w14:paraId="26D347F5">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"_Toc32048" </w:instrText>
      </w:r>
      <w:r>
        <w:rPr>
          <w:color w:val="auto"/>
          <w:highlight w:val="none"/>
        </w:rPr>
        <w:fldChar w:fldCharType="separate"/>
      </w:r>
      <w:r>
        <w:rPr>
          <w:rFonts w:hint="eastAsia" w:ascii="宋体" w:hAnsi="宋体" w:cs="宋体"/>
          <w:color w:val="auto"/>
          <w:szCs w:val="24"/>
          <w:highlight w:val="none"/>
        </w:rPr>
        <w:t>4. 承包人</w:t>
      </w:r>
      <w:r>
        <w:rPr>
          <w:color w:val="auto"/>
          <w:highlight w:val="none"/>
        </w:rPr>
        <w:tab/>
      </w:r>
      <w:r>
        <w:rPr>
          <w:color w:val="auto"/>
          <w:highlight w:val="none"/>
        </w:rPr>
        <w:fldChar w:fldCharType="begin"/>
      </w:r>
      <w:r>
        <w:rPr>
          <w:color w:val="auto"/>
          <w:highlight w:val="none"/>
        </w:rPr>
        <w:instrText xml:space="preserve"> PAGEREF _Toc32048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18278982">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"_Toc18752" </w:instrText>
      </w:r>
      <w:r>
        <w:rPr>
          <w:color w:val="auto"/>
          <w:highlight w:val="none"/>
        </w:rPr>
        <w:fldChar w:fldCharType="separate"/>
      </w:r>
      <w:r>
        <w:rPr>
          <w:rFonts w:hint="eastAsia" w:ascii="宋体" w:hAnsi="宋体" w:cs="宋体"/>
          <w:color w:val="auto"/>
          <w:szCs w:val="24"/>
          <w:highlight w:val="none"/>
        </w:rPr>
        <w:t>5. 设计</w:t>
      </w:r>
      <w:r>
        <w:rPr>
          <w:color w:val="auto"/>
          <w:highlight w:val="none"/>
        </w:rPr>
        <w:tab/>
      </w:r>
      <w:r>
        <w:rPr>
          <w:color w:val="auto"/>
          <w:highlight w:val="none"/>
        </w:rPr>
        <w:fldChar w:fldCharType="begin"/>
      </w:r>
      <w:r>
        <w:rPr>
          <w:color w:val="auto"/>
          <w:highlight w:val="none"/>
        </w:rPr>
        <w:instrText xml:space="preserve"> PAGEREF _Toc18752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1D33CE4A">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"_Toc11146" </w:instrText>
      </w:r>
      <w:r>
        <w:rPr>
          <w:color w:val="auto"/>
          <w:highlight w:val="none"/>
        </w:rPr>
        <w:fldChar w:fldCharType="separate"/>
      </w:r>
      <w:r>
        <w:rPr>
          <w:rFonts w:hint="eastAsia" w:ascii="宋体" w:hAnsi="宋体" w:cs="宋体"/>
          <w:color w:val="auto"/>
          <w:szCs w:val="24"/>
          <w:highlight w:val="none"/>
        </w:rPr>
        <w:t>6. 材料和工程设备</w:t>
      </w:r>
      <w:r>
        <w:rPr>
          <w:color w:val="auto"/>
          <w:highlight w:val="none"/>
        </w:rPr>
        <w:tab/>
      </w:r>
      <w:r>
        <w:rPr>
          <w:color w:val="auto"/>
          <w:highlight w:val="none"/>
        </w:rPr>
        <w:fldChar w:fldCharType="begin"/>
      </w:r>
      <w:r>
        <w:rPr>
          <w:color w:val="auto"/>
          <w:highlight w:val="none"/>
        </w:rPr>
        <w:instrText xml:space="preserve"> PAGEREF _Toc11146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08092B11">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"_Toc12464" </w:instrText>
      </w:r>
      <w:r>
        <w:rPr>
          <w:color w:val="auto"/>
          <w:highlight w:val="none"/>
        </w:rPr>
        <w:fldChar w:fldCharType="separate"/>
      </w:r>
      <w:r>
        <w:rPr>
          <w:rFonts w:hint="eastAsia" w:ascii="宋体" w:hAnsi="宋体" w:cs="宋体"/>
          <w:color w:val="auto"/>
          <w:szCs w:val="24"/>
          <w:highlight w:val="none"/>
        </w:rPr>
        <w:t>7.  施工设备和临时设施</w:t>
      </w:r>
      <w:r>
        <w:rPr>
          <w:color w:val="auto"/>
          <w:highlight w:val="none"/>
        </w:rPr>
        <w:tab/>
      </w:r>
      <w:r>
        <w:rPr>
          <w:color w:val="auto"/>
          <w:highlight w:val="none"/>
        </w:rPr>
        <w:fldChar w:fldCharType="begin"/>
      </w:r>
      <w:r>
        <w:rPr>
          <w:color w:val="auto"/>
          <w:highlight w:val="none"/>
        </w:rPr>
        <w:instrText xml:space="preserve"> PAGEREF _Toc12464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4E260D8F">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"_Toc24286" </w:instrText>
      </w:r>
      <w:r>
        <w:rPr>
          <w:color w:val="auto"/>
          <w:highlight w:val="none"/>
        </w:rPr>
        <w:fldChar w:fldCharType="separate"/>
      </w:r>
      <w:r>
        <w:rPr>
          <w:rFonts w:hint="eastAsia" w:ascii="宋体" w:hAnsi="宋体" w:cs="宋体"/>
          <w:color w:val="auto"/>
          <w:szCs w:val="24"/>
          <w:highlight w:val="none"/>
        </w:rPr>
        <w:t>8.  交通运输</w:t>
      </w:r>
      <w:r>
        <w:rPr>
          <w:color w:val="auto"/>
          <w:highlight w:val="none"/>
        </w:rPr>
        <w:tab/>
      </w:r>
      <w:r>
        <w:rPr>
          <w:color w:val="auto"/>
          <w:highlight w:val="none"/>
        </w:rPr>
        <w:fldChar w:fldCharType="begin"/>
      </w:r>
      <w:r>
        <w:rPr>
          <w:color w:val="auto"/>
          <w:highlight w:val="none"/>
        </w:rPr>
        <w:instrText xml:space="preserve"> PAGEREF _Toc24286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1C3F71E0">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"_Toc5726" </w:instrText>
      </w:r>
      <w:r>
        <w:rPr>
          <w:color w:val="auto"/>
          <w:highlight w:val="none"/>
        </w:rPr>
        <w:fldChar w:fldCharType="separate"/>
      </w:r>
      <w:r>
        <w:rPr>
          <w:rFonts w:hint="eastAsia" w:ascii="宋体" w:hAnsi="宋体" w:cs="宋体"/>
          <w:color w:val="auto"/>
          <w:szCs w:val="24"/>
          <w:highlight w:val="none"/>
        </w:rPr>
        <w:t>9.  测量放线</w:t>
      </w:r>
      <w:r>
        <w:rPr>
          <w:color w:val="auto"/>
          <w:highlight w:val="none"/>
        </w:rPr>
        <w:tab/>
      </w:r>
      <w:r>
        <w:rPr>
          <w:color w:val="auto"/>
          <w:highlight w:val="none"/>
        </w:rPr>
        <w:fldChar w:fldCharType="begin"/>
      </w:r>
      <w:r>
        <w:rPr>
          <w:color w:val="auto"/>
          <w:highlight w:val="none"/>
        </w:rPr>
        <w:instrText xml:space="preserve"> PAGEREF _Toc5726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5E40E975">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"_Toc30960" </w:instrText>
      </w:r>
      <w:r>
        <w:rPr>
          <w:color w:val="auto"/>
          <w:highlight w:val="none"/>
        </w:rPr>
        <w:fldChar w:fldCharType="separate"/>
      </w:r>
      <w:r>
        <w:rPr>
          <w:rFonts w:hint="eastAsia" w:ascii="宋体" w:hAnsi="宋体" w:cs="宋体"/>
          <w:color w:val="auto"/>
          <w:szCs w:val="24"/>
          <w:highlight w:val="none"/>
        </w:rPr>
        <w:t>10. 安全、治安保卫和环境保护</w:t>
      </w:r>
      <w:r>
        <w:rPr>
          <w:color w:val="auto"/>
          <w:highlight w:val="none"/>
        </w:rPr>
        <w:tab/>
      </w:r>
      <w:r>
        <w:rPr>
          <w:color w:val="auto"/>
          <w:highlight w:val="none"/>
        </w:rPr>
        <w:fldChar w:fldCharType="begin"/>
      </w:r>
      <w:r>
        <w:rPr>
          <w:color w:val="auto"/>
          <w:highlight w:val="none"/>
        </w:rPr>
        <w:instrText xml:space="preserve"> PAGEREF _Toc30960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4736DA74">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"_Toc2165" </w:instrText>
      </w:r>
      <w:r>
        <w:rPr>
          <w:color w:val="auto"/>
          <w:highlight w:val="none"/>
        </w:rPr>
        <w:fldChar w:fldCharType="separate"/>
      </w:r>
      <w:r>
        <w:rPr>
          <w:rFonts w:hint="eastAsia" w:ascii="宋体" w:hAnsi="宋体" w:cs="宋体"/>
          <w:color w:val="auto"/>
          <w:szCs w:val="24"/>
          <w:highlight w:val="none"/>
        </w:rPr>
        <w:t>11.  开始工作和竣工</w:t>
      </w:r>
      <w:r>
        <w:rPr>
          <w:color w:val="auto"/>
          <w:highlight w:val="none"/>
        </w:rPr>
        <w:tab/>
      </w:r>
      <w:r>
        <w:rPr>
          <w:color w:val="auto"/>
          <w:highlight w:val="none"/>
        </w:rPr>
        <w:fldChar w:fldCharType="begin"/>
      </w:r>
      <w:r>
        <w:rPr>
          <w:color w:val="auto"/>
          <w:highlight w:val="none"/>
        </w:rPr>
        <w:instrText xml:space="preserve"> PAGEREF _Toc2165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6A52238D">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"_Toc31975" </w:instrText>
      </w:r>
      <w:r>
        <w:rPr>
          <w:color w:val="auto"/>
          <w:highlight w:val="none"/>
        </w:rPr>
        <w:fldChar w:fldCharType="separate"/>
      </w:r>
      <w:r>
        <w:rPr>
          <w:rFonts w:hint="eastAsia" w:ascii="宋体" w:hAnsi="宋体" w:cs="宋体"/>
          <w:color w:val="auto"/>
          <w:szCs w:val="24"/>
          <w:highlight w:val="none"/>
        </w:rPr>
        <w:t>12.  暂停工作</w:t>
      </w:r>
      <w:r>
        <w:rPr>
          <w:color w:val="auto"/>
          <w:highlight w:val="none"/>
        </w:rPr>
        <w:tab/>
      </w:r>
      <w:r>
        <w:rPr>
          <w:color w:val="auto"/>
          <w:highlight w:val="none"/>
        </w:rPr>
        <w:fldChar w:fldCharType="begin"/>
      </w:r>
      <w:r>
        <w:rPr>
          <w:color w:val="auto"/>
          <w:highlight w:val="none"/>
        </w:rPr>
        <w:instrText xml:space="preserve"> PAGEREF _Toc31975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39E2883A">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"_Toc7295" </w:instrText>
      </w:r>
      <w:r>
        <w:rPr>
          <w:color w:val="auto"/>
          <w:highlight w:val="none"/>
        </w:rPr>
        <w:fldChar w:fldCharType="separate"/>
      </w:r>
      <w:r>
        <w:rPr>
          <w:rFonts w:hint="eastAsia" w:ascii="宋体" w:hAnsi="宋体" w:cs="宋体"/>
          <w:color w:val="auto"/>
          <w:szCs w:val="24"/>
          <w:highlight w:val="none"/>
        </w:rPr>
        <w:t>13.  工程质量</w:t>
      </w:r>
      <w:r>
        <w:rPr>
          <w:color w:val="auto"/>
          <w:highlight w:val="none"/>
        </w:rPr>
        <w:tab/>
      </w:r>
      <w:r>
        <w:rPr>
          <w:color w:val="auto"/>
          <w:highlight w:val="none"/>
        </w:rPr>
        <w:fldChar w:fldCharType="begin"/>
      </w:r>
      <w:r>
        <w:rPr>
          <w:color w:val="auto"/>
          <w:highlight w:val="none"/>
        </w:rPr>
        <w:instrText xml:space="preserve"> PAGEREF _Toc7295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428FB39A">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"_Toc21790" </w:instrText>
      </w:r>
      <w:r>
        <w:rPr>
          <w:color w:val="auto"/>
          <w:highlight w:val="none"/>
        </w:rPr>
        <w:fldChar w:fldCharType="separate"/>
      </w:r>
      <w:r>
        <w:rPr>
          <w:rFonts w:hint="eastAsia" w:ascii="宋体" w:hAnsi="宋体" w:cs="宋体"/>
          <w:color w:val="auto"/>
          <w:szCs w:val="24"/>
          <w:highlight w:val="none"/>
        </w:rPr>
        <w:t>14.  试验和检验</w:t>
      </w:r>
      <w:r>
        <w:rPr>
          <w:color w:val="auto"/>
          <w:highlight w:val="none"/>
        </w:rPr>
        <w:tab/>
      </w:r>
      <w:r>
        <w:rPr>
          <w:color w:val="auto"/>
          <w:highlight w:val="none"/>
        </w:rPr>
        <w:fldChar w:fldCharType="begin"/>
      </w:r>
      <w:r>
        <w:rPr>
          <w:color w:val="auto"/>
          <w:highlight w:val="none"/>
        </w:rPr>
        <w:instrText xml:space="preserve"> PAGEREF _Toc21790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1262D9B9">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"_Toc31358" </w:instrText>
      </w:r>
      <w:r>
        <w:rPr>
          <w:color w:val="auto"/>
          <w:highlight w:val="none"/>
        </w:rPr>
        <w:fldChar w:fldCharType="separate"/>
      </w:r>
      <w:r>
        <w:rPr>
          <w:rFonts w:hint="eastAsia" w:ascii="宋体" w:hAnsi="宋体" w:cs="宋体"/>
          <w:color w:val="auto"/>
          <w:szCs w:val="24"/>
          <w:highlight w:val="none"/>
        </w:rPr>
        <w:t>15.  变更</w:t>
      </w:r>
      <w:r>
        <w:rPr>
          <w:color w:val="auto"/>
          <w:highlight w:val="none"/>
        </w:rPr>
        <w:tab/>
      </w:r>
      <w:r>
        <w:rPr>
          <w:color w:val="auto"/>
          <w:highlight w:val="none"/>
        </w:rPr>
        <w:fldChar w:fldCharType="begin"/>
      </w:r>
      <w:r>
        <w:rPr>
          <w:color w:val="auto"/>
          <w:highlight w:val="none"/>
        </w:rPr>
        <w:instrText xml:space="preserve"> PAGEREF _Toc31358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03759914">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"_Toc7255" </w:instrText>
      </w:r>
      <w:r>
        <w:rPr>
          <w:color w:val="auto"/>
          <w:highlight w:val="none"/>
        </w:rPr>
        <w:fldChar w:fldCharType="separate"/>
      </w:r>
      <w:r>
        <w:rPr>
          <w:rFonts w:hint="eastAsia" w:ascii="宋体" w:hAnsi="宋体" w:cs="宋体"/>
          <w:color w:val="auto"/>
          <w:szCs w:val="24"/>
          <w:highlight w:val="none"/>
        </w:rPr>
        <w:t>16.  价格调整</w:t>
      </w:r>
      <w:r>
        <w:rPr>
          <w:color w:val="auto"/>
          <w:highlight w:val="none"/>
        </w:rPr>
        <w:tab/>
      </w:r>
      <w:r>
        <w:rPr>
          <w:color w:val="auto"/>
          <w:highlight w:val="none"/>
        </w:rPr>
        <w:fldChar w:fldCharType="begin"/>
      </w:r>
      <w:r>
        <w:rPr>
          <w:color w:val="auto"/>
          <w:highlight w:val="none"/>
        </w:rPr>
        <w:instrText xml:space="preserve"> PAGEREF _Toc7255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382FF240">
      <w:pPr>
        <w:pStyle w:val="149"/>
        <w:tabs>
          <w:tab w:val="right" w:leader="dot" w:pos="9411"/>
        </w:tabs>
        <w:ind w:left="42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"_Toc16843" </w:instrText>
      </w:r>
      <w:r>
        <w:rPr>
          <w:color w:val="auto"/>
          <w:highlight w:val="none"/>
        </w:rPr>
        <w:fldChar w:fldCharType="separate"/>
      </w:r>
      <w:r>
        <w:rPr>
          <w:rFonts w:hint="eastAsia" w:ascii="宋体" w:hAnsi="宋体" w:cs="宋体"/>
          <w:color w:val="auto"/>
          <w:szCs w:val="24"/>
          <w:highlight w:val="none"/>
        </w:rPr>
        <w:t>17.  合同价格与支付</w:t>
      </w:r>
      <w:r>
        <w:rPr>
          <w:color w:val="auto"/>
          <w:highlight w:val="none"/>
        </w:rPr>
        <w:tab/>
      </w:r>
      <w:r>
        <w:rPr>
          <w:color w:val="auto"/>
          <w:highlight w:val="none"/>
        </w:rPr>
        <w:fldChar w:fldCharType="end"/>
      </w:r>
      <w:r>
        <w:rPr>
          <w:rFonts w:hint="eastAsia"/>
          <w:color w:val="auto"/>
          <w:highlight w:val="none"/>
          <w:lang w:val="en-US" w:eastAsia="zh-CN"/>
        </w:rPr>
        <w:t>80</w:t>
      </w:r>
    </w:p>
    <w:p w14:paraId="23081B46">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"_Toc11687" </w:instrText>
      </w:r>
      <w:r>
        <w:rPr>
          <w:color w:val="auto"/>
          <w:highlight w:val="none"/>
        </w:rPr>
        <w:fldChar w:fldCharType="separate"/>
      </w:r>
      <w:r>
        <w:rPr>
          <w:rFonts w:hint="eastAsia" w:ascii="宋体" w:hAnsi="宋体" w:cs="宋体"/>
          <w:color w:val="auto"/>
          <w:szCs w:val="24"/>
          <w:highlight w:val="none"/>
        </w:rPr>
        <w:t>18.  竣工试验和竣工验收</w:t>
      </w:r>
      <w:r>
        <w:rPr>
          <w:color w:val="auto"/>
          <w:highlight w:val="none"/>
        </w:rPr>
        <w:tab/>
      </w:r>
      <w:r>
        <w:rPr>
          <w:color w:val="auto"/>
          <w:highlight w:val="none"/>
        </w:rPr>
        <w:fldChar w:fldCharType="begin"/>
      </w:r>
      <w:r>
        <w:rPr>
          <w:color w:val="auto"/>
          <w:highlight w:val="none"/>
        </w:rPr>
        <w:instrText xml:space="preserve"> PAGEREF _Toc11687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64D712CF">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"_Toc7643" </w:instrText>
      </w:r>
      <w:r>
        <w:rPr>
          <w:color w:val="auto"/>
          <w:highlight w:val="none"/>
        </w:rPr>
        <w:fldChar w:fldCharType="separate"/>
      </w:r>
      <w:r>
        <w:rPr>
          <w:rFonts w:hint="eastAsia" w:ascii="宋体" w:hAnsi="宋体" w:cs="宋体"/>
          <w:color w:val="auto"/>
          <w:szCs w:val="24"/>
          <w:highlight w:val="none"/>
        </w:rPr>
        <w:t>19.  缺陷责任与保修责任</w:t>
      </w:r>
      <w:r>
        <w:rPr>
          <w:color w:val="auto"/>
          <w:highlight w:val="none"/>
        </w:rPr>
        <w:tab/>
      </w:r>
      <w:r>
        <w:rPr>
          <w:color w:val="auto"/>
          <w:highlight w:val="none"/>
        </w:rPr>
        <w:fldChar w:fldCharType="begin"/>
      </w:r>
      <w:r>
        <w:rPr>
          <w:color w:val="auto"/>
          <w:highlight w:val="none"/>
        </w:rPr>
        <w:instrText xml:space="preserve"> PAGEREF _Toc7643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0A79BF0F">
      <w:pPr>
        <w:pStyle w:val="149"/>
        <w:tabs>
          <w:tab w:val="right" w:leader="dot" w:pos="9411"/>
        </w:tabs>
        <w:ind w:left="42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"_Toc6290" </w:instrText>
      </w:r>
      <w:r>
        <w:rPr>
          <w:color w:val="auto"/>
          <w:highlight w:val="none"/>
        </w:rPr>
        <w:fldChar w:fldCharType="separate"/>
      </w:r>
      <w:r>
        <w:rPr>
          <w:rFonts w:hint="eastAsia" w:ascii="宋体" w:hAnsi="宋体" w:cs="宋体"/>
          <w:color w:val="auto"/>
          <w:szCs w:val="24"/>
          <w:highlight w:val="none"/>
        </w:rPr>
        <w:t>20. 保险</w:t>
      </w:r>
      <w:r>
        <w:rPr>
          <w:color w:val="auto"/>
          <w:highlight w:val="none"/>
        </w:rPr>
        <w:tab/>
      </w:r>
      <w:r>
        <w:rPr>
          <w:color w:val="auto"/>
          <w:highlight w:val="none"/>
        </w:rPr>
        <w:fldChar w:fldCharType="end"/>
      </w:r>
      <w:r>
        <w:rPr>
          <w:rFonts w:hint="eastAsia"/>
          <w:color w:val="auto"/>
          <w:highlight w:val="none"/>
          <w:lang w:val="en-US" w:eastAsia="zh-CN"/>
        </w:rPr>
        <w:t>89</w:t>
      </w:r>
    </w:p>
    <w:p w14:paraId="788079E2">
      <w:pPr>
        <w:pStyle w:val="149"/>
        <w:tabs>
          <w:tab w:val="right" w:leader="dot" w:pos="9411"/>
        </w:tabs>
        <w:ind w:left="42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"_Toc21095" </w:instrText>
      </w:r>
      <w:r>
        <w:rPr>
          <w:color w:val="auto"/>
          <w:highlight w:val="none"/>
        </w:rPr>
        <w:fldChar w:fldCharType="separate"/>
      </w:r>
      <w:r>
        <w:rPr>
          <w:rFonts w:hint="eastAsia" w:ascii="宋体" w:hAnsi="宋体" w:cs="宋体"/>
          <w:color w:val="auto"/>
          <w:szCs w:val="24"/>
          <w:highlight w:val="none"/>
        </w:rPr>
        <w:t>21. 不可抗力</w:t>
      </w:r>
      <w:r>
        <w:rPr>
          <w:color w:val="auto"/>
          <w:highlight w:val="none"/>
        </w:rPr>
        <w:tab/>
      </w:r>
      <w:r>
        <w:rPr>
          <w:color w:val="auto"/>
          <w:highlight w:val="none"/>
        </w:rPr>
        <w:fldChar w:fldCharType="end"/>
      </w:r>
      <w:r>
        <w:rPr>
          <w:rFonts w:hint="eastAsia"/>
          <w:color w:val="auto"/>
          <w:highlight w:val="none"/>
          <w:lang w:val="en-US" w:eastAsia="zh-CN"/>
        </w:rPr>
        <w:t>89</w:t>
      </w:r>
    </w:p>
    <w:p w14:paraId="28927F16">
      <w:pPr>
        <w:pStyle w:val="149"/>
        <w:tabs>
          <w:tab w:val="right" w:leader="dot" w:pos="9411"/>
        </w:tabs>
        <w:ind w:left="42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"_Toc17196" </w:instrText>
      </w:r>
      <w:r>
        <w:rPr>
          <w:color w:val="auto"/>
          <w:highlight w:val="none"/>
        </w:rPr>
        <w:fldChar w:fldCharType="separate"/>
      </w:r>
      <w:r>
        <w:rPr>
          <w:rFonts w:hint="eastAsia" w:ascii="宋体" w:hAnsi="宋体" w:cs="宋体"/>
          <w:color w:val="auto"/>
          <w:szCs w:val="24"/>
          <w:highlight w:val="none"/>
        </w:rPr>
        <w:t>22. 违约</w:t>
      </w:r>
      <w:r>
        <w:rPr>
          <w:color w:val="auto"/>
          <w:highlight w:val="none"/>
        </w:rPr>
        <w:tab/>
      </w:r>
      <w:r>
        <w:rPr>
          <w:color w:val="auto"/>
          <w:highlight w:val="none"/>
        </w:rPr>
        <w:fldChar w:fldCharType="end"/>
      </w:r>
      <w:r>
        <w:rPr>
          <w:rFonts w:hint="eastAsia"/>
          <w:color w:val="auto"/>
          <w:highlight w:val="none"/>
          <w:lang w:val="en-US" w:eastAsia="zh-CN"/>
        </w:rPr>
        <w:t>90</w:t>
      </w:r>
    </w:p>
    <w:p w14:paraId="44FA9ED5">
      <w:pPr>
        <w:pStyle w:val="149"/>
        <w:tabs>
          <w:tab w:val="right" w:leader="dot" w:pos="9411"/>
        </w:tabs>
        <w:ind w:left="42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"_Toc386" </w:instrText>
      </w:r>
      <w:r>
        <w:rPr>
          <w:color w:val="auto"/>
          <w:highlight w:val="none"/>
        </w:rPr>
        <w:fldChar w:fldCharType="separate"/>
      </w:r>
      <w:r>
        <w:rPr>
          <w:rFonts w:hint="eastAsia" w:ascii="宋体" w:hAnsi="宋体" w:cs="宋体"/>
          <w:color w:val="auto"/>
          <w:szCs w:val="24"/>
          <w:highlight w:val="none"/>
        </w:rPr>
        <w:t>24. 争议的解决</w:t>
      </w:r>
      <w:r>
        <w:rPr>
          <w:color w:val="auto"/>
          <w:highlight w:val="none"/>
        </w:rPr>
        <w:tab/>
      </w:r>
      <w:r>
        <w:rPr>
          <w:color w:val="auto"/>
          <w:highlight w:val="none"/>
        </w:rPr>
        <w:fldChar w:fldCharType="end"/>
      </w:r>
      <w:r>
        <w:rPr>
          <w:rFonts w:hint="eastAsia"/>
          <w:color w:val="auto"/>
          <w:highlight w:val="none"/>
          <w:lang w:val="en-US" w:eastAsia="zh-CN"/>
        </w:rPr>
        <w:t>92</w:t>
      </w:r>
    </w:p>
    <w:p w14:paraId="224DDEF5">
      <w:pPr>
        <w:pStyle w:val="148"/>
        <w:tabs>
          <w:tab w:val="right" w:leader="dot" w:pos="9411"/>
        </w:tabs>
        <w:rPr>
          <w:b/>
          <w:color w:val="auto"/>
          <w:highlight w:val="none"/>
        </w:rPr>
      </w:pPr>
      <w:r>
        <w:rPr>
          <w:color w:val="auto"/>
          <w:highlight w:val="none"/>
        </w:rPr>
        <w:fldChar w:fldCharType="begin"/>
      </w:r>
      <w:r>
        <w:rPr>
          <w:color w:val="auto"/>
          <w:highlight w:val="none"/>
        </w:rPr>
        <w:instrText xml:space="preserve"> HYPERLINK \l "_Toc4677" </w:instrText>
      </w:r>
      <w:r>
        <w:rPr>
          <w:color w:val="auto"/>
          <w:highlight w:val="none"/>
        </w:rPr>
        <w:fldChar w:fldCharType="separate"/>
      </w:r>
      <w:r>
        <w:rPr>
          <w:rFonts w:hint="eastAsia" w:ascii="宋体" w:hAnsi="宋体" w:cs="宋体"/>
          <w:b/>
          <w:color w:val="auto"/>
          <w:szCs w:val="32"/>
          <w:highlight w:val="none"/>
        </w:rPr>
        <w:t>第四部分   附件</w:t>
      </w:r>
      <w:r>
        <w:rPr>
          <w:color w:val="auto"/>
          <w:highlight w:val="none"/>
        </w:rPr>
        <w:tab/>
      </w:r>
      <w:r>
        <w:rPr>
          <w:b/>
          <w:color w:val="auto"/>
          <w:highlight w:val="none"/>
        </w:rPr>
        <w:fldChar w:fldCharType="begin"/>
      </w:r>
      <w:r>
        <w:rPr>
          <w:b/>
          <w:color w:val="auto"/>
          <w:highlight w:val="none"/>
        </w:rPr>
        <w:instrText xml:space="preserve"> PAGEREF _Toc4677 \h </w:instrText>
      </w:r>
      <w:r>
        <w:rPr>
          <w:b/>
          <w:color w:val="auto"/>
          <w:highlight w:val="none"/>
        </w:rPr>
        <w:fldChar w:fldCharType="separate"/>
      </w:r>
      <w:r>
        <w:rPr>
          <w:b/>
          <w:color w:val="auto"/>
          <w:highlight w:val="none"/>
        </w:rPr>
        <w:t>96</w:t>
      </w:r>
      <w:r>
        <w:rPr>
          <w:b/>
          <w:color w:val="auto"/>
          <w:highlight w:val="none"/>
        </w:rPr>
        <w:fldChar w:fldCharType="end"/>
      </w:r>
      <w:r>
        <w:rPr>
          <w:b/>
          <w:color w:val="auto"/>
          <w:highlight w:val="none"/>
        </w:rPr>
        <w:fldChar w:fldCharType="end"/>
      </w:r>
    </w:p>
    <w:p w14:paraId="013E0108">
      <w:pPr>
        <w:pStyle w:val="149"/>
        <w:tabs>
          <w:tab w:val="right" w:leader="dot" w:pos="9411"/>
        </w:tabs>
        <w:ind w:left="420"/>
        <w:rPr>
          <w:rFonts w:hint="default"/>
          <w:color w:val="auto"/>
          <w:highlight w:val="none"/>
          <w:lang w:val="en-US" w:eastAsia="zh-CN"/>
        </w:rPr>
      </w:pPr>
      <w:r>
        <w:rPr>
          <w:color w:val="auto"/>
          <w:highlight w:val="none"/>
        </w:rPr>
        <w:fldChar w:fldCharType="begin"/>
      </w:r>
      <w:r>
        <w:rPr>
          <w:color w:val="auto"/>
          <w:highlight w:val="none"/>
        </w:rPr>
        <w:instrText xml:space="preserve"> HYPERLINK \l "_Toc17308" </w:instrText>
      </w:r>
      <w:r>
        <w:rPr>
          <w:color w:val="auto"/>
          <w:highlight w:val="none"/>
        </w:rPr>
        <w:fldChar w:fldCharType="separate"/>
      </w:r>
      <w:r>
        <w:rPr>
          <w:rFonts w:hint="eastAsia" w:ascii="宋体" w:hAnsi="宋体" w:cs="宋体"/>
          <w:color w:val="auto"/>
          <w:szCs w:val="32"/>
          <w:highlight w:val="none"/>
        </w:rPr>
        <w:t>附件1：工程质量保修书</w:t>
      </w:r>
      <w:r>
        <w:rPr>
          <w:color w:val="auto"/>
          <w:highlight w:val="none"/>
        </w:rPr>
        <w:tab/>
      </w:r>
      <w:r>
        <w:rPr>
          <w:rFonts w:hint="eastAsia"/>
          <w:color w:val="auto"/>
          <w:highlight w:val="none"/>
        </w:rPr>
        <w:t>9</w:t>
      </w:r>
      <w:r>
        <w:rPr>
          <w:rFonts w:hint="eastAsia"/>
          <w:color w:val="auto"/>
          <w:highlight w:val="none"/>
        </w:rPr>
        <w:fldChar w:fldCharType="end"/>
      </w:r>
      <w:r>
        <w:rPr>
          <w:rFonts w:hint="eastAsia"/>
          <w:color w:val="auto"/>
          <w:highlight w:val="none"/>
          <w:lang w:val="en-US" w:eastAsia="zh-CN"/>
        </w:rPr>
        <w:t>7</w:t>
      </w:r>
    </w:p>
    <w:p w14:paraId="588C6D42">
      <w:pPr>
        <w:pStyle w:val="149"/>
        <w:tabs>
          <w:tab w:val="right" w:leader="dot" w:pos="9411"/>
        </w:tabs>
        <w:ind w:left="420"/>
        <w:rPr>
          <w:rFonts w:ascii="宋体" w:hAnsi="宋体" w:cs="宋体"/>
          <w:color w:val="auto"/>
          <w:szCs w:val="32"/>
          <w:highlight w:val="none"/>
        </w:rPr>
      </w:pPr>
      <w:r>
        <w:rPr>
          <w:rFonts w:hint="eastAsia" w:ascii="宋体" w:hAnsi="宋体" w:cs="宋体"/>
          <w:color w:val="auto"/>
          <w:szCs w:val="32"/>
          <w:highlight w:val="none"/>
        </w:rPr>
        <w:t>附件2：廉政合同</w:t>
      </w:r>
      <w:r>
        <w:rPr>
          <w:color w:val="auto"/>
          <w:highlight w:val="none"/>
        </w:rPr>
        <w:tab/>
      </w:r>
      <w:r>
        <w:rPr>
          <w:rFonts w:hint="eastAsia"/>
          <w:color w:val="auto"/>
          <w:highlight w:val="none"/>
        </w:rPr>
        <w:t>9</w:t>
      </w:r>
      <w:r>
        <w:rPr>
          <w:rFonts w:hint="eastAsia"/>
          <w:color w:val="auto"/>
          <w:highlight w:val="none"/>
          <w:lang w:val="en-US" w:eastAsia="zh-CN"/>
        </w:rPr>
        <w:t>9</w:t>
      </w:r>
    </w:p>
    <w:p w14:paraId="3B87C971">
      <w:pPr>
        <w:pStyle w:val="149"/>
        <w:tabs>
          <w:tab w:val="right" w:leader="dot" w:pos="9411"/>
        </w:tabs>
        <w:ind w:left="420"/>
        <w:rPr>
          <w:rFonts w:hint="eastAsia" w:ascii="宋体" w:hAnsi="宋体" w:eastAsia="宋体" w:cs="宋体"/>
          <w:color w:val="auto"/>
          <w:szCs w:val="32"/>
          <w:highlight w:val="none"/>
          <w:lang w:val="en-US" w:eastAsia="zh-CN"/>
        </w:rPr>
      </w:pPr>
      <w:r>
        <w:rPr>
          <w:rFonts w:hint="eastAsia" w:ascii="宋体" w:hAnsi="宋体" w:cs="宋体"/>
          <w:color w:val="auto"/>
          <w:szCs w:val="32"/>
          <w:highlight w:val="none"/>
        </w:rPr>
        <w:t>附件3：保密协议</w:t>
      </w:r>
      <w:r>
        <w:rPr>
          <w:color w:val="auto"/>
          <w:highlight w:val="none"/>
        </w:rPr>
        <w:tab/>
      </w:r>
      <w:r>
        <w:rPr>
          <w:rFonts w:hint="eastAsia"/>
          <w:color w:val="auto"/>
          <w:highlight w:val="none"/>
          <w:lang w:val="en-US" w:eastAsia="zh-CN"/>
        </w:rPr>
        <w:t>101</w:t>
      </w:r>
    </w:p>
    <w:p w14:paraId="7303B1B7">
      <w:pPr>
        <w:pStyle w:val="149"/>
        <w:tabs>
          <w:tab w:val="right" w:leader="dot" w:pos="9411"/>
        </w:tabs>
        <w:ind w:left="420"/>
        <w:rPr>
          <w:rFonts w:hint="default" w:ascii="宋体" w:hAnsi="宋体" w:eastAsia="宋体" w:cs="宋体"/>
          <w:color w:val="auto"/>
          <w:szCs w:val="32"/>
          <w:highlight w:val="none"/>
          <w:lang w:val="en-US" w:eastAsia="zh-CN"/>
        </w:rPr>
      </w:pPr>
      <w:r>
        <w:rPr>
          <w:rFonts w:hint="eastAsia" w:ascii="宋体" w:hAnsi="宋体" w:cs="宋体"/>
          <w:color w:val="auto"/>
          <w:szCs w:val="32"/>
          <w:highlight w:val="none"/>
        </w:rPr>
        <w:t>附件4：</w:t>
      </w:r>
      <w:r>
        <w:rPr>
          <w:rFonts w:hint="eastAsia" w:ascii="宋体" w:hAnsi="宋体" w:eastAsia="宋体" w:cs="宋体"/>
          <w:b w:val="0"/>
          <w:color w:val="auto"/>
          <w:sz w:val="20"/>
          <w:szCs w:val="32"/>
          <w:highlight w:val="none"/>
        </w:rPr>
        <w:t>芳村花园消防设施设备维修</w:t>
      </w:r>
      <w:r>
        <w:rPr>
          <w:rFonts w:hint="eastAsia" w:ascii="宋体" w:hAnsi="宋体" w:eastAsia="宋体" w:cs="宋体"/>
          <w:b w:val="0"/>
          <w:color w:val="auto"/>
          <w:sz w:val="20"/>
          <w:szCs w:val="32"/>
          <w:highlight w:val="none"/>
          <w:lang w:eastAsia="zh-CN"/>
        </w:rPr>
        <w:t>更换项目设计</w:t>
      </w:r>
      <w:r>
        <w:rPr>
          <w:rFonts w:hint="eastAsia" w:ascii="宋体" w:hAnsi="宋体" w:eastAsia="宋体" w:cs="宋体"/>
          <w:b w:val="0"/>
          <w:color w:val="auto"/>
          <w:sz w:val="20"/>
          <w:szCs w:val="32"/>
          <w:highlight w:val="none"/>
        </w:rPr>
        <w:t>施工</w:t>
      </w:r>
      <w:r>
        <w:rPr>
          <w:rFonts w:hint="eastAsia" w:ascii="宋体" w:hAnsi="宋体" w:cs="宋体"/>
          <w:color w:val="auto"/>
          <w:szCs w:val="32"/>
          <w:highlight w:val="none"/>
          <w:lang w:eastAsia="zh-CN"/>
        </w:rPr>
        <w:t>总承包招标需求书（另册）</w:t>
      </w:r>
      <w:r>
        <w:rPr>
          <w:color w:val="auto"/>
          <w:highlight w:val="none"/>
        </w:rPr>
        <w:tab/>
      </w:r>
      <w:r>
        <w:rPr>
          <w:rFonts w:hint="eastAsia"/>
          <w:color w:val="auto"/>
          <w:highlight w:val="none"/>
          <w:lang w:val="en-US" w:eastAsia="zh-CN"/>
        </w:rPr>
        <w:t>103</w:t>
      </w:r>
    </w:p>
    <w:p w14:paraId="65A2CC3A">
      <w:pPr>
        <w:pStyle w:val="149"/>
        <w:tabs>
          <w:tab w:val="right" w:leader="dot" w:pos="9411"/>
        </w:tabs>
        <w:ind w:left="420"/>
        <w:rPr>
          <w:rFonts w:hint="default" w:ascii="宋体" w:hAnsi="宋体" w:eastAsia="宋体" w:cs="宋体"/>
          <w:color w:val="auto"/>
          <w:szCs w:val="24"/>
          <w:highlight w:val="none"/>
          <w:lang w:val="en-US" w:eastAsia="zh-CN"/>
        </w:rPr>
      </w:pPr>
      <w:r>
        <w:rPr>
          <w:rFonts w:hint="eastAsia" w:ascii="宋体" w:hAnsi="宋体" w:cs="宋体"/>
          <w:color w:val="auto"/>
          <w:szCs w:val="32"/>
          <w:highlight w:val="none"/>
        </w:rPr>
        <w:t>附件5：</w:t>
      </w:r>
      <w:r>
        <w:rPr>
          <w:color w:val="auto"/>
          <w:highlight w:val="none"/>
        </w:rPr>
        <w:fldChar w:fldCharType="begin"/>
      </w:r>
      <w:r>
        <w:rPr>
          <w:color w:val="auto"/>
          <w:highlight w:val="none"/>
        </w:rPr>
        <w:instrText xml:space="preserve"> HYPERLINK \l "_Toc16242" </w:instrText>
      </w:r>
      <w:r>
        <w:rPr>
          <w:color w:val="auto"/>
          <w:highlight w:val="none"/>
        </w:rPr>
        <w:fldChar w:fldCharType="separate"/>
      </w:r>
      <w:r>
        <w:rPr>
          <w:rFonts w:hint="eastAsia" w:ascii="宋体" w:hAnsi="宋体" w:cs="宋体"/>
          <w:color w:val="auto"/>
          <w:szCs w:val="32"/>
          <w:highlight w:val="none"/>
        </w:rPr>
        <w:t>联合体协议书（复印件）</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04</w:t>
      </w:r>
    </w:p>
    <w:p w14:paraId="25972C66">
      <w:pPr>
        <w:pStyle w:val="148"/>
        <w:tabs>
          <w:tab w:val="right" w:leader="dot" w:pos="9411"/>
        </w:tabs>
        <w:ind w:firstLine="400" w:firstLineChars="200"/>
        <w:rPr>
          <w:rFonts w:hint="eastAsia"/>
          <w:color w:val="auto"/>
          <w:highlight w:val="none"/>
          <w:lang w:val="en-US" w:eastAsia="zh-CN"/>
        </w:rPr>
      </w:pPr>
      <w:r>
        <w:rPr>
          <w:rFonts w:hint="eastAsia" w:ascii="宋体" w:hAnsi="宋体" w:cs="宋体"/>
          <w:color w:val="auto"/>
          <w:szCs w:val="24"/>
          <w:highlight w:val="none"/>
        </w:rPr>
        <w:t>附件6：《广州安居集团有限公司建设工程设计管理办法（试行）》</w:t>
      </w:r>
      <w:r>
        <w:rPr>
          <w:rFonts w:hint="eastAsia" w:ascii="宋体" w:hAnsi="宋体" w:cs="宋体"/>
          <w:color w:val="auto"/>
          <w:szCs w:val="32"/>
          <w:highlight w:val="none"/>
          <w:lang w:eastAsia="zh-CN"/>
        </w:rPr>
        <w:t>（另册）</w:t>
      </w:r>
      <w:r>
        <w:rPr>
          <w:color w:val="auto"/>
          <w:highlight w:val="none"/>
        </w:rPr>
        <w:fldChar w:fldCharType="begin"/>
      </w:r>
      <w:r>
        <w:rPr>
          <w:color w:val="auto"/>
          <w:highlight w:val="none"/>
        </w:rPr>
        <w:instrText xml:space="preserve"> HYPERLINK \l "_Toc12442" </w:instrText>
      </w:r>
      <w:r>
        <w:rPr>
          <w:color w:val="auto"/>
          <w:highlight w:val="none"/>
        </w:rPr>
        <w:fldChar w:fldCharType="separate"/>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05</w:t>
      </w:r>
    </w:p>
    <w:p w14:paraId="038F62D8">
      <w:pPr>
        <w:pStyle w:val="148"/>
        <w:tabs>
          <w:tab w:val="right" w:leader="dot" w:pos="9411"/>
        </w:tabs>
        <w:ind w:firstLine="400" w:firstLineChars="200"/>
        <w:rPr>
          <w:rFonts w:hint="eastAsia"/>
          <w:color w:val="auto"/>
          <w:highlight w:val="none"/>
          <w:lang w:val="en-US" w:eastAsia="zh-CN"/>
        </w:rPr>
      </w:pPr>
      <w:r>
        <w:rPr>
          <w:rFonts w:hint="eastAsia" w:ascii="宋体" w:hAnsi="宋体" w:cs="宋体"/>
          <w:color w:val="auto"/>
          <w:szCs w:val="24"/>
          <w:highlight w:val="none"/>
        </w:rPr>
        <w:t>附件7：《广州安居集团保障性住房项目设计评价标准及负面清单（试行）》</w:t>
      </w:r>
      <w:r>
        <w:rPr>
          <w:rFonts w:hint="eastAsia" w:ascii="宋体" w:hAnsi="宋体" w:cs="宋体"/>
          <w:color w:val="auto"/>
          <w:szCs w:val="32"/>
          <w:highlight w:val="none"/>
          <w:lang w:eastAsia="zh-CN"/>
        </w:rPr>
        <w:t>（另册）</w:t>
      </w:r>
      <w:r>
        <w:rPr>
          <w:color w:val="auto"/>
          <w:highlight w:val="none"/>
        </w:rPr>
        <w:tab/>
      </w:r>
      <w:r>
        <w:rPr>
          <w:rFonts w:hint="eastAsia"/>
          <w:color w:val="auto"/>
          <w:highlight w:val="none"/>
        </w:rPr>
        <w:t>1</w:t>
      </w:r>
      <w:r>
        <w:rPr>
          <w:rFonts w:hint="eastAsia"/>
          <w:color w:val="auto"/>
          <w:highlight w:val="none"/>
          <w:lang w:val="en-US" w:eastAsia="zh-CN"/>
        </w:rPr>
        <w:t>06</w:t>
      </w:r>
    </w:p>
    <w:p w14:paraId="01748DD9">
      <w:pPr>
        <w:pStyle w:val="148"/>
        <w:tabs>
          <w:tab w:val="right" w:leader="dot" w:pos="9411"/>
        </w:tabs>
        <w:ind w:firstLine="400" w:firstLineChars="200"/>
        <w:rPr>
          <w:rFonts w:hint="eastAsia"/>
          <w:color w:val="auto"/>
          <w:highlight w:val="none"/>
          <w:lang w:val="en-US" w:eastAsia="zh-CN"/>
        </w:rPr>
      </w:pPr>
      <w:r>
        <w:rPr>
          <w:rFonts w:hint="eastAsia"/>
          <w:color w:val="auto"/>
          <w:highlight w:val="none"/>
          <w:lang w:val="en-US" w:eastAsia="zh-CN"/>
        </w:rPr>
        <w:t>附件8：《广州安居集团有限公司施工合同履约评价实施办法（试行）》（另册）</w:t>
      </w:r>
      <w:r>
        <w:rPr>
          <w:color w:val="auto"/>
          <w:highlight w:val="none"/>
        </w:rPr>
        <w:tab/>
      </w:r>
      <w:r>
        <w:rPr>
          <w:rFonts w:hint="eastAsia"/>
          <w:color w:val="auto"/>
          <w:highlight w:val="none"/>
        </w:rPr>
        <w:t>1</w:t>
      </w:r>
      <w:r>
        <w:rPr>
          <w:rFonts w:hint="eastAsia"/>
          <w:color w:val="auto"/>
          <w:highlight w:val="none"/>
          <w:lang w:val="en-US" w:eastAsia="zh-CN"/>
        </w:rPr>
        <w:t>07</w:t>
      </w:r>
    </w:p>
    <w:p w14:paraId="565CEAA2">
      <w:pPr>
        <w:pStyle w:val="148"/>
        <w:tabs>
          <w:tab w:val="right" w:leader="dot" w:pos="9411"/>
        </w:tabs>
        <w:ind w:firstLine="400" w:firstLineChars="200"/>
        <w:rPr>
          <w:rFonts w:hint="default"/>
          <w:color w:val="auto"/>
          <w:highlight w:val="none"/>
          <w:lang w:val="en-US" w:eastAsia="zh-CN"/>
        </w:rPr>
      </w:pPr>
      <w:r>
        <w:rPr>
          <w:rFonts w:hint="eastAsia"/>
          <w:color w:val="auto"/>
          <w:highlight w:val="none"/>
          <w:lang w:val="en-US" w:eastAsia="zh-CN"/>
        </w:rPr>
        <w:t>附件9：《广州安居住房置业有限公司工程预算编审指引（试行）》（另册）</w:t>
      </w:r>
      <w:r>
        <w:rPr>
          <w:color w:val="auto"/>
          <w:highlight w:val="none"/>
        </w:rPr>
        <w:tab/>
      </w:r>
      <w:r>
        <w:rPr>
          <w:rFonts w:hint="eastAsia"/>
          <w:color w:val="auto"/>
          <w:highlight w:val="none"/>
        </w:rPr>
        <w:t>1</w:t>
      </w:r>
      <w:r>
        <w:rPr>
          <w:rFonts w:hint="eastAsia"/>
          <w:color w:val="auto"/>
          <w:highlight w:val="none"/>
          <w:lang w:val="en-US" w:eastAsia="zh-CN"/>
        </w:rPr>
        <w:t>08</w:t>
      </w:r>
    </w:p>
    <w:p w14:paraId="69160654">
      <w:pPr>
        <w:pStyle w:val="148"/>
        <w:tabs>
          <w:tab w:val="right" w:leader="dot" w:pos="9411"/>
        </w:tabs>
        <w:ind w:firstLine="400" w:firstLineChars="200"/>
        <w:rPr>
          <w:rFonts w:hint="default"/>
          <w:color w:val="auto"/>
          <w:highlight w:val="none"/>
          <w:lang w:val="en-US" w:eastAsia="zh-CN"/>
        </w:rPr>
      </w:pPr>
      <w:r>
        <w:rPr>
          <w:rFonts w:hint="eastAsia"/>
          <w:color w:val="auto"/>
          <w:highlight w:val="none"/>
          <w:lang w:val="en-US" w:eastAsia="zh-CN"/>
        </w:rPr>
        <w:t>附件10：《广州安居住房置业有限公司工程结算编审指引（试行）》（另册）</w:t>
      </w:r>
      <w:r>
        <w:rPr>
          <w:color w:val="auto"/>
          <w:highlight w:val="none"/>
        </w:rPr>
        <w:tab/>
      </w:r>
      <w:r>
        <w:rPr>
          <w:rFonts w:hint="eastAsia"/>
          <w:color w:val="auto"/>
          <w:highlight w:val="none"/>
        </w:rPr>
        <w:t>1</w:t>
      </w:r>
      <w:r>
        <w:rPr>
          <w:rFonts w:hint="eastAsia"/>
          <w:color w:val="auto"/>
          <w:highlight w:val="none"/>
          <w:lang w:val="en-US" w:eastAsia="zh-CN"/>
        </w:rPr>
        <w:t>09</w:t>
      </w:r>
    </w:p>
    <w:p w14:paraId="70C65079">
      <w:pPr>
        <w:pStyle w:val="148"/>
        <w:tabs>
          <w:tab w:val="right" w:leader="dot" w:pos="9411"/>
        </w:tabs>
        <w:ind w:firstLine="40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附件</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：承包人法定代表人、项目负责人的身份证、职务、职称及通</w:t>
      </w:r>
      <w:r>
        <w:rPr>
          <w:rFonts w:hint="eastAsia" w:ascii="宋体" w:hAnsi="宋体" w:cs="宋体"/>
          <w:color w:val="auto"/>
          <w:szCs w:val="24"/>
          <w:highlight w:val="none"/>
          <w:lang w:eastAsia="zh-CN"/>
        </w:rPr>
        <w:t>迅</w:t>
      </w:r>
      <w:r>
        <w:rPr>
          <w:rFonts w:hint="eastAsia" w:ascii="宋体" w:hAnsi="宋体" w:cs="宋体"/>
          <w:color w:val="auto"/>
          <w:szCs w:val="24"/>
          <w:highlight w:val="none"/>
        </w:rPr>
        <w:t>联系方式</w:t>
      </w:r>
      <w:r>
        <w:rPr>
          <w:color w:val="auto"/>
          <w:highlight w:val="none"/>
        </w:rPr>
        <w:tab/>
      </w:r>
      <w:r>
        <w:rPr>
          <w:rFonts w:hint="eastAsia"/>
          <w:color w:val="auto"/>
          <w:highlight w:val="none"/>
        </w:rPr>
        <w:t>1</w:t>
      </w:r>
      <w:r>
        <w:rPr>
          <w:rFonts w:hint="eastAsia"/>
          <w:color w:val="auto"/>
          <w:highlight w:val="none"/>
          <w:lang w:val="en-US" w:eastAsia="zh-CN"/>
        </w:rPr>
        <w:t>10</w:t>
      </w:r>
    </w:p>
    <w:p w14:paraId="24C42221">
      <w:pPr>
        <w:pStyle w:val="148"/>
        <w:tabs>
          <w:tab w:val="right" w:leader="dot" w:pos="9411"/>
        </w:tabs>
        <w:ind w:firstLine="400" w:firstLineChars="200"/>
        <w:rPr>
          <w:rFonts w:hint="eastAsia"/>
          <w:color w:val="auto"/>
          <w:highlight w:val="none"/>
          <w:lang w:val="en-US" w:eastAsia="zh-CN"/>
        </w:rPr>
      </w:pPr>
      <w:r>
        <w:rPr>
          <w:rFonts w:hint="eastAsia" w:ascii="宋体" w:hAnsi="宋体" w:cs="宋体"/>
          <w:color w:val="auto"/>
          <w:szCs w:val="24"/>
          <w:highlight w:val="none"/>
        </w:rPr>
        <w:t>附件</w:t>
      </w:r>
      <w:r>
        <w:rPr>
          <w:rFonts w:hint="eastAsia" w:ascii="宋体" w:hAnsi="宋体" w:cs="宋体"/>
          <w:color w:val="auto"/>
          <w:szCs w:val="24"/>
          <w:highlight w:val="none"/>
          <w:lang w:val="en-US" w:eastAsia="zh-CN"/>
        </w:rPr>
        <w:t>12</w:t>
      </w:r>
      <w:r>
        <w:rPr>
          <w:rFonts w:hint="eastAsia" w:ascii="宋体" w:hAnsi="宋体" w:cs="宋体"/>
          <w:color w:val="auto"/>
          <w:szCs w:val="24"/>
          <w:highlight w:val="none"/>
        </w:rPr>
        <w:t>：</w:t>
      </w:r>
      <w:r>
        <w:rPr>
          <w:color w:val="auto"/>
          <w:highlight w:val="none"/>
        </w:rPr>
        <w:fldChar w:fldCharType="begin"/>
      </w:r>
      <w:r>
        <w:rPr>
          <w:color w:val="auto"/>
          <w:highlight w:val="none"/>
        </w:rPr>
        <w:instrText xml:space="preserve"> HYPERLINK \l "_Toc18570" </w:instrText>
      </w:r>
      <w:r>
        <w:rPr>
          <w:color w:val="auto"/>
          <w:highlight w:val="none"/>
        </w:rPr>
        <w:fldChar w:fldCharType="separate"/>
      </w:r>
      <w:r>
        <w:rPr>
          <w:rFonts w:hint="eastAsia" w:ascii="宋体" w:hAnsi="宋体" w:cs="宋体"/>
          <w:color w:val="auto"/>
          <w:szCs w:val="24"/>
          <w:highlight w:val="none"/>
        </w:rPr>
        <w:t>主要材料设备品牌推荐表（参照或相当于）</w:t>
      </w:r>
      <w:r>
        <w:rPr>
          <w:rFonts w:hint="eastAsia" w:ascii="宋体" w:hAnsi="宋体" w:cs="宋体"/>
          <w:color w:val="auto"/>
          <w:szCs w:val="32"/>
          <w:highlight w:val="none"/>
          <w:lang w:eastAsia="zh-CN"/>
        </w:rPr>
        <w:t>（另册）</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11</w:t>
      </w:r>
    </w:p>
    <w:p w14:paraId="2758C075">
      <w:pPr>
        <w:pStyle w:val="148"/>
        <w:tabs>
          <w:tab w:val="right" w:leader="dot" w:pos="9411"/>
        </w:tabs>
        <w:ind w:firstLine="400" w:firstLineChars="200"/>
        <w:rPr>
          <w:rFonts w:hint="eastAsia"/>
          <w:color w:val="auto"/>
          <w:highlight w:val="none"/>
          <w:lang w:val="en-US" w:eastAsia="zh-CN"/>
        </w:rPr>
      </w:pPr>
    </w:p>
    <w:p w14:paraId="4ABD8064">
      <w:pPr>
        <w:widowControl/>
        <w:jc w:val="left"/>
        <w:rPr>
          <w:rFonts w:ascii="宋体" w:hAnsi="宋体" w:cs="宋体"/>
          <w:b/>
          <w:color w:val="auto"/>
          <w:sz w:val="32"/>
          <w:szCs w:val="32"/>
          <w:highlight w:val="none"/>
        </w:rPr>
      </w:pPr>
      <w:r>
        <w:rPr>
          <w:rFonts w:hint="eastAsia" w:ascii="宋体" w:hAnsi="宋体" w:cs="宋体"/>
          <w:b/>
          <w:color w:val="auto"/>
          <w:szCs w:val="32"/>
          <w:highlight w:val="none"/>
        </w:rPr>
        <w:fldChar w:fldCharType="end"/>
      </w:r>
    </w:p>
    <w:p w14:paraId="125E4891">
      <w:pPr>
        <w:adjustRightInd w:val="0"/>
        <w:snapToGrid w:val="0"/>
        <w:spacing w:line="360" w:lineRule="auto"/>
        <w:ind w:firstLine="482"/>
        <w:jc w:val="center"/>
        <w:outlineLvl w:val="0"/>
        <w:rPr>
          <w:rFonts w:ascii="宋体" w:hAnsi="宋体" w:cs="宋体"/>
          <w:b/>
          <w:color w:val="auto"/>
          <w:sz w:val="32"/>
          <w:szCs w:val="32"/>
          <w:highlight w:val="none"/>
        </w:rPr>
      </w:pPr>
      <w:bookmarkStart w:id="2" w:name="_Toc25845"/>
    </w:p>
    <w:p w14:paraId="6CCC25C2">
      <w:pPr>
        <w:adjustRightInd w:val="0"/>
        <w:snapToGrid w:val="0"/>
        <w:spacing w:line="360" w:lineRule="auto"/>
        <w:ind w:firstLine="482"/>
        <w:jc w:val="center"/>
        <w:outlineLvl w:val="0"/>
        <w:rPr>
          <w:rFonts w:ascii="宋体" w:hAnsi="宋体" w:cs="宋体"/>
          <w:b/>
          <w:color w:val="auto"/>
          <w:sz w:val="32"/>
          <w:szCs w:val="32"/>
          <w:highlight w:val="none"/>
        </w:rPr>
        <w:sectPr>
          <w:footerReference r:id="rId6" w:type="default"/>
          <w:pgSz w:w="11905" w:h="16838"/>
          <w:pgMar w:top="1247" w:right="1247" w:bottom="1247" w:left="1247" w:header="567" w:footer="850" w:gutter="0"/>
          <w:pgNumType w:start="1"/>
          <w:cols w:space="720" w:num="1"/>
          <w:docGrid w:type="lines" w:linePitch="312" w:charSpace="0"/>
        </w:sectPr>
      </w:pPr>
    </w:p>
    <w:p w14:paraId="2B4B9EBA">
      <w:pPr>
        <w:adjustRightInd w:val="0"/>
        <w:snapToGrid w:val="0"/>
        <w:spacing w:line="360" w:lineRule="auto"/>
        <w:ind w:firstLine="482"/>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第一部分   协议书</w:t>
      </w:r>
      <w:bookmarkEnd w:id="2"/>
    </w:p>
    <w:p w14:paraId="7A802701">
      <w:pPr>
        <w:adjustRightInd w:val="0"/>
        <w:snapToGrid w:val="0"/>
        <w:spacing w:line="360" w:lineRule="auto"/>
        <w:ind w:firstLine="482"/>
        <w:rPr>
          <w:rFonts w:ascii="宋体" w:hAnsi="宋体" w:cs="宋体"/>
          <w:b/>
          <w:color w:val="auto"/>
          <w:sz w:val="24"/>
          <w:highlight w:val="none"/>
        </w:rPr>
      </w:pPr>
    </w:p>
    <w:p w14:paraId="64ED6C8E">
      <w:pPr>
        <w:adjustRightInd w:val="0"/>
        <w:snapToGrid w:val="0"/>
        <w:spacing w:line="360" w:lineRule="auto"/>
        <w:ind w:firstLine="482" w:firstLineChars="200"/>
        <w:outlineLvl w:val="1"/>
        <w:rPr>
          <w:rFonts w:hint="eastAsia" w:ascii="宋体" w:hAnsi="宋体" w:eastAsia="宋体" w:cs="宋体"/>
          <w:color w:val="auto"/>
          <w:sz w:val="24"/>
          <w:highlight w:val="none"/>
          <w:u w:val="single"/>
          <w:lang w:val="en-US" w:eastAsia="zh-CN"/>
        </w:rPr>
      </w:pPr>
      <w:bookmarkStart w:id="3" w:name="_Toc5730"/>
      <w:r>
        <w:rPr>
          <w:rFonts w:hint="eastAsia" w:ascii="宋体" w:hAnsi="宋体" w:cs="宋体"/>
          <w:b/>
          <w:color w:val="auto"/>
          <w:sz w:val="24"/>
          <w:highlight w:val="none"/>
        </w:rPr>
        <w:t>发包人：</w:t>
      </w:r>
      <w:r>
        <w:rPr>
          <w:rFonts w:hint="eastAsia" w:ascii="宋体" w:hAnsi="宋体" w:eastAsia="宋体" w:cs="宋体"/>
          <w:b w:val="0"/>
          <w:bCs w:val="0"/>
          <w:color w:val="auto"/>
          <w:sz w:val="24"/>
          <w:szCs w:val="24"/>
          <w:highlight w:val="none"/>
          <w:u w:val="single"/>
          <w:lang w:eastAsia="zh-CN"/>
        </w:rPr>
        <w:t>广州珠江住房租赁发展投资有限公司</w:t>
      </w:r>
      <w:bookmarkEnd w:id="3"/>
    </w:p>
    <w:p w14:paraId="7D714094">
      <w:pPr>
        <w:adjustRightInd w:val="0"/>
        <w:snapToGrid w:val="0"/>
        <w:spacing w:line="360" w:lineRule="auto"/>
        <w:ind w:left="963" w:leftChars="229" w:hanging="482" w:hangingChars="200"/>
        <w:rPr>
          <w:rFonts w:hint="eastAsia" w:ascii="宋体" w:hAnsi="宋体" w:cs="宋体"/>
          <w:color w:val="auto"/>
          <w:sz w:val="24"/>
          <w:highlight w:val="none"/>
          <w:u w:val="single"/>
          <w:lang w:val="en-US" w:eastAsia="zh-CN"/>
        </w:rPr>
      </w:pPr>
      <w:r>
        <w:rPr>
          <w:rFonts w:hint="eastAsia" w:ascii="宋体" w:hAnsi="宋体" w:cs="宋体"/>
          <w:b/>
          <w:color w:val="auto"/>
          <w:sz w:val="24"/>
          <w:highlight w:val="none"/>
        </w:rPr>
        <w:t>承包人：</w:t>
      </w:r>
      <w:r>
        <w:rPr>
          <w:rFonts w:hint="eastAsia" w:ascii="宋体" w:hAnsi="宋体" w:cs="宋体"/>
          <w:color w:val="auto"/>
          <w:sz w:val="24"/>
          <w:highlight w:val="none"/>
          <w:u w:val="single"/>
        </w:rPr>
        <w:t>（主）</w:t>
      </w:r>
      <w:r>
        <w:rPr>
          <w:rFonts w:hint="eastAsia" w:ascii="宋体" w:hAnsi="宋体" w:cs="宋体"/>
          <w:color w:val="auto"/>
          <w:sz w:val="24"/>
          <w:highlight w:val="none"/>
          <w:u w:val="single"/>
          <w:lang w:val="en-US" w:eastAsia="zh-CN"/>
        </w:rPr>
        <w:t xml:space="preserve">                            </w:t>
      </w:r>
    </w:p>
    <w:p w14:paraId="1CDF15E0">
      <w:pPr>
        <w:pStyle w:val="2"/>
        <w:ind w:firstLine="1440" w:firstLineChars="6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rPr>
        <w:t>（成）</w:t>
      </w:r>
      <w:r>
        <w:rPr>
          <w:rFonts w:hint="eastAsia" w:ascii="宋体" w:hAnsi="宋体" w:cs="宋体"/>
          <w:color w:val="auto"/>
          <w:sz w:val="24"/>
          <w:highlight w:val="none"/>
          <w:u w:val="single"/>
          <w:lang w:val="en-US" w:eastAsia="zh-CN"/>
        </w:rPr>
        <w:t xml:space="preserve">                            </w:t>
      </w:r>
    </w:p>
    <w:p w14:paraId="34A68CD3">
      <w:pPr>
        <w:pStyle w:val="2"/>
        <w:ind w:firstLine="960" w:firstLineChars="400"/>
        <w:rPr>
          <w:rFonts w:hint="eastAsia" w:ascii="宋体" w:hAnsi="宋体" w:cs="宋体"/>
          <w:color w:val="auto"/>
          <w:sz w:val="24"/>
          <w:highlight w:val="none"/>
          <w:u w:val="single"/>
          <w:lang w:val="en-US" w:eastAsia="zh-CN"/>
        </w:rPr>
      </w:pPr>
    </w:p>
    <w:p w14:paraId="237212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依照《中华人民共和国民法典》、《中华人民共和国建筑法》、《中华人民共和国招标投标法》及其它有关法律、行政法规，遵循平等、自愿、公平和诚实信用的原则，发包人、承包人就</w:t>
      </w:r>
      <w:r>
        <w:rPr>
          <w:rFonts w:hint="eastAsia" w:ascii="宋体" w:hAnsi="宋体" w:eastAsia="宋体" w:cs="宋体"/>
          <w:b w:val="0"/>
          <w:bCs w:val="0"/>
          <w:color w:val="auto"/>
          <w:sz w:val="24"/>
          <w:szCs w:val="24"/>
          <w:highlight w:val="none"/>
          <w:u w:val="single"/>
        </w:rPr>
        <w:t>芳村花园消防设施设备维修</w:t>
      </w:r>
      <w:r>
        <w:rPr>
          <w:rFonts w:hint="eastAsia" w:ascii="宋体" w:hAnsi="宋体" w:eastAsia="宋体" w:cs="宋体"/>
          <w:b w:val="0"/>
          <w:bCs w:val="0"/>
          <w:color w:val="auto"/>
          <w:sz w:val="24"/>
          <w:szCs w:val="24"/>
          <w:highlight w:val="none"/>
          <w:u w:val="single"/>
          <w:lang w:eastAsia="zh-CN"/>
        </w:rPr>
        <w:t>更换</w:t>
      </w:r>
      <w:r>
        <w:rPr>
          <w:rFonts w:hint="eastAsia" w:ascii="宋体" w:hAnsi="宋体" w:eastAsia="宋体" w:cs="宋体"/>
          <w:color w:val="auto"/>
          <w:sz w:val="24"/>
          <w:szCs w:val="24"/>
          <w:highlight w:val="none"/>
          <w:u w:val="single"/>
        </w:rPr>
        <w:t>项目</w:t>
      </w:r>
      <w:r>
        <w:rPr>
          <w:rFonts w:hint="eastAsia" w:ascii="宋体" w:hAnsi="宋体" w:cs="宋体"/>
          <w:color w:val="auto"/>
          <w:sz w:val="24"/>
          <w:highlight w:val="none"/>
          <w:u w:val="single"/>
        </w:rPr>
        <w:t>（</w:t>
      </w:r>
      <w:r>
        <w:rPr>
          <w:rFonts w:hint="eastAsia" w:ascii="宋体" w:hAnsi="宋体" w:cs="宋体"/>
          <w:color w:val="auto"/>
          <w:sz w:val="24"/>
          <w:highlight w:val="none"/>
        </w:rPr>
        <w:t>以下简称本工程）事宜协商一致，订立本合同。</w:t>
      </w:r>
    </w:p>
    <w:p w14:paraId="3E8A9759">
      <w:pPr>
        <w:adjustRightInd w:val="0"/>
        <w:snapToGrid w:val="0"/>
        <w:spacing w:line="360" w:lineRule="auto"/>
        <w:ind w:firstLine="482" w:firstLineChars="200"/>
        <w:outlineLvl w:val="1"/>
        <w:rPr>
          <w:rFonts w:ascii="宋体" w:hAnsi="宋体" w:cs="宋体"/>
          <w:b/>
          <w:color w:val="auto"/>
          <w:sz w:val="24"/>
          <w:highlight w:val="none"/>
        </w:rPr>
      </w:pPr>
      <w:bookmarkStart w:id="4" w:name="_Toc18398"/>
      <w:r>
        <w:rPr>
          <w:rFonts w:hint="eastAsia" w:ascii="宋体" w:hAnsi="宋体" w:cs="宋体"/>
          <w:b/>
          <w:color w:val="auto"/>
          <w:sz w:val="24"/>
          <w:highlight w:val="none"/>
        </w:rPr>
        <w:t>一、工程概况</w:t>
      </w:r>
      <w:bookmarkEnd w:id="4"/>
    </w:p>
    <w:p w14:paraId="6BB39794">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1.1工程名称：</w:t>
      </w:r>
      <w:r>
        <w:rPr>
          <w:rFonts w:hint="eastAsia" w:ascii="宋体" w:hAnsi="宋体" w:eastAsia="宋体" w:cs="宋体"/>
          <w:b w:val="0"/>
          <w:bCs w:val="0"/>
          <w:color w:val="auto"/>
          <w:sz w:val="24"/>
          <w:szCs w:val="24"/>
          <w:highlight w:val="none"/>
          <w:u w:val="single"/>
        </w:rPr>
        <w:t>芳村花园消防设施设备维修</w:t>
      </w:r>
      <w:r>
        <w:rPr>
          <w:rFonts w:hint="eastAsia" w:ascii="宋体" w:hAnsi="宋体" w:eastAsia="宋体" w:cs="宋体"/>
          <w:b w:val="0"/>
          <w:bCs w:val="0"/>
          <w:color w:val="auto"/>
          <w:sz w:val="24"/>
          <w:szCs w:val="24"/>
          <w:highlight w:val="none"/>
          <w:u w:val="single"/>
          <w:lang w:eastAsia="zh-CN"/>
        </w:rPr>
        <w:t>更换</w:t>
      </w:r>
      <w:r>
        <w:rPr>
          <w:rFonts w:hint="eastAsia" w:ascii="宋体" w:hAnsi="宋体" w:eastAsia="宋体" w:cs="宋体"/>
          <w:color w:val="auto"/>
          <w:sz w:val="24"/>
          <w:szCs w:val="24"/>
          <w:highlight w:val="none"/>
          <w:u w:val="single"/>
        </w:rPr>
        <w:t>项目设计</w:t>
      </w:r>
      <w:r>
        <w:rPr>
          <w:rFonts w:hint="eastAsia" w:ascii="宋体" w:hAnsi="宋体" w:cs="宋体"/>
          <w:color w:val="auto"/>
          <w:sz w:val="24"/>
          <w:szCs w:val="24"/>
          <w:highlight w:val="none"/>
          <w:u w:val="single"/>
        </w:rPr>
        <w:t>施工总承包</w:t>
      </w:r>
    </w:p>
    <w:p w14:paraId="78E2B813">
      <w:pPr>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1.2工程地点：</w:t>
      </w:r>
      <w:r>
        <w:rPr>
          <w:rFonts w:hint="eastAsia" w:ascii="宋体" w:hAnsi="宋体" w:eastAsia="宋体" w:cs="宋体"/>
          <w:color w:val="auto"/>
          <w:sz w:val="24"/>
          <w:szCs w:val="24"/>
          <w:highlight w:val="none"/>
          <w:u w:val="single"/>
          <w:lang w:eastAsia="zh-CN"/>
        </w:rPr>
        <w:t>广州市荔湾区东漖街道芳村花园</w:t>
      </w:r>
      <w:r>
        <w:rPr>
          <w:rFonts w:hint="eastAsia" w:ascii="宋体" w:hAnsi="宋体" w:cs="宋体"/>
          <w:color w:val="auto"/>
          <w:sz w:val="24"/>
          <w:highlight w:val="none"/>
        </w:rPr>
        <w:t>。</w:t>
      </w:r>
    </w:p>
    <w:p w14:paraId="13D4E3B4">
      <w:pPr>
        <w:adjustRightInd w:val="0"/>
        <w:snapToGrid w:val="0"/>
        <w:spacing w:line="360" w:lineRule="auto"/>
        <w:ind w:firstLine="482" w:firstLineChars="200"/>
        <w:jc w:val="left"/>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rPr>
        <w:t>1.3工程立项、批准文号：</w:t>
      </w:r>
      <w:r>
        <w:rPr>
          <w:rFonts w:hint="eastAsia" w:ascii="宋体" w:hAnsi="宋体" w:cs="宋体"/>
          <w:color w:val="auto"/>
          <w:spacing w:val="-6"/>
          <w:sz w:val="24"/>
          <w:highlight w:val="none"/>
          <w:u w:val="single"/>
          <w:lang w:val="en-US" w:eastAsia="zh-CN"/>
        </w:rPr>
        <w:t xml:space="preserve">    /          </w:t>
      </w:r>
    </w:p>
    <w:p w14:paraId="46D48E99">
      <w:pPr>
        <w:adjustRightInd w:val="0"/>
        <w:snapToGrid w:val="0"/>
        <w:spacing w:line="360" w:lineRule="auto"/>
        <w:ind w:firstLine="482" w:firstLineChars="200"/>
        <w:rPr>
          <w:rFonts w:hint="eastAsia" w:ascii="宋体" w:hAnsi="宋体" w:cs="宋体"/>
          <w:color w:val="auto"/>
          <w:sz w:val="24"/>
          <w:highlight w:val="none"/>
          <w:u w:val="single"/>
        </w:rPr>
      </w:pPr>
      <w:r>
        <w:rPr>
          <w:rFonts w:hint="eastAsia" w:ascii="宋体" w:hAnsi="宋体" w:cs="宋体"/>
          <w:b/>
          <w:color w:val="auto"/>
          <w:sz w:val="24"/>
          <w:highlight w:val="none"/>
        </w:rPr>
        <w:t>1.4资金来源：</w:t>
      </w:r>
      <w:r>
        <w:rPr>
          <w:rFonts w:hint="eastAsia" w:ascii="宋体" w:hAnsi="宋体" w:eastAsia="宋体" w:cs="宋体"/>
          <w:color w:val="auto"/>
          <w:sz w:val="24"/>
          <w:szCs w:val="24"/>
          <w:highlight w:val="none"/>
          <w:u w:val="single"/>
        </w:rPr>
        <w:t>芳村花园单位住房维修基金</w:t>
      </w:r>
    </w:p>
    <w:p w14:paraId="1564039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1.5项目规模</w:t>
      </w:r>
      <w:r>
        <w:rPr>
          <w:rFonts w:hint="eastAsia" w:ascii="宋体" w:hAnsi="宋体" w:cs="宋体"/>
          <w:color w:val="auto"/>
          <w:sz w:val="24"/>
          <w:highlight w:val="none"/>
        </w:rPr>
        <w:t>：</w:t>
      </w:r>
    </w:p>
    <w:p w14:paraId="119FF34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本项目位于</w:t>
      </w:r>
      <w:r>
        <w:rPr>
          <w:rFonts w:hint="eastAsia" w:ascii="宋体" w:hAnsi="宋体" w:cs="宋体"/>
          <w:color w:val="auto"/>
          <w:kern w:val="0"/>
          <w:sz w:val="24"/>
          <w:highlight w:val="none"/>
          <w:lang w:eastAsia="zh-CN"/>
        </w:rPr>
        <w:t>广州市荔湾区龙溪大道</w:t>
      </w:r>
      <w:r>
        <w:rPr>
          <w:rFonts w:hint="eastAsia" w:ascii="宋体" w:hAnsi="宋体" w:cs="宋体"/>
          <w:color w:val="auto"/>
          <w:sz w:val="24"/>
          <w:highlight w:val="none"/>
        </w:rPr>
        <w:t>，</w:t>
      </w:r>
      <w:r>
        <w:rPr>
          <w:rFonts w:hint="eastAsia" w:ascii="宋体" w:hAnsi="宋体" w:eastAsia="宋体" w:cs="宋体"/>
          <w:color w:val="auto"/>
          <w:kern w:val="0"/>
          <w:sz w:val="24"/>
          <w:szCs w:val="24"/>
          <w:highlight w:val="none"/>
          <w:lang w:eastAsia="zh-CN"/>
        </w:rPr>
        <w:t>住宅楼及配套建筑共21栋，总建筑面积约41.68万平方米。</w:t>
      </w:r>
    </w:p>
    <w:p w14:paraId="34FE2F76">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该小区消防系统老旧、缺少日常有效维护，部分</w:t>
      </w:r>
      <w:r>
        <w:rPr>
          <w:rFonts w:hint="eastAsia" w:ascii="宋体" w:hAnsi="宋体" w:eastAsia="宋体" w:cs="宋体"/>
          <w:color w:val="auto"/>
          <w:kern w:val="0"/>
          <w:sz w:val="24"/>
          <w:szCs w:val="24"/>
          <w:highlight w:val="none"/>
        </w:rPr>
        <w:t>应急灯、疏散指示灯、消防水带、消防门、弱电房门</w:t>
      </w:r>
      <w:r>
        <w:rPr>
          <w:rFonts w:hint="eastAsia" w:ascii="宋体" w:hAnsi="宋体" w:cs="宋体"/>
          <w:color w:val="auto"/>
          <w:kern w:val="0"/>
          <w:sz w:val="24"/>
          <w:highlight w:val="none"/>
          <w:lang w:eastAsia="zh-CN"/>
        </w:rPr>
        <w:t>等</w:t>
      </w:r>
      <w:r>
        <w:rPr>
          <w:rFonts w:hint="eastAsia" w:ascii="宋体" w:hAnsi="宋体" w:cs="宋体"/>
          <w:color w:val="auto"/>
          <w:sz w:val="24"/>
          <w:highlight w:val="none"/>
        </w:rPr>
        <w:t>设施设备失去了原有的使用功能，</w:t>
      </w:r>
      <w:r>
        <w:rPr>
          <w:rFonts w:hint="eastAsia" w:ascii="宋体" w:hAnsi="宋体" w:cs="宋体"/>
          <w:color w:val="auto"/>
          <w:kern w:val="0"/>
          <w:sz w:val="24"/>
          <w:highlight w:val="none"/>
          <w:lang w:eastAsia="zh-CN"/>
        </w:rPr>
        <w:t>还存在</w:t>
      </w:r>
      <w:r>
        <w:rPr>
          <w:rFonts w:hint="eastAsia" w:ascii="宋体" w:hAnsi="宋体" w:eastAsia="宋体" w:cs="宋体"/>
          <w:color w:val="auto"/>
          <w:kern w:val="0"/>
          <w:sz w:val="24"/>
          <w:szCs w:val="24"/>
          <w:highlight w:val="none"/>
        </w:rPr>
        <w:t>室内消火栓把手损坏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楼层缺少灭火器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消防喷淋、消火栓系统无法远程联动启动，大量消防设施设备需</w:t>
      </w:r>
      <w:r>
        <w:rPr>
          <w:rFonts w:hint="eastAsia" w:ascii="宋体" w:hAnsi="宋体" w:cs="宋体"/>
          <w:color w:val="auto"/>
          <w:kern w:val="0"/>
          <w:sz w:val="24"/>
          <w:szCs w:val="24"/>
          <w:highlight w:val="none"/>
          <w:lang w:eastAsia="zh-CN"/>
        </w:rPr>
        <w:t>维修</w:t>
      </w:r>
      <w:r>
        <w:rPr>
          <w:rFonts w:hint="eastAsia" w:ascii="宋体" w:hAnsi="宋体" w:eastAsia="宋体" w:cs="宋体"/>
          <w:color w:val="auto"/>
          <w:kern w:val="0"/>
          <w:sz w:val="24"/>
          <w:szCs w:val="24"/>
          <w:highlight w:val="none"/>
        </w:rPr>
        <w:t>更换</w:t>
      </w:r>
      <w:r>
        <w:rPr>
          <w:rFonts w:hint="eastAsia" w:ascii="宋体" w:hAnsi="宋体" w:eastAsia="宋体" w:cs="宋体"/>
          <w:color w:val="auto"/>
          <w:kern w:val="0"/>
          <w:sz w:val="24"/>
          <w:szCs w:val="24"/>
          <w:highlight w:val="none"/>
          <w:lang w:eastAsia="zh-CN"/>
        </w:rPr>
        <w:t>等情况，</w:t>
      </w:r>
      <w:r>
        <w:rPr>
          <w:rFonts w:hint="eastAsia" w:ascii="宋体" w:hAnsi="宋体" w:cs="宋体"/>
          <w:color w:val="auto"/>
          <w:sz w:val="24"/>
          <w:highlight w:val="none"/>
        </w:rPr>
        <w:t>为确保小区内住户人身及财产等的安全，拟对小区内消防</w:t>
      </w:r>
      <w:r>
        <w:rPr>
          <w:rFonts w:hint="eastAsia" w:ascii="宋体" w:hAnsi="宋体" w:cs="宋体"/>
          <w:color w:val="auto"/>
          <w:kern w:val="0"/>
          <w:sz w:val="24"/>
          <w:highlight w:val="none"/>
          <w:lang w:eastAsia="zh-CN"/>
        </w:rPr>
        <w:t>设施设备</w:t>
      </w:r>
      <w:r>
        <w:rPr>
          <w:rFonts w:hint="eastAsia" w:ascii="宋体" w:hAnsi="宋体" w:cs="宋体"/>
          <w:color w:val="auto"/>
          <w:sz w:val="24"/>
          <w:highlight w:val="none"/>
        </w:rPr>
        <w:t>进行维修</w:t>
      </w:r>
      <w:r>
        <w:rPr>
          <w:rFonts w:hint="eastAsia" w:ascii="宋体" w:hAnsi="宋体" w:cs="宋体"/>
          <w:color w:val="auto"/>
          <w:kern w:val="0"/>
          <w:sz w:val="24"/>
          <w:highlight w:val="none"/>
          <w:lang w:eastAsia="zh-CN"/>
        </w:rPr>
        <w:t>更换</w:t>
      </w:r>
      <w:r>
        <w:rPr>
          <w:rFonts w:hint="eastAsia" w:ascii="宋体" w:hAnsi="宋体" w:cs="宋体"/>
          <w:color w:val="auto"/>
          <w:sz w:val="24"/>
          <w:highlight w:val="none"/>
        </w:rPr>
        <w:t>。需对原有的消防系</w:t>
      </w:r>
      <w:r>
        <w:rPr>
          <w:rFonts w:hint="eastAsia" w:ascii="宋体" w:hAnsi="宋体" w:cs="宋体"/>
          <w:color w:val="auto"/>
          <w:kern w:val="0"/>
          <w:sz w:val="24"/>
          <w:highlight w:val="none"/>
          <w:lang w:eastAsia="zh-CN"/>
        </w:rPr>
        <w:t>设施设备</w:t>
      </w:r>
      <w:r>
        <w:rPr>
          <w:rFonts w:hint="eastAsia" w:ascii="宋体" w:hAnsi="宋体" w:cs="宋体"/>
          <w:color w:val="auto"/>
          <w:sz w:val="24"/>
          <w:highlight w:val="none"/>
        </w:rPr>
        <w:t>行重新设计及施工，以满足日常使用要求及达到广东省消防安全委员会办公室关于《全省火灾隐患重点地区整治工作验收标准》的要求，使小区消防</w:t>
      </w:r>
      <w:r>
        <w:rPr>
          <w:rFonts w:hint="eastAsia" w:ascii="宋体" w:hAnsi="宋体" w:cs="宋体"/>
          <w:color w:val="auto"/>
          <w:kern w:val="0"/>
          <w:sz w:val="24"/>
          <w:highlight w:val="none"/>
          <w:lang w:eastAsia="zh-CN"/>
        </w:rPr>
        <w:t>设施设备</w:t>
      </w:r>
      <w:r>
        <w:rPr>
          <w:rFonts w:hint="eastAsia" w:ascii="宋体" w:hAnsi="宋体" w:cs="宋体"/>
          <w:color w:val="auto"/>
          <w:sz w:val="24"/>
          <w:highlight w:val="none"/>
        </w:rPr>
        <w:t>恢复正常功能。</w:t>
      </w:r>
    </w:p>
    <w:p w14:paraId="480A94A8">
      <w:pPr>
        <w:adjustRightInd w:val="0"/>
        <w:snapToGrid w:val="0"/>
        <w:spacing w:line="360" w:lineRule="auto"/>
        <w:ind w:firstLine="482" w:firstLineChars="200"/>
        <w:rPr>
          <w:rFonts w:ascii="宋体" w:hAnsi="宋体" w:cs="宋体"/>
          <w:color w:val="auto"/>
          <w:sz w:val="24"/>
          <w:highlight w:val="none"/>
          <w:u w:val="single"/>
        </w:rPr>
      </w:pPr>
      <w:r>
        <w:rPr>
          <w:rFonts w:hint="eastAsia" w:ascii="宋体" w:hAnsi="宋体" w:cs="宋体"/>
          <w:b/>
          <w:color w:val="auto"/>
          <w:sz w:val="24"/>
          <w:highlight w:val="none"/>
        </w:rPr>
        <w:t>1.6工程内容：</w:t>
      </w:r>
    </w:p>
    <w:p w14:paraId="642DC9E1">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eastAsia="宋体" w:cs="宋体"/>
          <w:b w:val="0"/>
          <w:bCs w:val="0"/>
          <w:color w:val="auto"/>
          <w:sz w:val="24"/>
          <w:szCs w:val="24"/>
          <w:highlight w:val="none"/>
          <w:u w:val="single"/>
        </w:rPr>
        <w:t>芳村花园消防设施设备维修</w:t>
      </w:r>
      <w:r>
        <w:rPr>
          <w:rFonts w:hint="eastAsia" w:ascii="宋体" w:hAnsi="宋体" w:eastAsia="宋体" w:cs="宋体"/>
          <w:b w:val="0"/>
          <w:bCs w:val="0"/>
          <w:color w:val="auto"/>
          <w:sz w:val="24"/>
          <w:szCs w:val="24"/>
          <w:highlight w:val="none"/>
          <w:u w:val="single"/>
          <w:lang w:eastAsia="zh-CN"/>
        </w:rPr>
        <w:t>更换</w:t>
      </w:r>
      <w:r>
        <w:rPr>
          <w:rFonts w:hint="eastAsia" w:ascii="宋体" w:hAnsi="宋体" w:cs="宋体"/>
          <w:color w:val="auto"/>
          <w:sz w:val="24"/>
          <w:highlight w:val="none"/>
          <w:u w:val="single"/>
        </w:rPr>
        <w:t>项目</w:t>
      </w:r>
      <w:r>
        <w:rPr>
          <w:rFonts w:hint="eastAsia" w:ascii="宋体" w:hAnsi="宋体" w:cs="宋体"/>
          <w:bCs/>
          <w:color w:val="auto"/>
          <w:sz w:val="24"/>
          <w:highlight w:val="none"/>
          <w:u w:val="single"/>
        </w:rPr>
        <w:t>包括</w:t>
      </w:r>
      <w:r>
        <w:rPr>
          <w:rFonts w:hint="eastAsia" w:ascii="宋体" w:hAnsi="宋体" w:cs="宋体"/>
          <w:bCs w:val="0"/>
          <w:color w:val="auto"/>
          <w:sz w:val="24"/>
          <w:highlight w:val="none"/>
          <w:u w:val="single"/>
        </w:rPr>
        <w:t>但不限于</w:t>
      </w:r>
      <w:r>
        <w:rPr>
          <w:rFonts w:hint="eastAsia" w:ascii="宋体" w:hAnsi="宋体" w:eastAsia="宋体" w:cs="宋体"/>
          <w:color w:val="auto"/>
          <w:kern w:val="2"/>
          <w:sz w:val="24"/>
          <w:szCs w:val="24"/>
          <w:highlight w:val="none"/>
          <w:u w:val="single"/>
          <w:lang w:eastAsia="zh-CN"/>
        </w:rPr>
        <w:t>火灾报警系统和联动控制系统、消防供水与消火栓系统、防烟排烟与安全疏散系统、气体灭火系统、消防防火门的维修或更换</w:t>
      </w:r>
      <w:r>
        <w:rPr>
          <w:rFonts w:hint="eastAsia" w:ascii="宋体" w:hAnsi="宋体" w:cs="宋体"/>
          <w:bCs w:val="0"/>
          <w:color w:val="auto"/>
          <w:sz w:val="24"/>
          <w:highlight w:val="none"/>
          <w:u w:val="single"/>
        </w:rPr>
        <w:t>，根据发包人提供的基础资料，结合项目现</w:t>
      </w:r>
      <w:r>
        <w:rPr>
          <w:rFonts w:hint="eastAsia" w:ascii="宋体" w:hAnsi="宋体" w:cs="宋体"/>
          <w:bCs/>
          <w:color w:val="auto"/>
          <w:sz w:val="24"/>
          <w:highlight w:val="none"/>
          <w:u w:val="single"/>
        </w:rPr>
        <w:t>场查勘情况，负责本项目设计及施工工作。其中设计工作包括但不限于方案设计、施工图设计、竣工图盖章确认等工作；施工部分包括按发包人确认的设计文件、合同约定完成本项目涉及建设内容的所有施工工作（包括施工图预算以及竣工结算编制工作）。确保工程质量满足国家、省、市现行有效规范的要求，满足</w:t>
      </w:r>
      <w:r>
        <w:rPr>
          <w:rFonts w:hint="eastAsia" w:ascii="宋体" w:hAnsi="宋体" w:cs="宋体"/>
          <w:color w:val="auto"/>
          <w:sz w:val="24"/>
          <w:highlight w:val="none"/>
          <w:u w:val="single"/>
        </w:rPr>
        <w:t>发包</w:t>
      </w:r>
      <w:r>
        <w:rPr>
          <w:rFonts w:hint="eastAsia" w:ascii="宋体" w:hAnsi="宋体" w:cs="宋体"/>
          <w:bCs/>
          <w:color w:val="auto"/>
          <w:sz w:val="24"/>
          <w:highlight w:val="none"/>
          <w:u w:val="single"/>
        </w:rPr>
        <w:t>人相关设计管理要求、施工进度及施工安全管理等要求。</w:t>
      </w:r>
      <w:r>
        <w:rPr>
          <w:rFonts w:hint="eastAsia" w:ascii="宋体" w:hAnsi="宋体" w:cs="宋体"/>
          <w:color w:val="auto"/>
          <w:sz w:val="24"/>
          <w:highlight w:val="none"/>
          <w:u w:val="single"/>
        </w:rPr>
        <w:t>具体经发包审核确认的方案、图纸、工程量清单及招标文件及本合同约定为准。</w:t>
      </w:r>
    </w:p>
    <w:p w14:paraId="0FD655A3">
      <w:pPr>
        <w:adjustRightInd w:val="0"/>
        <w:snapToGrid w:val="0"/>
        <w:spacing w:line="360" w:lineRule="auto"/>
        <w:ind w:firstLine="482" w:firstLineChars="200"/>
        <w:outlineLvl w:val="1"/>
        <w:rPr>
          <w:rFonts w:ascii="宋体" w:hAnsi="宋体" w:cs="宋体"/>
          <w:color w:val="auto"/>
          <w:sz w:val="24"/>
          <w:highlight w:val="none"/>
        </w:rPr>
      </w:pPr>
      <w:bookmarkStart w:id="5" w:name="_Toc23883"/>
      <w:r>
        <w:rPr>
          <w:rFonts w:hint="eastAsia" w:ascii="宋体" w:hAnsi="宋体" w:cs="宋体"/>
          <w:b/>
          <w:color w:val="auto"/>
          <w:sz w:val="24"/>
          <w:highlight w:val="none"/>
        </w:rPr>
        <w:t>二、工程承包范围及承包方式</w:t>
      </w:r>
      <w:bookmarkEnd w:id="5"/>
    </w:p>
    <w:p w14:paraId="45F16C9B">
      <w:pPr>
        <w:adjustRightInd w:val="0"/>
        <w:snapToGrid w:val="0"/>
        <w:spacing w:line="360" w:lineRule="auto"/>
        <w:ind w:left="587"/>
        <w:rPr>
          <w:rFonts w:ascii="宋体" w:hAnsi="宋体" w:cs="宋体"/>
          <w:color w:val="auto"/>
          <w:sz w:val="24"/>
          <w:highlight w:val="none"/>
          <w:u w:val="single"/>
        </w:rPr>
      </w:pPr>
      <w:r>
        <w:rPr>
          <w:rFonts w:hint="eastAsia" w:ascii="宋体" w:hAnsi="宋体" w:cs="宋体"/>
          <w:b/>
          <w:color w:val="auto"/>
          <w:sz w:val="24"/>
          <w:highlight w:val="none"/>
        </w:rPr>
        <w:t>2.1承包范围：</w:t>
      </w:r>
      <w:r>
        <w:rPr>
          <w:rFonts w:hint="eastAsia" w:ascii="宋体" w:hAnsi="宋体" w:cs="宋体"/>
          <w:color w:val="auto"/>
          <w:sz w:val="24"/>
          <w:highlight w:val="none"/>
          <w:u w:val="single"/>
        </w:rPr>
        <w:t>包括但不限于以下内容：</w:t>
      </w:r>
    </w:p>
    <w:p w14:paraId="62FF18D2">
      <w:pPr>
        <w:adjustRightInd w:val="0"/>
        <w:snapToGrid w:val="0"/>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2.1.1设计工作</w:t>
      </w:r>
    </w:p>
    <w:p w14:paraId="1B306888">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（1）负责</w:t>
      </w:r>
      <w:r>
        <w:rPr>
          <w:rFonts w:hint="eastAsia" w:ascii="宋体" w:hAnsi="宋体" w:eastAsia="宋体" w:cs="宋体"/>
          <w:b w:val="0"/>
          <w:bCs w:val="0"/>
          <w:color w:val="auto"/>
          <w:sz w:val="24"/>
          <w:szCs w:val="24"/>
          <w:highlight w:val="none"/>
          <w:u w:val="single"/>
        </w:rPr>
        <w:t>芳村花园消防设施设备维修</w:t>
      </w:r>
      <w:r>
        <w:rPr>
          <w:rFonts w:hint="eastAsia" w:ascii="宋体" w:hAnsi="宋体" w:eastAsia="宋体" w:cs="宋体"/>
          <w:b w:val="0"/>
          <w:bCs w:val="0"/>
          <w:color w:val="auto"/>
          <w:sz w:val="24"/>
          <w:szCs w:val="24"/>
          <w:highlight w:val="none"/>
          <w:u w:val="single"/>
          <w:lang w:eastAsia="zh-CN"/>
        </w:rPr>
        <w:t>更换</w:t>
      </w:r>
      <w:r>
        <w:rPr>
          <w:rFonts w:hint="eastAsia" w:ascii="宋体" w:hAnsi="宋体" w:cs="宋体"/>
          <w:color w:val="auto"/>
          <w:sz w:val="24"/>
          <w:highlight w:val="none"/>
          <w:u w:val="single"/>
        </w:rPr>
        <w:t>项目的设计工作，包含方案设计、施工图设计、施工过程中的方案优化及设计变更、竣工图审核及盖章、现场服务、各项设计协调服务、各专业报审报建报验、施工及验收过程的配合、配合上级部门审批相关工作等，包括但不限于</w:t>
      </w:r>
      <w:r>
        <w:rPr>
          <w:rFonts w:hint="eastAsia" w:ascii="宋体" w:hAnsi="宋体" w:eastAsia="宋体" w:cs="宋体"/>
          <w:color w:val="auto"/>
          <w:kern w:val="2"/>
          <w:sz w:val="24"/>
          <w:szCs w:val="24"/>
          <w:highlight w:val="none"/>
          <w:u w:val="single"/>
          <w:lang w:eastAsia="zh-CN"/>
        </w:rPr>
        <w:t>火灾报警系统和联动控制系统、消防供水与消火栓系统、防烟排烟与安全疏散系统、气体灭火系统</w:t>
      </w:r>
      <w:r>
        <w:rPr>
          <w:rFonts w:hint="eastAsia" w:ascii="宋体" w:hAnsi="宋体" w:cs="宋体"/>
          <w:color w:val="auto"/>
          <w:sz w:val="24"/>
          <w:highlight w:val="none"/>
          <w:u w:val="single"/>
        </w:rPr>
        <w:t>的设计工作，确保满足项目消防设施设备改造或修缮的要求，满足发包人相关设计管理要求，以及施工进度、施工安全要求。</w:t>
      </w:r>
    </w:p>
    <w:p w14:paraId="025BF0E0">
      <w:pPr>
        <w:widowControl/>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（2）设计工作具体内容</w:t>
      </w:r>
    </w:p>
    <w:p w14:paraId="1605165E">
      <w:pPr>
        <w:widowControl/>
        <w:adjustRightInd w:val="0"/>
        <w:snapToGrid w:val="0"/>
        <w:spacing w:line="360" w:lineRule="auto"/>
        <w:ind w:firstLine="480" w:firstLineChars="200"/>
        <w:rPr>
          <w:rFonts w:hint="eastAsia" w:ascii="宋体" w:hAnsi="宋体" w:cs="宋体"/>
          <w:color w:val="auto"/>
          <w:kern w:val="0"/>
          <w:sz w:val="24"/>
          <w:highlight w:val="none"/>
          <w:u w:val="none"/>
        </w:rPr>
      </w:pPr>
      <w:r>
        <w:rPr>
          <w:rFonts w:hint="eastAsia" w:ascii="宋体" w:hAnsi="宋体" w:cs="宋体"/>
          <w:color w:val="auto"/>
          <w:kern w:val="0"/>
          <w:sz w:val="24"/>
          <w:highlight w:val="none"/>
        </w:rPr>
        <w:t>组织进行设计现场查勘：根据小区物业管理单位提供的消防维保记录及竣工图纸，开展现场设计查勘工作，对</w:t>
      </w:r>
      <w:r>
        <w:rPr>
          <w:rFonts w:hint="eastAsia" w:ascii="宋体" w:hAnsi="宋体" w:eastAsia="宋体" w:cs="宋体"/>
          <w:color w:val="auto"/>
          <w:kern w:val="0"/>
          <w:sz w:val="24"/>
          <w:szCs w:val="24"/>
          <w:highlight w:val="none"/>
          <w:lang w:eastAsia="zh-CN"/>
        </w:rPr>
        <w:t>火灾报警系统和联动控制系统、消防供水与消火栓系统、防烟排烟与安全疏散系统、气体灭火系统及消防防火门</w:t>
      </w:r>
      <w:r>
        <w:rPr>
          <w:rFonts w:hint="eastAsia" w:ascii="宋体" w:hAnsi="宋体" w:cs="宋体"/>
          <w:color w:val="auto"/>
          <w:kern w:val="0"/>
          <w:sz w:val="24"/>
          <w:highlight w:val="none"/>
        </w:rPr>
        <w:t>的分布、设备设施的完好程度进行摸查复核，并形成设计勘察记录。</w:t>
      </w:r>
    </w:p>
    <w:p w14:paraId="451F5675">
      <w:pPr>
        <w:widowControl/>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szCs w:val="24"/>
          <w:highlight w:val="none"/>
          <w:u w:val="none"/>
          <w:lang w:val="en-US" w:eastAsia="zh-CN"/>
        </w:rPr>
        <w:t>设计成果要求</w:t>
      </w:r>
    </w:p>
    <w:p w14:paraId="762FBAB8">
      <w:pPr>
        <w:widowControl/>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eastAsia="宋体" w:cs="宋体"/>
          <w:color w:val="auto"/>
          <w:kern w:val="0"/>
          <w:sz w:val="24"/>
          <w:szCs w:val="24"/>
          <w:highlight w:val="none"/>
          <w:u w:val="none"/>
          <w:lang w:val="en-US"/>
        </w:rPr>
        <w:t>①</w:t>
      </w:r>
      <w:r>
        <w:rPr>
          <w:rFonts w:hint="eastAsia" w:ascii="宋体" w:hAnsi="宋体" w:cs="宋体"/>
          <w:color w:val="auto"/>
          <w:kern w:val="0"/>
          <w:sz w:val="24"/>
          <w:highlight w:val="none"/>
        </w:rPr>
        <w:t>根据设计现场查勘情况，结合原竣工图设计标准，</w:t>
      </w:r>
      <w:r>
        <w:rPr>
          <w:rFonts w:hint="eastAsia" w:ascii="宋体" w:hAnsi="宋体" w:eastAsia="宋体" w:cs="宋体"/>
          <w:color w:val="auto"/>
          <w:kern w:val="0"/>
          <w:sz w:val="24"/>
          <w:szCs w:val="24"/>
          <w:highlight w:val="none"/>
          <w:lang w:eastAsia="zh-CN"/>
        </w:rPr>
        <w:t>重新设计火灾报警系统和联动控制系统、消防供水与消火栓系统、防烟排烟与安全疏散系统、气体灭火系统及消防防火门</w:t>
      </w:r>
      <w:r>
        <w:rPr>
          <w:rFonts w:hint="eastAsia" w:ascii="宋体" w:hAnsi="宋体" w:eastAsia="宋体" w:cs="宋体"/>
          <w:color w:val="auto"/>
          <w:kern w:val="0"/>
          <w:sz w:val="24"/>
          <w:szCs w:val="24"/>
          <w:highlight w:val="none"/>
        </w:rPr>
        <w:t>的施工图</w:t>
      </w:r>
      <w:r>
        <w:rPr>
          <w:rFonts w:hint="eastAsia" w:ascii="宋体" w:hAnsi="宋体" w:cs="宋体"/>
          <w:color w:val="auto"/>
          <w:kern w:val="0"/>
          <w:sz w:val="24"/>
          <w:highlight w:val="none"/>
        </w:rPr>
        <w:t>；</w:t>
      </w:r>
    </w:p>
    <w:p w14:paraId="5B1A414A">
      <w:pPr>
        <w:widowControl/>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u w:val="none"/>
          <w:lang w:val="en-US"/>
        </w:rPr>
        <w:t>②</w:t>
      </w:r>
      <w:r>
        <w:rPr>
          <w:rFonts w:hint="eastAsia" w:ascii="宋体" w:hAnsi="宋体" w:cs="宋体"/>
          <w:color w:val="auto"/>
          <w:kern w:val="0"/>
          <w:sz w:val="24"/>
          <w:highlight w:val="none"/>
        </w:rPr>
        <w:t>根据现场实际需要进行施工图二次深化设计及相关的工艺设计；</w:t>
      </w:r>
    </w:p>
    <w:p w14:paraId="5079D4D1">
      <w:pPr>
        <w:widowControl/>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③配合第三方审图单位进行图审复核及结合图审意见进行修改，完成图审后出具纸质及电子版施工蓝图，其中纸质施工蓝图一式六份，电子版施工蓝图一份，且应包含CAD版本及PDF版本；出具符合现场实际需求，能指导实际施工的图纸</w:t>
      </w:r>
      <w:r>
        <w:rPr>
          <w:rFonts w:hint="eastAsia" w:ascii="宋体" w:hAnsi="宋体" w:eastAsia="宋体" w:cs="宋体"/>
          <w:color w:val="auto"/>
          <w:kern w:val="0"/>
          <w:sz w:val="24"/>
          <w:szCs w:val="24"/>
          <w:highlight w:val="none"/>
          <w:u w:val="none"/>
          <w:lang w:val="en-US"/>
        </w:rPr>
        <w:t>；</w:t>
      </w:r>
    </w:p>
    <w:p w14:paraId="2188790D">
      <w:pPr>
        <w:widowControl w:val="0"/>
        <w:adjustRightInd w:val="0"/>
        <w:snapToGrid w:val="0"/>
        <w:spacing w:line="360" w:lineRule="auto"/>
        <w:ind w:firstLine="480" w:firstLineChars="200"/>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④出具符合现场实际需求，能指导实际施工的图纸；</w:t>
      </w:r>
    </w:p>
    <w:p w14:paraId="0DA989DF">
      <w:pPr>
        <w:widowControl w:val="0"/>
        <w:adjustRightInd w:val="0"/>
        <w:snapToGrid w:val="0"/>
        <w:spacing w:line="360" w:lineRule="auto"/>
        <w:ind w:firstLine="480" w:firstLineChars="200"/>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⑤根据现场施工的需要，到施工现场跟踪设计方案的落实并根据实际修改设计方案等；</w:t>
      </w:r>
    </w:p>
    <w:p w14:paraId="7E47A9DC">
      <w:pPr>
        <w:widowControl w:val="0"/>
        <w:adjustRightInd w:val="0"/>
        <w:snapToGrid w:val="0"/>
        <w:spacing w:line="360" w:lineRule="auto"/>
        <w:ind w:left="0" w:leftChars="0" w:firstLine="480" w:firstLineChars="200"/>
        <w:rPr>
          <w:color w:val="auto"/>
          <w:highlight w:val="none"/>
        </w:rPr>
      </w:pPr>
      <w:r>
        <w:rPr>
          <w:rFonts w:hint="eastAsia" w:ascii="宋体" w:hAnsi="宋体" w:eastAsia="宋体" w:cs="宋体"/>
          <w:color w:val="auto"/>
          <w:kern w:val="0"/>
          <w:sz w:val="24"/>
          <w:szCs w:val="24"/>
          <w:highlight w:val="none"/>
          <w:u w:val="none"/>
          <w:lang w:val="en-US"/>
        </w:rPr>
        <w:t>⑥设计成果提交时间，局部或小修改应在提出后的两个工作日内提交，大修改或调整应在五个工作日内提交；</w:t>
      </w:r>
    </w:p>
    <w:p w14:paraId="1C1C135D">
      <w:pPr>
        <w:widowControl/>
        <w:adjustRightInd w:val="0"/>
        <w:snapToGrid w:val="0"/>
        <w:spacing w:line="360" w:lineRule="auto"/>
        <w:ind w:left="0" w:leftChars="0" w:firstLine="480" w:firstLineChars="200"/>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i w:val="0"/>
          <w:iCs w:val="0"/>
          <w:caps w:val="0"/>
          <w:color w:val="auto"/>
          <w:spacing w:val="0"/>
          <w:kern w:val="0"/>
          <w:sz w:val="24"/>
          <w:szCs w:val="24"/>
          <w:highlight w:val="none"/>
          <w:u w:val="none"/>
          <w:shd w:val="clear" w:fill="auto"/>
        </w:rPr>
        <w:t>⑦</w:t>
      </w:r>
      <w:r>
        <w:rPr>
          <w:rFonts w:hint="eastAsia" w:ascii="宋体" w:hAnsi="宋体" w:cs="宋体"/>
          <w:color w:val="auto"/>
          <w:kern w:val="0"/>
          <w:sz w:val="24"/>
          <w:highlight w:val="none"/>
          <w:u w:val="none"/>
          <w:lang w:eastAsia="zh-CN"/>
        </w:rPr>
        <w:t>设计成果需通过消防类别设计审查。</w:t>
      </w:r>
    </w:p>
    <w:p w14:paraId="4B4C11D4">
      <w:pPr>
        <w:widowControl/>
        <w:adjustRightInd w:val="0"/>
        <w:snapToGrid w:val="0"/>
        <w:spacing w:line="360" w:lineRule="auto"/>
        <w:ind w:firstLine="480" w:firstLineChars="20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w:t>
      </w:r>
      <w:r>
        <w:rPr>
          <w:rFonts w:hint="eastAsia" w:ascii="宋体" w:hAnsi="宋体" w:cs="宋体"/>
          <w:color w:val="auto"/>
          <w:kern w:val="0"/>
          <w:sz w:val="24"/>
          <w:highlight w:val="none"/>
          <w:u w:val="none"/>
          <w:lang w:eastAsia="zh-CN"/>
        </w:rPr>
        <w:t>4</w:t>
      </w:r>
      <w:r>
        <w:rPr>
          <w:rFonts w:hint="eastAsia" w:ascii="宋体" w:hAnsi="宋体" w:cs="宋体"/>
          <w:color w:val="auto"/>
          <w:kern w:val="0"/>
          <w:sz w:val="24"/>
          <w:highlight w:val="none"/>
          <w:u w:val="none"/>
        </w:rPr>
        <w:t>）本工程实行全过程限额设计施工，发包人有权在限额范围内，根据项目实际情况对承包人的承包范围和承包工程内容进行适当调整，承包人应无条件予以配合。</w:t>
      </w:r>
    </w:p>
    <w:p w14:paraId="78C7DC91">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b w:val="0"/>
          <w:bCs w:val="0"/>
          <w:color w:val="auto"/>
          <w:sz w:val="24"/>
          <w:highlight w:val="none"/>
          <w:u w:val="single"/>
        </w:rPr>
        <w:t>设计工作具体内容及要求见附件4</w:t>
      </w:r>
      <w:r>
        <w:rPr>
          <w:rFonts w:hint="eastAsia" w:ascii="宋体" w:hAnsi="宋体" w:cs="宋体"/>
          <w:color w:val="auto"/>
          <w:sz w:val="24"/>
          <w:highlight w:val="none"/>
          <w:u w:val="single"/>
        </w:rPr>
        <w:t>。</w:t>
      </w:r>
    </w:p>
    <w:p w14:paraId="2613FBC3">
      <w:pPr>
        <w:adjustRightInd w:val="0"/>
        <w:snapToGrid w:val="0"/>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2.1.2施工工作</w:t>
      </w:r>
    </w:p>
    <w:p w14:paraId="0AD64B9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color w:val="auto"/>
          <w:kern w:val="0"/>
          <w:sz w:val="24"/>
          <w:szCs w:val="24"/>
          <w:highlight w:val="none"/>
          <w:lang w:eastAsia="zh-CN"/>
        </w:rPr>
        <w:t>火灾报警系统和联动控制系统、消防供水与消火栓系统、防烟排烟与安全疏散系统、气体灭火系统及消防防火门</w:t>
      </w:r>
      <w:r>
        <w:rPr>
          <w:rFonts w:hint="eastAsia" w:ascii="宋体" w:hAnsi="宋体" w:eastAsia="宋体" w:cs="宋体"/>
          <w:b w:val="0"/>
          <w:bCs w:val="0"/>
          <w:color w:val="auto"/>
          <w:kern w:val="0"/>
          <w:sz w:val="24"/>
          <w:szCs w:val="24"/>
          <w:highlight w:val="none"/>
          <w:lang w:eastAsia="zh-CN"/>
        </w:rPr>
        <w:t>的</w:t>
      </w:r>
      <w:r>
        <w:rPr>
          <w:rFonts w:hint="eastAsia" w:ascii="宋体" w:hAnsi="宋体" w:eastAsia="宋体" w:cs="宋体"/>
          <w:b w:val="0"/>
          <w:bCs w:val="0"/>
          <w:color w:val="auto"/>
          <w:kern w:val="0"/>
          <w:sz w:val="24"/>
          <w:szCs w:val="24"/>
          <w:highlight w:val="none"/>
          <w:lang w:val="en-US" w:eastAsia="zh-CN"/>
        </w:rPr>
        <w:t>维修或更换（具体要求详见消防器材采购清单及技术要求表）。</w:t>
      </w:r>
    </w:p>
    <w:p w14:paraId="6F8E35B0">
      <w:pPr>
        <w:pStyle w:val="18"/>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u w:val="none"/>
          <w:lang w:val="en-US"/>
        </w:rPr>
        <w:t>①</w:t>
      </w:r>
      <w:r>
        <w:rPr>
          <w:rFonts w:hint="eastAsia" w:ascii="宋体" w:hAnsi="宋体" w:eastAsia="宋体" w:cs="宋体"/>
          <w:b w:val="0"/>
          <w:bCs w:val="0"/>
          <w:color w:val="auto"/>
          <w:sz w:val="24"/>
          <w:szCs w:val="24"/>
          <w:highlight w:val="none"/>
        </w:rPr>
        <w:t>拆除原有以下技术需求表格中所有消防器材设备，并负责清运、处理和残值回收。</w:t>
      </w:r>
    </w:p>
    <w:p w14:paraId="0B7898A2">
      <w:pPr>
        <w:pStyle w:val="18"/>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u w:val="none"/>
          <w:lang w:val="en-US"/>
        </w:rPr>
        <w:t>②</w:t>
      </w:r>
      <w:r>
        <w:rPr>
          <w:rFonts w:hint="eastAsia" w:ascii="宋体" w:hAnsi="宋体" w:eastAsia="宋体" w:cs="宋体"/>
          <w:b w:val="0"/>
          <w:bCs w:val="0"/>
          <w:color w:val="auto"/>
          <w:sz w:val="24"/>
          <w:szCs w:val="24"/>
          <w:highlight w:val="none"/>
        </w:rPr>
        <w:t>消防器材设备采购、安装，新装消防器材设备的档次、品质须相当于或高于原有消防器材设备。报价应</w:t>
      </w:r>
      <w:r>
        <w:rPr>
          <w:rFonts w:hint="eastAsia" w:ascii="宋体" w:hAnsi="宋体" w:eastAsia="宋体" w:cs="宋体"/>
          <w:b w:val="0"/>
          <w:bCs w:val="0"/>
          <w:color w:val="auto"/>
          <w:kern w:val="0"/>
          <w:sz w:val="24"/>
          <w:szCs w:val="24"/>
          <w:highlight w:val="none"/>
        </w:rPr>
        <w:t>包含新</w:t>
      </w:r>
      <w:r>
        <w:rPr>
          <w:rFonts w:hint="eastAsia" w:ascii="宋体" w:hAnsi="宋体" w:eastAsia="宋体" w:cs="宋体"/>
          <w:b w:val="0"/>
          <w:bCs w:val="0"/>
          <w:color w:val="auto"/>
          <w:sz w:val="24"/>
          <w:szCs w:val="24"/>
          <w:highlight w:val="none"/>
        </w:rPr>
        <w:t>消防器材</w:t>
      </w:r>
      <w:r>
        <w:rPr>
          <w:rFonts w:hint="eastAsia" w:ascii="宋体" w:hAnsi="宋体" w:eastAsia="宋体" w:cs="宋体"/>
          <w:b w:val="0"/>
          <w:bCs w:val="0"/>
          <w:color w:val="auto"/>
          <w:kern w:val="0"/>
          <w:sz w:val="24"/>
          <w:szCs w:val="24"/>
          <w:highlight w:val="none"/>
        </w:rPr>
        <w:t>设备费、安装费、运输费、调试验收费、政府部门验收费、24个月维护保养费、垃圾清理费，拆卸原</w:t>
      </w:r>
      <w:r>
        <w:rPr>
          <w:rFonts w:hint="eastAsia" w:ascii="宋体" w:hAnsi="宋体" w:eastAsia="宋体" w:cs="宋体"/>
          <w:b w:val="0"/>
          <w:bCs w:val="0"/>
          <w:color w:val="auto"/>
          <w:sz w:val="24"/>
          <w:szCs w:val="24"/>
          <w:highlight w:val="none"/>
        </w:rPr>
        <w:t>消防器材</w:t>
      </w:r>
      <w:r>
        <w:rPr>
          <w:rFonts w:hint="eastAsia" w:ascii="宋体" w:hAnsi="宋体" w:eastAsia="宋体" w:cs="宋体"/>
          <w:b w:val="0"/>
          <w:bCs w:val="0"/>
          <w:color w:val="auto"/>
          <w:kern w:val="0"/>
          <w:sz w:val="24"/>
          <w:szCs w:val="24"/>
          <w:highlight w:val="none"/>
        </w:rPr>
        <w:t>设备费用及残值回收费用。</w:t>
      </w:r>
    </w:p>
    <w:p w14:paraId="4E83264D">
      <w:pPr>
        <w:pStyle w:val="2"/>
        <w:numPr>
          <w:ilvl w:val="-1"/>
          <w:numId w:val="0"/>
        </w:numPr>
        <w:spacing w:line="360" w:lineRule="auto"/>
        <w:ind w:firstLine="480"/>
        <w:rPr>
          <w:rFonts w:hint="eastAsia" w:ascii="宋体" w:hAnsi="宋体" w:eastAsia="宋体" w:cs="宋体"/>
          <w:b w:val="0"/>
          <w:bCs w:val="0"/>
          <w:color w:val="auto"/>
          <w:sz w:val="24"/>
          <w:szCs w:val="24"/>
          <w:highlight w:val="none"/>
        </w:rPr>
      </w:pPr>
      <w:r>
        <w:rPr>
          <w:rFonts w:hint="eastAsia" w:ascii="宋体" w:hAnsi="宋体" w:cs="宋体"/>
          <w:color w:val="auto"/>
          <w:kern w:val="0"/>
          <w:sz w:val="24"/>
          <w:highlight w:val="none"/>
        </w:rPr>
        <w:t>③</w:t>
      </w:r>
      <w:r>
        <w:rPr>
          <w:rFonts w:hint="eastAsia" w:ascii="宋体" w:hAnsi="宋体" w:eastAsia="宋体" w:cs="宋体"/>
          <w:b w:val="0"/>
          <w:bCs w:val="0"/>
          <w:color w:val="auto"/>
          <w:sz w:val="24"/>
          <w:szCs w:val="24"/>
          <w:highlight w:val="none"/>
        </w:rPr>
        <w:t>消防器材采购清单及技术要求（配置不低于以下要求）</w:t>
      </w:r>
    </w:p>
    <w:tbl>
      <w:tblPr>
        <w:tblStyle w:val="4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41"/>
        <w:gridCol w:w="4948"/>
        <w:gridCol w:w="2142"/>
      </w:tblGrid>
      <w:tr w14:paraId="4B0E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blHeader/>
        </w:trPr>
        <w:tc>
          <w:tcPr>
            <w:tcW w:w="5000" w:type="pct"/>
            <w:gridSpan w:val="4"/>
            <w:tcBorders>
              <w:top w:val="single" w:color="auto" w:sz="4" w:space="0"/>
              <w:left w:val="single" w:color="auto" w:sz="4" w:space="0"/>
              <w:right w:val="single" w:color="auto" w:sz="4" w:space="0"/>
            </w:tcBorders>
            <w:vAlign w:val="center"/>
          </w:tcPr>
          <w:p w14:paraId="1DA24237">
            <w:pPr>
              <w:shd w:val="clear" w:color="auto" w:fill="FFFFFF"/>
              <w:jc w:val="center"/>
              <w:rPr>
                <w:rFonts w:hint="eastAsia" w:ascii="宋体" w:hAnsi="宋体" w:eastAsia="宋体" w:cs="宋体"/>
                <w:b/>
                <w:color w:val="auto"/>
                <w:szCs w:val="21"/>
                <w:highlight w:val="none"/>
              </w:rPr>
            </w:pPr>
            <w:r>
              <w:rPr>
                <w:rFonts w:hint="eastAsia" w:ascii="宋体" w:hAnsi="宋体" w:eastAsia="宋体" w:cs="宋体"/>
                <w:b/>
                <w:bCs/>
                <w:color w:val="auto"/>
                <w:kern w:val="0"/>
                <w:sz w:val="24"/>
                <w:szCs w:val="24"/>
                <w:highlight w:val="none"/>
                <w:lang w:val="en-US" w:eastAsia="zh-CN"/>
              </w:rPr>
              <w:t>消防器材采购清单及技术要求表</w:t>
            </w:r>
          </w:p>
        </w:tc>
      </w:tr>
      <w:tr w14:paraId="2993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blHeader/>
        </w:trPr>
        <w:tc>
          <w:tcPr>
            <w:tcW w:w="346" w:type="pct"/>
            <w:tcBorders>
              <w:top w:val="single" w:color="auto" w:sz="4" w:space="0"/>
              <w:left w:val="single" w:color="auto" w:sz="4" w:space="0"/>
            </w:tcBorders>
            <w:vAlign w:val="center"/>
          </w:tcPr>
          <w:p w14:paraId="0C88ACAC">
            <w:pPr>
              <w:shd w:val="clear" w:color="auto" w:fill="FFFFFF"/>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86" w:type="pct"/>
            <w:tcBorders>
              <w:top w:val="single" w:color="auto" w:sz="4" w:space="0"/>
            </w:tcBorders>
            <w:vAlign w:val="center"/>
          </w:tcPr>
          <w:p w14:paraId="284E5C1E">
            <w:pPr>
              <w:shd w:val="clear" w:color="auto" w:fill="FFFFFF"/>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器材名称</w:t>
            </w:r>
          </w:p>
        </w:tc>
        <w:tc>
          <w:tcPr>
            <w:tcW w:w="2699" w:type="pct"/>
            <w:tcBorders>
              <w:top w:val="single" w:color="auto" w:sz="4" w:space="0"/>
            </w:tcBorders>
            <w:vAlign w:val="center"/>
          </w:tcPr>
          <w:p w14:paraId="399134C2">
            <w:pPr>
              <w:shd w:val="clear" w:color="auto" w:fill="FFFFFF"/>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技术需求</w:t>
            </w:r>
          </w:p>
        </w:tc>
        <w:tc>
          <w:tcPr>
            <w:tcW w:w="1168" w:type="pct"/>
            <w:tcBorders>
              <w:top w:val="single" w:color="auto" w:sz="4" w:space="0"/>
              <w:right w:val="single" w:color="auto" w:sz="4" w:space="0"/>
            </w:tcBorders>
            <w:vAlign w:val="center"/>
          </w:tcPr>
          <w:p w14:paraId="0E55391C">
            <w:pPr>
              <w:shd w:val="clear" w:color="auto" w:fill="FFFFFF"/>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419F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346" w:type="pct"/>
            <w:noWrap/>
            <w:vAlign w:val="center"/>
          </w:tcPr>
          <w:p w14:paraId="4D1D9F5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86" w:type="pct"/>
            <w:vAlign w:val="center"/>
          </w:tcPr>
          <w:p w14:paraId="5F86231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安全出口/疏散指示灯</w:t>
            </w:r>
          </w:p>
        </w:tc>
        <w:tc>
          <w:tcPr>
            <w:tcW w:w="2699" w:type="pct"/>
            <w:vAlign w:val="center"/>
          </w:tcPr>
          <w:p w14:paraId="33602DBE">
            <w:pPr>
              <w:keepNext w:val="0"/>
              <w:keepLines w:val="0"/>
              <w:pageBreakBefore w:val="0"/>
              <w:widowControl w:val="0"/>
              <w:numPr>
                <w:ilvl w:val="0"/>
                <w:numId w:val="0"/>
              </w:numPr>
              <w:kinsoku/>
              <w:wordWrap/>
              <w:overflowPunct/>
              <w:topLinePunct w:val="0"/>
              <w:autoSpaceDE/>
              <w:autoSpaceDN/>
              <w:bidi w:val="0"/>
              <w:adjustRightInd/>
              <w:snapToGrid/>
              <w:spacing w:after="0" w:line="22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工作电压及功耗：AC220V；≥3W</w:t>
            </w:r>
          </w:p>
          <w:p w14:paraId="406CD1AE">
            <w:pPr>
              <w:keepNext w:val="0"/>
              <w:keepLines w:val="0"/>
              <w:pageBreakBefore w:val="0"/>
              <w:widowControl w:val="0"/>
              <w:numPr>
                <w:ilvl w:val="0"/>
                <w:numId w:val="0"/>
              </w:numPr>
              <w:kinsoku/>
              <w:wordWrap/>
              <w:overflowPunct/>
              <w:topLinePunct w:val="0"/>
              <w:autoSpaceDE/>
              <w:autoSpaceDN/>
              <w:bidi w:val="0"/>
              <w:adjustRightInd/>
              <w:snapToGrid/>
              <w:spacing w:after="0" w:line="22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应急时间：90分钟</w:t>
            </w:r>
          </w:p>
          <w:p w14:paraId="00BB50DD">
            <w:pPr>
              <w:keepNext w:val="0"/>
              <w:keepLines w:val="0"/>
              <w:pageBreakBefore w:val="0"/>
              <w:widowControl w:val="0"/>
              <w:numPr>
                <w:ilvl w:val="0"/>
                <w:numId w:val="0"/>
              </w:numPr>
              <w:kinsoku/>
              <w:wordWrap/>
              <w:overflowPunct/>
              <w:topLinePunct w:val="0"/>
              <w:autoSpaceDE/>
              <w:autoSpaceDN/>
              <w:bidi w:val="0"/>
              <w:adjustRightInd/>
              <w:snapToGrid/>
              <w:spacing w:after="0" w:line="220" w:lineRule="exact"/>
              <w:ind w:left="0" w:leftChars="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防护等级：IP30以上</w:t>
            </w:r>
          </w:p>
          <w:p w14:paraId="5ACF36AF">
            <w:pPr>
              <w:keepNext w:val="0"/>
              <w:keepLines w:val="0"/>
              <w:pageBreakBefore w:val="0"/>
              <w:widowControl w:val="0"/>
              <w:numPr>
                <w:ilvl w:val="0"/>
                <w:numId w:val="0"/>
              </w:numPr>
              <w:kinsoku/>
              <w:wordWrap/>
              <w:overflowPunct/>
              <w:topLinePunct w:val="0"/>
              <w:autoSpaceDE/>
              <w:autoSpaceDN/>
              <w:bidi w:val="0"/>
              <w:adjustRightInd/>
              <w:snapToGrid/>
              <w:spacing w:after="0" w:line="220" w:lineRule="exact"/>
              <w:ind w:left="0" w:leftChars="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安装方式：壁挂式</w:t>
            </w:r>
          </w:p>
          <w:p w14:paraId="57A45336">
            <w:p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符合GB17945-2010标准产品具备消防产品认证证书或3C认证（提供证书复印件并加盖公章）</w:t>
            </w:r>
          </w:p>
        </w:tc>
        <w:tc>
          <w:tcPr>
            <w:tcW w:w="1168" w:type="pct"/>
            <w:vAlign w:val="center"/>
          </w:tcPr>
          <w:p w14:paraId="3D289AED">
            <w:pPr>
              <w:widowControl/>
              <w:jc w:val="left"/>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2"/>
                <w:szCs w:val="21"/>
                <w:highlight w:val="none"/>
              </w:rPr>
              <w:t>安全出口、左、右、双向疏散指示数量需根据现场实际情况确定</w:t>
            </w:r>
            <w:r>
              <w:rPr>
                <w:rFonts w:hint="eastAsia" w:ascii="宋体" w:hAnsi="宋体" w:eastAsia="宋体" w:cs="宋体"/>
                <w:color w:val="auto"/>
                <w:kern w:val="2"/>
                <w:szCs w:val="21"/>
                <w:highlight w:val="none"/>
                <w:lang w:val="en-US" w:eastAsia="zh-CN"/>
              </w:rPr>
              <w:t>,含拆装</w:t>
            </w:r>
            <w:r>
              <w:rPr>
                <w:rFonts w:hint="eastAsia" w:ascii="宋体" w:hAnsi="宋体" w:cs="宋体"/>
                <w:color w:val="auto"/>
                <w:kern w:val="2"/>
                <w:szCs w:val="21"/>
                <w:highlight w:val="none"/>
                <w:lang w:val="en-US" w:eastAsia="zh-CN"/>
              </w:rPr>
              <w:t>。</w:t>
            </w:r>
          </w:p>
        </w:tc>
      </w:tr>
      <w:tr w14:paraId="4162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46" w:type="pct"/>
            <w:noWrap/>
            <w:vAlign w:val="center"/>
          </w:tcPr>
          <w:p w14:paraId="64B791E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786" w:type="pct"/>
            <w:vAlign w:val="center"/>
          </w:tcPr>
          <w:p w14:paraId="1C830784">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应急灯</w:t>
            </w:r>
          </w:p>
        </w:tc>
        <w:tc>
          <w:tcPr>
            <w:tcW w:w="2699" w:type="pct"/>
            <w:vAlign w:val="center"/>
          </w:tcPr>
          <w:p w14:paraId="7347550E">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工作电压及功耗：AC220V；≥3W</w:t>
            </w:r>
          </w:p>
          <w:p w14:paraId="27367012">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应急时间：90分钟</w:t>
            </w:r>
          </w:p>
          <w:p w14:paraId="1B1553B3">
            <w:pPr>
              <w:numPr>
                <w:ilvl w:val="-1"/>
                <w:numId w:val="0"/>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防护等级：IP30以上</w:t>
            </w:r>
          </w:p>
          <w:p w14:paraId="227F5AC5">
            <w:pPr>
              <w:numPr>
                <w:ilvl w:val="-1"/>
                <w:numId w:val="0"/>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安装方式：壁挂式</w:t>
            </w:r>
          </w:p>
          <w:p w14:paraId="5155E2F8">
            <w:p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符合GB17945-2010标准产品具备消防产品认证证书或3C认证（提供证书复印件并加盖公章）</w:t>
            </w:r>
          </w:p>
        </w:tc>
        <w:tc>
          <w:tcPr>
            <w:tcW w:w="1168" w:type="pct"/>
            <w:vAlign w:val="center"/>
          </w:tcPr>
          <w:p w14:paraId="2E02B924">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含拆装</w:t>
            </w:r>
          </w:p>
        </w:tc>
      </w:tr>
      <w:tr w14:paraId="4767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6" w:type="pct"/>
            <w:noWrap/>
            <w:vAlign w:val="center"/>
          </w:tcPr>
          <w:p w14:paraId="2C18F6F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786" w:type="pct"/>
            <w:vAlign w:val="center"/>
          </w:tcPr>
          <w:p w14:paraId="62D12564">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消防软管</w:t>
            </w:r>
          </w:p>
        </w:tc>
        <w:tc>
          <w:tcPr>
            <w:tcW w:w="2699" w:type="pct"/>
            <w:vAlign w:val="center"/>
          </w:tcPr>
          <w:p w14:paraId="03449AF6">
            <w:pPr>
              <w:spacing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规格JPS0.8-19/25(25米）</w:t>
            </w:r>
          </w:p>
          <w:p w14:paraId="760D57AD">
            <w:pPr>
              <w:spacing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材质：PVC胶管</w:t>
            </w:r>
          </w:p>
          <w:p w14:paraId="0CFFF2DA">
            <w:pPr>
              <w:spacing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额定工作压力：0.8MPa</w:t>
            </w:r>
          </w:p>
        </w:tc>
        <w:tc>
          <w:tcPr>
            <w:tcW w:w="1168" w:type="pct"/>
            <w:vAlign w:val="center"/>
          </w:tcPr>
          <w:p w14:paraId="4A01D4EE">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含拆装</w:t>
            </w:r>
          </w:p>
        </w:tc>
      </w:tr>
      <w:tr w14:paraId="7402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46" w:type="pct"/>
            <w:noWrap/>
            <w:vAlign w:val="center"/>
          </w:tcPr>
          <w:p w14:paraId="4DE2065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786" w:type="pct"/>
            <w:vAlign w:val="center"/>
          </w:tcPr>
          <w:p w14:paraId="5C1D7B4F">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消防水带</w:t>
            </w:r>
          </w:p>
        </w:tc>
        <w:tc>
          <w:tcPr>
            <w:tcW w:w="2699" w:type="pct"/>
            <w:vAlign w:val="center"/>
          </w:tcPr>
          <w:p w14:paraId="2C8AF38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类型：有衬里消防水带涤纶长丝/涤纶长丝聚氨脂</w:t>
            </w:r>
          </w:p>
          <w:p w14:paraId="66A6F0EC">
            <w:pPr>
              <w:widowControl/>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rPr>
              <w:t>规格：DN65/25M</w:t>
            </w:r>
          </w:p>
        </w:tc>
        <w:tc>
          <w:tcPr>
            <w:tcW w:w="1168" w:type="pct"/>
            <w:vAlign w:val="center"/>
          </w:tcPr>
          <w:p w14:paraId="5D3DD45C">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含拆装</w:t>
            </w:r>
          </w:p>
        </w:tc>
      </w:tr>
      <w:tr w14:paraId="5ED5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46" w:type="pct"/>
            <w:noWrap/>
            <w:vAlign w:val="center"/>
          </w:tcPr>
          <w:p w14:paraId="4A78477D">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86" w:type="pct"/>
            <w:vAlign w:val="center"/>
          </w:tcPr>
          <w:p w14:paraId="0CBAFDAA">
            <w:pPr>
              <w:pStyle w:val="151"/>
              <w:widowControl/>
              <w:spacing w:line="276"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消火</w:t>
            </w:r>
            <w:r>
              <w:rPr>
                <w:rFonts w:hint="eastAsia" w:ascii="宋体" w:hAnsi="宋体" w:eastAsia="宋体" w:cs="宋体"/>
                <w:color w:val="auto"/>
                <w:kern w:val="0"/>
                <w:sz w:val="21"/>
                <w:szCs w:val="21"/>
                <w:highlight w:val="none"/>
              </w:rPr>
              <w:t>栓栓头</w:t>
            </w:r>
          </w:p>
        </w:tc>
        <w:tc>
          <w:tcPr>
            <w:tcW w:w="2699" w:type="pct"/>
            <w:vAlign w:val="center"/>
          </w:tcPr>
          <w:p w14:paraId="59A5EA8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规格：SN65</w:t>
            </w:r>
          </w:p>
          <w:p w14:paraId="71633164">
            <w:pPr>
              <w:spacing w:before="29"/>
              <w:ind w:right="9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材质：球墨铸铁</w:t>
            </w:r>
          </w:p>
          <w:p w14:paraId="6AEF001F">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Cs w:val="21"/>
                <w:highlight w:val="none"/>
              </w:rPr>
              <w:t>产品形式：内扣式</w:t>
            </w:r>
          </w:p>
          <w:p w14:paraId="0682449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阀杆耐腐蚀性：不低于HPb59-1的金属材料</w:t>
            </w:r>
          </w:p>
          <w:p w14:paraId="7FEC9E0F">
            <w:pPr>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rPr>
              <w:t>强度：承受2.4Mpa压力，持续2min不应破裂和渗漏</w:t>
            </w:r>
          </w:p>
        </w:tc>
        <w:tc>
          <w:tcPr>
            <w:tcW w:w="1168" w:type="pct"/>
            <w:vAlign w:val="center"/>
          </w:tcPr>
          <w:p w14:paraId="318817D6">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含拆装</w:t>
            </w:r>
          </w:p>
        </w:tc>
      </w:tr>
      <w:tr w14:paraId="61FE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346" w:type="pct"/>
            <w:noWrap/>
            <w:vAlign w:val="center"/>
          </w:tcPr>
          <w:p w14:paraId="12E5A2C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786" w:type="pct"/>
            <w:vAlign w:val="center"/>
          </w:tcPr>
          <w:p w14:paraId="767370E5">
            <w:pPr>
              <w:pStyle w:val="151"/>
              <w:widowControl/>
              <w:spacing w:line="276" w:lineRule="exact"/>
              <w:ind w:left="101"/>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消防</w:t>
            </w:r>
            <w:r>
              <w:rPr>
                <w:rFonts w:hint="eastAsia" w:ascii="宋体" w:hAnsi="宋体" w:eastAsia="宋体" w:cs="宋体"/>
                <w:color w:val="auto"/>
                <w:kern w:val="0"/>
                <w:sz w:val="21"/>
                <w:szCs w:val="21"/>
                <w:highlight w:val="none"/>
              </w:rPr>
              <w:t>小水枪</w:t>
            </w:r>
          </w:p>
        </w:tc>
        <w:tc>
          <w:tcPr>
            <w:tcW w:w="2699" w:type="pct"/>
            <w:vAlign w:val="center"/>
          </w:tcPr>
          <w:p w14:paraId="7E666181">
            <w:pPr>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1</w:t>
            </w:r>
            <w:r>
              <w:rPr>
                <w:rFonts w:hint="default" w:ascii="Times New Roman" w:hAnsi="Times New Roman"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eastAsia="zh-CN"/>
              </w:rPr>
              <w:t>材质：铝</w:t>
            </w:r>
          </w:p>
          <w:p w14:paraId="369A5D27">
            <w:pPr>
              <w:widowControl/>
              <w:jc w:val="left"/>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2</w:t>
            </w:r>
            <w:r>
              <w:rPr>
                <w:rFonts w:hint="default" w:ascii="Times New Roman" w:hAnsi="Times New Roman" w:eastAsia="宋体" w:cs="Times New Roman"/>
                <w:color w:val="auto"/>
                <w:kern w:val="2"/>
                <w:sz w:val="21"/>
                <w:szCs w:val="24"/>
                <w:highlight w:val="none"/>
                <w:lang w:val="en-US" w:eastAsia="zh-CN"/>
              </w:rPr>
              <w:t>.</w:t>
            </w:r>
            <w:r>
              <w:rPr>
                <w:rFonts w:hint="default" w:ascii="Times New Roman" w:hAnsi="Times New Roman" w:eastAsia="宋体" w:cs="Times New Roman"/>
                <w:color w:val="auto"/>
                <w:kern w:val="2"/>
                <w:szCs w:val="24"/>
                <w:highlight w:val="none"/>
              </w:rPr>
              <w:t>规格：QZ3.5/7.5</w:t>
            </w:r>
          </w:p>
          <w:p w14:paraId="455DD6BA">
            <w:pPr>
              <w:spacing w:line="240" w:lineRule="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3</w:t>
            </w:r>
            <w:r>
              <w:rPr>
                <w:rFonts w:hint="default" w:ascii="Times New Roman" w:hAnsi="Times New Roman"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rPr>
              <w:t>接口公称通径：65mm</w:t>
            </w:r>
          </w:p>
          <w:p w14:paraId="1F38E2F4">
            <w:pP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4</w:t>
            </w:r>
            <w:r>
              <w:rPr>
                <w:rFonts w:hint="default" w:ascii="Times New Roman" w:hAnsi="Times New Roman" w:eastAsia="宋体" w:cs="Times New Roman"/>
                <w:color w:val="auto"/>
                <w:sz w:val="21"/>
                <w:szCs w:val="24"/>
                <w:highlight w:val="none"/>
                <w:lang w:val="en-US" w:eastAsia="zh-CN"/>
              </w:rPr>
              <w:t>.</w:t>
            </w:r>
            <w:r>
              <w:rPr>
                <w:rFonts w:hint="default" w:ascii="Times New Roman" w:hAnsi="Times New Roman" w:eastAsia="宋体" w:cs="Times New Roman"/>
                <w:color w:val="auto"/>
                <w:szCs w:val="24"/>
                <w:highlight w:val="none"/>
              </w:rPr>
              <w:t>喷嘴直径：19mm</w:t>
            </w:r>
          </w:p>
          <w:p w14:paraId="304F102D">
            <w:pPr>
              <w:spacing w:line="240" w:lineRule="auto"/>
              <w:rPr>
                <w:rFonts w:hint="eastAsia" w:ascii="Times New Roman" w:hAnsi="Times New Roman" w:eastAsia="宋体"/>
                <w:color w:val="auto"/>
                <w:sz w:val="21"/>
                <w:szCs w:val="24"/>
                <w:highlight w:val="none"/>
              </w:rPr>
            </w:pPr>
            <w:r>
              <w:rPr>
                <w:rFonts w:hint="default" w:ascii="Times New Roman" w:hAnsi="Times New Roman" w:eastAsia="宋体" w:cs="Times New Roman"/>
                <w:color w:val="auto"/>
                <w:sz w:val="21"/>
                <w:szCs w:val="24"/>
                <w:highlight w:val="none"/>
              </w:rPr>
              <w:t>5</w:t>
            </w:r>
            <w:r>
              <w:rPr>
                <w:rFonts w:hint="default" w:ascii="Times New Roman" w:hAnsi="Times New Roman"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rPr>
              <w:t>公称压力：1.6MPa</w:t>
            </w:r>
          </w:p>
        </w:tc>
        <w:tc>
          <w:tcPr>
            <w:tcW w:w="1168" w:type="pct"/>
            <w:vAlign w:val="center"/>
          </w:tcPr>
          <w:p w14:paraId="023E018A">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含拆装</w:t>
            </w:r>
          </w:p>
        </w:tc>
      </w:tr>
      <w:tr w14:paraId="2F6F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6" w:type="pct"/>
            <w:noWrap/>
            <w:vAlign w:val="center"/>
          </w:tcPr>
          <w:p w14:paraId="2CB7D80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786" w:type="pct"/>
            <w:vAlign w:val="center"/>
          </w:tcPr>
          <w:p w14:paraId="559B5971">
            <w:pPr>
              <w:pStyle w:val="151"/>
              <w:spacing w:line="276" w:lineRule="exact"/>
              <w:ind w:left="10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消火栓箱</w:t>
            </w:r>
          </w:p>
        </w:tc>
        <w:tc>
          <w:tcPr>
            <w:tcW w:w="2699" w:type="pct"/>
            <w:vAlign w:val="center"/>
          </w:tcPr>
          <w:p w14:paraId="1025C99C">
            <w:pPr>
              <w:keepNext w:val="0"/>
              <w:keepLines w:val="0"/>
              <w:pageBreakBefore w:val="0"/>
              <w:widowControl/>
              <w:numPr>
                <w:ilvl w:val="-1"/>
                <w:numId w:val="0"/>
              </w:numPr>
              <w:kinsoku/>
              <w:wordWrap/>
              <w:overflowPunct/>
              <w:topLinePunct w:val="0"/>
              <w:autoSpaceDE/>
              <w:autoSpaceDN/>
              <w:bidi w:val="0"/>
              <w:adjustRightInd/>
              <w:snapToGrid/>
              <w:spacing w:after="0" w:line="24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箱体材质：薄钢板</w:t>
            </w:r>
          </w:p>
          <w:p w14:paraId="2F2945A9">
            <w:pPr>
              <w:keepNext w:val="0"/>
              <w:keepLines w:val="0"/>
              <w:pageBreakBefore w:val="0"/>
              <w:widowControl/>
              <w:numPr>
                <w:ilvl w:val="-1"/>
                <w:numId w:val="0"/>
              </w:numPr>
              <w:kinsoku/>
              <w:wordWrap/>
              <w:overflowPunct/>
              <w:topLinePunct w:val="0"/>
              <w:autoSpaceDE/>
              <w:autoSpaceDN/>
              <w:bidi w:val="0"/>
              <w:adjustRightInd/>
              <w:snapToGrid/>
              <w:spacing w:after="0" w:line="24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型号规格：SG24A65-J800*650*240（±5mm）</w:t>
            </w:r>
          </w:p>
          <w:p w14:paraId="1643B7A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箱体金属材质厚度应≥1.2mm</w:t>
            </w:r>
          </w:p>
        </w:tc>
        <w:tc>
          <w:tcPr>
            <w:tcW w:w="1168" w:type="pct"/>
            <w:vAlign w:val="center"/>
          </w:tcPr>
          <w:p w14:paraId="6A99BF25">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含拆装</w:t>
            </w:r>
          </w:p>
        </w:tc>
      </w:tr>
      <w:tr w14:paraId="2862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6" w:type="pct"/>
            <w:noWrap/>
            <w:vAlign w:val="center"/>
          </w:tcPr>
          <w:p w14:paraId="2EB5F0E9">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8</w:t>
            </w:r>
          </w:p>
        </w:tc>
        <w:tc>
          <w:tcPr>
            <w:tcW w:w="786" w:type="pct"/>
            <w:vAlign w:val="center"/>
          </w:tcPr>
          <w:p w14:paraId="6CB7D658">
            <w:pPr>
              <w:pStyle w:val="35"/>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消防水带接头/喉箍/枪头</w:t>
            </w:r>
          </w:p>
        </w:tc>
        <w:tc>
          <w:tcPr>
            <w:tcW w:w="2699" w:type="pct"/>
            <w:vAlign w:val="center"/>
          </w:tcPr>
          <w:p w14:paraId="535E1DDD">
            <w:pPr>
              <w:spacing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材质：接头和枪头为铝铸件，喉箍材质为不锈钢</w:t>
            </w:r>
          </w:p>
          <w:p w14:paraId="4611721C">
            <w:pPr>
              <w:spacing w:line="24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规格：KN65</w:t>
            </w:r>
          </w:p>
        </w:tc>
        <w:tc>
          <w:tcPr>
            <w:tcW w:w="1168" w:type="pct"/>
            <w:vAlign w:val="center"/>
          </w:tcPr>
          <w:p w14:paraId="6A0CA0EC">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含拆装</w:t>
            </w:r>
          </w:p>
        </w:tc>
      </w:tr>
      <w:tr w14:paraId="50F3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6" w:type="pct"/>
            <w:noWrap/>
            <w:vAlign w:val="center"/>
          </w:tcPr>
          <w:p w14:paraId="51B34BCA">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9</w:t>
            </w:r>
          </w:p>
        </w:tc>
        <w:tc>
          <w:tcPr>
            <w:tcW w:w="786" w:type="pct"/>
            <w:vAlign w:val="center"/>
          </w:tcPr>
          <w:p w14:paraId="3C239E76">
            <w:pPr>
              <w:pStyle w:val="35"/>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乙级防火门（含闭门器/过道锁</w:t>
            </w:r>
          </w:p>
        </w:tc>
        <w:tc>
          <w:tcPr>
            <w:tcW w:w="2699" w:type="pct"/>
            <w:vAlign w:val="center"/>
          </w:tcPr>
          <w:p w14:paraId="45D87FB2">
            <w:pPr>
              <w:spacing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规格200CM*90CM</w:t>
            </w:r>
          </w:p>
          <w:p w14:paraId="4810C50E">
            <w:pPr>
              <w:spacing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材质：钢质</w:t>
            </w:r>
          </w:p>
          <w:p w14:paraId="15037D37">
            <w:pPr>
              <w:spacing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材料厚度：门扇钢面板≥0.8mm门框≥1.2mm铰链板≥3mm</w:t>
            </w:r>
          </w:p>
          <w:p w14:paraId="47CC3CB7">
            <w:pPr>
              <w:spacing w:line="24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填充材质：防火保温隔热板密度≥321kg/m3</w:t>
            </w:r>
          </w:p>
        </w:tc>
        <w:tc>
          <w:tcPr>
            <w:tcW w:w="1168" w:type="pct"/>
            <w:vAlign w:val="center"/>
          </w:tcPr>
          <w:p w14:paraId="31D3B473">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含拆旧门、装新门、门边修复、含清运</w:t>
            </w:r>
            <w:r>
              <w:rPr>
                <w:rFonts w:hint="eastAsia" w:ascii="宋体" w:hAnsi="宋体" w:cs="宋体"/>
                <w:color w:val="auto"/>
                <w:kern w:val="0"/>
                <w:sz w:val="21"/>
                <w:szCs w:val="21"/>
                <w:highlight w:val="none"/>
                <w:lang w:eastAsia="zh-CN"/>
              </w:rPr>
              <w:t>。</w:t>
            </w:r>
          </w:p>
        </w:tc>
      </w:tr>
      <w:tr w14:paraId="6A9D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6" w:type="pct"/>
            <w:noWrap/>
            <w:vAlign w:val="center"/>
          </w:tcPr>
          <w:p w14:paraId="543A3449">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10</w:t>
            </w:r>
          </w:p>
        </w:tc>
        <w:tc>
          <w:tcPr>
            <w:tcW w:w="786" w:type="pct"/>
            <w:vAlign w:val="center"/>
          </w:tcPr>
          <w:p w14:paraId="41756F98">
            <w:pPr>
              <w:pStyle w:val="35"/>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甲级防火门（含闭门器、过道锁）</w:t>
            </w:r>
          </w:p>
        </w:tc>
        <w:tc>
          <w:tcPr>
            <w:tcW w:w="2699" w:type="pct"/>
            <w:vAlign w:val="center"/>
          </w:tcPr>
          <w:p w14:paraId="0424CD53">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规格200CM*60CM</w:t>
            </w:r>
          </w:p>
          <w:p w14:paraId="0DE8D485">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材质：钢质</w:t>
            </w:r>
          </w:p>
          <w:p w14:paraId="5ECF9DE4">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材料厚度：门扇钢面板≥0.8mm门框≥1.2mm铰链板≥3mm</w:t>
            </w:r>
          </w:p>
          <w:p w14:paraId="492F60BB">
            <w:pPr>
              <w:widowControl/>
              <w:spacing w:line="24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填充材质：防火保温隔热板密度≥915kg/m3</w:t>
            </w:r>
          </w:p>
        </w:tc>
        <w:tc>
          <w:tcPr>
            <w:tcW w:w="1168" w:type="pct"/>
            <w:vAlign w:val="center"/>
          </w:tcPr>
          <w:p w14:paraId="63C56EC3">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含拆旧门、装新门、门边修复、含清运</w:t>
            </w:r>
            <w:r>
              <w:rPr>
                <w:rFonts w:hint="eastAsia" w:ascii="宋体" w:hAnsi="宋体" w:cs="宋体"/>
                <w:color w:val="auto"/>
                <w:kern w:val="0"/>
                <w:sz w:val="21"/>
                <w:szCs w:val="21"/>
                <w:highlight w:val="none"/>
                <w:lang w:eastAsia="zh-CN"/>
              </w:rPr>
              <w:t>。</w:t>
            </w:r>
          </w:p>
        </w:tc>
      </w:tr>
      <w:tr w14:paraId="46DB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6" w:type="pct"/>
            <w:noWrap/>
            <w:vAlign w:val="center"/>
          </w:tcPr>
          <w:p w14:paraId="092836EF">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11</w:t>
            </w:r>
          </w:p>
        </w:tc>
        <w:tc>
          <w:tcPr>
            <w:tcW w:w="786" w:type="pct"/>
            <w:vAlign w:val="center"/>
          </w:tcPr>
          <w:p w14:paraId="55BB578A">
            <w:pPr>
              <w:pStyle w:val="35"/>
              <w:spacing w:line="24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灭火器箱</w:t>
            </w:r>
          </w:p>
          <w:p w14:paraId="1735F33D">
            <w:pPr>
              <w:pStyle w:val="35"/>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（楼层）</w:t>
            </w:r>
          </w:p>
        </w:tc>
        <w:tc>
          <w:tcPr>
            <w:tcW w:w="2699" w:type="pct"/>
            <w:vAlign w:val="center"/>
          </w:tcPr>
          <w:p w14:paraId="279783EA">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规格4*2+2</w:t>
            </w:r>
          </w:p>
          <w:p w14:paraId="62129A20">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箱体金属材质厚度应≥1.2mm</w:t>
            </w:r>
          </w:p>
          <w:p w14:paraId="5CBF37AD">
            <w:pPr>
              <w:widowControl/>
              <w:spacing w:line="24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喷射管长度≥400mm</w:t>
            </w:r>
          </w:p>
        </w:tc>
        <w:tc>
          <w:tcPr>
            <w:tcW w:w="1168" w:type="pct"/>
            <w:vAlign w:val="center"/>
          </w:tcPr>
          <w:p w14:paraId="5ED8F964">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箱内含（ABC/4KG干粉灭火器2瓶、防毒面具2个）</w:t>
            </w:r>
            <w:r>
              <w:rPr>
                <w:rFonts w:hint="eastAsia" w:ascii="宋体" w:hAnsi="宋体" w:cs="宋体"/>
                <w:color w:val="auto"/>
                <w:kern w:val="0"/>
                <w:sz w:val="21"/>
                <w:szCs w:val="21"/>
                <w:highlight w:val="none"/>
                <w:lang w:eastAsia="zh-CN"/>
              </w:rPr>
              <w:t>。</w:t>
            </w:r>
          </w:p>
        </w:tc>
      </w:tr>
      <w:tr w14:paraId="1CDC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6" w:type="pct"/>
            <w:noWrap/>
            <w:vAlign w:val="center"/>
          </w:tcPr>
          <w:p w14:paraId="34890794">
            <w:pPr>
              <w:widowControl/>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786" w:type="pct"/>
            <w:vAlign w:val="center"/>
          </w:tcPr>
          <w:p w14:paraId="66098FCA">
            <w:pPr>
              <w:pStyle w:val="35"/>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二氧化碳灭火器</w:t>
            </w:r>
          </w:p>
        </w:tc>
        <w:tc>
          <w:tcPr>
            <w:tcW w:w="2699" w:type="pct"/>
            <w:vAlign w:val="center"/>
          </w:tcPr>
          <w:p w14:paraId="4D7DF8CA">
            <w:pPr>
              <w:pStyle w:val="35"/>
              <w:spacing w:line="24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规格MT/3（3kg）</w:t>
            </w:r>
          </w:p>
        </w:tc>
        <w:tc>
          <w:tcPr>
            <w:tcW w:w="1168" w:type="pct"/>
            <w:vAlign w:val="center"/>
          </w:tcPr>
          <w:p w14:paraId="24782268">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含搬运</w:t>
            </w:r>
          </w:p>
        </w:tc>
      </w:tr>
      <w:tr w14:paraId="7C54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46" w:type="pct"/>
            <w:noWrap/>
            <w:vAlign w:val="center"/>
          </w:tcPr>
          <w:p w14:paraId="3FF74B41">
            <w:pPr>
              <w:widowControl/>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w:t>
            </w:r>
          </w:p>
        </w:tc>
        <w:tc>
          <w:tcPr>
            <w:tcW w:w="786" w:type="pct"/>
            <w:vAlign w:val="center"/>
          </w:tcPr>
          <w:p w14:paraId="535C30A9">
            <w:pPr>
              <w:pStyle w:val="35"/>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推车式干粉灭火器</w:t>
            </w:r>
          </w:p>
        </w:tc>
        <w:tc>
          <w:tcPr>
            <w:tcW w:w="2699" w:type="pct"/>
            <w:vAlign w:val="center"/>
          </w:tcPr>
          <w:p w14:paraId="05585347">
            <w:pPr>
              <w:pStyle w:val="35"/>
              <w:spacing w:line="24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规格35kg</w:t>
            </w:r>
          </w:p>
        </w:tc>
        <w:tc>
          <w:tcPr>
            <w:tcW w:w="1168" w:type="pct"/>
            <w:vAlign w:val="center"/>
          </w:tcPr>
          <w:p w14:paraId="7982A847">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含搬运</w:t>
            </w:r>
          </w:p>
        </w:tc>
      </w:tr>
      <w:tr w14:paraId="4C5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7DC09ACB">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14</w:t>
            </w:r>
          </w:p>
        </w:tc>
        <w:tc>
          <w:tcPr>
            <w:tcW w:w="786" w:type="pct"/>
            <w:vAlign w:val="center"/>
          </w:tcPr>
          <w:p w14:paraId="0F3525DB">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镀锌钢管</w:t>
            </w:r>
          </w:p>
        </w:tc>
        <w:tc>
          <w:tcPr>
            <w:tcW w:w="2699" w:type="pct"/>
            <w:vAlign w:val="center"/>
          </w:tcPr>
          <w:p w14:paraId="58260455">
            <w:pPr>
              <w:widowControl/>
              <w:numPr>
                <w:ilvl w:val="-1"/>
                <w:numId w:val="0"/>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规格：DN50</w:t>
            </w:r>
          </w:p>
          <w:p w14:paraId="01B2B651">
            <w:pPr>
              <w:widowControl/>
              <w:numPr>
                <w:ilvl w:val="-1"/>
                <w:numId w:val="0"/>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含刷漆</w:t>
            </w:r>
          </w:p>
          <w:p w14:paraId="5FAB73F3">
            <w:pPr>
              <w:widowControl/>
              <w:numPr>
                <w:ilvl w:val="-1"/>
                <w:numId w:val="0"/>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含支架</w:t>
            </w:r>
          </w:p>
          <w:p w14:paraId="40C23784">
            <w:pPr>
              <w:widowControl/>
              <w:numPr>
                <w:ilvl w:val="-1"/>
                <w:numId w:val="0"/>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含弯头配件</w:t>
            </w:r>
          </w:p>
          <w:p w14:paraId="1A0AF91D">
            <w:pPr>
              <w:widowControl/>
              <w:numPr>
                <w:ilvl w:val="-1"/>
                <w:numId w:val="0"/>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管道处理：管网水冲洗及试压</w:t>
            </w:r>
          </w:p>
        </w:tc>
        <w:tc>
          <w:tcPr>
            <w:tcW w:w="1168" w:type="pct"/>
            <w:vAlign w:val="center"/>
          </w:tcPr>
          <w:p w14:paraId="50064DF4">
            <w:pPr>
              <w:widowControl/>
              <w:jc w:val="left"/>
              <w:textAlignment w:val="auto"/>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eastAsia="zh-CN"/>
              </w:rPr>
              <w:t>含拆装</w:t>
            </w:r>
          </w:p>
        </w:tc>
      </w:tr>
      <w:tr w14:paraId="7947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3A3C8DC3">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15</w:t>
            </w:r>
          </w:p>
        </w:tc>
        <w:tc>
          <w:tcPr>
            <w:tcW w:w="786" w:type="pct"/>
            <w:vAlign w:val="center"/>
          </w:tcPr>
          <w:p w14:paraId="79B357C1">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供水自动浮球阀</w:t>
            </w:r>
          </w:p>
        </w:tc>
        <w:tc>
          <w:tcPr>
            <w:tcW w:w="2699" w:type="pct"/>
            <w:vAlign w:val="center"/>
          </w:tcPr>
          <w:p w14:paraId="30CD5162">
            <w:pPr>
              <w:widowControl/>
              <w:numPr>
                <w:ilvl w:val="-1"/>
                <w:numId w:val="0"/>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规格DN50</w:t>
            </w:r>
          </w:p>
          <w:p w14:paraId="32865FA6">
            <w:pPr>
              <w:widowControl/>
              <w:numPr>
                <w:ilvl w:val="-1"/>
                <w:numId w:val="0"/>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包含拉杆及浮球</w:t>
            </w:r>
          </w:p>
        </w:tc>
        <w:tc>
          <w:tcPr>
            <w:tcW w:w="1168" w:type="pct"/>
            <w:vAlign w:val="center"/>
          </w:tcPr>
          <w:p w14:paraId="09D908FA">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含拆装</w:t>
            </w:r>
          </w:p>
        </w:tc>
      </w:tr>
      <w:tr w14:paraId="135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4936AA34">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16</w:t>
            </w:r>
          </w:p>
        </w:tc>
        <w:tc>
          <w:tcPr>
            <w:tcW w:w="786" w:type="pct"/>
            <w:vAlign w:val="center"/>
          </w:tcPr>
          <w:p w14:paraId="2306E124">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主信号屏蔽线</w:t>
            </w:r>
          </w:p>
        </w:tc>
        <w:tc>
          <w:tcPr>
            <w:tcW w:w="2699" w:type="pct"/>
            <w:vAlign w:val="center"/>
          </w:tcPr>
          <w:p w14:paraId="618E2AE9">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规格型号NH-RVVP2*1.5MM2</w:t>
            </w:r>
          </w:p>
          <w:p w14:paraId="66BF2DD4">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配线型式：管内穿线/线槽穿线</w:t>
            </w:r>
          </w:p>
          <w:p w14:paraId="329EDF0F">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材质：铜芯</w:t>
            </w:r>
          </w:p>
        </w:tc>
        <w:tc>
          <w:tcPr>
            <w:tcW w:w="1168" w:type="pct"/>
            <w:vAlign w:val="center"/>
          </w:tcPr>
          <w:p w14:paraId="40A5F861">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更换线路</w:t>
            </w:r>
          </w:p>
        </w:tc>
      </w:tr>
      <w:tr w14:paraId="4F9D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6A2AFF01">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17</w:t>
            </w:r>
          </w:p>
        </w:tc>
        <w:tc>
          <w:tcPr>
            <w:tcW w:w="786" w:type="pct"/>
            <w:vAlign w:val="center"/>
          </w:tcPr>
          <w:p w14:paraId="17CB26BE">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报警主信号线更换</w:t>
            </w:r>
          </w:p>
        </w:tc>
        <w:tc>
          <w:tcPr>
            <w:tcW w:w="2699" w:type="pct"/>
            <w:vAlign w:val="center"/>
          </w:tcPr>
          <w:p w14:paraId="409BC1DE">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规格型号NH-RVS2*1.5MM2</w:t>
            </w:r>
          </w:p>
          <w:p w14:paraId="0C9D5622">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配线型式：管内穿线/线槽穿线</w:t>
            </w:r>
          </w:p>
          <w:p w14:paraId="27A371A5">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材质：铜芯</w:t>
            </w:r>
          </w:p>
        </w:tc>
        <w:tc>
          <w:tcPr>
            <w:tcW w:w="1168" w:type="pct"/>
            <w:vAlign w:val="center"/>
          </w:tcPr>
          <w:p w14:paraId="684DCC56">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43个故障点位</w:t>
            </w:r>
          </w:p>
        </w:tc>
      </w:tr>
      <w:tr w14:paraId="1340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0CD8F1AC">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18</w:t>
            </w:r>
          </w:p>
        </w:tc>
        <w:tc>
          <w:tcPr>
            <w:tcW w:w="786" w:type="pct"/>
            <w:vAlign w:val="center"/>
          </w:tcPr>
          <w:p w14:paraId="3C9EFC37">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防火卷帘控制箱</w:t>
            </w:r>
          </w:p>
        </w:tc>
        <w:tc>
          <w:tcPr>
            <w:tcW w:w="2699" w:type="pct"/>
            <w:vAlign w:val="center"/>
          </w:tcPr>
          <w:p w14:paraId="5020F00D">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规格OKF2J</w:t>
            </w:r>
          </w:p>
        </w:tc>
        <w:tc>
          <w:tcPr>
            <w:tcW w:w="1168" w:type="pct"/>
            <w:vAlign w:val="center"/>
          </w:tcPr>
          <w:p w14:paraId="3FDD1542">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更换</w:t>
            </w:r>
          </w:p>
        </w:tc>
      </w:tr>
      <w:tr w14:paraId="73BB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2C950883">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19</w:t>
            </w:r>
          </w:p>
        </w:tc>
        <w:tc>
          <w:tcPr>
            <w:tcW w:w="786" w:type="pct"/>
            <w:vAlign w:val="center"/>
          </w:tcPr>
          <w:p w14:paraId="2094DC72">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防火卷帘电机</w:t>
            </w:r>
          </w:p>
        </w:tc>
        <w:tc>
          <w:tcPr>
            <w:tcW w:w="2699" w:type="pct"/>
            <w:vAlign w:val="center"/>
          </w:tcPr>
          <w:p w14:paraId="74A90842">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规格FJJ225-3P-FTY</w:t>
            </w:r>
          </w:p>
        </w:tc>
        <w:tc>
          <w:tcPr>
            <w:tcW w:w="1168" w:type="pct"/>
            <w:vAlign w:val="center"/>
          </w:tcPr>
          <w:p w14:paraId="26A119CA">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更换</w:t>
            </w:r>
          </w:p>
        </w:tc>
      </w:tr>
      <w:tr w14:paraId="0F38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260D533D">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20</w:t>
            </w:r>
          </w:p>
        </w:tc>
        <w:tc>
          <w:tcPr>
            <w:tcW w:w="786" w:type="pct"/>
            <w:vAlign w:val="center"/>
          </w:tcPr>
          <w:p w14:paraId="5D217A01">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防火卷帘翻龙</w:t>
            </w:r>
          </w:p>
        </w:tc>
        <w:tc>
          <w:tcPr>
            <w:tcW w:w="2699" w:type="pct"/>
            <w:vAlign w:val="center"/>
          </w:tcPr>
          <w:p w14:paraId="5D3C058E">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68" w:type="pct"/>
            <w:vAlign w:val="center"/>
          </w:tcPr>
          <w:p w14:paraId="5984839A">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维修</w:t>
            </w:r>
          </w:p>
        </w:tc>
      </w:tr>
      <w:tr w14:paraId="14AD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5681FBC4">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21</w:t>
            </w:r>
          </w:p>
        </w:tc>
        <w:tc>
          <w:tcPr>
            <w:tcW w:w="786" w:type="pct"/>
            <w:vAlign w:val="center"/>
          </w:tcPr>
          <w:p w14:paraId="00CC5941">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消防信号线</w:t>
            </w:r>
          </w:p>
        </w:tc>
        <w:tc>
          <w:tcPr>
            <w:tcW w:w="2699" w:type="pct"/>
            <w:vAlign w:val="center"/>
          </w:tcPr>
          <w:p w14:paraId="0467F82E">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规格型号：NH-RVS2*1.5MM2</w:t>
            </w:r>
          </w:p>
          <w:p w14:paraId="01D10D6C">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配线型式：管内穿线</w:t>
            </w:r>
          </w:p>
          <w:p w14:paraId="73FF78FC">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材质：铜芯</w:t>
            </w:r>
          </w:p>
        </w:tc>
        <w:tc>
          <w:tcPr>
            <w:tcW w:w="1168" w:type="pct"/>
            <w:vAlign w:val="center"/>
          </w:tcPr>
          <w:p w14:paraId="04AB0C90">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更换</w:t>
            </w:r>
          </w:p>
        </w:tc>
      </w:tr>
      <w:tr w14:paraId="0F2E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29D76B39">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22</w:t>
            </w:r>
          </w:p>
        </w:tc>
        <w:tc>
          <w:tcPr>
            <w:tcW w:w="786" w:type="pct"/>
            <w:vAlign w:val="center"/>
          </w:tcPr>
          <w:p w14:paraId="136A7E54">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镀锌线管</w:t>
            </w:r>
          </w:p>
        </w:tc>
        <w:tc>
          <w:tcPr>
            <w:tcW w:w="2699" w:type="pct"/>
            <w:vAlign w:val="center"/>
          </w:tcPr>
          <w:p w14:paraId="502D1FF8">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规格MT20</w:t>
            </w:r>
          </w:p>
          <w:p w14:paraId="2A925A26">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名称：薄壁金属电线管</w:t>
            </w:r>
          </w:p>
          <w:p w14:paraId="692AA992">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敷设方式：综合考虑</w:t>
            </w:r>
          </w:p>
        </w:tc>
        <w:tc>
          <w:tcPr>
            <w:tcW w:w="1168" w:type="pct"/>
            <w:vAlign w:val="center"/>
          </w:tcPr>
          <w:p w14:paraId="75033F5A">
            <w:pPr>
              <w:widowControl/>
              <w:jc w:val="left"/>
              <w:textAlignment w:val="auto"/>
              <w:rPr>
                <w:rFonts w:hint="eastAsia" w:ascii="宋体" w:hAnsi="宋体" w:eastAsia="宋体" w:cs="宋体"/>
                <w:color w:val="auto"/>
                <w:kern w:val="2"/>
                <w:szCs w:val="21"/>
                <w:highlight w:val="none"/>
              </w:rPr>
            </w:pPr>
          </w:p>
        </w:tc>
      </w:tr>
      <w:tr w14:paraId="04F2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520FF703">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23</w:t>
            </w:r>
          </w:p>
        </w:tc>
        <w:tc>
          <w:tcPr>
            <w:tcW w:w="786" w:type="pct"/>
            <w:vAlign w:val="center"/>
          </w:tcPr>
          <w:p w14:paraId="63A5D68B">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铁线盒</w:t>
            </w:r>
          </w:p>
        </w:tc>
        <w:tc>
          <w:tcPr>
            <w:tcW w:w="2699" w:type="pct"/>
            <w:vAlign w:val="center"/>
          </w:tcPr>
          <w:p w14:paraId="4CCE090B">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包含铁线盒及盖板安装</w:t>
            </w:r>
          </w:p>
        </w:tc>
        <w:tc>
          <w:tcPr>
            <w:tcW w:w="1168" w:type="pct"/>
            <w:vAlign w:val="center"/>
          </w:tcPr>
          <w:p w14:paraId="52F5298F">
            <w:pPr>
              <w:widowControl/>
              <w:jc w:val="left"/>
              <w:textAlignment w:val="auto"/>
              <w:rPr>
                <w:rFonts w:hint="eastAsia" w:ascii="宋体" w:hAnsi="宋体" w:eastAsia="宋体" w:cs="宋体"/>
                <w:color w:val="auto"/>
                <w:kern w:val="2"/>
                <w:szCs w:val="21"/>
                <w:highlight w:val="none"/>
              </w:rPr>
            </w:pPr>
          </w:p>
        </w:tc>
      </w:tr>
      <w:tr w14:paraId="061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6EF3B247">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24</w:t>
            </w:r>
          </w:p>
        </w:tc>
        <w:tc>
          <w:tcPr>
            <w:tcW w:w="786" w:type="pct"/>
            <w:vAlign w:val="center"/>
          </w:tcPr>
          <w:p w14:paraId="0F627B52">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墙体开洞</w:t>
            </w:r>
          </w:p>
        </w:tc>
        <w:tc>
          <w:tcPr>
            <w:tcW w:w="2699" w:type="pct"/>
            <w:vAlign w:val="center"/>
          </w:tcPr>
          <w:p w14:paraId="04FDB2F4">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规格φ32</w:t>
            </w:r>
          </w:p>
        </w:tc>
        <w:tc>
          <w:tcPr>
            <w:tcW w:w="1168" w:type="pct"/>
            <w:vAlign w:val="center"/>
          </w:tcPr>
          <w:p w14:paraId="02B68F6C">
            <w:pPr>
              <w:widowControl/>
              <w:jc w:val="left"/>
              <w:textAlignment w:val="auto"/>
              <w:rPr>
                <w:rFonts w:hint="eastAsia" w:ascii="宋体" w:hAnsi="宋体" w:eastAsia="宋体" w:cs="宋体"/>
                <w:color w:val="auto"/>
                <w:kern w:val="2"/>
                <w:szCs w:val="21"/>
                <w:highlight w:val="none"/>
              </w:rPr>
            </w:pPr>
          </w:p>
        </w:tc>
      </w:tr>
      <w:tr w14:paraId="3B13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43D6CD51">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25</w:t>
            </w:r>
          </w:p>
        </w:tc>
        <w:tc>
          <w:tcPr>
            <w:tcW w:w="786" w:type="pct"/>
            <w:vAlign w:val="center"/>
          </w:tcPr>
          <w:p w14:paraId="6B382F2F">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排烟风机护套线</w:t>
            </w:r>
          </w:p>
        </w:tc>
        <w:tc>
          <w:tcPr>
            <w:tcW w:w="2699" w:type="pct"/>
            <w:vAlign w:val="center"/>
          </w:tcPr>
          <w:p w14:paraId="4965606D">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规格型号：NH-RVS2*1.5MM2</w:t>
            </w:r>
          </w:p>
          <w:p w14:paraId="3B8CB1F8">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配线型式：管内穿线</w:t>
            </w:r>
          </w:p>
          <w:p w14:paraId="6CEDE375">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材质：铜芯</w:t>
            </w:r>
          </w:p>
        </w:tc>
        <w:tc>
          <w:tcPr>
            <w:tcW w:w="1168" w:type="pct"/>
            <w:vAlign w:val="center"/>
          </w:tcPr>
          <w:p w14:paraId="70F89CCB">
            <w:pPr>
              <w:widowControl/>
              <w:jc w:val="left"/>
              <w:textAlignment w:val="auto"/>
              <w:rPr>
                <w:rFonts w:hint="eastAsia" w:ascii="宋体" w:hAnsi="宋体" w:eastAsia="宋体" w:cs="宋体"/>
                <w:color w:val="auto"/>
                <w:kern w:val="2"/>
                <w:szCs w:val="21"/>
                <w:highlight w:val="none"/>
              </w:rPr>
            </w:pPr>
          </w:p>
        </w:tc>
      </w:tr>
      <w:tr w14:paraId="00CA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788A9565">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26</w:t>
            </w:r>
          </w:p>
        </w:tc>
        <w:tc>
          <w:tcPr>
            <w:tcW w:w="786" w:type="pct"/>
            <w:vAlign w:val="center"/>
          </w:tcPr>
          <w:p w14:paraId="1C4EC8FE">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主机信号护套线</w:t>
            </w:r>
          </w:p>
        </w:tc>
        <w:tc>
          <w:tcPr>
            <w:tcW w:w="2699" w:type="pct"/>
            <w:vAlign w:val="center"/>
          </w:tcPr>
          <w:p w14:paraId="550DD2C1">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规格型号：NH-RVS2*1.5MM2</w:t>
            </w:r>
          </w:p>
          <w:p w14:paraId="768376A3">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配线型式：管内穿线</w:t>
            </w:r>
          </w:p>
          <w:p w14:paraId="2E14FDF0">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材质：铜芯</w:t>
            </w:r>
          </w:p>
        </w:tc>
        <w:tc>
          <w:tcPr>
            <w:tcW w:w="1168" w:type="pct"/>
            <w:vAlign w:val="center"/>
          </w:tcPr>
          <w:p w14:paraId="41B2A556">
            <w:pPr>
              <w:widowControl/>
              <w:jc w:val="left"/>
              <w:textAlignment w:val="auto"/>
              <w:rPr>
                <w:rFonts w:hint="eastAsia" w:ascii="宋体" w:hAnsi="宋体" w:eastAsia="宋体" w:cs="宋体"/>
                <w:color w:val="auto"/>
                <w:kern w:val="2"/>
                <w:szCs w:val="21"/>
                <w:highlight w:val="none"/>
              </w:rPr>
            </w:pPr>
          </w:p>
        </w:tc>
      </w:tr>
      <w:tr w14:paraId="5F27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6C03C4BF">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27</w:t>
            </w:r>
          </w:p>
        </w:tc>
        <w:tc>
          <w:tcPr>
            <w:tcW w:w="786" w:type="pct"/>
            <w:vAlign w:val="center"/>
          </w:tcPr>
          <w:p w14:paraId="4DF16A60">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排烟风机电机</w:t>
            </w:r>
          </w:p>
        </w:tc>
        <w:tc>
          <w:tcPr>
            <w:tcW w:w="2699" w:type="pct"/>
            <w:vAlign w:val="center"/>
          </w:tcPr>
          <w:p w14:paraId="5694A3A6">
            <w:pPr>
              <w:widowControl/>
              <w:numPr>
                <w:ilvl w:val="0"/>
                <w:numId w:val="5"/>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规格DT30</w:t>
            </w:r>
          </w:p>
          <w:p w14:paraId="775B42E5">
            <w:pPr>
              <w:widowControl/>
              <w:numPr>
                <w:ilvl w:val="0"/>
                <w:numId w:val="5"/>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功率15KW</w:t>
            </w:r>
          </w:p>
        </w:tc>
        <w:tc>
          <w:tcPr>
            <w:tcW w:w="1168" w:type="pct"/>
            <w:vAlign w:val="center"/>
          </w:tcPr>
          <w:p w14:paraId="609883F9">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含拆装</w:t>
            </w:r>
          </w:p>
        </w:tc>
      </w:tr>
      <w:tr w14:paraId="79E9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4FBD921C">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28</w:t>
            </w:r>
          </w:p>
        </w:tc>
        <w:tc>
          <w:tcPr>
            <w:tcW w:w="786" w:type="pct"/>
            <w:vAlign w:val="center"/>
          </w:tcPr>
          <w:p w14:paraId="3AD27421">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送风风机电机</w:t>
            </w:r>
          </w:p>
        </w:tc>
        <w:tc>
          <w:tcPr>
            <w:tcW w:w="2699" w:type="pct"/>
            <w:vAlign w:val="center"/>
          </w:tcPr>
          <w:p w14:paraId="03C26A36">
            <w:pPr>
              <w:widowControl/>
              <w:numPr>
                <w:ilvl w:val="0"/>
                <w:numId w:val="5"/>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规格DT30</w:t>
            </w:r>
          </w:p>
          <w:p w14:paraId="5C7E995F">
            <w:pPr>
              <w:widowControl/>
              <w:numPr>
                <w:ilvl w:val="0"/>
                <w:numId w:val="5"/>
              </w:numPr>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功率15KW</w:t>
            </w:r>
          </w:p>
        </w:tc>
        <w:tc>
          <w:tcPr>
            <w:tcW w:w="1168" w:type="pct"/>
            <w:vAlign w:val="center"/>
          </w:tcPr>
          <w:p w14:paraId="47DDCE24">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含拆装</w:t>
            </w:r>
          </w:p>
        </w:tc>
      </w:tr>
      <w:tr w14:paraId="425B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0D047FB9">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29</w:t>
            </w:r>
          </w:p>
        </w:tc>
        <w:tc>
          <w:tcPr>
            <w:tcW w:w="786" w:type="pct"/>
            <w:vAlign w:val="center"/>
          </w:tcPr>
          <w:p w14:paraId="17B34D6B">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风机控制箱</w:t>
            </w:r>
          </w:p>
        </w:tc>
        <w:tc>
          <w:tcPr>
            <w:tcW w:w="2699" w:type="pct"/>
            <w:vAlign w:val="center"/>
          </w:tcPr>
          <w:p w14:paraId="1FF2A0A6">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规格LA38-11X22</w:t>
            </w:r>
          </w:p>
        </w:tc>
        <w:tc>
          <w:tcPr>
            <w:tcW w:w="1168" w:type="pct"/>
            <w:vAlign w:val="center"/>
          </w:tcPr>
          <w:p w14:paraId="30C281D7">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含拆装</w:t>
            </w:r>
          </w:p>
        </w:tc>
      </w:tr>
      <w:tr w14:paraId="5599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4BC5EA51">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30</w:t>
            </w:r>
          </w:p>
        </w:tc>
        <w:tc>
          <w:tcPr>
            <w:tcW w:w="786" w:type="pct"/>
            <w:vAlign w:val="center"/>
          </w:tcPr>
          <w:p w14:paraId="38B94431">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卷帘控制箱</w:t>
            </w:r>
          </w:p>
        </w:tc>
        <w:tc>
          <w:tcPr>
            <w:tcW w:w="2699" w:type="pct"/>
            <w:vAlign w:val="center"/>
          </w:tcPr>
          <w:p w14:paraId="264FA27D">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规格OKF2J</w:t>
            </w:r>
          </w:p>
        </w:tc>
        <w:tc>
          <w:tcPr>
            <w:tcW w:w="1168" w:type="pct"/>
            <w:vAlign w:val="center"/>
          </w:tcPr>
          <w:p w14:paraId="10533319">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含拆装</w:t>
            </w:r>
          </w:p>
        </w:tc>
      </w:tr>
      <w:tr w14:paraId="2496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174D01D5">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31</w:t>
            </w:r>
          </w:p>
        </w:tc>
        <w:tc>
          <w:tcPr>
            <w:tcW w:w="786" w:type="pct"/>
            <w:vAlign w:val="center"/>
          </w:tcPr>
          <w:p w14:paraId="641F9434">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喷淋、消火栓PLC软启动</w:t>
            </w:r>
          </w:p>
        </w:tc>
        <w:tc>
          <w:tcPr>
            <w:tcW w:w="2699" w:type="pct"/>
            <w:vAlign w:val="center"/>
          </w:tcPr>
          <w:p w14:paraId="53C52323">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68" w:type="pct"/>
            <w:vAlign w:val="center"/>
          </w:tcPr>
          <w:p w14:paraId="68F63E51">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更换编程</w:t>
            </w:r>
          </w:p>
        </w:tc>
      </w:tr>
      <w:tr w14:paraId="340C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2755829E">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32</w:t>
            </w:r>
          </w:p>
        </w:tc>
        <w:tc>
          <w:tcPr>
            <w:tcW w:w="786" w:type="pct"/>
            <w:vAlign w:val="center"/>
          </w:tcPr>
          <w:p w14:paraId="799448CF">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消防止回阀</w:t>
            </w:r>
          </w:p>
        </w:tc>
        <w:tc>
          <w:tcPr>
            <w:tcW w:w="2699" w:type="pct"/>
            <w:vAlign w:val="center"/>
          </w:tcPr>
          <w:p w14:paraId="43A7A6A7">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规格DN150</w:t>
            </w:r>
          </w:p>
          <w:p w14:paraId="324C5D76">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阀门材质：铸铁、铜芯</w:t>
            </w:r>
          </w:p>
          <w:p w14:paraId="594165C5">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压力：1.6MPa</w:t>
            </w:r>
          </w:p>
          <w:p w14:paraId="5D2653C5">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连接方式：卡箍</w:t>
            </w:r>
          </w:p>
        </w:tc>
        <w:tc>
          <w:tcPr>
            <w:tcW w:w="1168" w:type="pct"/>
            <w:vAlign w:val="center"/>
          </w:tcPr>
          <w:p w14:paraId="4CDD529B">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含拆装</w:t>
            </w:r>
          </w:p>
        </w:tc>
      </w:tr>
      <w:tr w14:paraId="3FED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19DB3DAA">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33</w:t>
            </w:r>
          </w:p>
        </w:tc>
        <w:tc>
          <w:tcPr>
            <w:tcW w:w="786" w:type="pct"/>
            <w:vAlign w:val="center"/>
          </w:tcPr>
          <w:p w14:paraId="6D435CF9">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控制摇杆阀</w:t>
            </w:r>
          </w:p>
        </w:tc>
        <w:tc>
          <w:tcPr>
            <w:tcW w:w="2699" w:type="pct"/>
            <w:vAlign w:val="center"/>
          </w:tcPr>
          <w:p w14:paraId="0FC68B09">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规格DN50</w:t>
            </w:r>
          </w:p>
          <w:p w14:paraId="572D3589">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阀门材质：铸铁、铜芯</w:t>
            </w:r>
          </w:p>
          <w:p w14:paraId="3EE0F5F0">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压力：1.6MPa</w:t>
            </w:r>
          </w:p>
          <w:p w14:paraId="1CBDEA8B">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连接方式：卡箍</w:t>
            </w:r>
          </w:p>
        </w:tc>
        <w:tc>
          <w:tcPr>
            <w:tcW w:w="1168" w:type="pct"/>
            <w:vAlign w:val="center"/>
          </w:tcPr>
          <w:p w14:paraId="08345D7D">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含拆装</w:t>
            </w:r>
          </w:p>
        </w:tc>
      </w:tr>
      <w:tr w14:paraId="7019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05758525">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34</w:t>
            </w:r>
          </w:p>
        </w:tc>
        <w:tc>
          <w:tcPr>
            <w:tcW w:w="786" w:type="pct"/>
            <w:vAlign w:val="center"/>
          </w:tcPr>
          <w:p w14:paraId="788DB31B">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消防止回阀</w:t>
            </w:r>
          </w:p>
        </w:tc>
        <w:tc>
          <w:tcPr>
            <w:tcW w:w="2699" w:type="pct"/>
            <w:vAlign w:val="center"/>
          </w:tcPr>
          <w:p w14:paraId="6BA02C5A">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规格DN50</w:t>
            </w:r>
          </w:p>
          <w:p w14:paraId="5135872D">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阀门材质：铸铁、铜芯</w:t>
            </w:r>
          </w:p>
          <w:p w14:paraId="67CC3859">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压力：1.6MPa</w:t>
            </w:r>
          </w:p>
          <w:p w14:paraId="2D74CE43">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连接方式：卡箍</w:t>
            </w:r>
          </w:p>
        </w:tc>
        <w:tc>
          <w:tcPr>
            <w:tcW w:w="1168" w:type="pct"/>
            <w:vAlign w:val="center"/>
          </w:tcPr>
          <w:p w14:paraId="218DE354">
            <w:pPr>
              <w:widowControl/>
              <w:jc w:val="lef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含拆装</w:t>
            </w:r>
          </w:p>
        </w:tc>
      </w:tr>
      <w:tr w14:paraId="30AC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194AEC0B">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35</w:t>
            </w:r>
          </w:p>
        </w:tc>
        <w:tc>
          <w:tcPr>
            <w:tcW w:w="786" w:type="pct"/>
            <w:vAlign w:val="center"/>
          </w:tcPr>
          <w:p w14:paraId="4A491B21">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排烟风机护套线</w:t>
            </w:r>
          </w:p>
        </w:tc>
        <w:tc>
          <w:tcPr>
            <w:tcW w:w="2699" w:type="pct"/>
            <w:vAlign w:val="center"/>
          </w:tcPr>
          <w:p w14:paraId="114D8BD7">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规格型号：NH-RVS2*1.5MM2</w:t>
            </w:r>
          </w:p>
          <w:p w14:paraId="01A7D6AC">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配线型式：管内穿线</w:t>
            </w:r>
          </w:p>
          <w:p w14:paraId="1D2F92C5">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材质：铜芯</w:t>
            </w:r>
          </w:p>
        </w:tc>
        <w:tc>
          <w:tcPr>
            <w:tcW w:w="1168" w:type="pct"/>
            <w:vAlign w:val="center"/>
          </w:tcPr>
          <w:p w14:paraId="5D712A5F">
            <w:pPr>
              <w:widowControl/>
              <w:jc w:val="left"/>
              <w:textAlignment w:val="auto"/>
              <w:rPr>
                <w:rFonts w:hint="eastAsia" w:ascii="宋体" w:hAnsi="宋体" w:eastAsia="宋体" w:cs="宋体"/>
                <w:color w:val="auto"/>
                <w:kern w:val="2"/>
                <w:szCs w:val="21"/>
                <w:highlight w:val="none"/>
              </w:rPr>
            </w:pPr>
          </w:p>
        </w:tc>
      </w:tr>
      <w:tr w14:paraId="595E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242E0090">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36</w:t>
            </w:r>
          </w:p>
        </w:tc>
        <w:tc>
          <w:tcPr>
            <w:tcW w:w="786" w:type="pct"/>
            <w:vAlign w:val="center"/>
          </w:tcPr>
          <w:p w14:paraId="373BCAC4">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卷帘控制箱及风机控制箱维修</w:t>
            </w:r>
          </w:p>
        </w:tc>
        <w:tc>
          <w:tcPr>
            <w:tcW w:w="2699" w:type="pct"/>
            <w:vAlign w:val="center"/>
          </w:tcPr>
          <w:p w14:paraId="2F98E830">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68" w:type="pct"/>
            <w:vAlign w:val="center"/>
          </w:tcPr>
          <w:p w14:paraId="4147469C">
            <w:pPr>
              <w:widowControl/>
              <w:jc w:val="left"/>
              <w:textAlignment w:val="auto"/>
              <w:rPr>
                <w:rFonts w:hint="eastAsia" w:ascii="宋体" w:hAnsi="宋体" w:eastAsia="宋体" w:cs="宋体"/>
                <w:color w:val="auto"/>
                <w:kern w:val="2"/>
                <w:szCs w:val="21"/>
                <w:highlight w:val="none"/>
              </w:rPr>
            </w:pPr>
          </w:p>
        </w:tc>
      </w:tr>
      <w:tr w14:paraId="7A5E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6" w:type="pct"/>
            <w:noWrap/>
            <w:vAlign w:val="center"/>
          </w:tcPr>
          <w:p w14:paraId="752CFCC3">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37</w:t>
            </w:r>
          </w:p>
        </w:tc>
        <w:tc>
          <w:tcPr>
            <w:tcW w:w="786" w:type="pct"/>
            <w:vAlign w:val="center"/>
          </w:tcPr>
          <w:p w14:paraId="43990F1C">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七氟丙烷气瓶检测</w:t>
            </w:r>
          </w:p>
        </w:tc>
        <w:tc>
          <w:tcPr>
            <w:tcW w:w="2699" w:type="pct"/>
            <w:vAlign w:val="center"/>
          </w:tcPr>
          <w:p w14:paraId="295BEBC3">
            <w:pPr>
              <w:widowControl/>
              <w:spacing w:line="240" w:lineRule="auto"/>
              <w:ind w:firstLine="0" w:firstLine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规格1</w:t>
            </w:r>
            <w:r>
              <w:rPr>
                <w:rFonts w:hint="eastAsia" w:ascii="宋体" w:hAnsi="宋体" w:eastAsia="宋体" w:cs="宋体"/>
                <w:color w:val="auto"/>
                <w:kern w:val="2"/>
                <w:sz w:val="21"/>
                <w:szCs w:val="21"/>
                <w:highlight w:val="none"/>
                <w:lang w:val="en-US" w:eastAsia="zh-CN"/>
              </w:rPr>
              <w:t>00L</w:t>
            </w:r>
          </w:p>
          <w:p w14:paraId="3ABB2080">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检测单位需有相应资质</w:t>
            </w:r>
          </w:p>
          <w:p w14:paraId="69B9F402">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气瓶检测流程及项目需符合国家相关标准</w:t>
            </w:r>
          </w:p>
          <w:p w14:paraId="4BA50B47">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检测后需打印检验标志、并出具检验报告</w:t>
            </w:r>
          </w:p>
        </w:tc>
        <w:tc>
          <w:tcPr>
            <w:tcW w:w="1168" w:type="pct"/>
            <w:vAlign w:val="center"/>
          </w:tcPr>
          <w:p w14:paraId="5814EA9A">
            <w:pPr>
              <w:widowControl/>
              <w:jc w:val="left"/>
              <w:textAlignment w:val="auto"/>
              <w:rPr>
                <w:rFonts w:hint="eastAsia" w:ascii="宋体" w:hAnsi="宋体" w:eastAsia="宋体" w:cs="宋体"/>
                <w:color w:val="auto"/>
                <w:kern w:val="2"/>
                <w:szCs w:val="21"/>
                <w:highlight w:val="none"/>
              </w:rPr>
            </w:pPr>
          </w:p>
        </w:tc>
      </w:tr>
      <w:tr w14:paraId="438B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46" w:type="pct"/>
            <w:noWrap/>
            <w:vAlign w:val="center"/>
          </w:tcPr>
          <w:p w14:paraId="4904EEBC">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38</w:t>
            </w:r>
          </w:p>
        </w:tc>
        <w:tc>
          <w:tcPr>
            <w:tcW w:w="786" w:type="pct"/>
            <w:vAlign w:val="center"/>
          </w:tcPr>
          <w:p w14:paraId="33EBD7D1">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七氟丙烷气体充装</w:t>
            </w:r>
          </w:p>
        </w:tc>
        <w:tc>
          <w:tcPr>
            <w:tcW w:w="2699" w:type="pct"/>
            <w:vAlign w:val="center"/>
          </w:tcPr>
          <w:p w14:paraId="0969951D">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规格HFC-227ea</w:t>
            </w:r>
          </w:p>
        </w:tc>
        <w:tc>
          <w:tcPr>
            <w:tcW w:w="1168" w:type="pct"/>
            <w:vAlign w:val="center"/>
          </w:tcPr>
          <w:p w14:paraId="067EE1CA">
            <w:pPr>
              <w:widowControl/>
              <w:jc w:val="left"/>
              <w:textAlignment w:val="auto"/>
              <w:rPr>
                <w:rFonts w:hint="eastAsia" w:ascii="宋体" w:hAnsi="宋体" w:eastAsia="宋体" w:cs="宋体"/>
                <w:color w:val="auto"/>
                <w:kern w:val="2"/>
                <w:szCs w:val="21"/>
                <w:highlight w:val="none"/>
              </w:rPr>
            </w:pPr>
          </w:p>
        </w:tc>
      </w:tr>
      <w:tr w14:paraId="7243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346" w:type="pct"/>
            <w:noWrap/>
            <w:vAlign w:val="center"/>
          </w:tcPr>
          <w:p w14:paraId="14A37F28">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39</w:t>
            </w:r>
          </w:p>
        </w:tc>
        <w:tc>
          <w:tcPr>
            <w:tcW w:w="786" w:type="pct"/>
            <w:vAlign w:val="center"/>
          </w:tcPr>
          <w:p w14:paraId="2457404D">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七氟丙烷</w:t>
            </w:r>
            <w:r>
              <w:rPr>
                <w:rFonts w:hint="eastAsia" w:ascii="宋体" w:hAnsi="宋体" w:eastAsia="宋体" w:cs="宋体"/>
                <w:color w:val="auto"/>
                <w:kern w:val="2"/>
                <w:sz w:val="21"/>
                <w:szCs w:val="21"/>
                <w:highlight w:val="none"/>
                <w:lang w:eastAsia="zh-CN"/>
              </w:rPr>
              <w:t>驱动</w:t>
            </w:r>
            <w:r>
              <w:rPr>
                <w:rFonts w:hint="eastAsia" w:ascii="宋体" w:hAnsi="宋体" w:eastAsia="宋体" w:cs="宋体"/>
                <w:color w:val="auto"/>
                <w:kern w:val="2"/>
                <w:sz w:val="21"/>
                <w:szCs w:val="21"/>
                <w:highlight w:val="none"/>
              </w:rPr>
              <w:t>瓶检测</w:t>
            </w:r>
          </w:p>
        </w:tc>
        <w:tc>
          <w:tcPr>
            <w:tcW w:w="2699" w:type="pct"/>
            <w:vAlign w:val="center"/>
          </w:tcPr>
          <w:p w14:paraId="6C040964">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规格9.7KG</w:t>
            </w:r>
          </w:p>
          <w:p w14:paraId="2A41AA8B">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检测单位需有相应资质</w:t>
            </w:r>
          </w:p>
          <w:p w14:paraId="5D29FF16">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气瓶检测流程及项目需符合国家相关标准</w:t>
            </w:r>
          </w:p>
          <w:p w14:paraId="4CC080BA">
            <w:pPr>
              <w:widowControl/>
              <w:spacing w:line="240" w:lineRule="auto"/>
              <w:ind w:firstLine="0" w:firstLineChars="0"/>
              <w:jc w:val="left"/>
              <w:rPr>
                <w:rFonts w:hint="eastAsia" w:ascii="宋体" w:hAnsi="宋体" w:eastAsia="宋体" w:cs="宋体"/>
                <w:b w:val="0"/>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检测后需打印检验标志、并出具检验报告</w:t>
            </w:r>
          </w:p>
        </w:tc>
        <w:tc>
          <w:tcPr>
            <w:tcW w:w="1168" w:type="pct"/>
            <w:vAlign w:val="center"/>
          </w:tcPr>
          <w:p w14:paraId="4F1A4862">
            <w:pPr>
              <w:widowControl/>
              <w:jc w:val="left"/>
              <w:textAlignment w:val="auto"/>
              <w:rPr>
                <w:rFonts w:hint="eastAsia" w:ascii="宋体" w:hAnsi="宋体" w:eastAsia="宋体" w:cs="宋体"/>
                <w:color w:val="auto"/>
                <w:kern w:val="2"/>
                <w:szCs w:val="21"/>
                <w:highlight w:val="none"/>
              </w:rPr>
            </w:pPr>
          </w:p>
        </w:tc>
      </w:tr>
      <w:tr w14:paraId="6736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46" w:type="pct"/>
            <w:noWrap/>
            <w:vAlign w:val="center"/>
          </w:tcPr>
          <w:p w14:paraId="32CEC9C3">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40</w:t>
            </w:r>
          </w:p>
        </w:tc>
        <w:tc>
          <w:tcPr>
            <w:tcW w:w="786" w:type="pct"/>
            <w:vAlign w:val="center"/>
          </w:tcPr>
          <w:p w14:paraId="5F19D9DB">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备用电池</w:t>
            </w:r>
          </w:p>
        </w:tc>
        <w:tc>
          <w:tcPr>
            <w:tcW w:w="2699" w:type="pct"/>
            <w:vAlign w:val="center"/>
          </w:tcPr>
          <w:p w14:paraId="0A63F740">
            <w:pPr>
              <w:widowControl/>
              <w:spacing w:line="240" w:lineRule="auto"/>
              <w:ind w:firstLine="0" w:firstLine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规格12V</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7A</w:t>
            </w:r>
            <w:r>
              <w:rPr>
                <w:rFonts w:hint="eastAsia" w:ascii="宋体" w:hAnsi="宋体" w:eastAsia="宋体" w:cs="宋体"/>
                <w:color w:val="auto"/>
                <w:kern w:val="2"/>
                <w:sz w:val="21"/>
                <w:szCs w:val="21"/>
                <w:highlight w:val="none"/>
                <w:lang w:val="en-US" w:eastAsia="zh-CN"/>
              </w:rPr>
              <w:t>H</w:t>
            </w:r>
          </w:p>
        </w:tc>
        <w:tc>
          <w:tcPr>
            <w:tcW w:w="1168" w:type="pct"/>
            <w:vAlign w:val="center"/>
          </w:tcPr>
          <w:p w14:paraId="311F8CAE">
            <w:pPr>
              <w:widowControl/>
              <w:jc w:val="left"/>
              <w:textAlignment w:val="auto"/>
              <w:rPr>
                <w:rFonts w:hint="eastAsia" w:ascii="宋体" w:hAnsi="宋体" w:eastAsia="宋体" w:cs="宋体"/>
                <w:color w:val="auto"/>
                <w:kern w:val="2"/>
                <w:szCs w:val="21"/>
                <w:highlight w:val="none"/>
              </w:rPr>
            </w:pPr>
          </w:p>
        </w:tc>
      </w:tr>
      <w:tr w14:paraId="7590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6" w:type="pct"/>
            <w:noWrap/>
            <w:vAlign w:val="center"/>
          </w:tcPr>
          <w:p w14:paraId="0AF8FD33">
            <w:pPr>
              <w:widowControl/>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41</w:t>
            </w:r>
          </w:p>
        </w:tc>
        <w:tc>
          <w:tcPr>
            <w:tcW w:w="786" w:type="pct"/>
            <w:vAlign w:val="center"/>
          </w:tcPr>
          <w:p w14:paraId="4819008D">
            <w:pPr>
              <w:widowControl/>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消防工程系统调试</w:t>
            </w:r>
          </w:p>
        </w:tc>
        <w:tc>
          <w:tcPr>
            <w:tcW w:w="2699" w:type="pct"/>
            <w:vAlign w:val="center"/>
          </w:tcPr>
          <w:p w14:paraId="0C5D2A64">
            <w:pPr>
              <w:widowControl/>
              <w:spacing w:line="240" w:lineRule="auto"/>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68" w:type="pct"/>
            <w:vAlign w:val="center"/>
          </w:tcPr>
          <w:p w14:paraId="423A0185">
            <w:pPr>
              <w:widowControl/>
              <w:jc w:val="left"/>
              <w:textAlignment w:val="auto"/>
              <w:rPr>
                <w:rFonts w:hint="eastAsia" w:ascii="宋体" w:hAnsi="宋体" w:eastAsia="宋体" w:cs="宋体"/>
                <w:color w:val="auto"/>
                <w:kern w:val="2"/>
                <w:szCs w:val="21"/>
                <w:highlight w:val="none"/>
              </w:rPr>
            </w:pPr>
          </w:p>
        </w:tc>
      </w:tr>
    </w:tbl>
    <w:p w14:paraId="2DB1926C">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（2）按经审核后的图纸开展施工方案编制、报建报审，施工作业，施工过程中的图纸深化设计，施工过程中的工程量复核，设备材料的采购，送第三方检验检测、调试、调测、试运行、保修等工作。</w:t>
      </w:r>
    </w:p>
    <w:p w14:paraId="54DA32EF">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根据项目建设的要求，办理相关施工报建手续；完工后提供第三方检测合格报告，并应达到广东省消防安全委员会办公室关于《全省火灾隐患重点地区整治工作验收标准》的要求，按要求办理竣工备案、验收工作等。</w:t>
      </w:r>
    </w:p>
    <w:p w14:paraId="30B892A2">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（4）负责编制施工图预算并配合报审</w:t>
      </w:r>
      <w:r>
        <w:rPr>
          <w:rFonts w:hint="eastAsia" w:ascii="宋体" w:hAnsi="宋体" w:cs="宋体"/>
          <w:color w:val="auto"/>
          <w:sz w:val="24"/>
          <w:highlight w:val="none"/>
          <w:u w:val="single"/>
          <w:lang w:eastAsia="zh-CN"/>
        </w:rPr>
        <w:t>，预算编制要求执行《广州安居住房置业有限公司工程预算编审指引（试行）》（附件</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；结算阶段全过程资料收集汇总、并装订成册，分类归档，按要求出具竣工图及完成的结算资料文件等。</w:t>
      </w:r>
    </w:p>
    <w:p w14:paraId="3B890A99">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（5）负责协调本工程施工过程中周边居民、包括街道居委、城管、小区物业管理单位、原总承包单位（如需）等，因此产生的费用承包人已包括在其报价中，发包人不再另行计量支付。</w:t>
      </w:r>
    </w:p>
    <w:p w14:paraId="0F9248FC">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（6）负责本工程范围的施工场地保管以及本工程范围内的现场安全文明施工管理。</w:t>
      </w:r>
    </w:p>
    <w:p w14:paraId="32965DA4">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2.2承包方式：</w:t>
      </w:r>
    </w:p>
    <w:p w14:paraId="4F0A6F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本合同承包人包设计、包施工，全部工程包工、包料、包设备、包工期、包质量、包安全生产与文明施工、包调试与测试、包试运行、包竣工验收、包培训、包质保期内工程质量保修、包现场组织和协调，包因验收不能通过所需要发生的整改费用等。</w:t>
      </w:r>
    </w:p>
    <w:p w14:paraId="785BB3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本工程实行限额设计、施工，建安工程费最高限额为合同暂定价的建安工程费部分：</w:t>
      </w:r>
      <w:r>
        <w:rPr>
          <w:rFonts w:hint="eastAsia" w:ascii="宋体" w:hAnsi="宋体" w:cs="宋体"/>
          <w:color w:val="auto"/>
          <w:sz w:val="24"/>
          <w:highlight w:val="none"/>
          <w:lang w:val="en-US" w:eastAsia="zh-CN"/>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rPr>
        <w:t>元；承包人须按约定的设计施工标准在限额内完成工程，结算建安工程费不得超出限额，否则，超出部分由承包人承担。</w:t>
      </w:r>
    </w:p>
    <w:p w14:paraId="5C3B504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u w:val="single"/>
        </w:rPr>
        <w:t>2.2.3发包人有权在限额范围内，根据对承包人的承包范围和承包工程量进行适当调整（包括增加或减少部分工程），承包人应无条件接受。如发生不可抗力、政策变更或规划变更等工程实施情况导致承包范围发生变化的，发包人有权发出书面指令单方增加或缩减合同工程承包范围。如上述变更导致承包人履行合同义务的费用增加，发包人与承包人按照合同约定调整合同价款。如上述变更导致承包人承包范围减少的，双方就实际工程量按合同约定计价，承包人不再向发包人另行提出其他任何补偿或赔偿要求。</w:t>
      </w:r>
    </w:p>
    <w:p w14:paraId="35995137">
      <w:pPr>
        <w:adjustRightInd w:val="0"/>
        <w:snapToGrid w:val="0"/>
        <w:spacing w:line="360" w:lineRule="auto"/>
        <w:ind w:firstLine="480" w:firstLineChars="200"/>
        <w:outlineLvl w:val="1"/>
        <w:rPr>
          <w:rFonts w:hint="eastAsia" w:ascii="宋体" w:hAnsi="宋体" w:cs="宋体"/>
          <w:b/>
          <w:color w:val="auto"/>
          <w:sz w:val="24"/>
          <w:highlight w:val="none"/>
        </w:rPr>
      </w:pPr>
      <w:bookmarkStart w:id="6" w:name="_Toc28114"/>
      <w:r>
        <w:rPr>
          <w:rFonts w:hint="eastAsia" w:ascii="宋体" w:hAnsi="宋体" w:cs="宋体"/>
          <w:b w:val="0"/>
          <w:bCs w:val="0"/>
          <w:color w:val="auto"/>
          <w:sz w:val="24"/>
          <w:highlight w:val="none"/>
          <w:u w:val="single"/>
          <w:lang w:val="en-US" w:eastAsia="zh-CN"/>
        </w:rPr>
        <w:t>本工程承包范围、内容及</w:t>
      </w:r>
      <w:r>
        <w:rPr>
          <w:rFonts w:hint="eastAsia" w:ascii="宋体" w:hAnsi="宋体" w:cs="宋体"/>
          <w:b w:val="0"/>
          <w:bCs w:val="0"/>
          <w:color w:val="auto"/>
          <w:sz w:val="24"/>
          <w:highlight w:val="none"/>
          <w:u w:val="single"/>
        </w:rPr>
        <w:t>要求见附件4</w:t>
      </w:r>
      <w:r>
        <w:rPr>
          <w:rFonts w:hint="eastAsia" w:ascii="宋体" w:hAnsi="宋体" w:cs="宋体"/>
          <w:color w:val="auto"/>
          <w:sz w:val="24"/>
          <w:highlight w:val="none"/>
          <w:u w:val="single"/>
        </w:rPr>
        <w:t>。</w:t>
      </w:r>
    </w:p>
    <w:p w14:paraId="4A549B87">
      <w:pPr>
        <w:adjustRightInd w:val="0"/>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三、设计依据</w:t>
      </w:r>
      <w:bookmarkEnd w:id="6"/>
    </w:p>
    <w:p w14:paraId="68F528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3.1发包人给设计承包人的委托书或设计中标文件。</w:t>
      </w:r>
    </w:p>
    <w:p w14:paraId="60ABAE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3.2发包人提交的基础资料。</w:t>
      </w:r>
    </w:p>
    <w:p w14:paraId="464177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3.3设计承包人采用的主要技术标准包括：</w:t>
      </w:r>
    </w:p>
    <w:p w14:paraId="2FC9DD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3.3.1国家相关法律、法规、强制性条文、国家及各行业设计规范、规程、行业条例及项目所在地方的规定和标准。</w:t>
      </w:r>
    </w:p>
    <w:p w14:paraId="23DC333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3.3.2相关政府主管部门对本项目的批复文件、给定的技术条件和意见要求。</w:t>
      </w:r>
    </w:p>
    <w:p w14:paraId="4854A8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3.3.3广州安居集团有限公司印发的《广州安居集团有限公司建设工程设计管理办法（试行）》</w:t>
      </w:r>
      <w:r>
        <w:rPr>
          <w:rFonts w:hint="eastAsia" w:ascii="宋体" w:hAnsi="宋体" w:cs="宋体"/>
          <w:color w:val="auto"/>
          <w:sz w:val="24"/>
          <w:highlight w:val="none"/>
          <w:u w:val="none"/>
        </w:rPr>
        <w:t>《广州安居集团保障性住房项目设计评价标准及负面清单（试行）》</w:t>
      </w:r>
      <w:r>
        <w:rPr>
          <w:rFonts w:hint="eastAsia" w:ascii="宋体" w:hAnsi="宋体" w:cs="宋体"/>
          <w:color w:val="auto"/>
          <w:sz w:val="24"/>
          <w:highlight w:val="none"/>
        </w:rPr>
        <w:t>。</w:t>
      </w:r>
    </w:p>
    <w:p w14:paraId="4E8811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3.3.4项目设计过程中发包人（或发包人指定委托人）提出的条件、意见和要求。</w:t>
      </w:r>
    </w:p>
    <w:p w14:paraId="672AE8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3.3.5双方签订的设计合同内所包含的服务性条款及要求。</w:t>
      </w:r>
    </w:p>
    <w:p w14:paraId="755E35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合同执行期间，上述标准、规范、文件如有更新，按新的标准或要求执行。</w:t>
      </w:r>
    </w:p>
    <w:p w14:paraId="4197AA18">
      <w:pPr>
        <w:adjustRightInd w:val="0"/>
        <w:snapToGrid w:val="0"/>
        <w:spacing w:line="360" w:lineRule="auto"/>
        <w:ind w:firstLine="482" w:firstLineChars="200"/>
        <w:outlineLvl w:val="1"/>
        <w:rPr>
          <w:rFonts w:ascii="宋体" w:hAnsi="宋体" w:cs="宋体"/>
          <w:b/>
          <w:color w:val="auto"/>
          <w:sz w:val="24"/>
          <w:highlight w:val="none"/>
        </w:rPr>
      </w:pPr>
      <w:bookmarkStart w:id="7" w:name="_Toc7815"/>
      <w:r>
        <w:rPr>
          <w:rFonts w:hint="eastAsia" w:ascii="宋体" w:hAnsi="宋体" w:cs="宋体"/>
          <w:b/>
          <w:color w:val="auto"/>
          <w:sz w:val="24"/>
          <w:highlight w:val="none"/>
        </w:rPr>
        <w:t>四、合同工期</w:t>
      </w:r>
      <w:bookmarkEnd w:id="7"/>
    </w:p>
    <w:p w14:paraId="4369773C">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4.1合同总工期（总日历天数）：约</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个日历天，具体开工日期以发包人通知或监理工程师发出的开工令起计</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rPr>
        <w:t>其中设计工期：</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个日历天，施工工期：</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个日历天。[包含设计各阶段（方案设计及修改、施工图设计阶段以及各阶段的相关报批审查时间等）；施工阶段（施工实施建设阶段、竣工验收、资料编制归档、交付使用手续办理等以及各阶段的相关报批、报建、检验、审查、备案等时间）]工期总日历天数与设计、施工等各分项计划开工、竣工日期计算的工期天数不一致的，以合同工期总日历天数为准。</w:t>
      </w:r>
    </w:p>
    <w:p w14:paraId="6DAF67FC">
      <w:pPr>
        <w:pStyle w:val="18"/>
        <w:numPr>
          <w:ilvl w:val="0"/>
          <w:numId w:val="0"/>
        </w:numPr>
        <w:adjustRightInd/>
        <w:snapToGrid/>
        <w:spacing w:line="360" w:lineRule="auto"/>
        <w:ind w:firstLine="480" w:firstLineChars="200"/>
        <w:rPr>
          <w:rFonts w:hint="eastAsia" w:asciiTheme="majorEastAsia" w:hAnsiTheme="majorEastAsia" w:eastAsiaTheme="majorEastAsia" w:cstheme="majorEastAsia"/>
          <w:bCs/>
          <w:color w:val="auto"/>
          <w:sz w:val="24"/>
          <w:szCs w:val="24"/>
          <w:highlight w:val="none"/>
          <w:u w:val="single"/>
        </w:rPr>
      </w:pPr>
      <w:r>
        <w:rPr>
          <w:rFonts w:hint="eastAsia" w:ascii="宋体" w:hAnsi="宋体" w:cs="宋体"/>
          <w:bCs/>
          <w:color w:val="auto"/>
          <w:sz w:val="24"/>
          <w:highlight w:val="none"/>
          <w:u w:val="single"/>
        </w:rPr>
        <w:t>4.2</w:t>
      </w:r>
      <w:r>
        <w:rPr>
          <w:rFonts w:hint="eastAsia" w:asciiTheme="majorEastAsia" w:hAnsiTheme="majorEastAsia" w:eastAsiaTheme="majorEastAsia" w:cstheme="majorEastAsia"/>
          <w:bCs/>
          <w:color w:val="auto"/>
          <w:sz w:val="24"/>
          <w:highlight w:val="none"/>
          <w:u w:val="single"/>
        </w:rPr>
        <w:t>关键节点计划工期要求：</w:t>
      </w:r>
      <w:r>
        <w:rPr>
          <w:rFonts w:hint="eastAsia" w:asciiTheme="majorEastAsia" w:hAnsiTheme="majorEastAsia" w:eastAsiaTheme="majorEastAsia" w:cstheme="majorEastAsia"/>
          <w:color w:val="auto"/>
          <w:sz w:val="24"/>
          <w:szCs w:val="24"/>
          <w:highlight w:val="none"/>
          <w:u w:val="none"/>
          <w:lang w:val="en-US" w:eastAsia="zh-CN"/>
        </w:rPr>
        <w:t>（实施时间按照发包人的具体要求为准）</w:t>
      </w:r>
    </w:p>
    <w:tbl>
      <w:tblPr>
        <w:tblStyle w:val="44"/>
        <w:tblW w:w="4586" w:type="pct"/>
        <w:jc w:val="center"/>
        <w:tblLayout w:type="fixed"/>
        <w:tblCellMar>
          <w:top w:w="0" w:type="dxa"/>
          <w:left w:w="108" w:type="dxa"/>
          <w:bottom w:w="0" w:type="dxa"/>
          <w:right w:w="108" w:type="dxa"/>
        </w:tblCellMar>
      </w:tblPr>
      <w:tblGrid>
        <w:gridCol w:w="884"/>
        <w:gridCol w:w="5002"/>
        <w:gridCol w:w="2527"/>
      </w:tblGrid>
      <w:tr w14:paraId="61374481">
        <w:tblPrEx>
          <w:tblCellMar>
            <w:top w:w="0" w:type="dxa"/>
            <w:left w:w="108" w:type="dxa"/>
            <w:bottom w:w="0" w:type="dxa"/>
            <w:right w:w="108" w:type="dxa"/>
          </w:tblCellMar>
        </w:tblPrEx>
        <w:trPr>
          <w:trHeight w:val="567" w:hRule="exact"/>
          <w:tblHeader/>
          <w:jc w:val="center"/>
        </w:trPr>
        <w:tc>
          <w:tcPr>
            <w:tcW w:w="525" w:type="pct"/>
            <w:tcBorders>
              <w:top w:val="single" w:color="000000" w:sz="4" w:space="0"/>
              <w:left w:val="single" w:color="000000" w:sz="4" w:space="0"/>
              <w:bottom w:val="single" w:color="auto" w:sz="4" w:space="0"/>
              <w:right w:val="single" w:color="000000" w:sz="4" w:space="0"/>
            </w:tcBorders>
            <w:noWrap/>
            <w:vAlign w:val="center"/>
          </w:tcPr>
          <w:p w14:paraId="45EBD8B4">
            <w:pPr>
              <w:pStyle w:val="1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972" w:type="pct"/>
            <w:tcBorders>
              <w:top w:val="single" w:color="000000" w:sz="4" w:space="0"/>
              <w:left w:val="single" w:color="000000" w:sz="4" w:space="0"/>
              <w:bottom w:val="single" w:color="auto" w:sz="4" w:space="0"/>
              <w:right w:val="single" w:color="000000" w:sz="4" w:space="0"/>
            </w:tcBorders>
            <w:noWrap/>
            <w:vAlign w:val="center"/>
          </w:tcPr>
          <w:p w14:paraId="06A6F8C7">
            <w:pPr>
              <w:pStyle w:val="1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节点（现场各系统需同步开工）</w:t>
            </w:r>
          </w:p>
        </w:tc>
        <w:tc>
          <w:tcPr>
            <w:tcW w:w="1501" w:type="pct"/>
            <w:tcBorders>
              <w:top w:val="single" w:color="000000" w:sz="4" w:space="0"/>
              <w:left w:val="single" w:color="000000" w:sz="4" w:space="0"/>
              <w:bottom w:val="single" w:color="auto" w:sz="4" w:space="0"/>
              <w:right w:val="single" w:color="000000" w:sz="4" w:space="0"/>
            </w:tcBorders>
            <w:noWrap/>
            <w:vAlign w:val="center"/>
          </w:tcPr>
          <w:p w14:paraId="3AC6A798">
            <w:pPr>
              <w:pStyle w:val="1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工期要求</w:t>
            </w:r>
          </w:p>
        </w:tc>
      </w:tr>
      <w:tr w14:paraId="47DB8F74">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3AFFD91E">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72" w:type="pct"/>
            <w:tcBorders>
              <w:top w:val="single" w:color="auto" w:sz="4" w:space="0"/>
              <w:left w:val="single" w:color="auto" w:sz="4" w:space="0"/>
              <w:bottom w:val="single" w:color="auto" w:sz="4" w:space="0"/>
              <w:right w:val="single" w:color="auto" w:sz="4" w:space="0"/>
            </w:tcBorders>
            <w:noWrap/>
            <w:vAlign w:val="center"/>
          </w:tcPr>
          <w:p w14:paraId="2687D95E">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w:t>
            </w:r>
          </w:p>
        </w:tc>
        <w:tc>
          <w:tcPr>
            <w:tcW w:w="1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27D67">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以监理人正式通知为准</w:t>
            </w:r>
          </w:p>
        </w:tc>
      </w:tr>
      <w:tr w14:paraId="5EC70935">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2F098624">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72" w:type="pct"/>
            <w:tcBorders>
              <w:top w:val="single" w:color="auto" w:sz="4" w:space="0"/>
              <w:left w:val="single" w:color="auto" w:sz="4" w:space="0"/>
              <w:bottom w:val="single" w:color="auto" w:sz="4" w:space="0"/>
              <w:right w:val="single" w:color="auto" w:sz="4" w:space="0"/>
            </w:tcBorders>
            <w:noWrap/>
            <w:vAlign w:val="center"/>
          </w:tcPr>
          <w:p w14:paraId="2AAE032C">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设计现场查勘</w:t>
            </w:r>
          </w:p>
        </w:tc>
        <w:tc>
          <w:tcPr>
            <w:tcW w:w="1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1FC6E">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开工后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w:t>
            </w:r>
          </w:p>
        </w:tc>
      </w:tr>
      <w:tr w14:paraId="078212C8">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5B2AC012">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972" w:type="pct"/>
            <w:tcBorders>
              <w:top w:val="single" w:color="auto" w:sz="4" w:space="0"/>
              <w:left w:val="single" w:color="auto" w:sz="4" w:space="0"/>
              <w:bottom w:val="single" w:color="auto" w:sz="4" w:space="0"/>
              <w:right w:val="single" w:color="auto" w:sz="4" w:space="0"/>
            </w:tcBorders>
            <w:noWrap/>
            <w:vAlign w:val="center"/>
          </w:tcPr>
          <w:p w14:paraId="60ED3BF8">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出具合格施工图。</w:t>
            </w:r>
          </w:p>
        </w:tc>
        <w:tc>
          <w:tcPr>
            <w:tcW w:w="1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7038C">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完成勘察后10</w:t>
            </w:r>
            <w:r>
              <w:rPr>
                <w:rFonts w:hint="eastAsia" w:ascii="宋体" w:hAnsi="宋体" w:eastAsia="宋体" w:cs="宋体"/>
                <w:color w:val="auto"/>
                <w:sz w:val="21"/>
                <w:szCs w:val="21"/>
                <w:highlight w:val="none"/>
              </w:rPr>
              <w:t>天</w:t>
            </w:r>
          </w:p>
        </w:tc>
      </w:tr>
      <w:tr w14:paraId="5159E86A">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43EBF0B2">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972" w:type="pct"/>
            <w:tcBorders>
              <w:top w:val="single" w:color="auto" w:sz="4" w:space="0"/>
              <w:left w:val="single" w:color="auto" w:sz="4" w:space="0"/>
              <w:bottom w:val="single" w:color="auto" w:sz="4" w:space="0"/>
              <w:right w:val="single" w:color="auto" w:sz="4" w:space="0"/>
            </w:tcBorders>
            <w:noWrap/>
            <w:vAlign w:val="center"/>
          </w:tcPr>
          <w:p w14:paraId="62868D78">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完成图纸审查并取得图纸审查合格</w:t>
            </w:r>
            <w:r>
              <w:rPr>
                <w:rFonts w:hint="eastAsia" w:ascii="仿宋_GB2312" w:hAnsi="仿宋_GB2312" w:eastAsia="仿宋_GB2312" w:cs="仿宋_GB2312"/>
                <w:color w:val="auto"/>
                <w:sz w:val="28"/>
                <w:szCs w:val="28"/>
                <w:highlight w:val="none"/>
                <w:u w:val="none"/>
                <w:lang w:val="en-US" w:eastAsia="zh-CN"/>
              </w:rPr>
              <w:t>证</w:t>
            </w:r>
          </w:p>
        </w:tc>
        <w:tc>
          <w:tcPr>
            <w:tcW w:w="1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AC1C8">
            <w:pPr>
              <w:pStyle w:val="18"/>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施工图纸出具后10天</w:t>
            </w:r>
          </w:p>
        </w:tc>
      </w:tr>
      <w:tr w14:paraId="5E54683C">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4F261EAB">
            <w:pPr>
              <w:pStyle w:val="1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972" w:type="pct"/>
            <w:tcBorders>
              <w:top w:val="single" w:color="auto" w:sz="4" w:space="0"/>
              <w:left w:val="single" w:color="auto" w:sz="4" w:space="0"/>
              <w:bottom w:val="single" w:color="auto" w:sz="4" w:space="0"/>
              <w:right w:val="single" w:color="auto" w:sz="4" w:space="0"/>
            </w:tcBorders>
            <w:noWrap/>
            <w:vAlign w:val="center"/>
          </w:tcPr>
          <w:p w14:paraId="321FF116">
            <w:pPr>
              <w:pStyle w:val="1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进场施工</w:t>
            </w:r>
          </w:p>
        </w:tc>
        <w:tc>
          <w:tcPr>
            <w:tcW w:w="1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3167BF">
            <w:pPr>
              <w:pStyle w:val="1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none"/>
                <w:lang w:val="en-US" w:eastAsia="zh-CN"/>
              </w:rPr>
              <w:t>施工图纸出具后2天</w:t>
            </w:r>
          </w:p>
        </w:tc>
      </w:tr>
      <w:tr w14:paraId="46CE3451">
        <w:tblPrEx>
          <w:tblCellMar>
            <w:top w:w="0" w:type="dxa"/>
            <w:left w:w="108" w:type="dxa"/>
            <w:bottom w:w="0" w:type="dxa"/>
            <w:right w:w="108" w:type="dxa"/>
          </w:tblCellMar>
        </w:tblPrEx>
        <w:trPr>
          <w:trHeight w:val="839"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5F562DBA">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2972" w:type="pct"/>
            <w:tcBorders>
              <w:top w:val="single" w:color="auto" w:sz="4" w:space="0"/>
              <w:left w:val="single" w:color="auto" w:sz="4" w:space="0"/>
              <w:bottom w:val="single" w:color="auto" w:sz="4" w:space="0"/>
              <w:right w:val="single" w:color="auto" w:sz="4" w:space="0"/>
            </w:tcBorders>
            <w:noWrap/>
            <w:vAlign w:val="center"/>
          </w:tcPr>
          <w:p w14:paraId="0081CABA">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完成</w:t>
            </w:r>
            <w:r>
              <w:rPr>
                <w:rFonts w:hint="eastAsia" w:ascii="宋体" w:hAnsi="宋体" w:eastAsia="宋体" w:cs="宋体"/>
                <w:color w:val="auto"/>
                <w:kern w:val="2"/>
                <w:sz w:val="21"/>
                <w:szCs w:val="21"/>
                <w:highlight w:val="none"/>
                <w:lang w:eastAsia="zh-CN"/>
              </w:rPr>
              <w:t>火灾预警系统和联动控制系统、消防供水与消火栓系统、防烟排烟与安全疏散系统的维修或更换施工</w:t>
            </w:r>
          </w:p>
        </w:tc>
        <w:tc>
          <w:tcPr>
            <w:tcW w:w="1501" w:type="pct"/>
            <w:tcBorders>
              <w:top w:val="single" w:color="auto" w:sz="4" w:space="0"/>
              <w:left w:val="single" w:color="auto" w:sz="4" w:space="0"/>
              <w:bottom w:val="single" w:color="auto" w:sz="4" w:space="0"/>
              <w:right w:val="single" w:color="auto" w:sz="4" w:space="0"/>
            </w:tcBorders>
            <w:noWrap/>
            <w:vAlign w:val="center"/>
          </w:tcPr>
          <w:p w14:paraId="51F316C2">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开工后180天</w:t>
            </w:r>
          </w:p>
        </w:tc>
      </w:tr>
      <w:tr w14:paraId="29F3B178">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016939A1">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2972" w:type="pct"/>
            <w:tcBorders>
              <w:top w:val="single" w:color="auto" w:sz="4" w:space="0"/>
              <w:left w:val="single" w:color="auto" w:sz="4" w:space="0"/>
              <w:bottom w:val="single" w:color="auto" w:sz="4" w:space="0"/>
              <w:right w:val="single" w:color="auto" w:sz="4" w:space="0"/>
            </w:tcBorders>
            <w:noWrap/>
            <w:vAlign w:val="center"/>
          </w:tcPr>
          <w:p w14:paraId="19C0C750">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完成气体灭火系统、</w:t>
            </w:r>
            <w:r>
              <w:rPr>
                <w:rFonts w:hint="eastAsia" w:ascii="宋体" w:hAnsi="宋体" w:eastAsia="宋体" w:cs="宋体"/>
                <w:color w:val="auto"/>
                <w:kern w:val="2"/>
                <w:sz w:val="21"/>
                <w:szCs w:val="21"/>
                <w:highlight w:val="none"/>
                <w:lang w:eastAsia="zh-CN"/>
              </w:rPr>
              <w:t>消防防火门的维修或更换</w:t>
            </w:r>
            <w:r>
              <w:rPr>
                <w:rFonts w:hint="eastAsia" w:ascii="宋体" w:hAnsi="宋体" w:eastAsia="宋体" w:cs="宋体"/>
                <w:color w:val="auto"/>
                <w:sz w:val="21"/>
                <w:szCs w:val="21"/>
                <w:highlight w:val="none"/>
                <w:u w:val="none"/>
                <w:lang w:val="en-US" w:eastAsia="zh-CN"/>
              </w:rPr>
              <w:t>施工</w:t>
            </w:r>
          </w:p>
        </w:tc>
        <w:tc>
          <w:tcPr>
            <w:tcW w:w="1501" w:type="pct"/>
            <w:tcBorders>
              <w:top w:val="single" w:color="auto" w:sz="4" w:space="0"/>
              <w:left w:val="single" w:color="auto" w:sz="4" w:space="0"/>
              <w:bottom w:val="single" w:color="auto" w:sz="4" w:space="0"/>
              <w:right w:val="single" w:color="auto" w:sz="4" w:space="0"/>
            </w:tcBorders>
            <w:noWrap/>
            <w:vAlign w:val="center"/>
          </w:tcPr>
          <w:p w14:paraId="23A66286">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开工后220天</w:t>
            </w:r>
          </w:p>
        </w:tc>
      </w:tr>
      <w:tr w14:paraId="55D39596">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5EC3AFA6">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2972" w:type="pct"/>
            <w:tcBorders>
              <w:top w:val="single" w:color="auto" w:sz="4" w:space="0"/>
              <w:left w:val="single" w:color="auto" w:sz="4" w:space="0"/>
              <w:bottom w:val="single" w:color="auto" w:sz="4" w:space="0"/>
              <w:right w:val="single" w:color="auto" w:sz="4" w:space="0"/>
            </w:tcBorders>
            <w:noWrap/>
            <w:vAlign w:val="center"/>
          </w:tcPr>
          <w:p w14:paraId="1C65208E">
            <w:pPr>
              <w:pStyle w:val="18"/>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完成消防工程系统调试</w:t>
            </w:r>
          </w:p>
        </w:tc>
        <w:tc>
          <w:tcPr>
            <w:tcW w:w="1501" w:type="pct"/>
            <w:tcBorders>
              <w:top w:val="single" w:color="auto" w:sz="4" w:space="0"/>
              <w:left w:val="single" w:color="auto" w:sz="4" w:space="0"/>
              <w:bottom w:val="single" w:color="auto" w:sz="4" w:space="0"/>
              <w:right w:val="single" w:color="auto" w:sz="4" w:space="0"/>
            </w:tcBorders>
            <w:noWrap/>
            <w:vAlign w:val="center"/>
          </w:tcPr>
          <w:p w14:paraId="2B596E2B">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开工后230天</w:t>
            </w:r>
          </w:p>
        </w:tc>
      </w:tr>
      <w:tr w14:paraId="27951CEC">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2CDA7443">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2972" w:type="pct"/>
            <w:tcBorders>
              <w:top w:val="single" w:color="auto" w:sz="4" w:space="0"/>
              <w:left w:val="single" w:color="auto" w:sz="4" w:space="0"/>
              <w:bottom w:val="single" w:color="auto" w:sz="4" w:space="0"/>
              <w:right w:val="single" w:color="auto" w:sz="4" w:space="0"/>
            </w:tcBorders>
            <w:noWrap/>
            <w:vAlign w:val="center"/>
          </w:tcPr>
          <w:p w14:paraId="0703EC92">
            <w:pPr>
              <w:pStyle w:val="18"/>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组织验收</w:t>
            </w:r>
          </w:p>
        </w:tc>
        <w:tc>
          <w:tcPr>
            <w:tcW w:w="1501" w:type="pct"/>
            <w:tcBorders>
              <w:top w:val="single" w:color="auto" w:sz="4" w:space="0"/>
              <w:left w:val="single" w:color="auto" w:sz="4" w:space="0"/>
              <w:bottom w:val="single" w:color="auto" w:sz="4" w:space="0"/>
              <w:right w:val="single" w:color="auto" w:sz="4" w:space="0"/>
            </w:tcBorders>
            <w:noWrap/>
            <w:vAlign w:val="center"/>
          </w:tcPr>
          <w:p w14:paraId="60E5AC0D">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开工后235天</w:t>
            </w:r>
          </w:p>
        </w:tc>
      </w:tr>
    </w:tbl>
    <w:p w14:paraId="3CEF6E1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u w:val="single"/>
        </w:rPr>
        <w:t>4.3发包人有权根据工程实际情况，对本工程中的工序及施工顺序进行适当合理调整，承包人必须采取一切有效措施配合及不得延误总工期，并不得要求另行增加费用。以上工期包含春节假期等法定节假日。</w:t>
      </w:r>
    </w:p>
    <w:p w14:paraId="1944ABDA">
      <w:pPr>
        <w:adjustRightInd w:val="0"/>
        <w:snapToGrid w:val="0"/>
        <w:spacing w:line="360" w:lineRule="auto"/>
        <w:ind w:firstLine="482" w:firstLineChars="200"/>
        <w:outlineLvl w:val="1"/>
        <w:rPr>
          <w:rFonts w:ascii="宋体" w:hAnsi="宋体" w:cs="宋体"/>
          <w:b/>
          <w:color w:val="auto"/>
          <w:sz w:val="24"/>
          <w:highlight w:val="none"/>
        </w:rPr>
      </w:pPr>
      <w:bookmarkStart w:id="8" w:name="_Toc10111"/>
      <w:r>
        <w:rPr>
          <w:rFonts w:hint="eastAsia" w:ascii="宋体" w:hAnsi="宋体" w:cs="宋体"/>
          <w:b/>
          <w:color w:val="auto"/>
          <w:sz w:val="24"/>
          <w:highlight w:val="none"/>
        </w:rPr>
        <w:t>五、质量、安全文明施工标准与检查</w:t>
      </w:r>
      <w:bookmarkEnd w:id="8"/>
    </w:p>
    <w:p w14:paraId="1044B4A9">
      <w:pPr>
        <w:widowControl w:val="0"/>
        <w:spacing w:line="360" w:lineRule="auto"/>
        <w:ind w:firstLine="480" w:firstLineChars="200"/>
        <w:jc w:val="left"/>
        <w:rPr>
          <w:rFonts w:ascii="宋体" w:hAnsi="宋体" w:cs="宋体"/>
          <w:b/>
          <w:color w:val="auto"/>
          <w:sz w:val="24"/>
          <w:highlight w:val="none"/>
        </w:rPr>
      </w:pPr>
      <w:r>
        <w:rPr>
          <w:rFonts w:hint="eastAsia"/>
          <w:snapToGrid w:val="0"/>
          <w:color w:val="auto"/>
          <w:kern w:val="0"/>
          <w:sz w:val="24"/>
          <w:highlight w:val="none"/>
          <w:lang w:val="zh-TW" w:bidi="zh-TW"/>
        </w:rPr>
        <w:t>本工程按照国家有关规定、规范进行施工、验收，具体以施工图纸及相关技术和验收标准、发包人相关规定要求为准。</w:t>
      </w:r>
    </w:p>
    <w:p w14:paraId="7D9E0B43">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5.1设计质量标准：</w:t>
      </w:r>
    </w:p>
    <w:p w14:paraId="605F1C8A">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5.1.1</w:t>
      </w:r>
      <w:r>
        <w:rPr>
          <w:rFonts w:hint="eastAsia"/>
          <w:snapToGrid w:val="0"/>
          <w:color w:val="auto"/>
          <w:kern w:val="0"/>
          <w:sz w:val="24"/>
          <w:highlight w:val="none"/>
          <w:u w:val="single"/>
          <w:lang w:val="zh-TW" w:bidi="zh-TW"/>
        </w:rPr>
        <w:t>本工程采用的工程建设标准、规范为竣工验收时的设计标准，及中华人民共和国的法律、行政法规、司法解释、部门规章、地方性法规、广东省及广州市同时期有效的法规和相关的工程设计技术规范、规定及标准等；且还必须满足广东省消防安全委员会办公室关</w:t>
      </w:r>
      <w:r>
        <w:rPr>
          <w:rFonts w:hint="eastAsia"/>
          <w:snapToGrid w:val="0"/>
          <w:color w:val="auto"/>
          <w:kern w:val="0"/>
          <w:sz w:val="24"/>
          <w:highlight w:val="none"/>
          <w:u w:val="single"/>
          <w:lang w:val="zh-TW" w:eastAsia="zh-CN" w:bidi="zh-TW"/>
        </w:rPr>
        <w:t>于</w:t>
      </w:r>
      <w:r>
        <w:rPr>
          <w:rFonts w:hint="eastAsia"/>
          <w:snapToGrid w:val="0"/>
          <w:color w:val="auto"/>
          <w:kern w:val="0"/>
          <w:sz w:val="24"/>
          <w:highlight w:val="none"/>
          <w:u w:val="single"/>
          <w:lang w:val="zh-TW" w:bidi="zh-TW"/>
        </w:rPr>
        <w:t>《全省火灾隐患重点地区整治工作验收标准》的要求。</w:t>
      </w:r>
    </w:p>
    <w:p w14:paraId="01EEEBD2">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5.1.2符合《建设工程质量管理条例》及《建设工程勘察设计管理条例》等国家及地方有关工程设计管理法规和规章，达到《建筑工程设计文件编制深度规定》（2016年版）深度及行业相关规范技术标准，符合发包人提出的设计深度和设计深化要求，严格按发包人上级部门发布的《广州安居集团有限公司建设工程设计管理办法（试行）》等相关要求开展设计</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作，杜绝出现《广州安居集团保障性住房项目设计评价标准及负面清单（试行）》中负面清单问题。</w:t>
      </w:r>
    </w:p>
    <w:p w14:paraId="21188083">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u w:val="single"/>
        </w:rPr>
        <w:t>5.1.3本工程实施中采购的材料、设备与工艺，都必须符合上述标准、规范及设计文件、发包人规章制度的相应要求。</w:t>
      </w:r>
    </w:p>
    <w:p w14:paraId="39E35D59">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5.2施工质量标准：</w:t>
      </w:r>
    </w:p>
    <w:p w14:paraId="1A1FF123">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5.2.1确保符合国家、省、市或行业现行的《建筑工程施工质量验收统一标准》及相应配套的各专业验收规范（如在合同执行期间有新的规范标准，按新的规范标准执行），单位工程验收合格率100%，并达到合格或（以上标准），确保一次验收合格，满足发包人的工程质量要求。</w:t>
      </w:r>
    </w:p>
    <w:p w14:paraId="3C6F8AFA">
      <w:pPr>
        <w:widowControl/>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5.2.2满足并达到广东省消防安全委员会办公室关于《全省火灾隐患重点地区整治工作验收标准》要求。</w:t>
      </w:r>
    </w:p>
    <w:p w14:paraId="36929035">
      <w:pPr>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5.3安全文明施工标准：</w:t>
      </w:r>
      <w:r>
        <w:rPr>
          <w:rFonts w:hint="eastAsia" w:ascii="宋体" w:hAnsi="宋体" w:cs="宋体"/>
          <w:color w:val="auto"/>
          <w:sz w:val="24"/>
          <w:highlight w:val="none"/>
          <w:u w:val="single"/>
        </w:rPr>
        <w:t>保证施工场地清洁、扬尘及噪音管理符合环境卫生管理的有关规定，确保不发生一般事故等级及以上的安全生产事故且死亡人数为零。</w:t>
      </w:r>
    </w:p>
    <w:p w14:paraId="11C3392F">
      <w:pPr>
        <w:pStyle w:val="3"/>
        <w:ind w:firstLine="482" w:firstLineChars="200"/>
        <w:rPr>
          <w:rFonts w:ascii="宋体" w:eastAsia="宋体"/>
          <w:b/>
          <w:bCs w:val="0"/>
          <w:color w:val="auto"/>
          <w:sz w:val="24"/>
          <w:szCs w:val="24"/>
          <w:highlight w:val="none"/>
        </w:rPr>
      </w:pPr>
      <w:bookmarkStart w:id="9" w:name="_Toc13692"/>
      <w:r>
        <w:rPr>
          <w:rFonts w:hint="eastAsia" w:ascii="宋体" w:eastAsia="宋体"/>
          <w:b/>
          <w:bCs w:val="0"/>
          <w:color w:val="auto"/>
          <w:sz w:val="24"/>
          <w:szCs w:val="24"/>
          <w:highlight w:val="none"/>
        </w:rPr>
        <w:t>5.4施工现场建筑垃圾源头减量及建筑垃圾综合利用产品的使用要求：</w:t>
      </w:r>
      <w:bookmarkEnd w:id="9"/>
    </w:p>
    <w:p w14:paraId="4CF05CCD">
      <w:pPr>
        <w:widowControl w:val="0"/>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5.4.</w:t>
      </w:r>
      <w:r>
        <w:rPr>
          <w:rFonts w:hint="eastAsia"/>
          <w:snapToGrid w:val="0"/>
          <w:color w:val="auto"/>
          <w:kern w:val="0"/>
          <w:sz w:val="24"/>
          <w:highlight w:val="none"/>
          <w:lang w:bidi="zh-TW"/>
        </w:rPr>
        <w:t>1</w:t>
      </w:r>
      <w:r>
        <w:rPr>
          <w:rFonts w:hint="eastAsia"/>
          <w:snapToGrid w:val="0"/>
          <w:color w:val="auto"/>
          <w:kern w:val="0"/>
          <w:sz w:val="24"/>
          <w:highlight w:val="none"/>
          <w:lang w:val="zh-TW" w:bidi="zh-TW"/>
        </w:rPr>
        <w:t>承包人应当编制建筑垃圾处理方案，采取污染防治措施，并在开工前报工程所在地建筑垃圾主管部门备案。建筑垃圾处理方案内容有调整的，应当及时报告接受备案的部门。建筑垃圾处理方案应当包括下列内容：</w:t>
      </w:r>
    </w:p>
    <w:p w14:paraId="4FC1DC07">
      <w:pPr>
        <w:widowControl w:val="0"/>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1</w:t>
      </w:r>
      <w:r>
        <w:rPr>
          <w:rFonts w:hint="eastAsia"/>
          <w:snapToGrid w:val="0"/>
          <w:color w:val="auto"/>
          <w:kern w:val="0"/>
          <w:sz w:val="24"/>
          <w:highlight w:val="none"/>
          <w:lang w:val="zh-TW" w:bidi="zh-TW"/>
        </w:rPr>
        <w:t>）工程概况和承包人基本信息；</w:t>
      </w:r>
    </w:p>
    <w:p w14:paraId="0C96A0A0">
      <w:pPr>
        <w:widowControl w:val="0"/>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2</w:t>
      </w:r>
      <w:r>
        <w:rPr>
          <w:rFonts w:hint="eastAsia"/>
          <w:snapToGrid w:val="0"/>
          <w:color w:val="auto"/>
          <w:kern w:val="0"/>
          <w:sz w:val="24"/>
          <w:highlight w:val="none"/>
          <w:lang w:val="zh-TW" w:bidi="zh-TW"/>
        </w:rPr>
        <w:t>）建筑垃圾产生量与种类；</w:t>
      </w:r>
    </w:p>
    <w:p w14:paraId="7E2C2167">
      <w:pPr>
        <w:widowControl w:val="0"/>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3</w:t>
      </w:r>
      <w:r>
        <w:rPr>
          <w:rFonts w:hint="eastAsia"/>
          <w:snapToGrid w:val="0"/>
          <w:color w:val="auto"/>
          <w:kern w:val="0"/>
          <w:sz w:val="24"/>
          <w:highlight w:val="none"/>
          <w:lang w:val="zh-TW" w:bidi="zh-TW"/>
        </w:rPr>
        <w:t>）建筑垃圾源头减量、分类收集、综合利用、污染防治的措施和目标；</w:t>
      </w:r>
    </w:p>
    <w:p w14:paraId="385E5399">
      <w:pPr>
        <w:widowControl w:val="0"/>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4</w:t>
      </w:r>
      <w:r>
        <w:rPr>
          <w:rFonts w:hint="eastAsia"/>
          <w:snapToGrid w:val="0"/>
          <w:color w:val="auto"/>
          <w:kern w:val="0"/>
          <w:sz w:val="24"/>
          <w:highlight w:val="none"/>
          <w:lang w:val="zh-TW" w:bidi="zh-TW"/>
        </w:rPr>
        <w:t>）需要外运的建筑垃圾种类、数量与运输的时间、路线、方式和运输单位；</w:t>
      </w:r>
    </w:p>
    <w:p w14:paraId="292659E4">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5</w:t>
      </w:r>
      <w:r>
        <w:rPr>
          <w:rFonts w:hint="eastAsia"/>
          <w:snapToGrid w:val="0"/>
          <w:color w:val="auto"/>
          <w:kern w:val="0"/>
          <w:sz w:val="24"/>
          <w:highlight w:val="none"/>
          <w:lang w:val="zh-TW" w:bidi="zh-TW"/>
        </w:rPr>
        <w:t>）建筑垃圾回填、消纳、综合利用场所名称；</w:t>
      </w:r>
    </w:p>
    <w:p w14:paraId="635B942D">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6</w:t>
      </w:r>
      <w:r>
        <w:rPr>
          <w:rFonts w:hint="eastAsia"/>
          <w:snapToGrid w:val="0"/>
          <w:color w:val="auto"/>
          <w:kern w:val="0"/>
          <w:sz w:val="24"/>
          <w:highlight w:val="none"/>
          <w:lang w:val="zh-TW" w:bidi="zh-TW"/>
        </w:rPr>
        <w:t>）法律、法规规定的其他内容。</w:t>
      </w:r>
    </w:p>
    <w:p w14:paraId="76DD74C7">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bidi="zh-TW"/>
        </w:rPr>
        <w:t>5.4.2</w:t>
      </w:r>
      <w:r>
        <w:rPr>
          <w:rFonts w:hint="eastAsia"/>
          <w:snapToGrid w:val="0"/>
          <w:color w:val="auto"/>
          <w:kern w:val="0"/>
          <w:sz w:val="24"/>
          <w:highlight w:val="none"/>
          <w:lang w:val="zh-TW" w:bidi="zh-TW"/>
        </w:rPr>
        <w:t>建筑垃圾应当按照国家有关规定进行分类，实行分类收集、分类贮存、分类运输、分类处置。</w:t>
      </w:r>
    </w:p>
    <w:p w14:paraId="64119AFA">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bidi="zh-TW"/>
        </w:rPr>
        <w:t>5.4.3</w:t>
      </w:r>
      <w:r>
        <w:rPr>
          <w:rFonts w:hint="eastAsia"/>
          <w:snapToGrid w:val="0"/>
          <w:color w:val="auto"/>
          <w:kern w:val="0"/>
          <w:sz w:val="24"/>
          <w:highlight w:val="none"/>
          <w:lang w:val="zh-TW" w:bidi="zh-TW"/>
        </w:rPr>
        <w:t>承包应开展建筑垃圾分类和合法装载，并及时向工程所在地建筑垃圾主管部门报送建筑垃圾处理方案。承包人应当建立建筑垃圾管理台账，分类收集、贮存和及时清运施工过程中产生的建筑垃圾，采取有效措施防止混合已分类的建筑垃圾。承包人应当将建筑垃圾的产生量与种类、清运时间、最终去向等信息在施工现场公示，接受社会监督。</w:t>
      </w:r>
    </w:p>
    <w:p w14:paraId="666C2F6D">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bidi="zh-TW"/>
        </w:rPr>
        <w:t>5.4.4</w:t>
      </w:r>
      <w:r>
        <w:rPr>
          <w:rFonts w:hint="eastAsia"/>
          <w:snapToGrid w:val="0"/>
          <w:color w:val="auto"/>
          <w:kern w:val="0"/>
          <w:sz w:val="24"/>
          <w:highlight w:val="none"/>
          <w:lang w:val="zh-TW" w:bidi="zh-TW"/>
        </w:rPr>
        <w:t>运输建筑垃圾应当遵守下列规定：</w:t>
      </w:r>
    </w:p>
    <w:p w14:paraId="272AE66E">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1</w:t>
      </w:r>
      <w:r>
        <w:rPr>
          <w:rFonts w:hint="eastAsia"/>
          <w:snapToGrid w:val="0"/>
          <w:color w:val="auto"/>
          <w:kern w:val="0"/>
          <w:sz w:val="24"/>
          <w:highlight w:val="none"/>
          <w:lang w:val="zh-TW" w:bidi="zh-TW"/>
        </w:rPr>
        <w:t>）建立建筑垃圾运输管理台账；</w:t>
      </w:r>
    </w:p>
    <w:p w14:paraId="387A6F4B">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2</w:t>
      </w:r>
      <w:r>
        <w:rPr>
          <w:rFonts w:hint="eastAsia"/>
          <w:snapToGrid w:val="0"/>
          <w:color w:val="auto"/>
          <w:kern w:val="0"/>
          <w:sz w:val="24"/>
          <w:highlight w:val="none"/>
          <w:lang w:val="zh-TW" w:bidi="zh-TW"/>
        </w:rPr>
        <w:t>）不得将工程渣土、工程泥浆与其他建筑垃圾混合运输；</w:t>
      </w:r>
    </w:p>
    <w:p w14:paraId="56D77EBA">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3</w:t>
      </w:r>
      <w:r>
        <w:rPr>
          <w:rFonts w:hint="eastAsia"/>
          <w:snapToGrid w:val="0"/>
          <w:color w:val="auto"/>
          <w:kern w:val="0"/>
          <w:sz w:val="24"/>
          <w:highlight w:val="none"/>
          <w:lang w:val="zh-TW" w:bidi="zh-TW"/>
        </w:rPr>
        <w:t>）保持运输车辆、船舶等运输工具的行驶记录、卫星定位等电子装置正常使用；</w:t>
      </w:r>
    </w:p>
    <w:p w14:paraId="23CF1A9C">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4</w:t>
      </w:r>
      <w:r>
        <w:rPr>
          <w:rFonts w:hint="eastAsia"/>
          <w:snapToGrid w:val="0"/>
          <w:color w:val="auto"/>
          <w:kern w:val="0"/>
          <w:sz w:val="24"/>
          <w:highlight w:val="none"/>
          <w:lang w:val="zh-TW" w:bidi="zh-TW"/>
        </w:rPr>
        <w:t>）运输过程中保持运输工具整洁，采取密闭或者其他有效措施防止遗撒建筑垃圾，不得擅自倾倒、抛撒建筑垃圾；</w:t>
      </w:r>
    </w:p>
    <w:p w14:paraId="7BF48698">
      <w:pPr>
        <w:widowControl w:val="0"/>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5</w:t>
      </w:r>
      <w:r>
        <w:rPr>
          <w:rFonts w:hint="eastAsia"/>
          <w:snapToGrid w:val="0"/>
          <w:color w:val="auto"/>
          <w:kern w:val="0"/>
          <w:sz w:val="24"/>
          <w:highlight w:val="none"/>
          <w:lang w:val="zh-TW" w:bidi="zh-TW"/>
        </w:rPr>
        <w:t>）按照建筑垃圾处理方案确定的时间、路线、方式、场所进行运输。建筑垃圾运输车辆、船舶应当符合相应的载运技术条件。建筑垃圾处置场所为陆域的，不得采用开底式船舶运输建筑垃圾。</w:t>
      </w:r>
    </w:p>
    <w:p w14:paraId="53262265">
      <w:pPr>
        <w:widowControl w:val="0"/>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bidi="zh-TW"/>
        </w:rPr>
        <w:t>5.4.5</w:t>
      </w:r>
      <w:r>
        <w:rPr>
          <w:rFonts w:hint="eastAsia"/>
          <w:snapToGrid w:val="0"/>
          <w:color w:val="auto"/>
          <w:kern w:val="0"/>
          <w:sz w:val="24"/>
          <w:highlight w:val="none"/>
          <w:lang w:val="zh-TW" w:bidi="zh-TW"/>
        </w:rPr>
        <w:t>工程泥浆应当在施工现场进行脱水固化处理。施工现场不具备条件的，应当采用罐装器具密闭运输至依法设置的建筑垃圾处置场所进行处置。水上工程中依法无需经脱水处理的除外。建筑垃圾应当按照下列方式，优先就地就近利用：</w:t>
      </w:r>
    </w:p>
    <w:p w14:paraId="5A5CAE60">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1</w:t>
      </w:r>
      <w:r>
        <w:rPr>
          <w:rFonts w:hint="eastAsia"/>
          <w:snapToGrid w:val="0"/>
          <w:color w:val="auto"/>
          <w:kern w:val="0"/>
          <w:sz w:val="24"/>
          <w:highlight w:val="none"/>
          <w:lang w:val="zh-TW" w:bidi="zh-TW"/>
        </w:rPr>
        <w:t>）工程渣土及脱水后的工程泥浆优先用于土方平衡、矿坑修复、环境治理、烧结制品及回填等；</w:t>
      </w:r>
    </w:p>
    <w:p w14:paraId="17E1A039">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2</w:t>
      </w:r>
      <w:r>
        <w:rPr>
          <w:rFonts w:hint="eastAsia"/>
          <w:snapToGrid w:val="0"/>
          <w:color w:val="auto"/>
          <w:kern w:val="0"/>
          <w:sz w:val="24"/>
          <w:highlight w:val="none"/>
          <w:lang w:val="zh-TW" w:bidi="zh-TW"/>
        </w:rPr>
        <w:t>）工程垃圾、拆除垃圾和装修垃圾优先用于生产再生骨料、再生砖、再生砌块、再生沥青混合料等建筑垃圾综合利用产品。具备现场综合利用条件的建设工程，应当进行建筑垃圾现场综合利用。</w:t>
      </w:r>
    </w:p>
    <w:p w14:paraId="7448C050">
      <w:pPr>
        <w:adjustRightInd w:val="0"/>
        <w:snapToGrid w:val="0"/>
        <w:spacing w:line="360" w:lineRule="auto"/>
        <w:ind w:firstLine="480" w:firstLineChars="200"/>
        <w:rPr>
          <w:rFonts w:ascii="宋体" w:hAnsi="宋体" w:cs="宋体"/>
          <w:b/>
          <w:color w:val="auto"/>
          <w:sz w:val="24"/>
          <w:highlight w:val="none"/>
        </w:rPr>
      </w:pPr>
      <w:r>
        <w:rPr>
          <w:rFonts w:hint="eastAsia"/>
          <w:snapToGrid w:val="0"/>
          <w:color w:val="auto"/>
          <w:kern w:val="0"/>
          <w:sz w:val="24"/>
          <w:highlight w:val="none"/>
          <w:lang w:val="zh-TW" w:bidi="zh-TW"/>
        </w:rPr>
        <w:t>发包人和承包人严格遵守并执行《广东省建筑垃圾管理条例》。</w:t>
      </w:r>
    </w:p>
    <w:p w14:paraId="21B51A17">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5.5检查和返工</w:t>
      </w:r>
    </w:p>
    <w:p w14:paraId="7EB90459">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5.5.1承包人应认真按照标准、规范和设计图纸要求以及发包人或其指定第三人、监理人依据合同发出的指令施工，随时接受发包人的检查检验，为检查检验提供便利条件。工程质量达不到约定标准的部分，发包人一经发现，应要求承包人拆除和重新施工。承包人应按发包人的要求拆除和重新施工，直到符合约定标准。因承包人原因达不到约定标准，由承包人承担拆除和返工的费用，工期不予顺延。</w:t>
      </w:r>
    </w:p>
    <w:p w14:paraId="28278B40">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5.5.2发包人或其指定第三人、监理人的检查检验不应影响施工正常进行。如影响施工正常进行，检查检验不合格时，影响正常施工的费用由承包人承担。</w:t>
      </w:r>
    </w:p>
    <w:p w14:paraId="6F86C180">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5.5.3因发包人或其指定第三人指令失误或其他非承包人原因发生的追加合同价款，由发包人承担。</w:t>
      </w:r>
    </w:p>
    <w:p w14:paraId="728A1C1B">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5.6隐蔽工程的中间验收</w:t>
      </w:r>
    </w:p>
    <w:p w14:paraId="316B28DC">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双方约定中间验收的部位：按相关规范标准执行</w:t>
      </w:r>
      <w:r>
        <w:rPr>
          <w:rFonts w:hint="eastAsia" w:ascii="宋体" w:hAnsi="宋体" w:cs="宋体"/>
          <w:color w:val="auto"/>
          <w:sz w:val="24"/>
          <w:highlight w:val="none"/>
        </w:rPr>
        <w:t>。</w:t>
      </w:r>
    </w:p>
    <w:p w14:paraId="2756B9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当工程具备覆盖、掩盖条件或达到中间验收部位以前，承包人自检，并于48小时前书面通知发包人、监理人检验。验收合格，发包人、监理人在验收记录上签字后，方可进行隐蔽和继续施工。验收不合格，承包人在限定时间内修改后重新验收，所需费用由承包人承担，不能影响工期。</w:t>
      </w:r>
    </w:p>
    <w:p w14:paraId="18CA9B27">
      <w:pPr>
        <w:adjustRightInd w:val="0"/>
        <w:snapToGrid w:val="0"/>
        <w:spacing w:line="360" w:lineRule="auto"/>
        <w:ind w:firstLine="482" w:firstLineChars="200"/>
        <w:outlineLvl w:val="1"/>
        <w:rPr>
          <w:rFonts w:ascii="宋体" w:hAnsi="宋体" w:cs="宋体"/>
          <w:b/>
          <w:color w:val="auto"/>
          <w:sz w:val="24"/>
          <w:highlight w:val="none"/>
        </w:rPr>
      </w:pPr>
      <w:bookmarkStart w:id="10" w:name="_Toc25158"/>
      <w:r>
        <w:rPr>
          <w:rFonts w:hint="eastAsia" w:ascii="宋体" w:hAnsi="宋体" w:cs="宋体"/>
          <w:b/>
          <w:color w:val="auto"/>
          <w:sz w:val="24"/>
          <w:highlight w:val="none"/>
        </w:rPr>
        <w:t>六、合同价款</w:t>
      </w:r>
      <w:bookmarkEnd w:id="10"/>
    </w:p>
    <w:p w14:paraId="1CDF7C2C">
      <w:pPr>
        <w:autoSpaceDE w:val="0"/>
        <w:autoSpaceDN w:val="0"/>
        <w:adjustRightInd w:val="0"/>
        <w:snapToGrid w:val="0"/>
        <w:spacing w:line="360" w:lineRule="auto"/>
        <w:ind w:firstLine="482" w:firstLineChars="200"/>
        <w:jc w:val="both"/>
        <w:rPr>
          <w:rFonts w:ascii="宋体" w:hAnsi="宋体" w:cs="宋体"/>
          <w:color w:val="auto"/>
          <w:kern w:val="0"/>
          <w:sz w:val="24"/>
          <w:highlight w:val="none"/>
          <w:lang w:val="zh-CN"/>
        </w:rPr>
      </w:pPr>
      <w:r>
        <w:rPr>
          <w:rFonts w:hint="eastAsia" w:ascii="宋体" w:hAnsi="宋体" w:cs="宋体"/>
          <w:b/>
          <w:color w:val="auto"/>
          <w:sz w:val="24"/>
          <w:highlight w:val="none"/>
        </w:rPr>
        <w:t>6.1暂定合同含税总价：</w:t>
      </w:r>
      <w:r>
        <w:rPr>
          <w:rFonts w:hint="eastAsia" w:ascii="宋体" w:hAnsi="宋体" w:cs="宋体"/>
          <w:color w:val="auto"/>
          <w:sz w:val="24"/>
          <w:highlight w:val="none"/>
        </w:rPr>
        <w:t>（大写）</w:t>
      </w:r>
      <w:r>
        <w:rPr>
          <w:rFonts w:hint="eastAsia" w:ascii="宋体" w:hAnsi="宋体" w:cs="宋体"/>
          <w:color w:val="auto"/>
          <w:sz w:val="24"/>
          <w:highlight w:val="none"/>
          <w:u w:val="non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。其中：</w:t>
      </w:r>
    </w:p>
    <w:p w14:paraId="46172DC8">
      <w:pPr>
        <w:adjustRightInd w:val="0"/>
        <w:snapToGrid w:val="0"/>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6.1.1暂定设计费：</w:t>
      </w:r>
      <w:r>
        <w:rPr>
          <w:rFonts w:hint="eastAsia" w:ascii="宋体" w:hAnsi="宋体" w:cs="宋体"/>
          <w:color w:val="auto"/>
          <w:sz w:val="24"/>
          <w:highlight w:val="none"/>
        </w:rPr>
        <w:t>含税总价款为（大写）</w:t>
      </w:r>
      <w:r>
        <w:rPr>
          <w:rFonts w:hint="eastAsia" w:ascii="宋体" w:hAnsi="宋体" w:cs="宋体"/>
          <w:color w:val="auto"/>
          <w:sz w:val="24"/>
          <w:highlight w:val="none"/>
          <w:u w:val="non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其中：不含税总金额为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；增值税金额为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；税率为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p w14:paraId="4B93CB0E">
      <w:pPr>
        <w:adjustRightInd w:val="0"/>
        <w:snapToGrid w:val="0"/>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6.1.2暂定建安工程费：</w:t>
      </w:r>
      <w:r>
        <w:rPr>
          <w:rFonts w:hint="eastAsia" w:ascii="宋体" w:hAnsi="宋体" w:cs="宋体"/>
          <w:color w:val="auto"/>
          <w:sz w:val="24"/>
          <w:highlight w:val="none"/>
        </w:rPr>
        <w:t>含税总价款为（大写）</w:t>
      </w:r>
      <w:r>
        <w:rPr>
          <w:rFonts w:hint="eastAsia" w:ascii="宋体" w:hAnsi="宋体" w:cs="宋体"/>
          <w:color w:val="auto"/>
          <w:sz w:val="24"/>
          <w:highlight w:val="none"/>
          <w:u w:val="non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其中：不含税总金额为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；增值税金额为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；税率为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p w14:paraId="4C16C34C">
      <w:pPr>
        <w:adjustRightInd w:val="0"/>
        <w:snapToGrid w:val="0"/>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rPr>
        <w:t>6.1.2.1</w:t>
      </w:r>
      <w:r>
        <w:rPr>
          <w:rFonts w:hint="eastAsia" w:ascii="宋体" w:hAnsi="宋体" w:cs="宋体"/>
          <w:b/>
          <w:color w:val="auto"/>
          <w:sz w:val="24"/>
          <w:highlight w:val="none"/>
        </w:rPr>
        <w:t>其中暂列金额(非竞争性费用)：</w:t>
      </w:r>
      <w:r>
        <w:rPr>
          <w:rFonts w:hint="eastAsia" w:ascii="宋体" w:hAnsi="宋体" w:cs="宋体"/>
          <w:color w:val="auto"/>
          <w:sz w:val="24"/>
          <w:highlight w:val="none"/>
        </w:rPr>
        <w:t>含税总价款为（大写）</w:t>
      </w:r>
      <w:r>
        <w:rPr>
          <w:rFonts w:hint="eastAsia" w:ascii="宋体" w:hAnsi="宋体" w:cs="宋体"/>
          <w:color w:val="auto"/>
          <w:sz w:val="24"/>
          <w:highlight w:val="none"/>
          <w:u w:val="none"/>
        </w:rPr>
        <w:t>人民币</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rPr>
        <w:t>，（小写）：</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none"/>
        </w:rPr>
        <w:t>元</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其中：不含税总金额为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none"/>
        </w:rPr>
        <w:t>元</w:t>
      </w:r>
      <w:r>
        <w:rPr>
          <w:rFonts w:hint="eastAsia" w:ascii="宋体" w:hAnsi="宋体" w:cs="宋体"/>
          <w:color w:val="auto"/>
          <w:sz w:val="24"/>
          <w:highlight w:val="none"/>
        </w:rPr>
        <w:t>；增值税金额为</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；税率为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w:t>
      </w:r>
    </w:p>
    <w:p w14:paraId="72CABD6F">
      <w:pPr>
        <w:pStyle w:val="2"/>
        <w:spacing w:line="360" w:lineRule="auto"/>
        <w:ind w:firstLine="480" w:firstLineChars="200"/>
        <w:rPr>
          <w:rFonts w:hint="default"/>
          <w:color w:val="auto"/>
          <w:highlight w:val="none"/>
          <w:lang w:val="en-US" w:eastAsia="zh-CN"/>
        </w:rPr>
      </w:pPr>
      <w:r>
        <w:rPr>
          <w:rFonts w:hint="eastAsia" w:hAnsi="宋体" w:cs="宋体"/>
          <w:color w:val="auto"/>
          <w:sz w:val="24"/>
          <w:highlight w:val="none"/>
          <w:u w:val="none"/>
          <w:lang w:val="en-US" w:eastAsia="zh-CN"/>
        </w:rPr>
        <w:t>6.1.3若旧消防设施设备产生残值时在建安工程费里抵扣。</w:t>
      </w:r>
    </w:p>
    <w:p w14:paraId="1ED82E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若增值税税率发生变化，双方本着平等、自愿的原则，以“价税分离”为基础，原合同不含税价不变，发包人、承包人应按照不含税价及调整后的税率重新核算含税价，承包人据此开具发票，发包人据此付款。</w:t>
      </w:r>
    </w:p>
    <w:p w14:paraId="7AA416D8">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6.2计价方式</w:t>
      </w:r>
    </w:p>
    <w:p w14:paraId="28A816F8">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6.2.1设计费</w:t>
      </w:r>
    </w:p>
    <w:p w14:paraId="24AD0D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本项目工程设计费用采用合同总价包干，除合同另有约定外，不得以任何方式另行增加设计费。</w:t>
      </w:r>
    </w:p>
    <w:p w14:paraId="7C110A2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若发生合同约定的工作范围或内容调整变更，则按专用条款17.1条约定相应比例调整。</w:t>
      </w:r>
    </w:p>
    <w:p w14:paraId="2E69C5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设计费包含本合同项目的全部设计费用、设计文件修改费用、设计调研费、设计评审费、配合发包人进行报建、报审、验收工作等承包人为完成本项目设计工作所发生的所有费用及税金。设计费最终结算价以发包人或其他有权审定单位审定金额为准。如遇审计部门审计发现本合同结算价款存在超付的情形，发包人有权据实要求承包人返还该部分款项。</w:t>
      </w:r>
    </w:p>
    <w:p w14:paraId="4B6B9E19">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6.2.2 建安工程费</w:t>
      </w:r>
    </w:p>
    <w:p w14:paraId="58B6068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施工图预算、变更签证预算的计价原则：采用第6.3款约定的人工工资、材料、机械台班单价和第6.4款约定的计价依据，并全额执行中标下浮率（即下浮范围包括分部分项工程费、措施项目费、其他项目费、规费、税金等）。</w:t>
      </w:r>
    </w:p>
    <w:p w14:paraId="4CA5BD3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中标下浮率约定：中标下浮率＝（1－建筑安装工程费投标报价÷建筑安装工程费招标控制价）×100%，本合同中标下浮率为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23745E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经发包人审定的施工图预算，作为进度款支付及结算依据。</w:t>
      </w:r>
    </w:p>
    <w:p w14:paraId="47DBE2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结算金额＝施工图预算审定金额（扣除暂列金额）＋设计变更、签证金额；执行经发包人审定施工图预算中的综合单价包干、措施费包干，工程量按实计算；结算总价以发包人或其他有权审定单位审定的结算金额为准，且不得超过第2.2.2款约定的最高限额。</w:t>
      </w:r>
    </w:p>
    <w:p w14:paraId="516B308B">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6.3 人工工资、材料、机械台班单价及其价差调整</w:t>
      </w:r>
    </w:p>
    <w:p w14:paraId="5735B9F2">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6.3.1人工工资、材料、机械台班单价</w:t>
      </w:r>
    </w:p>
    <w:p w14:paraId="47CF28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本工程预算的人工工资、材料、机械台班单价，按广州市造价管理部门颁布的基准期（本合同基准期为合同签订当月）《广州地区建设工程常用材料税前综合价格》计算。</w:t>
      </w:r>
    </w:p>
    <w:p w14:paraId="7114699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《广州地区建设工程常用材料税前综合价格》没有的材料、设备单价，参考基准期《广州地区建设工程材料（设备）厂商价格信息》计算，且需对选用的厂商价格信息重新进行市场调研询价后方可使用。</w:t>
      </w:r>
    </w:p>
    <w:p w14:paraId="15DF1E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《广州地区建设工程常用材料税前综合价格》及《广州地区建设工程材料（设备）厂商价格信息》均没有的材料、设备价格，由发包人、监理人、承包人结合市场价协商确定。</w:t>
      </w:r>
    </w:p>
    <w:p w14:paraId="3B13A1F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已确定样板、确认单价的主要材料（设备），未经发包人同意不得改变。</w:t>
      </w:r>
    </w:p>
    <w:p w14:paraId="292CF1DF">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6.3.2价差调整</w:t>
      </w:r>
    </w:p>
    <w:p w14:paraId="78DB9C62">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本工程预算经确认后，无论市场价格如何变动，包括但不限于材料价格、人工工资等，本合同确定的工程价款不作任何形式的调整。</w:t>
      </w:r>
    </w:p>
    <w:p w14:paraId="19D87F69">
      <w:pPr>
        <w:adjustRightInd w:val="0"/>
        <w:snapToGrid w:val="0"/>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6.4本工程适用的计价依据</w:t>
      </w:r>
    </w:p>
    <w:p w14:paraId="48D7B76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国家标准《</w:t>
      </w:r>
      <w:r>
        <w:rPr>
          <w:rFonts w:hint="eastAsia" w:ascii="宋体" w:hAnsi="宋体" w:eastAsia="宋体" w:cs="宋体"/>
          <w:i w:val="0"/>
          <w:iCs w:val="0"/>
          <w:caps w:val="0"/>
          <w:color w:val="auto"/>
          <w:spacing w:val="0"/>
          <w:sz w:val="24"/>
          <w:szCs w:val="24"/>
          <w:highlight w:val="none"/>
          <w:shd w:val="clear" w:fill="auto"/>
        </w:rPr>
        <w:t>建设工程工程量清单计价标准</w:t>
      </w:r>
      <w:r>
        <w:rPr>
          <w:rFonts w:hint="eastAsia" w:ascii="宋体" w:hAnsi="宋体" w:cs="宋体"/>
          <w:color w:val="auto"/>
          <w:sz w:val="24"/>
          <w:highlight w:val="none"/>
        </w:rPr>
        <w:t>》(</w:t>
      </w:r>
      <w:r>
        <w:rPr>
          <w:rFonts w:hint="eastAsia" w:ascii="宋体" w:hAnsi="宋体" w:eastAsia="宋体" w:cs="宋体"/>
          <w:i w:val="0"/>
          <w:iCs w:val="0"/>
          <w:caps w:val="0"/>
          <w:color w:val="auto"/>
          <w:spacing w:val="0"/>
          <w:sz w:val="24"/>
          <w:szCs w:val="24"/>
          <w:highlight w:val="none"/>
          <w:shd w:val="clear" w:fill="auto"/>
        </w:rPr>
        <w:t>GB/T50500-2024</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建设期间项目所在地对应时期工程造价管理部门颁布的计价文件。</w:t>
      </w:r>
    </w:p>
    <w:p w14:paraId="15013A09">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七、本协议书与下列组成本合同的文件是一个合同整体，彼此应能相互解释，互为说明。当出现相互矛盾时，组成本合同文件的优先解释顺序如下：</w:t>
      </w:r>
    </w:p>
    <w:p w14:paraId="281EF85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（1）履行本合同的相关补充协议；</w:t>
      </w:r>
    </w:p>
    <w:p w14:paraId="15C2597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（2）本合同协议书；</w:t>
      </w:r>
    </w:p>
    <w:p w14:paraId="5C8C773D">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（3）专用条款（含补充条款）；</w:t>
      </w:r>
    </w:p>
    <w:p w14:paraId="47F29DD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（4）合同附件（含各管理办法）；</w:t>
      </w:r>
    </w:p>
    <w:p w14:paraId="3EBE1B4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（5）通用条款；</w:t>
      </w:r>
    </w:p>
    <w:p w14:paraId="72D80EF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（6）招标文件及其附件、招标答疑、中标通知书；</w:t>
      </w:r>
    </w:p>
    <w:p w14:paraId="4B1272F0">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（7）承包人投标文件及其附件（含评标期间的澄清文件和补充资料）；（若投标文件标准、要求高于招标文件的，则投标文件解释顺序优先于招标文件，按投标文件的标准、要求执行）；</w:t>
      </w:r>
    </w:p>
    <w:p w14:paraId="61C03E8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（8）经批准的施工图纸及设计文件、工程变更、签证；</w:t>
      </w:r>
    </w:p>
    <w:p w14:paraId="47982F1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（9）现行标准、规范及有关技术文件；</w:t>
      </w:r>
    </w:p>
    <w:p w14:paraId="3FD6DB7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（10）投标报价书（工程量清单）；</w:t>
      </w:r>
    </w:p>
    <w:p w14:paraId="109B264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（11）专用条款约定的其他文件；</w:t>
      </w:r>
    </w:p>
    <w:p w14:paraId="047432A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（12）发包人、承包人有关工程的洽商、变更等会议记录和文件（主要包括合同履行过程中的有关通知、指令、工程会议纪要等）；</w:t>
      </w:r>
    </w:p>
    <w:p w14:paraId="0A08F4DB">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（13）本合同生效期间，发包人制定并执行的有关广州市保障性住房建设管理规定，与原合同及补充协议无实质性冲突的，均属本合同组成文件，适用于本合同项下工程。</w:t>
      </w:r>
    </w:p>
    <w:p w14:paraId="24B7770B">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（14）组成合同的其他文件：经双方确认进入合同的其他文件。</w:t>
      </w:r>
    </w:p>
    <w:p w14:paraId="495AC3B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双方就上述合同文件所作出的补充和修改，属于同一类内容的文件，应以最新签署的为准。若根据上述解释顺序仍不足以澄清的，除非本合同另有约定，应以发包人的书面澄清或说明为准，上述澄清或说明不应被视为变更。</w:t>
      </w:r>
    </w:p>
    <w:p w14:paraId="4E10FC18">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承包人在投标期间提交的资料中任何与招标文件内容不符的自拟条件和说明，以及在往来澄清、答疑中的询问或回复，如有相较招标文件减损发包人权益或增加发包人责任或义务的内容，除在合同文件中被发包人特别以书面形式明示接受且加盖公章的以外均属无效。同时，承包人在投标期间提交的技术部分，如施工组织设计、工程进度计划及相关设备、材料的型号、参数等，是承包人对发包人的单方承诺，对发包人不具有约束力，发包人有权要求承包人根据合同文件的要求及工程实际需要进行修改，且须经发包人审核并批准后方可实施。</w:t>
      </w:r>
    </w:p>
    <w:p w14:paraId="65EA0EA4">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rFonts w:hint="eastAsia" w:ascii="宋体" w:hAnsi="宋体" w:cs="宋体"/>
          <w:bCs/>
          <w:snapToGrid w:val="0"/>
          <w:color w:val="auto"/>
          <w:kern w:val="0"/>
          <w:sz w:val="24"/>
          <w:highlight w:val="none"/>
        </w:rPr>
        <w:t>承包人</w:t>
      </w:r>
      <w:r>
        <w:rPr>
          <w:rFonts w:hint="eastAsia" w:ascii="宋体" w:hAnsi="宋体" w:cs="宋体"/>
          <w:snapToGrid w:val="0"/>
          <w:color w:val="auto"/>
          <w:kern w:val="0"/>
          <w:sz w:val="24"/>
          <w:highlight w:val="none"/>
        </w:rPr>
        <w:t>还不服的，可按</w:t>
      </w:r>
      <w:r>
        <w:rPr>
          <w:rFonts w:hint="eastAsia" w:ascii="宋体" w:hAnsi="宋体" w:cs="宋体"/>
          <w:bCs/>
          <w:snapToGrid w:val="0"/>
          <w:color w:val="auto"/>
          <w:kern w:val="0"/>
          <w:sz w:val="24"/>
          <w:highlight w:val="none"/>
        </w:rPr>
        <w:t>合同专用条款第40条的约定处理，但在有关部门没有作出正式裁决之前，承包人必须无条件先行执行发包人的决定。</w:t>
      </w:r>
    </w:p>
    <w:p w14:paraId="1AB6C83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除非发包人代表在承包人发出的工程施工联系函或其他报告文件上书面签署明确意见，前述文件仅有发包人代表或其他人的签名，不能作为发包人的意见或结算依据。</w:t>
      </w:r>
    </w:p>
    <w:p w14:paraId="4294EF2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发包人代表、造价工程师、总监理工程师行使职权时发出的书面文件必须由其本人签名并加盖有效印章，只有项目章而没有本人签名的，或只有本人签名而没有项目章的，该文件对发包人、承包人均没有约束力。</w:t>
      </w:r>
    </w:p>
    <w:p w14:paraId="48DC5ED0">
      <w:pPr>
        <w:adjustRightInd w:val="0"/>
        <w:snapToGrid w:val="0"/>
        <w:spacing w:line="360" w:lineRule="auto"/>
        <w:ind w:firstLine="482" w:firstLineChars="200"/>
        <w:outlineLvl w:val="1"/>
        <w:rPr>
          <w:rFonts w:ascii="宋体" w:hAnsi="宋体" w:cs="宋体"/>
          <w:b/>
          <w:color w:val="auto"/>
          <w:sz w:val="24"/>
          <w:highlight w:val="none"/>
        </w:rPr>
      </w:pPr>
      <w:bookmarkStart w:id="11" w:name="_Toc9051"/>
      <w:r>
        <w:rPr>
          <w:rFonts w:hint="eastAsia" w:ascii="宋体" w:hAnsi="宋体" w:cs="宋体"/>
          <w:b/>
          <w:color w:val="auto"/>
          <w:sz w:val="24"/>
          <w:highlight w:val="none"/>
        </w:rPr>
        <w:t>八、词语词义</w:t>
      </w:r>
      <w:bookmarkEnd w:id="11"/>
    </w:p>
    <w:p w14:paraId="1BF270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本协议书中有关词语含义与本合同《通用条款》、《专用条款》中分别赋予它们的定义相同。</w:t>
      </w:r>
    </w:p>
    <w:p w14:paraId="6D3BA838">
      <w:pPr>
        <w:adjustRightInd w:val="0"/>
        <w:snapToGrid w:val="0"/>
        <w:spacing w:line="360" w:lineRule="auto"/>
        <w:ind w:firstLine="482" w:firstLineChars="200"/>
        <w:outlineLvl w:val="1"/>
        <w:rPr>
          <w:rFonts w:ascii="宋体" w:hAnsi="宋体" w:cs="宋体"/>
          <w:b/>
          <w:color w:val="auto"/>
          <w:sz w:val="24"/>
          <w:highlight w:val="none"/>
        </w:rPr>
      </w:pPr>
      <w:bookmarkStart w:id="12" w:name="_Toc26293"/>
      <w:r>
        <w:rPr>
          <w:rFonts w:hint="eastAsia" w:ascii="宋体" w:hAnsi="宋体" w:cs="宋体"/>
          <w:b/>
          <w:color w:val="auto"/>
          <w:sz w:val="24"/>
          <w:highlight w:val="none"/>
        </w:rPr>
        <w:t>九、承诺</w:t>
      </w:r>
      <w:bookmarkEnd w:id="12"/>
    </w:p>
    <w:p w14:paraId="40CF01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1.承包人承诺：按照合同约定进行设计、施工、竣工并在缺陷责任期及质量保修期内承担工程质量维修责任，并履行合同规定的承包人的全部义务和责任。</w:t>
      </w:r>
    </w:p>
    <w:p w14:paraId="1814E1E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2.发包人承诺：按照合同约定的期限和方式支付签约合同价及按合同规定支付的其他款项，并履行合同规定的发包人的全部义务和责任。</w:t>
      </w:r>
    </w:p>
    <w:p w14:paraId="6AFBA6C9">
      <w:pPr>
        <w:adjustRightInd w:val="0"/>
        <w:snapToGrid w:val="0"/>
        <w:spacing w:line="360" w:lineRule="auto"/>
        <w:ind w:firstLine="482" w:firstLineChars="200"/>
        <w:outlineLvl w:val="1"/>
        <w:rPr>
          <w:rFonts w:ascii="宋体" w:hAnsi="宋体" w:cs="宋体"/>
          <w:b/>
          <w:color w:val="auto"/>
          <w:sz w:val="24"/>
          <w:highlight w:val="none"/>
        </w:rPr>
      </w:pPr>
      <w:bookmarkStart w:id="13" w:name="_Toc12813"/>
      <w:r>
        <w:rPr>
          <w:rFonts w:hint="eastAsia" w:ascii="宋体" w:hAnsi="宋体" w:cs="宋体"/>
          <w:b/>
          <w:color w:val="auto"/>
          <w:sz w:val="24"/>
          <w:highlight w:val="none"/>
        </w:rPr>
        <w:t>十、禁止</w:t>
      </w:r>
      <w:bookmarkEnd w:id="13"/>
    </w:p>
    <w:p w14:paraId="2EE2C7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与发包人签订合同时使用的“开户银行名称、账户名称（简称户名）及账号”必须与投标书附表中所填写的“开户银行名称、账户名称（简称户名）及账号”一致且账户不能是临时账户，合同签订后不得变更（发包人同意除外），否则发包人有权拒绝合同授予、有权停止合同价款的拨付，所造成的一切后果由承包人承担。</w:t>
      </w:r>
    </w:p>
    <w:p w14:paraId="19119CB5">
      <w:pPr>
        <w:adjustRightInd w:val="0"/>
        <w:snapToGrid w:val="0"/>
        <w:spacing w:line="360" w:lineRule="auto"/>
        <w:ind w:firstLine="482" w:firstLineChars="200"/>
        <w:outlineLvl w:val="1"/>
        <w:rPr>
          <w:rFonts w:ascii="宋体" w:hAnsi="宋体" w:cs="宋体"/>
          <w:b/>
          <w:color w:val="auto"/>
          <w:sz w:val="24"/>
          <w:highlight w:val="none"/>
        </w:rPr>
      </w:pPr>
      <w:bookmarkStart w:id="14" w:name="_Toc21569"/>
      <w:r>
        <w:rPr>
          <w:rFonts w:hint="eastAsia" w:ascii="宋体" w:hAnsi="宋体" w:cs="宋体"/>
          <w:b/>
          <w:color w:val="auto"/>
          <w:sz w:val="24"/>
          <w:highlight w:val="none"/>
        </w:rPr>
        <w:t>十一、合同生效及期限</w:t>
      </w:r>
      <w:bookmarkEnd w:id="14"/>
    </w:p>
    <w:p w14:paraId="27813CB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合同订立时间：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default"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default" w:ascii="宋体" w:hAnsi="宋体" w:cs="宋体"/>
          <w:color w:val="auto"/>
          <w:sz w:val="24"/>
          <w:highlight w:val="none"/>
          <w:u w:val="single"/>
          <w:lang w:val="en-US" w:eastAsia="zh-CN"/>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rPr>
        <w:t>日</w:t>
      </w:r>
    </w:p>
    <w:p w14:paraId="4C4026F9">
      <w:pPr>
        <w:adjustRightInd w:val="0"/>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合同订立地点：</w:t>
      </w:r>
      <w:r>
        <w:rPr>
          <w:rFonts w:hint="eastAsia" w:ascii="宋体" w:hAnsi="宋体" w:cs="宋体"/>
          <w:color w:val="auto"/>
          <w:sz w:val="24"/>
          <w:highlight w:val="none"/>
          <w:u w:val="single"/>
          <w:lang w:val="en-US" w:eastAsia="zh-CN"/>
        </w:rPr>
        <w:t xml:space="preserve">         </w:t>
      </w:r>
    </w:p>
    <w:p w14:paraId="3E2033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本合同双方约定：自双方签字盖章并承包人提供有效履约担保后生效，至双方履行完本合同约定的义务和责任后自然失效。</w:t>
      </w:r>
    </w:p>
    <w:p w14:paraId="69CE7E54">
      <w:pPr>
        <w:adjustRightInd w:val="0"/>
        <w:snapToGrid w:val="0"/>
        <w:spacing w:line="360" w:lineRule="auto"/>
        <w:ind w:firstLine="482" w:firstLineChars="200"/>
        <w:outlineLvl w:val="1"/>
        <w:rPr>
          <w:rFonts w:ascii="宋体" w:hAnsi="宋体" w:cs="宋体"/>
          <w:b/>
          <w:color w:val="auto"/>
          <w:sz w:val="24"/>
          <w:highlight w:val="none"/>
        </w:rPr>
      </w:pPr>
      <w:bookmarkStart w:id="15" w:name="_Toc21405"/>
      <w:r>
        <w:rPr>
          <w:rFonts w:hint="eastAsia" w:ascii="宋体" w:hAnsi="宋体" w:cs="宋体"/>
          <w:b/>
          <w:color w:val="auto"/>
          <w:sz w:val="24"/>
          <w:highlight w:val="none"/>
        </w:rPr>
        <w:t>十二、合同份数</w:t>
      </w:r>
      <w:bookmarkEnd w:id="15"/>
    </w:p>
    <w:p w14:paraId="2DB0EB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份，发包人执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份，承包人执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份，均具有同等法律效力。</w:t>
      </w:r>
    </w:p>
    <w:p w14:paraId="5E6D2B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（以下无正文内容）</w:t>
      </w:r>
    </w:p>
    <w:p w14:paraId="2A800590">
      <w:pPr>
        <w:adjustRightInd w:val="0"/>
        <w:snapToGrid w:val="0"/>
        <w:spacing w:line="360" w:lineRule="auto"/>
        <w:ind w:firstLine="480" w:firstLineChars="200"/>
        <w:rPr>
          <w:rFonts w:ascii="宋体" w:hAnsi="宋体" w:cs="宋体"/>
          <w:color w:val="auto"/>
          <w:sz w:val="24"/>
          <w:highlight w:val="none"/>
        </w:rPr>
      </w:pPr>
    </w:p>
    <w:p w14:paraId="376E66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                        承包人（联合体主办方）：</w:t>
      </w:r>
    </w:p>
    <w:p w14:paraId="6A9E7642">
      <w:pPr>
        <w:pStyle w:val="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290D718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授权代表：                      授权代表：</w:t>
      </w:r>
    </w:p>
    <w:p w14:paraId="5A423C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  系  人：                    联  系  人：</w:t>
      </w:r>
    </w:p>
    <w:p w14:paraId="0F54F1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 系 电 话：                   联 系 电 话：</w:t>
      </w:r>
    </w:p>
    <w:p w14:paraId="0959FA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开 户 银 行：</w:t>
      </w:r>
    </w:p>
    <w:p w14:paraId="2250B43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       号：</w:t>
      </w:r>
    </w:p>
    <w:p w14:paraId="3EA9D881">
      <w:pPr>
        <w:adjustRightInd w:val="0"/>
        <w:snapToGrid w:val="0"/>
        <w:spacing w:line="360" w:lineRule="auto"/>
        <w:ind w:firstLine="4080" w:firstLineChars="1700"/>
        <w:rPr>
          <w:rFonts w:ascii="宋体" w:hAnsi="宋体" w:cs="宋体"/>
          <w:color w:val="auto"/>
          <w:sz w:val="24"/>
          <w:highlight w:val="none"/>
        </w:rPr>
      </w:pPr>
    </w:p>
    <w:p w14:paraId="106E9F2B">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承包人（联合体成员）：</w:t>
      </w:r>
    </w:p>
    <w:p w14:paraId="4369E9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法定代表人：</w:t>
      </w:r>
    </w:p>
    <w:p w14:paraId="7D4A6371">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授权代表：</w:t>
      </w:r>
    </w:p>
    <w:p w14:paraId="148457E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联  系  人：</w:t>
      </w:r>
    </w:p>
    <w:p w14:paraId="366F06E7">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联 系 电 话：</w:t>
      </w:r>
    </w:p>
    <w:p w14:paraId="36333842">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开 户 银 行：</w:t>
      </w:r>
    </w:p>
    <w:p w14:paraId="3216A2CD">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       号：</w:t>
      </w:r>
    </w:p>
    <w:p w14:paraId="543A07CE">
      <w:pPr>
        <w:adjustRightInd w:val="0"/>
        <w:snapToGrid w:val="0"/>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br w:type="page"/>
      </w:r>
      <w:bookmarkStart w:id="16" w:name="_Toc2957"/>
      <w:r>
        <w:rPr>
          <w:rFonts w:hint="eastAsia" w:ascii="宋体" w:hAnsi="宋体" w:cs="宋体"/>
          <w:b/>
          <w:color w:val="auto"/>
          <w:sz w:val="32"/>
          <w:szCs w:val="32"/>
          <w:highlight w:val="none"/>
        </w:rPr>
        <w:t>第二部分   通用条款</w:t>
      </w:r>
      <w:bookmarkEnd w:id="16"/>
    </w:p>
    <w:p w14:paraId="417DAED1">
      <w:pPr>
        <w:adjustRightInd w:val="0"/>
        <w:snapToGrid w:val="0"/>
        <w:spacing w:line="360" w:lineRule="auto"/>
        <w:ind w:firstLine="482" w:firstLineChars="200"/>
        <w:outlineLvl w:val="1"/>
        <w:rPr>
          <w:rFonts w:ascii="宋体" w:hAnsi="宋体" w:cs="宋体"/>
          <w:b/>
          <w:color w:val="auto"/>
          <w:sz w:val="24"/>
          <w:highlight w:val="none"/>
        </w:rPr>
      </w:pPr>
      <w:bookmarkStart w:id="17" w:name="_Toc18913"/>
      <w:r>
        <w:rPr>
          <w:rFonts w:hint="eastAsia" w:ascii="宋体" w:hAnsi="宋体" w:cs="宋体"/>
          <w:b/>
          <w:color w:val="auto"/>
          <w:sz w:val="24"/>
          <w:highlight w:val="none"/>
        </w:rPr>
        <w:t>1. 一般约定</w:t>
      </w:r>
      <w:bookmarkEnd w:id="17"/>
    </w:p>
    <w:p w14:paraId="45C5A4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词语定义</w:t>
      </w:r>
    </w:p>
    <w:p w14:paraId="44ED53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通用合同条款、专用合同条款中的下列词语应具有本款所赋予的含义。</w:t>
      </w:r>
    </w:p>
    <w:p w14:paraId="363F9C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合同</w:t>
      </w:r>
    </w:p>
    <w:p w14:paraId="63CEFB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 合同文件（或称合同）：指合同协议书、中标通知书、投标函及投标函附录、专用合同条款、通用合同条款、发包人要求、价格清单、承包人建议书，以及其他构成合同组成部分的文件。</w:t>
      </w:r>
    </w:p>
    <w:p w14:paraId="2399280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1.1.1.2 合同协议书：指第1.5 款所指的合同协议书。</w:t>
      </w:r>
    </w:p>
    <w:p w14:paraId="61894CB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1.1.1.3 中标通知书：指发包人通知承包人中标的函件。中标通知书随附的澄清、说明、补正事项纪要等，是中标通知书的组成部分。</w:t>
      </w:r>
    </w:p>
    <w:p w14:paraId="37AF47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1.1.1.4 投标函：指构成合同文件组成部分的由承包人填写并签署的投标函。</w:t>
      </w:r>
    </w:p>
    <w:p w14:paraId="2F2E82E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1.1.1.5 投标函附录：指附在投标函后构成合同文件的投标函附录。</w:t>
      </w:r>
    </w:p>
    <w:p w14:paraId="50510C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1.1.1.6 发包人要求：指构成合同文件组成部分的名为发包人要求的文件，包括招标项目的目的、范围、设计与其他技术标准和要求，以及合同双方当事人约定对其所作的修改或补充。</w:t>
      </w:r>
    </w:p>
    <w:p w14:paraId="031AC26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1.1.1.7 价格清单：指构成合同文件组成部分的由承包人按规定的格式和要求填写并标明价格的清单。</w:t>
      </w:r>
    </w:p>
    <w:p w14:paraId="0161A50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1.1.1.8承包人建议书：指构成合同文件组成部分的名为承包人建议书的文件。承包人建议书由承包人随投标函一起提交。承包人建议书应包括承包人的设计图纸及相应说明等设计文件。</w:t>
      </w:r>
    </w:p>
    <w:p w14:paraId="6734A2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1.1.1.9 其他合同文件：指经合同双方当事人确认构成合同文件的其他文件。</w:t>
      </w:r>
    </w:p>
    <w:p w14:paraId="1F70A5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合同当事人和人员</w:t>
      </w:r>
    </w:p>
    <w:p w14:paraId="4C1C99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1.1.2.1 合同当事人：指发包人和（或）承包人。</w:t>
      </w:r>
    </w:p>
    <w:p w14:paraId="776180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1.1.2.2 发包人：指专用合同条款中指明并与承包人在合同协议书中签字的当事人。</w:t>
      </w:r>
    </w:p>
    <w:p w14:paraId="09E5B3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1.1.2.3 承包人：指与发包人签订合同协议书的当事人。</w:t>
      </w:r>
    </w:p>
    <w:p w14:paraId="3CDD3C1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1.1.2.4 承包人项目经理：指承包人指定代表承包人履行义务的负责人。</w:t>
      </w:r>
    </w:p>
    <w:p w14:paraId="595A23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1.1.2.5 设计负责人：指承包人指定负责组织指导协调设计工作并具有相应资格的人员。</w:t>
      </w:r>
    </w:p>
    <w:p w14:paraId="3D2968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1.1.2.6 施工负责人：指承包人指定负责组织指导协调施工工作并具有相应资格的人员。</w:t>
      </w:r>
    </w:p>
    <w:p w14:paraId="078161F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1.1.2.7 采购负责人：指承包人指定负责组织指导协调采购工作的人员。</w:t>
      </w:r>
    </w:p>
    <w:p w14:paraId="1DA1CF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1.1.2.8 分包人：指从承包人处分包合同中某一部分工作，并与其签订分包合同的分包人。</w:t>
      </w:r>
    </w:p>
    <w:p w14:paraId="409E91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1.1.2.9 监理人：指在专用合同条款中指明的，受发包人委托对合同履行实施管理的法人或其他组织。属于国家强制监理的，监理人应当具有相应的监理资质。</w:t>
      </w:r>
    </w:p>
    <w:p w14:paraId="75496D2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1.1.2.10 总监理工程师：指由监理人委派对合同履行实施管理的全权负责人。</w:t>
      </w:r>
    </w:p>
    <w:p w14:paraId="3761C0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工程和设备</w:t>
      </w:r>
    </w:p>
    <w:p w14:paraId="708B32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工程：指永久工程和（或）临时工程。</w:t>
      </w:r>
    </w:p>
    <w:p w14:paraId="000FAE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 永久工程：指按合同约定建造并移交给发包人的工程，包括工程设备。</w:t>
      </w:r>
    </w:p>
    <w:p w14:paraId="1C8A55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 临时工程：指为完成合同约定的永久工程所修建的各类临时性工程，不包括施工设备。</w:t>
      </w:r>
    </w:p>
    <w:p w14:paraId="1B37F68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1.1.3.4 区段工程：指专用合同条款中指明特定范围的能单独接收并使用的永久工程。</w:t>
      </w:r>
    </w:p>
    <w:p w14:paraId="6D507B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1.1.3.5 工程设备：指构成或计划构成永久工程的机电设备、仪器装置、运载工具及其他类似的设备和装置。</w:t>
      </w:r>
    </w:p>
    <w:p w14:paraId="5184AC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1.1.3.6 施工设备：指为完成合同约定的各项工作所需的设备、器具和其他物品，不包括临时工程和材料。</w:t>
      </w:r>
    </w:p>
    <w:p w14:paraId="58482B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1.1.3.7 临时设施：指为完成合同约定的各项工作所服务的临时性生产和生活设施。</w:t>
      </w:r>
    </w:p>
    <w:p w14:paraId="6FDCAB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1.1.3.8 承包人设备：指承包人为工程实施提供的施工设备。</w:t>
      </w:r>
    </w:p>
    <w:p w14:paraId="7BB8DE3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1.1.3.9 施工场地（或称工地、现场）：指用于合同工程施工的场所，以及在合同中指定作为施工场地组成部分的其他场所，包括永久占地和临时占地。</w:t>
      </w:r>
    </w:p>
    <w:p w14:paraId="5C6B38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1.1.3.10 永久占地：指专用合同条款中指明为实施合同工程需永久占用的土地。</w:t>
      </w:r>
    </w:p>
    <w:p w14:paraId="4F97F40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1.1.3.11 临时占地：指专用合同条款中指明为实施合同工程需临时占用的土地。</w:t>
      </w:r>
    </w:p>
    <w:p w14:paraId="72582B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日期、检验和竣工</w:t>
      </w:r>
    </w:p>
    <w:p w14:paraId="7182E5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1.1.4.1 开始工作通知：指监理人按第11.1 款通知承包人开始工作的函件。</w:t>
      </w:r>
    </w:p>
    <w:p w14:paraId="3551D8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1.1.4.2 开始工作日期：指监理人按第11.1款发出的开始工作通知中写明的开始工作日期。</w:t>
      </w:r>
    </w:p>
    <w:p w14:paraId="4C1345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1.1.4.3 工期：指承包人在投标函中承诺的完成合同工作所需的期限，包括按第11.3款、第11.4款和第11.6款约定所作的变更。</w:t>
      </w:r>
    </w:p>
    <w:p w14:paraId="581BA0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1.1.4.4 竣工日期：指第1.1.4.3目约定工期届满时的日期。实际竣工日期以工程验收证书中写明的日期为准。</w:t>
      </w:r>
    </w:p>
    <w:p w14:paraId="3C79E0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1.1.4.5 缺陷责任期：指履行第19.2款约定的缺陷责任的期限，具体期限在发包人要求中明确的包括根据第19.3 款约定所作的延长。</w:t>
      </w:r>
    </w:p>
    <w:p w14:paraId="5082FFA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1.1.4.6 基准日期：指投标截止之日前28天的日期。</w:t>
      </w:r>
    </w:p>
    <w:p w14:paraId="0B5C9F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1.1.4.7 天：除特别指明外，指日历天。合同中按天计算时间的，开始当天不计入，从次日开始计算。期限最后一天的截止时间为当天24:00。</w:t>
      </w:r>
    </w:p>
    <w:p w14:paraId="2B85F6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1.1.4.8 竣工试验：是指在工程竣工验收前，根据第18.1款要求进行的试验。</w:t>
      </w:r>
    </w:p>
    <w:p w14:paraId="028317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1.1.4.9 竣工验收：是指承包人完成了全部合同工作后，发包人按合同要求进行的验收。</w:t>
      </w:r>
    </w:p>
    <w:p w14:paraId="6AD5AD7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1.1.4.10 竣工后试验：是指在工程竣工验收后，根据第18.9款约定进行的试验。</w:t>
      </w:r>
    </w:p>
    <w:p w14:paraId="25A3F3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1.1.4.11国家验收：是指政府有关部门根据法律、规范、规程和政策要求，针对发包人全面组织实施的整个工程正式交付投运前的验收。</w:t>
      </w:r>
    </w:p>
    <w:p w14:paraId="5EB08A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合同价格和费用</w:t>
      </w:r>
    </w:p>
    <w:p w14:paraId="0CA373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1.1.5.1 签约合同价：指中标通知书明确的并在签订合同时于合同协议书中写明的，包括了暂列金额、暂估价的合同总金额。</w:t>
      </w:r>
    </w:p>
    <w:p w14:paraId="28E2DFB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1.1.5.2 合同价格：指承包人按合同约定完成了包括缺陷责任期内的全部承包工作后，发包人应付给承包人的金额，包括在履行合同过程中按合同约定进行的变更和调整。</w:t>
      </w:r>
    </w:p>
    <w:p w14:paraId="55681DB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1.1.5.3 费用：指为履行合同所发生的或将要发生的所有合理开支，包括管理费和应分摊的其他费用，但不包括利润。</w:t>
      </w:r>
    </w:p>
    <w:p w14:paraId="18A1C7D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1.1.5.4 暂列金额：指招标文件中给定的，用于在签订协议书时尚未确定或不可预见变更的设计、施工及其所需材料、工程设备、服务等的金额，包括以计日工方式支付的金额。</w:t>
      </w:r>
    </w:p>
    <w:p w14:paraId="37EBD12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1.1.5.5 暂估价：指招标文件中给定的，用于支付必然发生但暂时不能确定价格的专业服务、材料、设备专业工程的金额。</w:t>
      </w:r>
    </w:p>
    <w:p w14:paraId="0670E8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1.1.5.6 计日工：指对零星工作采取的一种计价方式，按合同中的计日工子目及其单价计价付款。</w:t>
      </w:r>
    </w:p>
    <w:p w14:paraId="22E3B0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1.1.5.7 质量保证金：指按第17.4.1项约定用于保证在缺陷责任期内履行缺陷修复义务的金额。</w:t>
      </w:r>
    </w:p>
    <w:p w14:paraId="6AFF33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 其他</w:t>
      </w:r>
    </w:p>
    <w:p w14:paraId="47986F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1.1.6.1 书面形式：指合同文件、信函、电报、传真、数据电文、电子邮件、会议纪要等可以有形地表现所载内容的形式。</w:t>
      </w:r>
    </w:p>
    <w:p w14:paraId="033C14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1.1.6.2 承包人文件：指由承包人根据合同应提交的所有图纸、手册、模型、计算书、软件和其他文件。</w:t>
      </w:r>
    </w:p>
    <w:p w14:paraId="04D289C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1.1.6.3 变更是指根据第15条的约定，经指示或批准对发包人要求或工程所做的改变。</w:t>
      </w:r>
    </w:p>
    <w:p w14:paraId="3B74A2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语言文字</w:t>
      </w:r>
    </w:p>
    <w:p w14:paraId="796C21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合同使用的语言文字为中文。专用术语使用外文的，应附有中文注释。</w:t>
      </w:r>
    </w:p>
    <w:p w14:paraId="1E5107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法律</w:t>
      </w:r>
    </w:p>
    <w:p w14:paraId="2EF150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适用于合同的法律包括中华人民共和国法律、行政法规、部门规章，以及工程所在地的地方性法规、自治条例、单行条例和地方政府规章。</w:t>
      </w:r>
    </w:p>
    <w:p w14:paraId="16B899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合同文件的优先顺序</w:t>
      </w:r>
    </w:p>
    <w:p w14:paraId="46CA712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组成合同的各项文件应互相解释，互为说明。除专用合同条款另有约定外，解释合同文件的优先顺序如下：</w:t>
      </w:r>
    </w:p>
    <w:p w14:paraId="72C22CE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（1）合同协议书；</w:t>
      </w:r>
    </w:p>
    <w:p w14:paraId="4D28D7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14:paraId="760AED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14:paraId="463C47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（4）专用合同条款；</w:t>
      </w:r>
    </w:p>
    <w:p w14:paraId="08666F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（5）通用合同条款；</w:t>
      </w:r>
    </w:p>
    <w:p w14:paraId="3BEE0D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（6）发包人要求；</w:t>
      </w:r>
    </w:p>
    <w:p w14:paraId="3364EB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（7）承包人建议书； </w:t>
      </w:r>
    </w:p>
    <w:p w14:paraId="178A5B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（8）价格清单；</w:t>
      </w:r>
    </w:p>
    <w:p w14:paraId="0A3C6E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（9）其他合同文件。</w:t>
      </w:r>
    </w:p>
    <w:p w14:paraId="53112E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合同协议书</w:t>
      </w:r>
    </w:p>
    <w:p w14:paraId="741726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67D608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文件的提供和照管</w:t>
      </w:r>
    </w:p>
    <w:p w14:paraId="4FD78B2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承包人文件的提供</w:t>
      </w:r>
    </w:p>
    <w:p w14:paraId="178C883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14:paraId="48553DD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发包人提供的文件</w:t>
      </w:r>
    </w:p>
    <w:p w14:paraId="3DB60A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专用合同条款约定由发包人提供的文件，包括前期工作相关文件、环境保护、气象水文、地质条件等，发包人应按约定的数量和期限交给承包人。由于发包人未按时提供文件造成工期延误的，按第11.3款约定执行。</w:t>
      </w:r>
    </w:p>
    <w:p w14:paraId="13A0D5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文件错误的通知</w:t>
      </w:r>
    </w:p>
    <w:p w14:paraId="6466C6E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任何一方发现了文件中存在的明显错误或疏忽，应及时通知另一方。</w:t>
      </w:r>
    </w:p>
    <w:p w14:paraId="35E38C2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文件的照管</w:t>
      </w:r>
    </w:p>
    <w:p w14:paraId="06E4F7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承包人应在现场保留一份合同、发包人要求中列出的所有文件、承包人文件、变更以及其它根据合同收发的往来信函。发包人有权在任何合理的时间查阅和使用上述所有文件。</w:t>
      </w:r>
    </w:p>
    <w:p w14:paraId="454543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 联络</w:t>
      </w:r>
    </w:p>
    <w:p w14:paraId="35F1EA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与合同有关的通知、批准、证明、证书、指示、要求、请求、同意、意见、确定和决定等，均应采用书面形式。</w:t>
      </w:r>
    </w:p>
    <w:p w14:paraId="2A5AAA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第1.7.1 项中的通知、批准、证明、证书、指示、要求、请求、同意、意见、确定和决定等来往函件，均应在合同约定的期限内送达指定的地点和指定的接收人，并办理签收手续。</w:t>
      </w:r>
    </w:p>
    <w:p w14:paraId="327085E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 转让</w:t>
      </w:r>
    </w:p>
    <w:p w14:paraId="2BCEFA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14:paraId="2B3602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 严禁贿赂</w:t>
      </w:r>
    </w:p>
    <w:p w14:paraId="6BFF29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合同双方当事人不得以贿赂或变相贿赂的方式，谋取不当利益或损害对方权益。因贿赂造成对方损失的，行为人应赔偿损失，并承担相应的法律责任。</w:t>
      </w:r>
    </w:p>
    <w:p w14:paraId="501FF9E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 化石、文物</w:t>
      </w:r>
    </w:p>
    <w:p w14:paraId="6175D7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14:paraId="30F0BE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1.10.2 承包人发现文物后不及时报告或隐瞒不报，致使文物丢失或损坏的，应赔偿损失，并承担相应的法律责任。</w:t>
      </w:r>
    </w:p>
    <w:p w14:paraId="5C71DB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知识产权</w:t>
      </w:r>
    </w:p>
    <w:p w14:paraId="2B3CC7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1.11.1除专用合同条款另有约定外，承包人完成的设计工作成果和建造完成的建筑物，除署名权以外的著作权以及建筑物形象使用收益等其他知识产权均归发包人享有。</w:t>
      </w:r>
    </w:p>
    <w:p w14:paraId="76E281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1.11.2 承包人在进行设计，以及使用任何材料、承包人设备、工程设备或采用施工工艺时，因侵犯专利权或其他知识产权所引起的责任，由承包人承担。</w:t>
      </w:r>
    </w:p>
    <w:p w14:paraId="261D02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1.11.3 承包人在投标文件中采用专利技术的，专利技术的使用费包含在投标报价内。</w:t>
      </w:r>
    </w:p>
    <w:p w14:paraId="3DDE13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文件及信息的保密</w:t>
      </w:r>
    </w:p>
    <w:p w14:paraId="654D98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未经对方同意，任何一方当事人不得将有关文件、技术秘密、需要保密的资料和信息泄露给他人或公开发表与引用。</w:t>
      </w:r>
    </w:p>
    <w:p w14:paraId="734575D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发包人要求中的错误（A）</w:t>
      </w:r>
    </w:p>
    <w:p w14:paraId="45186F9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1.13.1承包人应认真阅读、复核发包人要求，发现错误的，应及时书面通知发包人。</w:t>
      </w:r>
    </w:p>
    <w:p w14:paraId="3774C5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1.13.2发包人要求中的错误导致承包人增加费用和（或）工期延误的，发包人应承担由此增加的费用和（或）工期延误，并向承包人支付合理利润。</w:t>
      </w:r>
    </w:p>
    <w:p w14:paraId="56564E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发包人要求中的错误（B）</w:t>
      </w:r>
    </w:p>
    <w:p w14:paraId="1B9201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承包人应认真阅读、复核发包人要求，发现错误的，应及时书面通知发包人。发包人做相应修改的，按照第15条约定处理。对确实存在的错误，发包人坚持不作修改的，应承担由此导致承包人增加的费用和（或）延误的工期。</w:t>
      </w:r>
    </w:p>
    <w:p w14:paraId="0EDAE29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 承包人未发现发包人要求中存在错误的，承包人自行承担由此导致的费用增加和（或） 工期延误，但专用合同条款另有约定的除外。</w:t>
      </w:r>
    </w:p>
    <w:p w14:paraId="12F9180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 无论承包人发现与否，在任何情况下，发包人要求中的下列错误导致承包人增加的费用和（或）延误的工期，由发包人承担，并向承包人支付合理利润。</w:t>
      </w:r>
    </w:p>
    <w:p w14:paraId="25235BB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（1）发包人要求中引用的原始数据和资料；</w:t>
      </w:r>
    </w:p>
    <w:p w14:paraId="239E37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（2）对工程或其任何部分的功能要求；</w:t>
      </w:r>
    </w:p>
    <w:p w14:paraId="2BD7E80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（3）对工程的工艺安排或要求；</w:t>
      </w:r>
    </w:p>
    <w:p w14:paraId="445A21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（4）试验和检验标准；</w:t>
      </w:r>
    </w:p>
    <w:p w14:paraId="09D5D7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（5）除合同另有约定外，承包人无法核实的数据和资料。</w:t>
      </w:r>
    </w:p>
    <w:p w14:paraId="7A1E59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发包人要求违法</w:t>
      </w:r>
    </w:p>
    <w:p w14:paraId="3A5039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14:paraId="3A38C7BF">
      <w:pPr>
        <w:adjustRightInd w:val="0"/>
        <w:snapToGrid w:val="0"/>
        <w:spacing w:line="360" w:lineRule="auto"/>
        <w:ind w:firstLine="482" w:firstLineChars="200"/>
        <w:outlineLvl w:val="1"/>
        <w:rPr>
          <w:rFonts w:ascii="宋体" w:hAnsi="宋体" w:cs="宋体"/>
          <w:b/>
          <w:color w:val="auto"/>
          <w:sz w:val="24"/>
          <w:highlight w:val="none"/>
        </w:rPr>
      </w:pPr>
      <w:bookmarkStart w:id="18" w:name="_Toc1003"/>
      <w:r>
        <w:rPr>
          <w:rFonts w:hint="eastAsia" w:ascii="宋体" w:hAnsi="宋体" w:cs="宋体"/>
          <w:b/>
          <w:color w:val="auto"/>
          <w:sz w:val="24"/>
          <w:highlight w:val="none"/>
        </w:rPr>
        <w:t>2. 发包人义务</w:t>
      </w:r>
      <w:bookmarkEnd w:id="18"/>
    </w:p>
    <w:p w14:paraId="404544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遵守法律</w:t>
      </w:r>
    </w:p>
    <w:p w14:paraId="1F13A70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发包人在履行合同过程中应遵守法律，并保证承包人免于承担因发包人违反法律而引起的任何责任。</w:t>
      </w:r>
    </w:p>
    <w:p w14:paraId="0DDA0D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发出承包人开始工作通知</w:t>
      </w:r>
    </w:p>
    <w:p w14:paraId="120EE6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发包人应委托监理人按第11.1 款的约定向承包人发出开始工作通知。</w:t>
      </w:r>
    </w:p>
    <w:p w14:paraId="0F15D92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提供施工场地</w:t>
      </w:r>
    </w:p>
    <w:p w14:paraId="0585356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发包人应按专用合同条款约定向承包人提供施工场地及进场施工条件，并明确与承包人的交接界面。</w:t>
      </w:r>
    </w:p>
    <w:p w14:paraId="6089A8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办理证件和批件</w:t>
      </w:r>
    </w:p>
    <w:p w14:paraId="7E82DD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法律规定和（或）合同约定由发包人负责办理的工程建设项目必须履行的各类审批、核准或备案手续，发包人应按时办理。</w:t>
      </w:r>
    </w:p>
    <w:p w14:paraId="54AD69E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法律规定和（或）合同约定由承包人负责的有关设计、施工证件和批件，发包人应给予必要的协助。</w:t>
      </w:r>
    </w:p>
    <w:p w14:paraId="380822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 支付合同价款</w:t>
      </w:r>
    </w:p>
    <w:p w14:paraId="21A52AD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发包人应按合同约定向承包人及时支付合同价款。专用合同条款对发包人工程款支付担保有约定的，从其约定。</w:t>
      </w:r>
    </w:p>
    <w:p w14:paraId="792711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 组织竣工验收</w:t>
      </w:r>
    </w:p>
    <w:p w14:paraId="6D7317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发包人应按合同约定及时组织竣工验收。</w:t>
      </w:r>
    </w:p>
    <w:p w14:paraId="0D5099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其他义务</w:t>
      </w:r>
    </w:p>
    <w:p w14:paraId="04C813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发包人应履行合同约定的其他义务。</w:t>
      </w:r>
    </w:p>
    <w:p w14:paraId="79C183D3">
      <w:pPr>
        <w:adjustRightInd w:val="0"/>
        <w:snapToGrid w:val="0"/>
        <w:spacing w:line="360" w:lineRule="auto"/>
        <w:ind w:firstLine="482" w:firstLineChars="200"/>
        <w:outlineLvl w:val="1"/>
        <w:rPr>
          <w:rFonts w:ascii="宋体" w:hAnsi="宋体" w:cs="宋体"/>
          <w:b/>
          <w:color w:val="auto"/>
          <w:sz w:val="24"/>
          <w:highlight w:val="none"/>
        </w:rPr>
      </w:pPr>
      <w:bookmarkStart w:id="19" w:name="_Toc16490"/>
      <w:r>
        <w:rPr>
          <w:rFonts w:hint="eastAsia" w:ascii="宋体" w:hAnsi="宋体" w:cs="宋体"/>
          <w:b/>
          <w:color w:val="auto"/>
          <w:sz w:val="24"/>
          <w:highlight w:val="none"/>
        </w:rPr>
        <w:t>3. 监理人</w:t>
      </w:r>
      <w:bookmarkEnd w:id="19"/>
    </w:p>
    <w:p w14:paraId="0F9E32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监理人的职责和权力</w:t>
      </w:r>
    </w:p>
    <w:p w14:paraId="1AFB2D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14:paraId="3377A4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 合同约定应由承包人承担的义务和责任，不因监理人对承包人文件的审查或批准，对工程、材料和工程设备的检查和检验，以及为实施监理作出的指示等职务行为而减轻或解除。</w:t>
      </w:r>
    </w:p>
    <w:p w14:paraId="4E650D3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总监理工程师</w:t>
      </w:r>
    </w:p>
    <w:p w14:paraId="1C5A75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发包人应在发出开始工作通知前将总监理工程师的任命通知承包人。总监理工程师更换时，应提前14 天通知承包人。总监理工程师超过２天不能履行职责的，应委派代表代行其职责，并通知承包人。</w:t>
      </w:r>
    </w:p>
    <w:p w14:paraId="7B1F8B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监理人员</w:t>
      </w:r>
    </w:p>
    <w:p w14:paraId="49E304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4520914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593A3A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承包人对总监理工程师授权的监理人员发出的指示有疑问的，可在该指示发出的48小时内向总监理工程师提出书面异议，总监理工程师应在48小时内对该指示予以确认、更改或撤销。</w:t>
      </w:r>
    </w:p>
    <w:p w14:paraId="2E47C4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 除专用合同条款另有约定外，总监理工程师不应将第3.5 款约定应由总监理工程师作出确定的权力授权或委托给其他监理人员。</w:t>
      </w:r>
    </w:p>
    <w:p w14:paraId="616BC5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 监理人的指示</w:t>
      </w:r>
    </w:p>
    <w:p w14:paraId="01DEF57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监理人应按第3.1 款的约定向承包人发出指示，监理人的指示应盖有监理人授权的项目管理机构章，并由总监理工程师或总监理工程师约定授权的监理人员签字。</w:t>
      </w:r>
    </w:p>
    <w:p w14:paraId="126060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 承包人收到监理人作出的指示后应遵照执行。指示构成变更的，应按第15条执行。</w:t>
      </w:r>
    </w:p>
    <w:p w14:paraId="7920A8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14:paraId="1CD2D1A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3.4.4 除合同另有约定外，承包人只从总监理工程师或按第3.3.1项被授权的监理人员处取得指示。</w:t>
      </w:r>
    </w:p>
    <w:p w14:paraId="61DBE7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3.4.5 由于监理人未能按合同约定发出指示、指示延误或指示错误而导致承包人费用增加和（或）工期延误的，发包人应承担由此增加的费用和（或）工期延误，并向承包人支付合理利润。</w:t>
      </w:r>
    </w:p>
    <w:p w14:paraId="14DD2B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商定或确定</w:t>
      </w:r>
    </w:p>
    <w:p w14:paraId="5AEFD87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 合同约定总监理工程师应按照本款对任何事项进行商定或确定时，总监理工程师应与合同当事人协商，尽量达成一致。不能达成一致的，总监理工程师应认真研究后审慎确定。</w:t>
      </w:r>
    </w:p>
    <w:p w14:paraId="613981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14:paraId="6B1E4F15">
      <w:pPr>
        <w:adjustRightInd w:val="0"/>
        <w:snapToGrid w:val="0"/>
        <w:spacing w:line="360" w:lineRule="auto"/>
        <w:ind w:firstLine="482" w:firstLineChars="200"/>
        <w:outlineLvl w:val="1"/>
        <w:rPr>
          <w:rFonts w:ascii="宋体" w:hAnsi="宋体" w:cs="宋体"/>
          <w:b/>
          <w:color w:val="auto"/>
          <w:sz w:val="24"/>
          <w:highlight w:val="none"/>
        </w:rPr>
      </w:pPr>
      <w:bookmarkStart w:id="20" w:name="_Toc11785"/>
      <w:r>
        <w:rPr>
          <w:rFonts w:hint="eastAsia" w:ascii="宋体" w:hAnsi="宋体" w:cs="宋体"/>
          <w:b/>
          <w:color w:val="auto"/>
          <w:sz w:val="24"/>
          <w:highlight w:val="none"/>
        </w:rPr>
        <w:t>4. 承包人</w:t>
      </w:r>
      <w:bookmarkEnd w:id="20"/>
    </w:p>
    <w:p w14:paraId="2DC47F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承包人的一般义务</w:t>
      </w:r>
    </w:p>
    <w:p w14:paraId="04E227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 遵守法律</w:t>
      </w:r>
    </w:p>
    <w:p w14:paraId="3A984A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承包人在履行合同过程中应遵守法律，并保证发包人免于承担因承包人违反法律而引起的任何责任。</w:t>
      </w:r>
    </w:p>
    <w:p w14:paraId="472905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依法纳税</w:t>
      </w:r>
    </w:p>
    <w:p w14:paraId="6DA0AD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承包人应按有关法律规定纳税，应缴纳的税金包括在合同价格内。</w:t>
      </w:r>
    </w:p>
    <w:p w14:paraId="37FFF3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 完成各项承包工作</w:t>
      </w:r>
    </w:p>
    <w:p w14:paraId="7B10EE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14:paraId="3887853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 对设计、施工作业和施工方法，以及工程的完备性负责</w:t>
      </w:r>
    </w:p>
    <w:p w14:paraId="71D649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承包人应按合同约定的工作内容和进度要求，编制设计、施工的组织和实施计划，并对所有设计、施工作业和施工方法，以及全部工程的完备性和安全可靠性负责。</w:t>
      </w:r>
    </w:p>
    <w:p w14:paraId="127881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4.1.5 保证工程施工和人员的安全</w:t>
      </w:r>
    </w:p>
    <w:p w14:paraId="5B85CC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承包人应按第10.2 款约定采取施工安全措施，确保工程及其人员、材料、设备和设施的安全，防止因工程施工造成的人身伤害和财产损失。</w:t>
      </w:r>
    </w:p>
    <w:p w14:paraId="6E8C42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14:paraId="1EEAA88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承包人应按照第10.4 款约定负责施工场地及其周边环境与生态的保护工作。</w:t>
      </w:r>
    </w:p>
    <w:p w14:paraId="720F871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4.1.7 避免施工对公众与他人的利益造成损害</w:t>
      </w:r>
    </w:p>
    <w:p w14:paraId="0ADE24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D1A51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14:paraId="5892FB1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14:paraId="3297BD6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4.1.9 工程的维护和照管</w:t>
      </w:r>
    </w:p>
    <w:p w14:paraId="2B08AF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工程接收证书颁发前，承包人应负责照管和维护工程。工程接收证书颁发时尚有部分未竣工工程的，承包人还应负责该未竣工工程的照管和维护工作，直至竣工后移交给发包人。</w:t>
      </w:r>
    </w:p>
    <w:p w14:paraId="594C0D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14:paraId="59E9F3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承包人应履行合同约定的其他义务。</w:t>
      </w:r>
    </w:p>
    <w:p w14:paraId="3431299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履约担保</w:t>
      </w:r>
    </w:p>
    <w:p w14:paraId="6DF664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 承包人应保证其履约担保在发包人颁发工程接收证书前一直有效。发包人应在工程接收证书颁发后28 天内将履约担保退还给承包人。需进行竣工后试验的，承包人应保证其履约担保在竣工后试验通过前一直有效，发包人应在通过竣工验收后7天内将履约担保退还给承包人。</w:t>
      </w:r>
    </w:p>
    <w:p w14:paraId="2A1E2D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 如工程延期，承包人有义务继续提供履约担保。由于发包人原因导致延期的，继续提供履约担保所需的费用由发包人承担；由于承包人原因导致延期的，继续提供履约担保所需费用由承包人承担。</w:t>
      </w:r>
    </w:p>
    <w:p w14:paraId="75275D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 分包和不得转包</w:t>
      </w:r>
    </w:p>
    <w:p w14:paraId="2F48FE4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承包人不得将其承包的全部工程转包给第三人，也不得将其承包的全部工程肢解后以分包的名义分别转包给第三人。</w:t>
      </w:r>
    </w:p>
    <w:p w14:paraId="1796093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承包人不得将设计和施工的主体、关键性工作分包给第三人。除专用合同条款另有约定外，未经发包人同意，承包人也不得将非主体、非关键性工作分包给第三人。</w:t>
      </w:r>
    </w:p>
    <w:p w14:paraId="5D0D15B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 分包人的资格能力应与其分包工作的标准和规模相适应。</w:t>
      </w:r>
    </w:p>
    <w:p w14:paraId="1B8301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 发包人同意承包人分包工作的，承包人应向发包人和监理人提交分包合同副本。</w:t>
      </w:r>
    </w:p>
    <w:p w14:paraId="5CECC3F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 联合体</w:t>
      </w:r>
    </w:p>
    <w:p w14:paraId="75E24D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 联合体各方应共同与发包人签订合同。联合体各方应为履行合同承担连带责任。</w:t>
      </w:r>
    </w:p>
    <w:p w14:paraId="2B06EC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4.4.2 联合体协议经发包人确认后作为合同附件。在履行合同过程中，未经发包人同意，不得修改联合体协议。</w:t>
      </w:r>
    </w:p>
    <w:p w14:paraId="0645D3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4.4.3 联合体牵头人或联合体授权的代表负责与发包人和监理人联系，并接受指示，负责组织联合体各成员全面履行合同。</w:t>
      </w:r>
    </w:p>
    <w:p w14:paraId="0694BA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 承包人项目经理</w:t>
      </w:r>
    </w:p>
    <w:p w14:paraId="675FE6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14:paraId="16090B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14:paraId="7A654B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4.5.3 承包人为履行合同发出的一切函件均应盖有承包人单位章或由承包人项目经理签字。</w:t>
      </w:r>
    </w:p>
    <w:p w14:paraId="10FF8B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4.5.4 承包人项目经理可以授权其下属人员履行其某项职责，但事先应将这些人员的姓名和授权范围书面通知发包人和监理人。</w:t>
      </w:r>
    </w:p>
    <w:p w14:paraId="611DF4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 承包人人员的管理</w:t>
      </w:r>
    </w:p>
    <w:p w14:paraId="22C49E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14:paraId="7C9770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4.6.2 承包人安排的主要管理人员包括项目经理、设计负责人、施工负责人、采购负责人以及专职质量、安全生产管理人员等；技术人员包括设计师、建筑师、土木工程师、设备工程师、建造师等。</w:t>
      </w:r>
    </w:p>
    <w:p w14:paraId="77DAE59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4.6.3 承包人的设计人员应具有国家规定和发包人要求中约定的资格，并具有从事设计所必需的经验与能力。</w:t>
      </w:r>
    </w:p>
    <w:p w14:paraId="125C4E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承包人应保证其设计人员（包括分包人的设计人员）在合同期限内的任何时候，都能按时参加发包人或其委托的监理人组织的工作会议。</w:t>
      </w:r>
    </w:p>
    <w:p w14:paraId="2560F6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4.6.4 国家规定应当持证上岗的工作人员均应持有相应的资格证明，监理人有权随时检查。监理人认为有必要时，可进行现场考核。</w:t>
      </w:r>
    </w:p>
    <w:p w14:paraId="11148F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4.6.5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14:paraId="7A4C0B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4.7 撤换承包人项目经理和其他人员</w:t>
      </w:r>
    </w:p>
    <w:p w14:paraId="15F69E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w:t>
      </w:r>
    </w:p>
    <w:p w14:paraId="6BFA28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 保障承包人人员的合法权益</w:t>
      </w:r>
    </w:p>
    <w:p w14:paraId="7AD80B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4.8.1 承包人应与其雇佣的人员签订劳动合同，并按时发放工资。</w:t>
      </w:r>
    </w:p>
    <w:p w14:paraId="584D32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4.8.2 承包人应按劳动法的规定安排工作时间，保证其雇佣人员享有休息和休假的权利。因设计、施工的特殊需要占用休假日或延长工作时间的，应不超过法律规定的限度，并按法律规定给予补休或付酬。</w:t>
      </w:r>
    </w:p>
    <w:p w14:paraId="23C9E3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4.8.3 承包人应为其雇佣人员提供必要的食宿条件，以及符合环境保护和卫生要求的生活环境，在远离城镇的施工场地，还应配备必要的伤病防治和急救的医务人员与医疗设施。</w:t>
      </w:r>
    </w:p>
    <w:p w14:paraId="4F6BF2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4.8.4 承包人应按国家有关劳动保护的规定，采取有效地防止粉尘、降低噪声、控制有害气体和保障高温、高寒、高空作业安全等劳动保护措施。其雇佣人员在施工中受到伤害的，承包人应立即采取有效措施进行抢救和治疗。</w:t>
      </w:r>
    </w:p>
    <w:p w14:paraId="5A7C63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4.8.5 承包人应按有关法律规定和合同约定，为其雇佣人员办理保险。</w:t>
      </w:r>
    </w:p>
    <w:p w14:paraId="0A7FD89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4.8.6 承包人应负责处理其雇佣人员因工伤亡事故的善后事宜。</w:t>
      </w:r>
    </w:p>
    <w:p w14:paraId="25B090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4.9 工程价款应专款专用</w:t>
      </w:r>
    </w:p>
    <w:p w14:paraId="39C3CB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发包人按合同约定支付给承包人的各项价款应专用于合同工作。</w:t>
      </w:r>
    </w:p>
    <w:p w14:paraId="11CF07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 承包人现场查勘</w:t>
      </w:r>
    </w:p>
    <w:p w14:paraId="0920E5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14:paraId="4301904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4.10.2 承包人应对施工场地和周围环境进行查勘，并收集除发包人提供外为完成合同工作有关的当地资料。在全部合同工作中，视为承包人已充分估计了应承担的责任和风险。</w:t>
      </w:r>
    </w:p>
    <w:p w14:paraId="52AFB8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 不可预见物质条件（A）</w:t>
      </w:r>
    </w:p>
    <w:p w14:paraId="6683387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4.11.1 不可预见物质条件，除专用合同条款另有约定外，是指承包人在施工场地遇到的不可预见的自然物质条件、非自然的物质障碍和污染物，包括地下和水文条件，但不包括气候条件。</w:t>
      </w:r>
    </w:p>
    <w:p w14:paraId="29E9E09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监理人没有发出指示的，承包人因采取合理措施而增加的费用和（或）工期延误，由发包人承担。</w:t>
      </w:r>
    </w:p>
    <w:p w14:paraId="58CE6B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 不可预见的困难和费用（B）</w:t>
      </w:r>
    </w:p>
    <w:p w14:paraId="3D105AC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除合同另有约定外，承包人应视为已取得工程有关风险、意外事件和其他情况的全部必要资料，并预见工程所有困难和费用。承包人遇到不可预见的困难和费用时，合同价格不予调整。</w:t>
      </w:r>
    </w:p>
    <w:p w14:paraId="1B82C9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进度计划</w:t>
      </w:r>
    </w:p>
    <w:p w14:paraId="13E8E8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4.12.1 合同进度计划</w:t>
      </w:r>
    </w:p>
    <w:p w14:paraId="029198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14:paraId="589132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4.12.2 合同进度计划的修订</w:t>
      </w:r>
    </w:p>
    <w:p w14:paraId="7FFE06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14:paraId="41F69A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 质量保证</w:t>
      </w:r>
    </w:p>
    <w:p w14:paraId="5AFBA4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4.14.1 为保证工程质量，承包人应按照合同要求建立质量保证体系。监理人有权对承包人的质量保证体系进行审查。</w:t>
      </w:r>
    </w:p>
    <w:p w14:paraId="232B82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4.14.2 承包人应在各设计和实施阶段开始前，向监理人提交其具体的质量保证细则和工作程序。</w:t>
      </w:r>
    </w:p>
    <w:p w14:paraId="01CEEC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4.14.3 遵守质量保证体系，不应免除合同约定的承包人的义务和责任。</w:t>
      </w:r>
    </w:p>
    <w:p w14:paraId="71B2AD9D">
      <w:pPr>
        <w:adjustRightInd w:val="0"/>
        <w:snapToGrid w:val="0"/>
        <w:spacing w:line="360" w:lineRule="auto"/>
        <w:ind w:firstLine="482" w:firstLineChars="200"/>
        <w:outlineLvl w:val="1"/>
        <w:rPr>
          <w:rFonts w:ascii="宋体" w:hAnsi="宋体" w:cs="宋体"/>
          <w:b/>
          <w:color w:val="auto"/>
          <w:sz w:val="24"/>
          <w:highlight w:val="none"/>
        </w:rPr>
      </w:pPr>
      <w:bookmarkStart w:id="21" w:name="_Toc4873"/>
      <w:r>
        <w:rPr>
          <w:rFonts w:hint="eastAsia" w:ascii="宋体" w:hAnsi="宋体" w:cs="宋体"/>
          <w:b/>
          <w:color w:val="auto"/>
          <w:sz w:val="24"/>
          <w:highlight w:val="none"/>
        </w:rPr>
        <w:t>5. 设计</w:t>
      </w:r>
      <w:bookmarkEnd w:id="21"/>
    </w:p>
    <w:p w14:paraId="264F657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 承包人的设计义务</w:t>
      </w:r>
    </w:p>
    <w:p w14:paraId="0EC27F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5.1.1 设计义务的一般要求</w:t>
      </w:r>
    </w:p>
    <w:p w14:paraId="7FCCFC8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承包人应按照法律规定，以及国家、行业和地方的规范和标准完成设计工作，并符合发包人要求。</w:t>
      </w:r>
    </w:p>
    <w:p w14:paraId="545FBD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5.1.2 法律和标准的变化</w:t>
      </w:r>
    </w:p>
    <w:p w14:paraId="305A03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14:paraId="003A9B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 承包人设计进度计划</w:t>
      </w:r>
    </w:p>
    <w:p w14:paraId="6D943F0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承包人应按照发包人要求，在合同进度计划中专门列出设计进度计划，报发包人批准后执行。承包人需按照经批准后的计划开展设计工作。</w:t>
      </w:r>
    </w:p>
    <w:p w14:paraId="58B0B6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因承包人原因影响设计进度的，按第11.5款的约定执行。因发包人原因影响设计进度的，按第15条变更处理。</w:t>
      </w:r>
    </w:p>
    <w:p w14:paraId="3C71F0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发包人或其委托的监理人有权要求承包人根据第11.5款提交修正的进度计划、增加投入资源并加快设计进度。</w:t>
      </w:r>
    </w:p>
    <w:p w14:paraId="339C50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 设计审查</w:t>
      </w:r>
    </w:p>
    <w:p w14:paraId="175348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5.3.1 承包人的设计文件应报发包人审查同意。审查的范围和内容在发包人要求中约定。</w:t>
      </w:r>
    </w:p>
    <w:p w14:paraId="602B6B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14:paraId="3C2C96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14:paraId="6B4CB5C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合同约定的审查期满，发包人没有做出审查结论也没有提出异议的，视为承包人的设计文件已获发包人同意。</w:t>
      </w:r>
    </w:p>
    <w:p w14:paraId="0B7F0B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5.3.2 承包人的设计文件不需要政府有关部门审查或批准的，承包人应当严格按照经发包人审查同意的设计文件设计和实施工程。</w:t>
      </w:r>
    </w:p>
    <w:p w14:paraId="01D9B2C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5.3.3 （设计文件需政府有关部门审查或批准的，发包人应在审查同意承包人的设计文件后7天内，向政府有关部门报送设计文件，承包人应予以协助。</w:t>
      </w:r>
    </w:p>
    <w:p w14:paraId="281FBA8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14:paraId="6FB049F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政府有关部门审查批准的，承包人应当严格按照批准后的承包人的设计文件设计和实施工程。</w:t>
      </w:r>
    </w:p>
    <w:p w14:paraId="428921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 培训</w:t>
      </w:r>
    </w:p>
    <w:p w14:paraId="53D414A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承包人应按照发包人要求，对发包人的人员进行工程操作和维修方面的培训。合同约定接收之前进行培训的，应在第18.3款约定的竣工验收前完成培训。</w:t>
      </w:r>
    </w:p>
    <w:p w14:paraId="15810F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 竣工文件</w:t>
      </w:r>
    </w:p>
    <w:p w14:paraId="0FD1C4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14:paraId="53D25BA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5.5.2 在颁发工程接收证书之前，承包人应按照发包人要求的份数和形式向监理人提交相应竣工图纸，并取得监理人对尺寸、参照系统及其他有关细节的认可。监理人应按照第5.3款的约定进行审查。</w:t>
      </w:r>
    </w:p>
    <w:p w14:paraId="3E9637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5.5.3 在监理人收到上述文件前，不应认为工程已根据第18.3款和第18.5款约定完成验收。</w:t>
      </w:r>
    </w:p>
    <w:p w14:paraId="4639C8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 操作和维修手册</w:t>
      </w:r>
    </w:p>
    <w:p w14:paraId="2481CB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5.6.1 在竣工试验开始前，承包人应向监理人提交暂行的操作和维修手册，该手册应足够详细，以便发包人能够对生产设备进行操作、维修、拆卸、重新安装、调整及修理。</w:t>
      </w:r>
    </w:p>
    <w:p w14:paraId="55AC0B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5.6.2 承包人应提交足够详细的最终操作和维修手册，以及在发包人要求中明确的相关操作和维修手册。在监理人收到上述文件前，不应认为工程已根据第18.3款和第18.5款约定完成验收。</w:t>
      </w:r>
    </w:p>
    <w:p w14:paraId="66CCD8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5.7 承包人文件错误</w:t>
      </w:r>
    </w:p>
    <w:p w14:paraId="03830D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14:paraId="6F4CCB0D">
      <w:pPr>
        <w:adjustRightInd w:val="0"/>
        <w:snapToGrid w:val="0"/>
        <w:spacing w:line="360" w:lineRule="auto"/>
        <w:ind w:firstLine="482" w:firstLineChars="200"/>
        <w:outlineLvl w:val="1"/>
        <w:rPr>
          <w:rFonts w:ascii="宋体" w:hAnsi="宋体" w:cs="宋体"/>
          <w:b/>
          <w:color w:val="auto"/>
          <w:sz w:val="24"/>
          <w:highlight w:val="none"/>
        </w:rPr>
      </w:pPr>
      <w:bookmarkStart w:id="22" w:name="_Toc21733"/>
      <w:r>
        <w:rPr>
          <w:rFonts w:hint="eastAsia" w:ascii="宋体" w:hAnsi="宋体" w:cs="宋体"/>
          <w:b/>
          <w:color w:val="auto"/>
          <w:sz w:val="24"/>
          <w:highlight w:val="none"/>
        </w:rPr>
        <w:t>6. 材料和工程设备</w:t>
      </w:r>
      <w:bookmarkEnd w:id="22"/>
    </w:p>
    <w:p w14:paraId="741F2E3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承包人提供的材料和工程设备</w:t>
      </w:r>
    </w:p>
    <w:p w14:paraId="36ED5F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6.1.1 除专用合同条款另有约定外，承包人提供的材料和工程设备均由承包人负责采购、运输和保管。承包人应对其采购的材料和工程设备负责。</w:t>
      </w:r>
    </w:p>
    <w:p w14:paraId="583D5F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14:paraId="35E625A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34566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发包人提供的材料和工程设备（A）</w:t>
      </w:r>
    </w:p>
    <w:p w14:paraId="044054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6.2.1 专用合同条款约定发包人提供部分材料和工程设备的，应写明材料和工程设备的名称、规格、数量、价格、交货方式、交货地点等。</w:t>
      </w:r>
    </w:p>
    <w:p w14:paraId="518981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6.2.2 承包人应根据合同进度计划的安排，向监理人报送要求发包人交货的日期计划。发包人应按照监理人与合同双方当事人商定的交货日期，向承包人提交材料和工程设备。</w:t>
      </w:r>
    </w:p>
    <w:p w14:paraId="3F16A5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6.2.3 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14:paraId="2186A3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6.2.4 发包人要求向承包人提前交货的，承包人不得拒绝，但发包人应承担承包人由此增加的费用。</w:t>
      </w:r>
    </w:p>
    <w:p w14:paraId="322015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6.2.5 承包人要求更改交货日期或地点的，应事先报请监理人批准。由于承包人要求更改交货时间或地点所增加的费用和（或）工期延误由承包人承担。</w:t>
      </w:r>
    </w:p>
    <w:p w14:paraId="4CB23A4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6.2.6 发包人提供的材料和工程设备的规格、数量或质量不符合合同要求，或由于发包人原因发生交货日期延误及交货地点变更等情况的，发包人应承担由此增加的费用和（或）工期延误，并向承包人支付合理利润。</w:t>
      </w:r>
    </w:p>
    <w:p w14:paraId="46930F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发包人提供的材料和工程设备（B）</w:t>
      </w:r>
    </w:p>
    <w:p w14:paraId="6EBD29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发包人不提供材料和工程设备。</w:t>
      </w:r>
    </w:p>
    <w:p w14:paraId="05571E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 专用于工程的材料和工程设备</w:t>
      </w:r>
    </w:p>
    <w:p w14:paraId="3791DF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6.3.1 运入施工场地的材料、工程设备，包括备品备件、安装专用工器具与随机资料，必须专用于合同约定范围内的工程，未经监理人同意，承包人不得运出施工场地或挪作他用。</w:t>
      </w:r>
    </w:p>
    <w:p w14:paraId="3D9FA7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84E26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6.4 实施方法</w:t>
      </w:r>
    </w:p>
    <w:p w14:paraId="03EB11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承包人对材料的加工、工程设备的采购、制造、安装应当按照法律规定、合同约定以及行业习惯来实施。</w:t>
      </w:r>
    </w:p>
    <w:p w14:paraId="0B560A4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 禁止使用不合格的材料和工程设备</w:t>
      </w:r>
    </w:p>
    <w:p w14:paraId="39C897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6.5.1 监理人有权拒绝承包人提供的不合格材料或工程设备，并要求承包人立即进行更换。监理人应在更换后再次进行检查和检验，由此增加的费用和（或）工期延误由承包人承担。</w:t>
      </w:r>
    </w:p>
    <w:p w14:paraId="75E00C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6.5.2 监理人发现承包人使用了不合格的材料和工程设备，应即时发出指示要求承包人立即改正，并禁止在工程中继续使用不合格的材料和工程设备。</w:t>
      </w:r>
    </w:p>
    <w:p w14:paraId="403505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6.5.3 发包人提供的材料或工程设备不符合合同要求的，承包人有权拒绝，并可要求发包人更换，由此增加的费用和（或）工期延误由发包人承担。</w:t>
      </w:r>
    </w:p>
    <w:p w14:paraId="65D04AB5">
      <w:pPr>
        <w:adjustRightInd w:val="0"/>
        <w:snapToGrid w:val="0"/>
        <w:spacing w:line="360" w:lineRule="auto"/>
        <w:ind w:firstLine="482" w:firstLineChars="200"/>
        <w:outlineLvl w:val="1"/>
        <w:rPr>
          <w:rFonts w:ascii="宋体" w:hAnsi="宋体" w:cs="宋体"/>
          <w:b/>
          <w:color w:val="auto"/>
          <w:sz w:val="24"/>
          <w:highlight w:val="none"/>
        </w:rPr>
      </w:pPr>
      <w:bookmarkStart w:id="23" w:name="_Toc3433"/>
      <w:r>
        <w:rPr>
          <w:rFonts w:hint="eastAsia" w:ascii="宋体" w:hAnsi="宋体" w:cs="宋体"/>
          <w:b/>
          <w:color w:val="auto"/>
          <w:sz w:val="24"/>
          <w:highlight w:val="none"/>
        </w:rPr>
        <w:t>7. 施工设备和临时设施</w:t>
      </w:r>
      <w:bookmarkEnd w:id="23"/>
    </w:p>
    <w:p w14:paraId="004D33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 承包人提供的施工设备和临时设施</w:t>
      </w:r>
    </w:p>
    <w:p w14:paraId="7CEEB9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 承包人应按合同进度计划的要求，及时配置施工设备和修建临时设施。进入施工场地的承包人设备需经监理人核查后才能投入使用。承包人更换合同约定的承包人设备的，应报监理人批准。</w:t>
      </w:r>
    </w:p>
    <w:p w14:paraId="05E056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7.1.2 除专用合同条款另有约定外，承包人应自行承担修建临时设施的费用。需要临时占地的，应由发包人办理申请手续并承担相应费用。</w:t>
      </w:r>
    </w:p>
    <w:p w14:paraId="7DE1AB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发包人提供的施工设备和临时设施（A）</w:t>
      </w:r>
    </w:p>
    <w:p w14:paraId="63CBE5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发包人提供的施工设备或临时设施在专用合同条款中约定。</w:t>
      </w:r>
    </w:p>
    <w:p w14:paraId="3C7A341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发包人提供的施工设备和临时设施（B）</w:t>
      </w:r>
    </w:p>
    <w:p w14:paraId="361883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发包人不提供施工设备或临时设施。</w:t>
      </w:r>
    </w:p>
    <w:p w14:paraId="184BFA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要求承包人增加或更换施工设备</w:t>
      </w:r>
    </w:p>
    <w:p w14:paraId="219383A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承包人使用的施工设备不能满足合同进度计划和（或）质量标准时，监理人有权要求承包人增加或更换施工设备，承包人应及时增加或更换，由此增加的费用和（或）工期延误由承包人承担。</w:t>
      </w:r>
    </w:p>
    <w:p w14:paraId="2D7FDA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 施工设备和临时设施专用于合同工程</w:t>
      </w:r>
    </w:p>
    <w:p w14:paraId="3DD3561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7.4.1 除合同另有约定外，运入施工场地的所有施工设备以及在施工场地建设的临时设施应专用于合同工程。未经监理人同意，不得将上述施工设备和临时设施中的任何部分运出施工场地或挪作他用。</w:t>
      </w:r>
    </w:p>
    <w:p w14:paraId="36AB75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7.4.2 经监理人同意，承包人可根据合同进度计划撤走闲置的施工设备。</w:t>
      </w:r>
    </w:p>
    <w:p w14:paraId="1BC5A732">
      <w:pPr>
        <w:adjustRightInd w:val="0"/>
        <w:snapToGrid w:val="0"/>
        <w:spacing w:line="360" w:lineRule="auto"/>
        <w:ind w:firstLine="482" w:firstLineChars="200"/>
        <w:outlineLvl w:val="1"/>
        <w:rPr>
          <w:rFonts w:ascii="宋体" w:hAnsi="宋体" w:cs="宋体"/>
          <w:b/>
          <w:color w:val="auto"/>
          <w:sz w:val="24"/>
          <w:highlight w:val="none"/>
        </w:rPr>
      </w:pPr>
      <w:bookmarkStart w:id="24" w:name="_Toc14205"/>
      <w:r>
        <w:rPr>
          <w:rFonts w:hint="eastAsia" w:ascii="宋体" w:hAnsi="宋体" w:cs="宋体"/>
          <w:b/>
          <w:color w:val="auto"/>
          <w:sz w:val="24"/>
          <w:highlight w:val="none"/>
        </w:rPr>
        <w:t>8. 交通运输</w:t>
      </w:r>
      <w:bookmarkEnd w:id="24"/>
    </w:p>
    <w:p w14:paraId="6ACCD70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道路通行权和场外设施（A）</w:t>
      </w:r>
    </w:p>
    <w:p w14:paraId="0690E6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发包人应根据工程的施工需要，负责办理取得出入施工场地的专用和临时道路的通行权，以及取得为工程建设所需修建场外设施的权利，并承担有关费用。承包人应协助发包人办理上述手续。</w:t>
      </w:r>
    </w:p>
    <w:p w14:paraId="637976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道路通行权和场外设施（B）</w:t>
      </w:r>
    </w:p>
    <w:p w14:paraId="68117A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承包人应根据工程的施工需要，负责办理取得出入施工场地的专用和临时道路的通行权，以及取得为工程建设所需修建场外设施的权利，并承担有关费用。发包人应协助承包人办理上述手续。</w:t>
      </w:r>
    </w:p>
    <w:p w14:paraId="6AAF03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 场内施工道路</w:t>
      </w:r>
    </w:p>
    <w:p w14:paraId="707C10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8.2.1 除专用合同条款另有约定外，承包人应负责修建、维修、养护和管理施工所需的临时道路和交通设施，包括维修、养护和管理发包人提供的道路和交通设施，并承担相应费用。</w:t>
      </w:r>
    </w:p>
    <w:p w14:paraId="282D7E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8.2.2 除专用合同条款另有约定外，承包人修建的临时道路和交通设施应免费提供发包人和监理人为实现合同目的使用。</w:t>
      </w:r>
    </w:p>
    <w:p w14:paraId="196602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 场外交通</w:t>
      </w:r>
    </w:p>
    <w:p w14:paraId="0188F1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8.3.1 承包人车辆外出行驶所需的场外公共道路的通行费、养路费和税款等由承包人承担。</w:t>
      </w:r>
    </w:p>
    <w:p w14:paraId="7348130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8.3.2 承包人应遵守有关交通法规，严格按照道路和桥梁的限制荷重安全行驶，并服从交通管理部门的检查和监督。</w:t>
      </w:r>
    </w:p>
    <w:p w14:paraId="1004A7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 超大件和超重件的运输</w:t>
      </w:r>
    </w:p>
    <w:p w14:paraId="2CBD8E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3F76D1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8.5 道路和桥梁的损坏责任</w:t>
      </w:r>
    </w:p>
    <w:p w14:paraId="6B0508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因承包人运输造成施工场地内外公共道路和桥梁损坏的，由承包人承担修复损坏的全部费用和可能引起的赔偿。</w:t>
      </w:r>
    </w:p>
    <w:p w14:paraId="56721E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8.6 水路和航空运输</w:t>
      </w:r>
    </w:p>
    <w:p w14:paraId="4726FE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本条上述各款的内容适用于水路运输和航空运输，其中“道路”一词的涵义包括河道、航线、船闸、机场、码头、堤防以及水路或航空运输中其他相似结构物；“车辆”一词的涵义包括船舶和飞机等。</w:t>
      </w:r>
    </w:p>
    <w:p w14:paraId="67ADD65D">
      <w:pPr>
        <w:adjustRightInd w:val="0"/>
        <w:snapToGrid w:val="0"/>
        <w:spacing w:line="360" w:lineRule="auto"/>
        <w:ind w:firstLine="482" w:firstLineChars="200"/>
        <w:outlineLvl w:val="1"/>
        <w:rPr>
          <w:rFonts w:ascii="宋体" w:hAnsi="宋体" w:cs="宋体"/>
          <w:b/>
          <w:color w:val="auto"/>
          <w:sz w:val="24"/>
          <w:highlight w:val="none"/>
        </w:rPr>
      </w:pPr>
      <w:bookmarkStart w:id="25" w:name="_Toc5266"/>
      <w:r>
        <w:rPr>
          <w:rFonts w:hint="eastAsia" w:ascii="宋体" w:hAnsi="宋体" w:cs="宋体"/>
          <w:b/>
          <w:color w:val="auto"/>
          <w:sz w:val="24"/>
          <w:highlight w:val="none"/>
        </w:rPr>
        <w:t>9. 测量放线</w:t>
      </w:r>
      <w:bookmarkEnd w:id="25"/>
    </w:p>
    <w:p w14:paraId="29C436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 施工控制网</w:t>
      </w:r>
    </w:p>
    <w:p w14:paraId="7CCD66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14:paraId="4280031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9.1.2 承包人应负责管理施工控制网点。施工控制网点丢失或损坏的，承包人应及时修复。承包人应承担施工控制网点的管理与修复费用，并在工程竣工后将施工控制网点移交发包人。</w:t>
      </w:r>
    </w:p>
    <w:p w14:paraId="5760BB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 施工测量</w:t>
      </w:r>
    </w:p>
    <w:p w14:paraId="73652EA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 承包人应负责施工过程中的全部施工测量放线工作，并配置合格的人员、仪器、设备和其他物品。</w:t>
      </w:r>
    </w:p>
    <w:p w14:paraId="6871CE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9.2.2 监理人可以指示承包人进行抽样复测，当复测中发现错误或出现超过合同约定的误差时，承包人应按监理人指示进行修正或补测，并承担相应的复测费用。</w:t>
      </w:r>
    </w:p>
    <w:p w14:paraId="6BFB86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 基准资料错误的责任</w:t>
      </w:r>
    </w:p>
    <w:p w14:paraId="52644C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14:paraId="3677A9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 监理人使用施工控制网</w:t>
      </w:r>
    </w:p>
    <w:p w14:paraId="06F66F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监理人需要使用施工控制网的，承包人应提供必要的协助，发包人不再为此支付费用。</w:t>
      </w:r>
    </w:p>
    <w:p w14:paraId="09FD1772">
      <w:pPr>
        <w:adjustRightInd w:val="0"/>
        <w:snapToGrid w:val="0"/>
        <w:spacing w:line="360" w:lineRule="auto"/>
        <w:ind w:firstLine="482" w:firstLineChars="200"/>
        <w:outlineLvl w:val="1"/>
        <w:rPr>
          <w:rFonts w:ascii="宋体" w:hAnsi="宋体" w:cs="宋体"/>
          <w:b/>
          <w:color w:val="auto"/>
          <w:sz w:val="24"/>
          <w:highlight w:val="none"/>
        </w:rPr>
      </w:pPr>
      <w:bookmarkStart w:id="26" w:name="_Toc10450"/>
      <w:r>
        <w:rPr>
          <w:rFonts w:hint="eastAsia" w:ascii="宋体" w:hAnsi="宋体" w:cs="宋体"/>
          <w:b/>
          <w:color w:val="auto"/>
          <w:sz w:val="24"/>
          <w:highlight w:val="none"/>
        </w:rPr>
        <w:t>10. 安全、治安保卫和环境保护</w:t>
      </w:r>
      <w:bookmarkEnd w:id="26"/>
    </w:p>
    <w:p w14:paraId="3FED89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发包人的安全责任</w:t>
      </w:r>
    </w:p>
    <w:p w14:paraId="2CBDF90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10.1.1 发包人应按合同约定履行安全职责，授权监理人按合同约定的安全工作内容监督、检查承包人安全工作的实施，组织承包人和有关单位进行安全检查。</w:t>
      </w:r>
    </w:p>
    <w:p w14:paraId="182506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10.1.2 发包人应对其现场机构雇佣的全部人员的工伤事故承担责任，但由于承包人原因造成发包人人员工伤的，应由承包人承担责任。</w:t>
      </w:r>
    </w:p>
    <w:p w14:paraId="4D94CF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10.1.3 发包人应负责赔偿以下各种情况造成的第三者人身伤亡和财产损失：</w:t>
      </w:r>
    </w:p>
    <w:p w14:paraId="18A349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0E1992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（2）由于发包人原因在施工场地及其毗邻地带、履行合同工作中造成的第三者人身伤亡和财产损失。</w:t>
      </w:r>
    </w:p>
    <w:p w14:paraId="5B6663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承包人的安全责任</w:t>
      </w:r>
    </w:p>
    <w:p w14:paraId="5F7F93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 承包人应按合同约定履行安全职责，执行监理人有关安全工作的指示，并在专用合同条款约定的期限内，按合同约定的安全工作内容，编制安全措施计划报送监理人批准。</w:t>
      </w:r>
    </w:p>
    <w:p w14:paraId="010E09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10.2.2 承包人按照合同约定需要进行勘察的，应严格执行操作规程，采取措施保证各类管线、设施和周边建筑物、构筑物的安全。</w:t>
      </w:r>
    </w:p>
    <w:p w14:paraId="6E4ADF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695594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10.2.4 承包人应加强施工作业安全管理，特别应加强易燃、易爆材料、火工器材、有毒与腐蚀性材料和其他危险品的管理，以及对爆破作业和地下工程施工等危险作业的管理。</w:t>
      </w:r>
    </w:p>
    <w:p w14:paraId="194C26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10.2.5 承包人应严格按照国家安全标准制定施工安全操作规程，配备必要的安全生产和劳动保护设施，加强对承包人人员的安全教育，并发放安全工作手册和劳动保护用具。</w:t>
      </w:r>
    </w:p>
    <w:p w14:paraId="7A70BF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10.2.6 承包人应按监理人的指示制定应对灾害的紧急预案，报送监理人批准。承包人还应按预案做好安全检查，配置必要的救助物资和器材，切实保护好有关人员的人身和财产安全。</w:t>
      </w:r>
    </w:p>
    <w:p w14:paraId="148EBC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10.2.7 合同约定的安全作业环境及安全施工措施所需费用应遵守有关规定，并包括在相关工作的合同价格中。因采取合同未约定的安全作业环境及安全施工措施增加的费用，由监理人按第3.5 款商定或确定。</w:t>
      </w:r>
    </w:p>
    <w:p w14:paraId="4785E0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10.2.8 承包人应对其履行合同所雇佣的全部人员，包括分包人人员的工伤事故承担责任，但由于发包人原因造成承包人人员工伤事故的，应由发包人承担责任。</w:t>
      </w:r>
    </w:p>
    <w:p w14:paraId="5B54EA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10.2.9 由于承包人原因在施工场地内及其毗邻地带造成的第三者人员伤亡和财产损失，由承包人负责赔偿。</w:t>
      </w:r>
    </w:p>
    <w:p w14:paraId="36CA3A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 治安保卫</w:t>
      </w:r>
    </w:p>
    <w:p w14:paraId="707342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10.3.1 除合同另有约定外，承包人应与当地公安部门协商，在现场建立治安管理机构或联防组织，统一管理施工场地的治安保卫事项，履行合同工程的治安保卫职责。</w:t>
      </w:r>
    </w:p>
    <w:p w14:paraId="52441E2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10.3.2 发包人和承包人除应协助现场治安管理机构或联防组织维护施工场地的社会治安外，还应做好包括生活区在内的各自管辖区的治安保卫工作。</w:t>
      </w:r>
    </w:p>
    <w:p w14:paraId="12EF0F0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26C372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 环境保护</w:t>
      </w:r>
    </w:p>
    <w:p w14:paraId="481B3B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10.4.1 承包人在履行合同过程中，应遵守有关环境保护的法律，履行合同约定的环境保护义务，并对违反法律和合同约定义务所造成的环境破坏、人身伤害和财产损失负责。</w:t>
      </w:r>
    </w:p>
    <w:p w14:paraId="13EFC2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10.4.2 承包人应按合同约定的环保工作内容，编制环保措施计划，报送监理人批准。</w:t>
      </w:r>
    </w:p>
    <w:p w14:paraId="55A7FB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10.4.3 承包人应确保施工过程中产生的气体排放物、粉尘、噪声、地面排水及排污等，符合法律规定和发包人要求。</w:t>
      </w:r>
    </w:p>
    <w:p w14:paraId="531232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10.5 事故处理</w:t>
      </w:r>
    </w:p>
    <w:p w14:paraId="78F9DA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6A91087">
      <w:pPr>
        <w:adjustRightInd w:val="0"/>
        <w:snapToGrid w:val="0"/>
        <w:spacing w:line="360" w:lineRule="auto"/>
        <w:ind w:firstLine="482" w:firstLineChars="200"/>
        <w:outlineLvl w:val="1"/>
        <w:rPr>
          <w:rFonts w:ascii="宋体" w:hAnsi="宋体" w:cs="宋体"/>
          <w:b/>
          <w:color w:val="auto"/>
          <w:sz w:val="24"/>
          <w:highlight w:val="none"/>
        </w:rPr>
      </w:pPr>
      <w:bookmarkStart w:id="27" w:name="_Toc28999"/>
      <w:r>
        <w:rPr>
          <w:rFonts w:hint="eastAsia" w:ascii="宋体" w:hAnsi="宋体" w:cs="宋体"/>
          <w:b/>
          <w:color w:val="auto"/>
          <w:sz w:val="24"/>
          <w:highlight w:val="none"/>
        </w:rPr>
        <w:t>11. 开始工作和竣工</w:t>
      </w:r>
      <w:bookmarkEnd w:id="27"/>
    </w:p>
    <w:p w14:paraId="0E6428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开始工作</w:t>
      </w:r>
    </w:p>
    <w:p w14:paraId="431DAA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14:paraId="0FDA371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竣工</w:t>
      </w:r>
    </w:p>
    <w:p w14:paraId="39D157E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承包人应在第1.1.4.3 目约定的期限内完成合同工作。实际竣工日期按第18.3款约定确定，并在工程接收证书中载明。</w:t>
      </w:r>
    </w:p>
    <w:p w14:paraId="24F68D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发包人引起的工期延误</w:t>
      </w:r>
    </w:p>
    <w:p w14:paraId="6BAF7A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在履行合同过程中，由于发包人的下列原因造成工期延误的，承包人有权要求发包人延长工期和（或）增加费用，并支付合理利润。需要修订合同进度计划的，按照第4.12.2项的约定执行。</w:t>
      </w:r>
    </w:p>
    <w:p w14:paraId="34B4DE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（l）变更；</w:t>
      </w:r>
    </w:p>
    <w:p w14:paraId="63C9E1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（2）未能按照合同要求的期限对承包人文件进行审查；</w:t>
      </w:r>
    </w:p>
    <w:p w14:paraId="5723D1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（3）因发包人原因导致的暂停施工； </w:t>
      </w:r>
    </w:p>
    <w:p w14:paraId="12365C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（4）未按合同约定及时支付预付款、进度款；</w:t>
      </w:r>
    </w:p>
    <w:p w14:paraId="4592B72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（5）发包人按第9.3款提供的基准资料错误；</w:t>
      </w:r>
    </w:p>
    <w:p w14:paraId="2F3681D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（6）发包人按第6.2款迟延提供材料、工程设备或变更交货地点的；</w:t>
      </w:r>
    </w:p>
    <w:p w14:paraId="1AECD15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（7）发包人未及时按照“发包人要求”履行相关义务；</w:t>
      </w:r>
    </w:p>
    <w:p w14:paraId="6DE05F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（8）发包人造成工期延误的其他原因。</w:t>
      </w:r>
    </w:p>
    <w:p w14:paraId="4F86B4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异常恶劣的气候条件</w:t>
      </w:r>
    </w:p>
    <w:p w14:paraId="20CE661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由于出现专用合同条款规定的异常恶劣气候的条件导致工期延误的，承包人有权要求发包人延长工期和（或）增加费用。</w:t>
      </w:r>
    </w:p>
    <w:p w14:paraId="46E679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承包人引起的工期延误</w:t>
      </w:r>
    </w:p>
    <w:p w14:paraId="0B951F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14:paraId="7874C3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 工期提前</w:t>
      </w:r>
    </w:p>
    <w:p w14:paraId="7EFD98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391B4D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11.7 行政审批迟延</w:t>
      </w:r>
    </w:p>
    <w:p w14:paraId="0E03EB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合同约定范围内的工作需国家有关部门审批的，发包人和（或）承包人应按照合同约定的职责分工完成行政审批报送。因国家有关部门审批迟延造成费用增加和（或）工期延误的，由发包人承担。</w:t>
      </w:r>
    </w:p>
    <w:p w14:paraId="02D42C1D">
      <w:pPr>
        <w:adjustRightInd w:val="0"/>
        <w:snapToGrid w:val="0"/>
        <w:spacing w:line="360" w:lineRule="auto"/>
        <w:ind w:firstLine="482" w:firstLineChars="200"/>
        <w:outlineLvl w:val="1"/>
        <w:rPr>
          <w:rFonts w:ascii="宋体" w:hAnsi="宋体" w:cs="宋体"/>
          <w:b/>
          <w:color w:val="auto"/>
          <w:sz w:val="24"/>
          <w:highlight w:val="none"/>
        </w:rPr>
      </w:pPr>
      <w:bookmarkStart w:id="28" w:name="_Toc12602"/>
      <w:r>
        <w:rPr>
          <w:rFonts w:hint="eastAsia" w:ascii="宋体" w:hAnsi="宋体" w:cs="宋体"/>
          <w:b/>
          <w:color w:val="auto"/>
          <w:sz w:val="24"/>
          <w:highlight w:val="none"/>
        </w:rPr>
        <w:t>12. 暂停工作</w:t>
      </w:r>
      <w:bookmarkEnd w:id="28"/>
    </w:p>
    <w:p w14:paraId="578BC0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由发包人暂停工作</w:t>
      </w:r>
    </w:p>
    <w:p w14:paraId="0C3CBE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14:paraId="12ABCF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12.1.2 由于承包人下列原因造成发包人暂停工作的，由此造成费用的增加和（或）工期延误由承包人承担：</w:t>
      </w:r>
    </w:p>
    <w:p w14:paraId="195115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（1）承包人违约；</w:t>
      </w:r>
    </w:p>
    <w:p w14:paraId="50D06F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（2）承包人擅自暂停工作；</w:t>
      </w:r>
    </w:p>
    <w:p w14:paraId="5579DD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（3）合同约定由承包人承担责任的其他暂停工作。</w:t>
      </w:r>
    </w:p>
    <w:p w14:paraId="460980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由承包人暂停工作</w:t>
      </w:r>
    </w:p>
    <w:p w14:paraId="3E3767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14:paraId="498896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（1）发包人未能按合同约定支付价款，或拖延、拒绝批准付款申请和支付证书，导致付款延误的；</w:t>
      </w:r>
    </w:p>
    <w:p w14:paraId="272D89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（2）监理人无正当理由没有在约定期限内发出复工指示，导致承包人无法复工的；</w:t>
      </w:r>
    </w:p>
    <w:p w14:paraId="1C9359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（3）发包人无法继续履行或明确表示不履行或实质上已停止履行合同的；</w:t>
      </w:r>
    </w:p>
    <w:p w14:paraId="6CD5DC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（4）发包人不履行合同约定其他义务的。</w:t>
      </w:r>
    </w:p>
    <w:p w14:paraId="459BA1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14:paraId="1F5CAE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12.3 暂停工作后的照管</w:t>
      </w:r>
    </w:p>
    <w:p w14:paraId="3A616F6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不论由于何种原因引起暂停工作的，暂停工作期间，承包人应负责妥善保护工程并提供安全保障，由此增加的费用由责任方承担。</w:t>
      </w:r>
    </w:p>
    <w:p w14:paraId="47D811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 暂停工作后的复工</w:t>
      </w:r>
    </w:p>
    <w:p w14:paraId="6F8992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14:paraId="7B49E7A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12.4.2承包人无故拖延和拒绝复工的，由此增加的费用和工期延误由承包人承担；因发包人原因无法按时复工的，承包人有权要求发包人延长工期和（或）增加费用，并支付合理利润。</w:t>
      </w:r>
    </w:p>
    <w:p w14:paraId="23ED19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12.5 暂停工作56天以上</w:t>
      </w:r>
    </w:p>
    <w:p w14:paraId="623072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14:paraId="2F845A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12.5.2由于承包人原因引起暂停工作的，如承包人在收到监理人暂停工作指示后56 天内不采取有效的复工措施，造成工期延误的，视为承包人违约，应按第12.1.2 项的约定执行。</w:t>
      </w:r>
    </w:p>
    <w:p w14:paraId="566D479A">
      <w:pPr>
        <w:adjustRightInd w:val="0"/>
        <w:snapToGrid w:val="0"/>
        <w:spacing w:line="360" w:lineRule="auto"/>
        <w:ind w:firstLine="482" w:firstLineChars="200"/>
        <w:outlineLvl w:val="1"/>
        <w:rPr>
          <w:rFonts w:ascii="宋体" w:hAnsi="宋体" w:cs="宋体"/>
          <w:b/>
          <w:color w:val="auto"/>
          <w:sz w:val="24"/>
          <w:highlight w:val="none"/>
        </w:rPr>
      </w:pPr>
      <w:bookmarkStart w:id="29" w:name="_Toc27297"/>
      <w:r>
        <w:rPr>
          <w:rFonts w:hint="eastAsia" w:ascii="宋体" w:hAnsi="宋体" w:cs="宋体"/>
          <w:b/>
          <w:color w:val="auto"/>
          <w:sz w:val="24"/>
          <w:highlight w:val="none"/>
        </w:rPr>
        <w:t>13. 工程质量</w:t>
      </w:r>
      <w:bookmarkEnd w:id="29"/>
    </w:p>
    <w:p w14:paraId="56EA2A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工程质量要求</w:t>
      </w:r>
    </w:p>
    <w:p w14:paraId="033671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13.1.1 工程质量验收按法律规定和合同约定的验收标准执行。</w:t>
      </w:r>
    </w:p>
    <w:p w14:paraId="18C554B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13.1.2 因承包人原因造成工程质量不符合法律的规定和合同约定的，监理人有权要求承包人返工直至符合合同要求为止，由此造成的费用增加和（或）工期延误由承包人承担。</w:t>
      </w:r>
    </w:p>
    <w:p w14:paraId="08C67D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13.1.3 因发包人原因造成工程质量达不到合同约定验收标准的，发包人应承担由于承包人返工造成的费用增加和（或）工期延误，并支付承包人合理利润。</w:t>
      </w:r>
    </w:p>
    <w:p w14:paraId="5856050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 承包人的质量检查</w:t>
      </w:r>
    </w:p>
    <w:p w14:paraId="4C5D2C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承包人应按合同约定对设计、材料、工程设备以及全部工程内容及其施工工艺进行全过程的质量检查和检验，并作详细记录，编制工程质量报表，报送监理人审查。</w:t>
      </w:r>
    </w:p>
    <w:p w14:paraId="0DBEEF5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13.3 监理人的质量检查</w:t>
      </w:r>
    </w:p>
    <w:p w14:paraId="493E19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56DB7E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 工程隐蔽部位覆盖前的检查</w:t>
      </w:r>
    </w:p>
    <w:p w14:paraId="42E8892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13.4.1 通知监理人检查</w:t>
      </w:r>
    </w:p>
    <w:p w14:paraId="4E9FF1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551003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13.4.2 监理人未到场检查</w:t>
      </w:r>
    </w:p>
    <w:p w14:paraId="7156FE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监理人未按第13.4.l 项约定的时间进行检查的，除监理人另有指示外，承包人可自行完成覆盖工作，并作相应记录报送监理人，监理人应签字确认。监理人事后对检查记录有疑问的，可按第13.4.3 项的约定重新检查。</w:t>
      </w:r>
    </w:p>
    <w:p w14:paraId="220F63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13.4.3 监理人重新检查</w:t>
      </w:r>
    </w:p>
    <w:p w14:paraId="54DDA92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9D3918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13.4.4 承包人私自覆盖</w:t>
      </w:r>
    </w:p>
    <w:p w14:paraId="161A968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承包人未通知监理人到场检查，私自将工程隐蔽部位覆盖的，监理人有权指示承包人钻孔探测或揭开检查，由此增加的费用和（或）工期延误由承包人承担。</w:t>
      </w:r>
    </w:p>
    <w:p w14:paraId="1BA1B7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 清除不合格工程</w:t>
      </w:r>
    </w:p>
    <w:p w14:paraId="0CC1C32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284EDA6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13.5.2 由于发包人提供的材料或工程设备不合格造成的工程不合格，需要承包人采取措施补救的，发包人应承担由此增加的费用和（或）工期延误，并支付承包人合理利润。</w:t>
      </w:r>
    </w:p>
    <w:p w14:paraId="1CA3F6CD">
      <w:pPr>
        <w:adjustRightInd w:val="0"/>
        <w:snapToGrid w:val="0"/>
        <w:spacing w:line="360" w:lineRule="auto"/>
        <w:ind w:firstLine="482" w:firstLineChars="200"/>
        <w:outlineLvl w:val="1"/>
        <w:rPr>
          <w:rFonts w:ascii="宋体" w:hAnsi="宋体" w:cs="宋体"/>
          <w:b/>
          <w:color w:val="auto"/>
          <w:sz w:val="24"/>
          <w:highlight w:val="none"/>
        </w:rPr>
      </w:pPr>
      <w:bookmarkStart w:id="30" w:name="_Toc17175"/>
      <w:r>
        <w:rPr>
          <w:rFonts w:hint="eastAsia" w:ascii="宋体" w:hAnsi="宋体" w:cs="宋体"/>
          <w:b/>
          <w:color w:val="auto"/>
          <w:sz w:val="24"/>
          <w:highlight w:val="none"/>
        </w:rPr>
        <w:t>14. 试验和检验</w:t>
      </w:r>
      <w:bookmarkEnd w:id="30"/>
    </w:p>
    <w:p w14:paraId="626917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材料、工程设备和工程的试验和检验</w:t>
      </w:r>
    </w:p>
    <w:p w14:paraId="653CFB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14.1.1 本款适用于竣工试验之前的试验和检验。</w:t>
      </w:r>
    </w:p>
    <w:p w14:paraId="14D7AEC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6CC7F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14.1.3 监理人未按合同约定派员参加试验和检验的，除监理人另有指示外，承包人可自行试验和检验，并应立即将试验和检验结果报送监理人，监理人应签字确认。</w:t>
      </w:r>
    </w:p>
    <w:p w14:paraId="200319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33942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现场材料试验</w:t>
      </w:r>
    </w:p>
    <w:p w14:paraId="647DAC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14.2.1 承包人根据合同约定或监理人指示进行的现场材料试验，应由承包人提供试验场所、试验人员、试验设备器材以及其他必要的试验条件。</w:t>
      </w:r>
    </w:p>
    <w:p w14:paraId="138B949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14.2.2 监理人在必要时可以使用承包人的试验场所、试验设备器材以及其他试验条件，进行以工程质量检查为目的的复核性材料试验，承包人应予以协助。</w:t>
      </w:r>
    </w:p>
    <w:p w14:paraId="4D7C61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 现场工艺试验</w:t>
      </w:r>
    </w:p>
    <w:p w14:paraId="03BC47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承包人应按合同约定或监理人指示进行现场工艺试验。对大型的现场工艺试验，监理人认为必要时，应由承包人根据监理人提出的工艺试验要求，编制工艺试验措施计划，报送监理人批准。</w:t>
      </w:r>
    </w:p>
    <w:p w14:paraId="52DAC1D9">
      <w:pPr>
        <w:adjustRightInd w:val="0"/>
        <w:snapToGrid w:val="0"/>
        <w:spacing w:line="360" w:lineRule="auto"/>
        <w:ind w:firstLine="482" w:firstLineChars="200"/>
        <w:outlineLvl w:val="1"/>
        <w:rPr>
          <w:rFonts w:ascii="宋体" w:hAnsi="宋体" w:cs="宋体"/>
          <w:b/>
          <w:color w:val="auto"/>
          <w:sz w:val="24"/>
          <w:highlight w:val="none"/>
        </w:rPr>
      </w:pPr>
      <w:bookmarkStart w:id="31" w:name="_Toc6755"/>
      <w:r>
        <w:rPr>
          <w:rFonts w:hint="eastAsia" w:ascii="宋体" w:hAnsi="宋体" w:cs="宋体"/>
          <w:b/>
          <w:color w:val="auto"/>
          <w:sz w:val="24"/>
          <w:highlight w:val="none"/>
        </w:rPr>
        <w:t>15. 变更</w:t>
      </w:r>
      <w:bookmarkEnd w:id="31"/>
    </w:p>
    <w:p w14:paraId="2B52637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变更权</w:t>
      </w:r>
    </w:p>
    <w:p w14:paraId="56D64F1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在履行合同过程中，经发包人同意，监理人可按第15.3 款约定的变更程序向承包人作出有关发包人要求改变的变更指示，承包人应遵照执行。变更应在相应内容实施</w:t>
      </w:r>
      <w:r>
        <w:rPr>
          <w:rFonts w:hint="eastAsia" w:ascii="宋体" w:hAnsi="宋体" w:cs="宋体"/>
          <w:color w:val="auto"/>
          <w:spacing w:val="6"/>
          <w:sz w:val="24"/>
          <w:highlight w:val="none"/>
        </w:rPr>
        <w:t>前提出，否则发包人应承担承包人损失。没有监理人的变更指示，承包人不得擅自变更</w:t>
      </w:r>
      <w:r>
        <w:rPr>
          <w:rFonts w:hint="eastAsia" w:ascii="宋体" w:hAnsi="宋体" w:cs="宋体"/>
          <w:color w:val="auto"/>
          <w:sz w:val="24"/>
          <w:highlight w:val="none"/>
        </w:rPr>
        <w:t>。</w:t>
      </w:r>
    </w:p>
    <w:p w14:paraId="3AF49C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承包人的合理化建议</w:t>
      </w:r>
    </w:p>
    <w:p w14:paraId="38E411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14:paraId="163AA5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15.2.2 承包人提出的合理化建议降低了合同价格、缩短了工期或者提高了工程经济效益的，发包人可按国家有关规定在专用合同条款中约定给予奖励。</w:t>
      </w:r>
    </w:p>
    <w:p w14:paraId="3589D2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变更程序</w:t>
      </w:r>
    </w:p>
    <w:p w14:paraId="3C05434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15.3.1 变更的提出</w:t>
      </w:r>
    </w:p>
    <w:p w14:paraId="7C11DA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14:paraId="196424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14:paraId="29C7992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（3）承包人收到监理人的变更意向书后认为难以实施此项变更的，应立即通知监理人，说明原因并附详细依据。监理人与承包人和发包人协商后确定撤销、改变或不改变原变更意向书。</w:t>
      </w:r>
    </w:p>
    <w:p w14:paraId="127ECC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15.3.2 变更估价</w:t>
      </w:r>
    </w:p>
    <w:p w14:paraId="5388BC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监理人应按照第3.5 款商定或确定变更价格。变更价格应包括合理的利润，并应考虑承包人根据第15.2款提出的合理化建议。</w:t>
      </w:r>
    </w:p>
    <w:p w14:paraId="10470B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15.3.3 变更指示</w:t>
      </w:r>
    </w:p>
    <w:p w14:paraId="14F5E0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（1）变更指示只能由监理人发出。</w:t>
      </w:r>
    </w:p>
    <w:p w14:paraId="384376C8">
      <w:pPr>
        <w:adjustRightInd w:val="0"/>
        <w:snapToGri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（2）变更指示应说明变更的目的、范围、变更内容以及变更的工程量及其进度和</w:t>
      </w:r>
      <w:r>
        <w:rPr>
          <w:rFonts w:hint="eastAsia" w:ascii="宋体" w:hAnsi="宋体" w:cs="宋体"/>
          <w:color w:val="auto"/>
          <w:spacing w:val="6"/>
          <w:sz w:val="24"/>
          <w:highlight w:val="none"/>
        </w:rPr>
        <w:t>技术要求，并附有关图纸和文件。承包人收到变更指示后，应按变更指示进行变更工作。</w:t>
      </w:r>
    </w:p>
    <w:p w14:paraId="148A8E4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暂列金额</w:t>
      </w:r>
      <w:r>
        <w:rPr>
          <w:rFonts w:hint="eastAsia" w:ascii="宋体" w:hAnsi="宋体" w:cs="宋体"/>
          <w:color w:val="auto"/>
          <w:sz w:val="24"/>
          <w:highlight w:val="none"/>
        </w:rPr>
        <w:tab/>
      </w:r>
    </w:p>
    <w:p w14:paraId="3BD5314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经发包人同意，承包人可使用暂列金额，但应按照第15.6款规定的程序进行，并对合同价格进行相应调整。</w:t>
      </w:r>
    </w:p>
    <w:p w14:paraId="5F142F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 计日工（A）</w:t>
      </w:r>
    </w:p>
    <w:p w14:paraId="2B9B8F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15.5.1 发包人认为有必要时，由监理人通知承包人以计日工方式实施变更的零星工作。其价款按列入合同中的计日工计价子目及其单价进行计算。</w:t>
      </w:r>
    </w:p>
    <w:p w14:paraId="5802BB7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15.5.2 采用计日工计价的任何一项变更工作，应从暂列金额中支付，承包人应在该项变更的实施过程中，每天提交以下报表和有关凭证报送监理人批准：</w:t>
      </w:r>
    </w:p>
    <w:p w14:paraId="3EB58F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（1）工作名称、内容和数量；</w:t>
      </w:r>
    </w:p>
    <w:p w14:paraId="2DA159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（2）投入该工作所有人员的姓名、专业/工种、级别和耗用工时；</w:t>
      </w:r>
    </w:p>
    <w:p w14:paraId="3DB3D9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（3）投入该工作的材料类别和数量；</w:t>
      </w:r>
    </w:p>
    <w:p w14:paraId="0A2309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（4）投入该工作的施工设备型号、台数和耗用台时；</w:t>
      </w:r>
    </w:p>
    <w:p w14:paraId="0549EC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（5）监理人要求提交的其他资料和凭证。</w:t>
      </w:r>
    </w:p>
    <w:p w14:paraId="0039B8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15.5.3 计日工由承包人汇总后，按第17.3.3 项的约定列入进度付款申请单，由监理人复核并经发包人同意后列入进度付款。</w:t>
      </w:r>
    </w:p>
    <w:p w14:paraId="4B6F01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 计日工（B）</w:t>
      </w:r>
    </w:p>
    <w:p w14:paraId="148413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签约合同价包括计日工的，按合同约定进行支付。</w:t>
      </w:r>
    </w:p>
    <w:p w14:paraId="04762D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 暂估价（A）</w:t>
      </w:r>
    </w:p>
    <w:p w14:paraId="02827D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15.6.1 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费用列入合同价格。</w:t>
      </w:r>
    </w:p>
    <w:p w14:paraId="22F6F2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15.6.2 发包人在价格清单中给定暂估价的专业服务、材料和工程设备不属于依法必须招标的范围或未达到规定的规模标准的，应由承包人按第6.1 款的约定提供。经监理人确认的专业服务、材料、工程设备的价格与价格清单中所列的暂估价的金额差以及相应的税金等其他费用列入合同价格。</w:t>
      </w:r>
    </w:p>
    <w:p w14:paraId="673A3D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15.6.3 发包人在价格清单中给定暂估价的专业工程不属于依法必须招标的范围或未达到规定的规模标准的，由监理人按照第15.3.2项进行估价，但专用合同条款另有约定的除外。经估价的专业工程与价格清单中所列的暂估价的金额差以及相应的税金等其他费用列入合同价格。</w:t>
      </w:r>
    </w:p>
    <w:p w14:paraId="7329EF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 暂估价（B）</w:t>
      </w:r>
    </w:p>
    <w:p w14:paraId="514EBE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签约合同价包括暂估价的，按合同约定进行支付。</w:t>
      </w:r>
    </w:p>
    <w:p w14:paraId="02EE7990">
      <w:pPr>
        <w:adjustRightInd w:val="0"/>
        <w:snapToGrid w:val="0"/>
        <w:spacing w:line="360" w:lineRule="auto"/>
        <w:ind w:firstLine="482" w:firstLineChars="200"/>
        <w:outlineLvl w:val="1"/>
        <w:rPr>
          <w:rFonts w:ascii="宋体" w:hAnsi="宋体" w:cs="宋体"/>
          <w:b/>
          <w:color w:val="auto"/>
          <w:sz w:val="24"/>
          <w:highlight w:val="none"/>
        </w:rPr>
      </w:pPr>
      <w:bookmarkStart w:id="32" w:name="_Toc26218"/>
      <w:r>
        <w:rPr>
          <w:rFonts w:hint="eastAsia" w:ascii="宋体" w:hAnsi="宋体" w:cs="宋体"/>
          <w:b/>
          <w:color w:val="auto"/>
          <w:sz w:val="24"/>
          <w:highlight w:val="none"/>
        </w:rPr>
        <w:t>16. 价格调整</w:t>
      </w:r>
      <w:bookmarkEnd w:id="32"/>
    </w:p>
    <w:p w14:paraId="78EA5DB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物价波动引起的调整（A）</w:t>
      </w:r>
    </w:p>
    <w:p w14:paraId="4BA974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除专用合同条款另有约定外，因物价波动引起的价格调整按照本款约定处理。</w:t>
      </w:r>
    </w:p>
    <w:p w14:paraId="60CDEB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 采用价格指数调整价格差额（适用于投标函附录约定了价格指数和权重的）</w:t>
      </w:r>
    </w:p>
    <w:p w14:paraId="08EFF9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16.1.1.1 价格调整公式</w:t>
      </w:r>
    </w:p>
    <w:p w14:paraId="18A32E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因人工、材料和设备等价格波动影响合同价格时，根据投标函附录中的价格指数和权重表约定的数据，按以下公式计算差额并调整合同价格。</w:t>
      </w:r>
    </w:p>
    <w:p w14:paraId="6BB0BA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Ft1     Ft2     Ft3         Ftn</w:t>
      </w:r>
    </w:p>
    <w:p w14:paraId="783C8F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△P=PO［A+｛B1×—＋B2×—＋B3×—＋…＋Bn×—｝－1］ </w:t>
      </w:r>
    </w:p>
    <w:p w14:paraId="6D7A7D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F01     F02     F03          F04</w:t>
      </w:r>
    </w:p>
    <w:p w14:paraId="7ED6B1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式中：△P---需调整的价格差额；</w:t>
      </w:r>
    </w:p>
    <w:p w14:paraId="14A08DDF">
      <w:pPr>
        <w:adjustRightInd w:val="0"/>
        <w:snapToGri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PO---第17.3.4 项、第17.5.2 项和第17.6.2 项约定的付款证书中承包人应得到</w:t>
      </w:r>
      <w:r>
        <w:rPr>
          <w:rFonts w:hint="eastAsia" w:ascii="宋体" w:hAnsi="宋体" w:cs="宋体"/>
          <w:color w:val="auto"/>
          <w:spacing w:val="6"/>
          <w:sz w:val="24"/>
          <w:highlight w:val="none"/>
        </w:rPr>
        <w:t>的已完成工作量的金额。此项金额应不包括价格调整、不计质量保证金的扣留和支付、预付款的支付和扣回。第15条约定的变更及其他金额已按当期价格计价的，也不计在内；</w:t>
      </w:r>
    </w:p>
    <w:p w14:paraId="1A21F5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A ---定值权重（即不调部分的权重）； </w:t>
      </w:r>
    </w:p>
    <w:p w14:paraId="486442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B1；B2；B3；……Bn---各可调因子的变值权重（即可调部分的权重）为各可调因子在投标函投标总报价中所占的比例；</w:t>
      </w:r>
    </w:p>
    <w:p w14:paraId="21993F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Ft1；Ft2；Ft3；……Ftn---各可调因子的当期价格指数，指第17.3.3项、第17.5.2</w:t>
      </w:r>
      <w:r>
        <w:rPr>
          <w:rFonts w:hint="eastAsia" w:ascii="宋体" w:hAnsi="宋体" w:cs="宋体"/>
          <w:color w:val="auto"/>
          <w:spacing w:val="6"/>
          <w:sz w:val="24"/>
          <w:highlight w:val="none"/>
        </w:rPr>
        <w:t>项和第17.6.2项约定的付款证书相关周期最后一天的前42天的各可调因子的价格指数；</w:t>
      </w:r>
    </w:p>
    <w:p w14:paraId="2E89C4C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F01；F02；F03；……F0n---各可调因子的基本价格指数，指基准日期的各可调因子的价格指数。</w:t>
      </w:r>
    </w:p>
    <w:p w14:paraId="4A13F2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63ED7C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16.1.1.2 暂时确定调整差额</w:t>
      </w:r>
    </w:p>
    <w:p w14:paraId="0A0189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在计算调整差额时得不到当期价格指数的，可暂用上一次价格指数计算，并在以后的付款中再按实际价格指数进行调整。</w:t>
      </w:r>
    </w:p>
    <w:p w14:paraId="45A5B2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16.1.1.3 权重的调整</w:t>
      </w:r>
    </w:p>
    <w:p w14:paraId="43C025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按第15.1 款约定的变更导致原定合同中的权重不合理的，由监理人与承包人和发包人协商后进行调整。</w:t>
      </w:r>
    </w:p>
    <w:p w14:paraId="2B0D76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16.1.1.4 承包人引起的工期延误后的价格调整</w:t>
      </w:r>
    </w:p>
    <w:p w14:paraId="7DC555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由于承包人原因未在约定的工期内竣工的，则对原约定竣工日期后继续施工的工程，在使用第16.1.1. 1目价格调整公式时，应采用原约定竣工日期与实际竣工日期的两个价格指数中较低的一个作为当期价格指数。</w:t>
      </w:r>
    </w:p>
    <w:p w14:paraId="1C9914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16.1.1.5 发包人引起的工期延误后的价格调整</w:t>
      </w:r>
    </w:p>
    <w:p w14:paraId="223A56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由于发包人原因未在约定的工期内竣工的，则对原约定竣工日期后继续施工的工程，在使用第16.1.1.1目价格调整公式时，应采用原约定竣工日期与实际竣工日期的两个价格指数中较高的一个作为当期价格指数。</w:t>
      </w:r>
    </w:p>
    <w:p w14:paraId="2CAB46C0">
      <w:pPr>
        <w:adjustRightInd w:val="0"/>
        <w:snapToGrid w:val="0"/>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16.1.2 采用造价信息调整价格差额（适用于投标函附录没有约定价格指数和权重的）</w:t>
      </w:r>
    </w:p>
    <w:p w14:paraId="0EB7CC8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量应由监理人复核，监理人确认需调整的材料单价及数量，作为调整合同价格差额的依据。</w:t>
      </w:r>
    </w:p>
    <w:p w14:paraId="5AD6B2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物价波动引起的调整（B）</w:t>
      </w:r>
    </w:p>
    <w:p w14:paraId="72F095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除法律规定或专用合同条款另有约定外，合同价格不因物价波动进行调整。</w:t>
      </w:r>
    </w:p>
    <w:p w14:paraId="627EA2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法律变化引起的调整</w:t>
      </w:r>
    </w:p>
    <w:p w14:paraId="69561D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在基准日后，因法律变化导致承包人在合同履行中所需费用发生除第16.1 款约定以外的增减时，监理人应根据法律、国家或省、自治区、直辖市有关部门的规定，按第3.5 款商定或确定需调整的合同价格。</w:t>
      </w:r>
    </w:p>
    <w:p w14:paraId="140D83B9">
      <w:pPr>
        <w:adjustRightInd w:val="0"/>
        <w:snapToGrid w:val="0"/>
        <w:spacing w:line="360" w:lineRule="auto"/>
        <w:ind w:firstLine="482" w:firstLineChars="200"/>
        <w:outlineLvl w:val="1"/>
        <w:rPr>
          <w:rFonts w:ascii="宋体" w:hAnsi="宋体" w:cs="宋体"/>
          <w:b/>
          <w:color w:val="auto"/>
          <w:sz w:val="24"/>
          <w:highlight w:val="none"/>
        </w:rPr>
      </w:pPr>
      <w:bookmarkStart w:id="33" w:name="_Toc28867"/>
      <w:r>
        <w:rPr>
          <w:rFonts w:hint="eastAsia" w:ascii="宋体" w:hAnsi="宋体" w:cs="宋体"/>
          <w:b/>
          <w:color w:val="auto"/>
          <w:sz w:val="24"/>
          <w:highlight w:val="none"/>
        </w:rPr>
        <w:t>17. 合同价格与支付</w:t>
      </w:r>
      <w:bookmarkEnd w:id="33"/>
    </w:p>
    <w:p w14:paraId="5F665F0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合同价格</w:t>
      </w:r>
    </w:p>
    <w:p w14:paraId="19D0D2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w:t>
      </w:r>
    </w:p>
    <w:p w14:paraId="6EF6D2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（1）合同价格包括签约合同价以及按照合同约定进行的调整；</w:t>
      </w:r>
    </w:p>
    <w:p w14:paraId="5A60779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（2）合同价格包括承包人依据法律规定或合同约定应支付的规费和税金；</w:t>
      </w:r>
    </w:p>
    <w:p w14:paraId="45B6B3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6B5571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合同约定工程的某部分按照实际完成的工程量进行支付的，应按照专用合同条款的约定进行计量和估价，并据此调整合同价格。</w:t>
      </w:r>
    </w:p>
    <w:p w14:paraId="553570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预付款</w:t>
      </w:r>
    </w:p>
    <w:p w14:paraId="56F1B3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17.2.1 预付款</w:t>
      </w:r>
    </w:p>
    <w:p w14:paraId="49AA874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预付款用于承包人为合同工程的设计和工程实施购置材料、工程设备、施工设备、修建临时设施以及组织施工队伍进场等。预付款的额度和支付在专用合同条款中约定。预付款必须专用于合同工作。</w:t>
      </w:r>
    </w:p>
    <w:p w14:paraId="522DE7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17.2.2 预付款保函</w:t>
      </w:r>
    </w:p>
    <w:p w14:paraId="51BD39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0963262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14:paraId="51C4A9C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53010D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工程进度付款</w:t>
      </w:r>
    </w:p>
    <w:p w14:paraId="0C06E6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17.3.1 付款时间</w:t>
      </w:r>
    </w:p>
    <w:p w14:paraId="134E8C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除专用合同条款另有约定外，工程进度付款按月支付。</w:t>
      </w:r>
    </w:p>
    <w:p w14:paraId="2D4BFB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17.3.2 支付分解表</w:t>
      </w:r>
    </w:p>
    <w:p w14:paraId="1EBA96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除专用合同条款另有约定外，承包人应根据价格清单的价格构成、费用性质、计划发生时间和相应工作量等因素，按照以下分类和分解原则，结合第4.12.1项约定的合同进度计划，汇总形成月度支付分解报告。</w:t>
      </w:r>
    </w:p>
    <w:p w14:paraId="4E8269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（1）勘察设计费。按照提供勘察设计阶段性成果文件的时间、对应的工作量进行分解。</w:t>
      </w:r>
    </w:p>
    <w:p w14:paraId="11C741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（2）材料和工程设备费。分别按订立采购合同、进场验收合格、安装就位、工程竣工等阶段和专用条款约定的比例进行分解。</w:t>
      </w:r>
    </w:p>
    <w:p w14:paraId="58E028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（3）技术服务培训费。按照价格清单中的单价，结合第4.12.1项约定的合同进度计划对应的工作量进行分解。</w:t>
      </w:r>
    </w:p>
    <w:p w14:paraId="60BEE1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（4）其他工程价款。除第17.1款约定按已完成工程量计量支付的工程价款外，按照价格清单中的价格，结合第4.12.1项约定的合同进度计划拟完成的工程量或者比例进行分解。</w:t>
      </w:r>
    </w:p>
    <w:p w14:paraId="7DB4D6C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规定报监理人批复。</w:t>
      </w:r>
    </w:p>
    <w:p w14:paraId="357557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17.3.3 进度付款申请单</w:t>
      </w:r>
    </w:p>
    <w:p w14:paraId="17E2A9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14:paraId="38D3BB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（1）当期应支付金额总额，以及截至当期期末累计应支付金额总额、已支付的进度付款金额总额；</w:t>
      </w:r>
    </w:p>
    <w:p w14:paraId="3DA744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（2）当期根据支付分解表应支付金额，以及截至当期期末累计应支付金额；</w:t>
      </w:r>
    </w:p>
    <w:p w14:paraId="676919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（3）当期根据第17.1款约定计量的已实施工程应支付金额，以及截至当期期末累计应支付金额；</w:t>
      </w:r>
    </w:p>
    <w:p w14:paraId="41170F27">
      <w:pPr>
        <w:adjustRightInd w:val="0"/>
        <w:snapToGrid w:val="0"/>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（4）当期根据第15条应增加和扣减的变更金额，以及截至当期期末累计变更金额；</w:t>
      </w:r>
    </w:p>
    <w:p w14:paraId="65C63B81">
      <w:pPr>
        <w:adjustRightInd w:val="0"/>
        <w:snapToGrid w:val="0"/>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（5）当期根据第23 条应增加和扣减的索赔金额，以及截至当期期末累计索赔金额；</w:t>
      </w:r>
    </w:p>
    <w:p w14:paraId="3CE7BB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（6）当期根据第17.2 款约定应支付的预付款和扣减的返还预付款金额，以及截至当期期末累计返还预付款金额；</w:t>
      </w:r>
    </w:p>
    <w:p w14:paraId="4DC041C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（7）当期根据第17.4.1 项约定应扣减的质量保证金金额，以及截至当期期末累计扣减的质量保证金金额；</w:t>
      </w:r>
    </w:p>
    <w:p w14:paraId="23A5E3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（8）当期根据合同应增加和扣减的其他金额，以及截至当期期末累计增加和扣减的金额。</w:t>
      </w:r>
    </w:p>
    <w:p w14:paraId="659F49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17.3.4 进度付款证书和支付时间</w:t>
      </w:r>
    </w:p>
    <w:p w14:paraId="2BF507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14:paraId="291084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14:paraId="5113E8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（3）监理人出具进度付款证书，不应视为监理人已同意、批准或接受了承包人完成的该部分工作。</w:t>
      </w:r>
    </w:p>
    <w:p w14:paraId="146A8C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（4）进度付款涉及政府投资资金的，按照国库集中支付等国家相关规定和专用合同条款的约定执行。</w:t>
      </w:r>
    </w:p>
    <w:p w14:paraId="19DD21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17.3.5 工程进度付款的修正</w:t>
      </w:r>
    </w:p>
    <w:p w14:paraId="004EE6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14:paraId="4FF883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 质量保证金</w:t>
      </w:r>
    </w:p>
    <w:p w14:paraId="31E5F7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14:paraId="15872C63">
      <w:pPr>
        <w:adjustRightInd w:val="0"/>
        <w:snapToGri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17.4.2 在第1.1.4.5 目约定的缺陷责任期满时，承包人向发包人申请到期应返还承包人剩余的质量保证金，发包人应在14天内会同承包人按照合同约定的内容核实承</w:t>
      </w:r>
      <w:r>
        <w:rPr>
          <w:rFonts w:hint="eastAsia" w:ascii="宋体" w:hAnsi="宋体" w:cs="宋体"/>
          <w:color w:val="auto"/>
          <w:spacing w:val="6"/>
          <w:sz w:val="24"/>
          <w:highlight w:val="none"/>
        </w:rPr>
        <w:t>包人是否完成缺陷责任。如无异议，发包人应当在核实后将剩余质量保证金返还承包人。</w:t>
      </w:r>
    </w:p>
    <w:p w14:paraId="44AE5E0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14:paraId="38E974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 竣工结算</w:t>
      </w:r>
    </w:p>
    <w:p w14:paraId="793645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竣工付款申请单</w:t>
      </w:r>
    </w:p>
    <w:p w14:paraId="6E915E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364A3C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（2）监理人对竣工付款申请单有异议的，有权要求承包人进行修正和提供补充资料。经监理人和承包人协商后，由承包人向监理人提交修正后的竣工付款申请单。</w:t>
      </w:r>
    </w:p>
    <w:p w14:paraId="0AE67D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14:paraId="7E53C5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78C486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（2）发包人应在监理人出具竣工付款证书后的14 天内，将应支付款支付给承包人。发包人不按期支付的，按第17.3.4（2）的约定，将逾期付款违约金支付给承包人。</w:t>
      </w:r>
    </w:p>
    <w:p w14:paraId="7539F2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（3）承包人对发包人签认的竣工付款证书有异议的，发包人可出具竣工付款申请单中承包人已同意部分的临时付款证书。存在争议的部分，按第24条的约定执行。</w:t>
      </w:r>
    </w:p>
    <w:p w14:paraId="7905B42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（4）竣工付款涉及政府投资资金的，按第17.3.4（4）约定执行。</w:t>
      </w:r>
    </w:p>
    <w:p w14:paraId="2D20E5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报送的工程结算必须真实反映项目实际情况，不得高算、冒算。工程竣工后，工程结算审核结果核减率高于纪检部门公布的警戒核减率，承包人须向发包人支付违约金，违约金计算方法为：违约金=结算审定金额X (评审核减率一警戒核减率)×50%”</w:t>
      </w:r>
    </w:p>
    <w:p w14:paraId="28543E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 最终结清</w:t>
      </w:r>
    </w:p>
    <w:p w14:paraId="4F03B5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25338D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（1）缺陷责任期终止证书签发后，承包人可按专用合同条款约定的份数和期限向监理人提交最终结清申请单，并提供相关证明材料。</w:t>
      </w:r>
    </w:p>
    <w:p w14:paraId="78C4D9D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（2）发包人对最终结清申请单内容有异议的，有权要求承包人进行修正和提供补充资料，由承包人向监理人提交修正后的最终结清申请单。</w:t>
      </w:r>
    </w:p>
    <w:p w14:paraId="5E9453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w:t>
      </w:r>
    </w:p>
    <w:p w14:paraId="1BFD89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31CF1D8">
      <w:pPr>
        <w:adjustRightInd w:val="0"/>
        <w:snapToGrid w:val="0"/>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（2）发包人应在监理人出具最终结清证书后的14 天内，将应支付款支付给承包人。</w:t>
      </w:r>
    </w:p>
    <w:p w14:paraId="637294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发包人不按期支付的，按第17.3.4（2）的约定，将逾期付款违约金支付给承包人。</w:t>
      </w:r>
    </w:p>
    <w:p w14:paraId="1A372E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（3）承包人对发包人签认的最终结清证书有异议的，按第24条的约定执行。</w:t>
      </w:r>
    </w:p>
    <w:p w14:paraId="2FD347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（4）最终结清付款涉及政府投资资金的，按第17.3.4（4）目的约定执行。</w:t>
      </w:r>
    </w:p>
    <w:p w14:paraId="1398DFED">
      <w:pPr>
        <w:adjustRightInd w:val="0"/>
        <w:snapToGrid w:val="0"/>
        <w:spacing w:line="360" w:lineRule="auto"/>
        <w:ind w:firstLine="482" w:firstLineChars="200"/>
        <w:outlineLvl w:val="1"/>
        <w:rPr>
          <w:rFonts w:ascii="宋体" w:hAnsi="宋体" w:cs="宋体"/>
          <w:b/>
          <w:color w:val="auto"/>
          <w:sz w:val="24"/>
          <w:highlight w:val="none"/>
        </w:rPr>
      </w:pPr>
      <w:bookmarkStart w:id="34" w:name="_Toc6622"/>
      <w:r>
        <w:rPr>
          <w:rFonts w:hint="eastAsia" w:ascii="宋体" w:hAnsi="宋体" w:cs="宋体"/>
          <w:b/>
          <w:color w:val="auto"/>
          <w:sz w:val="24"/>
          <w:highlight w:val="none"/>
        </w:rPr>
        <w:t>18. 竣工试验和竣工验收</w:t>
      </w:r>
      <w:bookmarkEnd w:id="34"/>
    </w:p>
    <w:p w14:paraId="49986DD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18.1 竣工试验   </w:t>
      </w:r>
    </w:p>
    <w:p w14:paraId="5140266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18.1.1承包人按照第5.5款和第5.6款提交文件后，进行竣工试验。</w:t>
      </w:r>
    </w:p>
    <w:p w14:paraId="635AD29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18.1.2承包人应提前21天将可以开始进行竣工试验的日期通知监理人，监理人应在该日期后14天内，确定竣工试验具体时间。除专用合同条款中另有约定外，竣工试验应按下述顺序进行：</w:t>
      </w:r>
    </w:p>
    <w:p w14:paraId="6995DC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（1）第一阶段，承包人进行适当的检查和功能性试验，保证每一项工程设备都满足合同要求，并能安全地进入下一阶段试验；</w:t>
      </w:r>
    </w:p>
    <w:p w14:paraId="37306B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（2）第二阶段，承包人进行试验，保证工程或区段工程满足合同要求，在所有可利用的操作条件下安全运行；</w:t>
      </w:r>
    </w:p>
    <w:p w14:paraId="2B52E1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（3）第三阶段，当工程能安全运行时，承包人应通知监理人，可以进行其他竣工试验，包括各种性能测试，以证明工程符合发包人要求中列明的性能保证指标。</w:t>
      </w:r>
    </w:p>
    <w:p w14:paraId="1A72A786">
      <w:pPr>
        <w:adjustRightInd w:val="0"/>
        <w:snapToGri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18.1.3 承包人应按合同约定进行工程及工程设备试运行。试运行所需人员、设备、</w:t>
      </w:r>
      <w:r>
        <w:rPr>
          <w:rFonts w:hint="eastAsia" w:ascii="宋体" w:hAnsi="宋体" w:cs="宋体"/>
          <w:color w:val="auto"/>
          <w:spacing w:val="6"/>
          <w:sz w:val="24"/>
          <w:highlight w:val="none"/>
        </w:rPr>
        <w:t>材料、燃料、电力、消耗品、工具等必要的条件以及试运行费用等由专用合同条款规定。</w:t>
      </w:r>
    </w:p>
    <w:p w14:paraId="6A3F3D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18.1.4 某项竣工试验未能通过的，承包人应按照监理人的指示限期改正，并承担合同约定的相应责任。</w:t>
      </w:r>
    </w:p>
    <w:p w14:paraId="1A5993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 竣工验收申请报告</w:t>
      </w:r>
    </w:p>
    <w:p w14:paraId="42BFC6F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当工程具备以下条件时，承包人即可向监理人报送竣工验收申请报告：</w:t>
      </w:r>
    </w:p>
    <w:p w14:paraId="55162E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（1）除监理人同意列入缺陷责任期内完成的尾工（甩项）工程和缺陷修补工作外，合同范围内的全部区段工程以及有关工作，包括合同要求的试验和竣工试验均已完成，并符合合同要求；</w:t>
      </w:r>
    </w:p>
    <w:p w14:paraId="298D88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（2）已按合同约定的内容和份数备齐了符合要求的竣工文件；</w:t>
      </w:r>
    </w:p>
    <w:p w14:paraId="6CAB37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（3）已按监理人的要求编制了在缺陷责任期内完成的尾工（甩项）工程和缺陷修补工作清单以及相应施工计划；</w:t>
      </w:r>
    </w:p>
    <w:p w14:paraId="34316B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（4）监理人要求在竣工验收前应完成的其他工作；</w:t>
      </w:r>
    </w:p>
    <w:p w14:paraId="3E1F831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（5）监理人要求提交的竣工验收资料清单。</w:t>
      </w:r>
    </w:p>
    <w:p w14:paraId="5EBD7C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竣工验收</w:t>
      </w:r>
    </w:p>
    <w:p w14:paraId="13C08E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监理人收到承包人按第18.2 款约定提交的竣工验收申请报告后，应审查申请报告的各项内容，并按以下不同情况进行处理。</w:t>
      </w:r>
    </w:p>
    <w:p w14:paraId="227811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14:paraId="1A6E0E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18.3.2 监理人同意承包人提交的竣工验收申请报告的，应在收到该竣工验收申请报告后的28天内提请发包人进行工程验收。</w:t>
      </w:r>
    </w:p>
    <w:p w14:paraId="6B3234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18.3.3 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753E6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14:paraId="67595E8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18.3.5 除专用合同条款另有约定外，经验收合格工程的实际竣工日期，以提交竣工验收申请报告的日期为准，并在工程接收证书中写明。</w:t>
      </w:r>
    </w:p>
    <w:p w14:paraId="708E58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18.3.6 发包人在收到承包人竣工验收申请报告56 天后未进行验收的，视为验收合格，实际竣工日期以提交竣工验收申请报告的日期为准，但发包人由于不可抗力不能进行验收的除外。</w:t>
      </w:r>
    </w:p>
    <w:p w14:paraId="5D6877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 国家验收</w:t>
      </w:r>
    </w:p>
    <w:p w14:paraId="48AA25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14:paraId="6DA164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区段工程验收</w:t>
      </w:r>
    </w:p>
    <w:p w14:paraId="04EB811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18.5.1 发包人根据合同进度计划安排，在全部工程竣工前需要使用已经竣工的区段工程时，或承包人提出经发包人同意时，可进行区段工程验收。验收的程序可参照第  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14:paraId="124BC5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18.5.2 发包人在全部工程竣工前，使用已接收的区段工程导致承包人费用增加的，发包人应承担由此增加的费用和（或）工期延误，并支付承包人合理利润。</w:t>
      </w:r>
    </w:p>
    <w:p w14:paraId="7E3D1E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 施工期运行</w:t>
      </w:r>
    </w:p>
    <w:p w14:paraId="0CCF3E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14:paraId="1AB41C0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18.6.2 在施工期运行中发现工程或工程设备损坏或存在缺陷的，由承包人按第19.2 款约定进行修复。</w:t>
      </w:r>
    </w:p>
    <w:p w14:paraId="42DD75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 竣工清场</w:t>
      </w:r>
    </w:p>
    <w:p w14:paraId="30E7E4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18.7.1 除合同另有约定外，工程接收证书颁发后，承包人应按以下要求对施工场地进行清理，直至监理人检验合格为止。竣工清场费用由承包人承担。</w:t>
      </w:r>
    </w:p>
    <w:p w14:paraId="6A051D9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（1）施工场地内残留的垃圾已全部清除出场；</w:t>
      </w:r>
    </w:p>
    <w:p w14:paraId="66463EE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（2）临时工程已拆除，场地已按合同要求进行清理、平整或复原；</w:t>
      </w:r>
    </w:p>
    <w:p w14:paraId="777DCD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（3）按合同约定应撤离的承包人设备和剩余的材料，包括废弃的施工设备和材料，已按计划撤离施工场地；</w:t>
      </w:r>
    </w:p>
    <w:p w14:paraId="3BED79D7">
      <w:pPr>
        <w:adjustRightInd w:val="0"/>
        <w:snapToGrid w:val="0"/>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（4）工程建筑物周边及其附近道路、河道的施工堆积物，已按监理人指示全部清理；</w:t>
      </w:r>
    </w:p>
    <w:p w14:paraId="7851DE6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（5）监理人指示的其他场地清理工作已全部完成。</w:t>
      </w:r>
    </w:p>
    <w:p w14:paraId="1C908F3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18.7.2 承包人未按监理人的要求恢复临时占地，或者场地清理未达到合同约定的，发包人有权委托其他人恢复或清理，所发生的金额从拟支付给承包人的款项中扣除。</w:t>
      </w:r>
    </w:p>
    <w:p w14:paraId="1D3BBE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18.8 施工队伍的撤离</w:t>
      </w:r>
    </w:p>
    <w:p w14:paraId="5A2278E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DBA0F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竣工后试验（A）</w:t>
      </w:r>
    </w:p>
    <w:p w14:paraId="2F2F28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除专用合同条款另有约定外，发包人应：</w:t>
      </w:r>
    </w:p>
    <w:p w14:paraId="2F3BA9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（1）为竣工后试验提供必要的电力、设备、燃料、仪器、劳力、材料，以及具有适当资质和经验的工作人员；</w:t>
      </w:r>
    </w:p>
    <w:p w14:paraId="54B5D239">
      <w:pPr>
        <w:adjustRightInd w:val="0"/>
        <w:snapToGrid w:val="0"/>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（2）根据承包人按照第5.6款提供的手册，以及承包人给予的指导进行竣工后试验。</w:t>
      </w:r>
    </w:p>
    <w:p w14:paraId="4740C0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发包人应提前21天将竣工后试验的日期通知承包人。如果承包人未能在该日期出席竣工后试验，发包人可自行进行，承包人应对检验数据予以认可。</w:t>
      </w:r>
    </w:p>
    <w:p w14:paraId="71FFA0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因承包人原因造成某项竣工后试验未能通过的，承包人应按照合同的约定进行赔偿，或者承包人提出修复建议，按照发包人指示的合理期限内改正，并承担合同约定的相应责任。</w:t>
      </w:r>
    </w:p>
    <w:p w14:paraId="7CE8E3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竣工后试验（B）</w:t>
      </w:r>
    </w:p>
    <w:p w14:paraId="528528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w:t>
      </w:r>
    </w:p>
    <w:p w14:paraId="6AC062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（1）发包人为竣工后试验提供必要的电力、材料、燃料、发包人人员和工程设备；</w:t>
      </w:r>
    </w:p>
    <w:p w14:paraId="30FA7EE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（2）承包人应提供竣工后试验所需要的所有其他设备、仪器，以及有资格和经验的工作人员；</w:t>
      </w:r>
    </w:p>
    <w:p w14:paraId="4C401AF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14:paraId="46AE3F50">
      <w:pPr>
        <w:adjustRightInd w:val="0"/>
        <w:snapToGrid w:val="0"/>
        <w:spacing w:line="360" w:lineRule="auto"/>
        <w:ind w:firstLine="482" w:firstLineChars="200"/>
        <w:outlineLvl w:val="1"/>
        <w:rPr>
          <w:rFonts w:ascii="宋体" w:hAnsi="宋体" w:cs="宋体"/>
          <w:b/>
          <w:color w:val="auto"/>
          <w:sz w:val="24"/>
          <w:highlight w:val="none"/>
        </w:rPr>
      </w:pPr>
      <w:bookmarkStart w:id="35" w:name="_Toc19402"/>
      <w:r>
        <w:rPr>
          <w:rFonts w:hint="eastAsia" w:ascii="宋体" w:hAnsi="宋体" w:cs="宋体"/>
          <w:b/>
          <w:color w:val="auto"/>
          <w:sz w:val="24"/>
          <w:highlight w:val="none"/>
        </w:rPr>
        <w:t>19. 缺陷责任与保修责任</w:t>
      </w:r>
      <w:bookmarkEnd w:id="35"/>
    </w:p>
    <w:p w14:paraId="69954B7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 缺陷责任期的起算时间</w:t>
      </w:r>
    </w:p>
    <w:p w14:paraId="6656AE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缺陷责任期自实际竣工日期起计算。在全部工程竣工验收前，已经发包人提前验收的区段工程或进入施工期运行的工程，其缺陷责任期的起算日期相应提前到相应工程竣工日。</w:t>
      </w:r>
    </w:p>
    <w:p w14:paraId="606E69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缺陷责任</w:t>
      </w:r>
    </w:p>
    <w:p w14:paraId="0E7533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19.2.1 承包人应在缺陷责任期内对已交付使用的工程承担缺陷责任。</w:t>
      </w:r>
    </w:p>
    <w:p w14:paraId="4A9967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6AAAF0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F32058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19.2.4 承包人不能在合理时间内修复缺陷的，发包人可自行修复或委托其他人修复，所需费用和利润的承担，按第19.2.3 项约定执行。</w:t>
      </w:r>
    </w:p>
    <w:p w14:paraId="1B98CD0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 缺陷责任期的延长</w:t>
      </w:r>
    </w:p>
    <w:p w14:paraId="16BD373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EC488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 进一步试验和试运行</w:t>
      </w:r>
    </w:p>
    <w:p w14:paraId="00B8CA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任何一项缺陷或损坏修复后，经检查证明其影响了工程或工程设备的使用性能，</w:t>
      </w:r>
      <w:r>
        <w:rPr>
          <w:rFonts w:hint="eastAsia" w:ascii="宋体" w:hAnsi="宋体" w:cs="宋体"/>
          <w:color w:val="auto"/>
          <w:spacing w:val="6"/>
          <w:sz w:val="24"/>
          <w:highlight w:val="none"/>
        </w:rPr>
        <w:t>承包人应重新进行合同约定的试验和试运行，试验和试运行的全部费用应由责任方承担</w:t>
      </w:r>
      <w:r>
        <w:rPr>
          <w:rFonts w:hint="eastAsia" w:ascii="宋体" w:hAnsi="宋体" w:cs="宋体"/>
          <w:color w:val="auto"/>
          <w:sz w:val="24"/>
          <w:highlight w:val="none"/>
        </w:rPr>
        <w:t>。</w:t>
      </w:r>
    </w:p>
    <w:p w14:paraId="3FA4AD2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19.5 承包人的进入权</w:t>
      </w:r>
    </w:p>
    <w:p w14:paraId="6469C6A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缺陷责任期内承包人为缺陷修复工作需要，有权进入工程现场，但应遵守发包人的保安和保密规定。</w:t>
      </w:r>
    </w:p>
    <w:p w14:paraId="61A097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19.6 缺陷责任期终止证书</w:t>
      </w:r>
    </w:p>
    <w:p w14:paraId="73F0049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在第1.1.4.5目约定的缺陷责任期，包括根据第19.3款延长的期限终止后14天内，由监理人向承包人出具经发包人签认的缺陷责任期终止证书，并退还剩余的质量保证金。</w:t>
      </w:r>
    </w:p>
    <w:p w14:paraId="2F3D6B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 保修责任</w:t>
      </w:r>
    </w:p>
    <w:p w14:paraId="537668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合同当事人根据有关法律规定，在专用合同条款中约定工程质量保修范围、期限和责任。保修期自实际竣工日期起计算。在全部工程竣工验收前，已经发包人提前验收的区段工程，其保修期的起算日期相应提前。</w:t>
      </w:r>
    </w:p>
    <w:p w14:paraId="2D67C16C">
      <w:pPr>
        <w:adjustRightInd w:val="0"/>
        <w:snapToGrid w:val="0"/>
        <w:spacing w:line="360" w:lineRule="auto"/>
        <w:ind w:firstLine="482" w:firstLineChars="200"/>
        <w:outlineLvl w:val="1"/>
        <w:rPr>
          <w:rFonts w:ascii="宋体" w:hAnsi="宋体" w:cs="宋体"/>
          <w:b/>
          <w:color w:val="auto"/>
          <w:sz w:val="24"/>
          <w:highlight w:val="none"/>
        </w:rPr>
      </w:pPr>
      <w:bookmarkStart w:id="36" w:name="_Toc23867"/>
      <w:r>
        <w:rPr>
          <w:rFonts w:hint="eastAsia" w:ascii="宋体" w:hAnsi="宋体" w:cs="宋体"/>
          <w:b/>
          <w:color w:val="auto"/>
          <w:sz w:val="24"/>
          <w:highlight w:val="none"/>
        </w:rPr>
        <w:t>20. 保险</w:t>
      </w:r>
      <w:bookmarkEnd w:id="36"/>
    </w:p>
    <w:p w14:paraId="2EBF82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设计和工程保险</w:t>
      </w:r>
    </w:p>
    <w:p w14:paraId="1B8DDF7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14:paraId="1A08C34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20.1.2 在缺陷责任期终止证书颁发前，承包人应按照专用合同条款的约定投保第三者责任险。</w:t>
      </w:r>
    </w:p>
    <w:p w14:paraId="368A53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 工伤保险</w:t>
      </w:r>
    </w:p>
    <w:p w14:paraId="385AF2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承包人员工伤保险</w:t>
      </w:r>
    </w:p>
    <w:p w14:paraId="6E87498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承包人应依照有关法律规定，为其履行合同所雇佣的全部人员投保工伤保险，缴纳工伤保险费，并要求其分包人也投保此项保险。</w:t>
      </w:r>
    </w:p>
    <w:p w14:paraId="3497A7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20.2.2 发包人员工伤保险</w:t>
      </w:r>
    </w:p>
    <w:p w14:paraId="7894FD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发包人应依照有关法律规定，为其现场机构雇佣的全部人员投保工伤保险，缴纳工伤保险费，并要求其监理人也进行此项保险。</w:t>
      </w:r>
    </w:p>
    <w:p w14:paraId="6A2C34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 人身意外伤害险</w:t>
      </w:r>
    </w:p>
    <w:p w14:paraId="0EE8CC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20.3.1 发包人应在整个施工期间为其现场机构雇用的全部人员，投保人身意外伤害险，缴纳保险费，并要求其监理人也进行此项保险。</w:t>
      </w:r>
    </w:p>
    <w:p w14:paraId="5C5E2F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20.3.2 承包人应在整个施工期间为其现场机构雇用的全部人员，投保人身意外伤害险，缴纳保险费，并要求其分包人也进行此项保险。 </w:t>
      </w:r>
    </w:p>
    <w:p w14:paraId="549060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 其他保险</w:t>
      </w:r>
    </w:p>
    <w:p w14:paraId="01D477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除专用合同条款另有约定外，承包人应为其施工设备、进场的材料和工程设备等办理保险。</w:t>
      </w:r>
    </w:p>
    <w:p w14:paraId="04F84D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 对各项保险的一般要求</w:t>
      </w:r>
    </w:p>
    <w:p w14:paraId="59BFB5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20.5.1 保险凭证</w:t>
      </w:r>
    </w:p>
    <w:p w14:paraId="60CC14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承包人应在专用合同条款约定的期限内向发包人提交各项保险生效的证据和保险单副本，保险单必须与专用合同条款约定的条件保持一致。</w:t>
      </w:r>
    </w:p>
    <w:p w14:paraId="4A8D99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20.5.2 保险合同条款的变动</w:t>
      </w:r>
    </w:p>
    <w:p w14:paraId="0D91D1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承包人需要变动保险合同条款时，应事先征得发包人同意，并通知监理人。保险人作出变动的，承包人应在收到保险人通知后立即通知发包人和监理人。</w:t>
      </w:r>
    </w:p>
    <w:p w14:paraId="3C7A4B3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20.5.3 持续保险</w:t>
      </w:r>
    </w:p>
    <w:p w14:paraId="5CD096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承包人应与保险人保持联系，使保险人能够随时了解工程实施中的变动，并确保按保险合同条款要求持续保险。</w:t>
      </w:r>
    </w:p>
    <w:p w14:paraId="745F283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20.5.4 保险金不足的补偿</w:t>
      </w:r>
    </w:p>
    <w:p w14:paraId="6E0AD6D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保险金不足以补偿损失的，应由承包人和（或）发包人按合同约定负责补偿。</w:t>
      </w:r>
    </w:p>
    <w:p w14:paraId="3AC724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20.5.5 未按约定投保的补救</w:t>
      </w:r>
    </w:p>
    <w:p w14:paraId="2A14D4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（1）由于负有投保义务的一方当事人未按合同约定办理保险，或未能使保险持续有效的，另一方当事人可代为办理，所需费用由对方当事人承担。</w:t>
      </w:r>
    </w:p>
    <w:p w14:paraId="792102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（2）由于负有投保义务的一方当事人未按合同约定办理某项保险，导致受益人未能得到保险人的赔偿，原应从该项保险得到的保险金应由负有投保义务的一方当事人支付。</w:t>
      </w:r>
    </w:p>
    <w:p w14:paraId="5DAEC7D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20.5.6 报告义务</w:t>
      </w:r>
    </w:p>
    <w:p w14:paraId="262532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当保险事故发生时，投保人应按照保险单规定的条件和期限及时向保险人报告。</w:t>
      </w:r>
    </w:p>
    <w:p w14:paraId="6EA473C4">
      <w:pPr>
        <w:adjustRightInd w:val="0"/>
        <w:snapToGrid w:val="0"/>
        <w:spacing w:line="360" w:lineRule="auto"/>
        <w:ind w:firstLine="482" w:firstLineChars="200"/>
        <w:outlineLvl w:val="1"/>
        <w:rPr>
          <w:rFonts w:ascii="宋体" w:hAnsi="宋体" w:cs="宋体"/>
          <w:b/>
          <w:color w:val="auto"/>
          <w:sz w:val="24"/>
          <w:highlight w:val="none"/>
        </w:rPr>
      </w:pPr>
      <w:bookmarkStart w:id="37" w:name="_Toc26238"/>
      <w:r>
        <w:rPr>
          <w:rFonts w:hint="eastAsia" w:ascii="宋体" w:hAnsi="宋体" w:cs="宋体"/>
          <w:b/>
          <w:color w:val="auto"/>
          <w:sz w:val="24"/>
          <w:highlight w:val="none"/>
        </w:rPr>
        <w:t>21. 不可抗力</w:t>
      </w:r>
      <w:bookmarkEnd w:id="37"/>
    </w:p>
    <w:p w14:paraId="79C865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不可抗力的确认</w:t>
      </w:r>
    </w:p>
    <w:p w14:paraId="2B54AB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 不可抗力是指承包人和发包人在订立合同时不可预见，在履行合同过程中不可避免发生并不能克服的自然灾害和社会性突发事件，如地震、海啸、瘟疫、水灾、骚乱、暴动、战争和专用合同条款约定的其他情形。</w:t>
      </w:r>
    </w:p>
    <w:p w14:paraId="72C8C9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14:paraId="6C9981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不可抗力的通知</w:t>
      </w:r>
    </w:p>
    <w:p w14:paraId="445DF6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21.2.1 合同一方当事人遇到不可抗力事件，使其履行合同义务受到阻碍时，应立即通知合同另一方当事人和监理人，书面说明不可抗力和受阻碍的详细情况，并提供必要的证明。</w:t>
      </w:r>
    </w:p>
    <w:p w14:paraId="2D45F6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0558D9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不可抗力后果及其处理</w:t>
      </w:r>
    </w:p>
    <w:p w14:paraId="24FC7D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14:paraId="727873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除专用合同条款另有约定外，不可抗力导致的人员伤亡、财产损失、费用增加和（或）工期延误等后果，由合同双方按以下原则承担：</w:t>
      </w:r>
    </w:p>
    <w:p w14:paraId="1F8349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（1）永久工程，包括已运至施工场地的材料和工程设备的损害，以及因工程损害造成的第三者人员伤亡和财产损失由发包人承担；</w:t>
      </w:r>
    </w:p>
    <w:p w14:paraId="08FC601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（2）承包人设备的损坏由承包人承担；</w:t>
      </w:r>
    </w:p>
    <w:p w14:paraId="558CE2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（3）发包人和承包人各自承担其人员伤亡和其他财产损失及其相关费用；</w:t>
      </w:r>
    </w:p>
    <w:p w14:paraId="042874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（4）承包人的停工损失由承包人承担，但停工期间应监理人要求照管工程和清理、修复工程的金额由发包人承担；</w:t>
      </w:r>
    </w:p>
    <w:p w14:paraId="3C6DE44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（5）不能按期竣工的，应合理延长工期，承包人不需支付逾期竣工违约金。发包人要求赶工的，承包人应采取赶工措施，赶工费用由发包人承担。</w:t>
      </w:r>
    </w:p>
    <w:p w14:paraId="5650812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 延迟履行期间发生的不可抗力</w:t>
      </w:r>
    </w:p>
    <w:p w14:paraId="2955B8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合同一方当事人延迟履行，在延迟履行期间发生不可抗力的，不免除其责任。</w:t>
      </w:r>
    </w:p>
    <w:p w14:paraId="0B8B7D9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避免和减少不可抗力损失</w:t>
      </w:r>
    </w:p>
    <w:p w14:paraId="43F940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不可抗力发生后，发包人和承包人均应采取措施尽量避免和减少损失的扩大，任何一方没有采取有效措施导致损失扩大的，应对扩大的损失承担责任。</w:t>
      </w:r>
    </w:p>
    <w:p w14:paraId="7A078D6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因不可抗力解除合同</w:t>
      </w:r>
    </w:p>
    <w:p w14:paraId="2A16E9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14:paraId="6306D828">
      <w:pPr>
        <w:adjustRightInd w:val="0"/>
        <w:snapToGrid w:val="0"/>
        <w:spacing w:line="360" w:lineRule="auto"/>
        <w:ind w:firstLine="482" w:firstLineChars="200"/>
        <w:outlineLvl w:val="1"/>
        <w:rPr>
          <w:rFonts w:ascii="宋体" w:hAnsi="宋体" w:cs="宋体"/>
          <w:b/>
          <w:color w:val="auto"/>
          <w:sz w:val="24"/>
          <w:highlight w:val="none"/>
        </w:rPr>
      </w:pPr>
      <w:bookmarkStart w:id="38" w:name="_Toc14433"/>
      <w:r>
        <w:rPr>
          <w:rFonts w:hint="eastAsia" w:ascii="宋体" w:hAnsi="宋体" w:cs="宋体"/>
          <w:b/>
          <w:color w:val="auto"/>
          <w:sz w:val="24"/>
          <w:highlight w:val="none"/>
        </w:rPr>
        <w:t>22. 违约</w:t>
      </w:r>
      <w:bookmarkEnd w:id="38"/>
    </w:p>
    <w:p w14:paraId="38F724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承包人违约</w:t>
      </w:r>
    </w:p>
    <w:p w14:paraId="5AFB26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14:paraId="034EBA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在履行合同过程中发生的下列情况之一的，属承包人违约：</w:t>
      </w:r>
    </w:p>
    <w:p w14:paraId="7184DF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（1）承包人的设计、承包人文件、实施和竣工的工程不符合法律以及合同约定；</w:t>
      </w:r>
    </w:p>
    <w:p w14:paraId="5D4AB2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（2）承包人违反第1.8 款或第4.3 款的约定，私自将合同的全部或部分权利转让给其他人，或私自将合同的全部或部分义务转移给其他人；</w:t>
      </w:r>
    </w:p>
    <w:p w14:paraId="129B3D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（3）承包人违反第6.3 款或第7.4 款的约定，未经监理人批准，私自将已按合同约定进入施工场地的施工设备、临时设施或材料撤离施工场地；</w:t>
      </w:r>
    </w:p>
    <w:p w14:paraId="4739F2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（4）承包人违反第6.5 款的约定使用了不合格材料或工程设备，工程质量达不到标准要求，又拒绝清除不合格工程；</w:t>
      </w:r>
    </w:p>
    <w:p w14:paraId="13A1B2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（5）承包人未能按合同进度计划及时完成合同约定的工作，造成工期延误；</w:t>
      </w:r>
    </w:p>
    <w:p w14:paraId="1F3F4A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（6）由于承包人原因未能通过竣工试验或竣工后试验的；</w:t>
      </w:r>
    </w:p>
    <w:p w14:paraId="2A21E99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（7）承包人在缺陷责任期内，未能对工程接收证书所列的缺陷清单的内容或缺陷责任期内发生的缺陷进行修复，而又拒绝按监理人指示再进行修补；</w:t>
      </w:r>
    </w:p>
    <w:p w14:paraId="32C0BE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（8）承包人无法继续履行或明确表示不履行或实质上已停止履行合同；</w:t>
      </w:r>
    </w:p>
    <w:p w14:paraId="5A8156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（9）承包人不按合同约定履行义务的其他情况。</w:t>
      </w:r>
    </w:p>
    <w:p w14:paraId="439287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14:paraId="69803E0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（1）承包人发生第22.1.1（6）约定的违约情况时，按照发包人要求中的未能通过竣工/竣工后试验的损害进行赔偿。发生延期的，承包人应承担延期责任。</w:t>
      </w:r>
    </w:p>
    <w:p w14:paraId="670F93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（2）承包人发生第22.1.1（8）约定的违约情况时，发包人可通知承包人立即解除合同，并按第22.1.3项、第22.1.4项、第22.1.5项约定处理。</w:t>
      </w:r>
    </w:p>
    <w:p w14:paraId="54AD39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发生除第22.1.1（6）目和第22.1.1（8）目约定以外的其他违约情况时，监理人可向承包人发出整改通知，要求其在指定的期限内纠正。除合同条款另有约定外，承包人应承担其违约所引起的费用增加和（或）工期延误。</w:t>
      </w:r>
    </w:p>
    <w:p w14:paraId="7DFCA7B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22.1.3 因承包人违约解除合同</w:t>
      </w:r>
    </w:p>
    <w:p w14:paraId="189D2FC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14:paraId="3D7D1C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22.1.4 发包人发出合同解除通知后的估价、付款和结清</w:t>
      </w:r>
    </w:p>
    <w:p w14:paraId="76B4C2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14:paraId="3556A1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（2）发包人发出解除合同通知后，发包人有权暂停对承包人的一切付款，查清各项付款和已扣款金额，包括承包人应支付的违约金。</w:t>
      </w:r>
    </w:p>
    <w:p w14:paraId="46A3A0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（3）发包人发出解除合同通知后，发包人有权按第23.4 款的约定向承包人索赔由于解除合同给发包人造成的损失。</w:t>
      </w:r>
    </w:p>
    <w:p w14:paraId="6C1C43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（4）合同双方确认合同价款后，发包人颁发最终结清付款证书，并结清全部合同款项。</w:t>
      </w:r>
    </w:p>
    <w:p w14:paraId="2850BA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（5）发包人和承包人未能就解除合同后的结清达成一致而形成争议的，按第24条的约定执行。</w:t>
      </w:r>
    </w:p>
    <w:p w14:paraId="5FA2BA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22.1.5 协议利益的转让</w:t>
      </w:r>
    </w:p>
    <w:p w14:paraId="6AF02CE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14:paraId="3A8DE8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22.1.6 紧急情况下无能力或不愿进行抢救</w:t>
      </w:r>
    </w:p>
    <w:p w14:paraId="3D909CD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1DB8EE9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发包人违约</w:t>
      </w:r>
    </w:p>
    <w:p w14:paraId="30DEF1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22.2.1 发包人违约的情形</w:t>
      </w:r>
    </w:p>
    <w:p w14:paraId="7EF42FA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在履行合同过程中发生下列情形之一的，属发包人违约：</w:t>
      </w:r>
    </w:p>
    <w:p w14:paraId="1023A3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（1）发包人未能按合同约定支付价款，或拖延、拒绝批准付款申请和支付凭证，导致付款延误；</w:t>
      </w:r>
    </w:p>
    <w:p w14:paraId="371D35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（2）发包人原因造成停工；</w:t>
      </w:r>
    </w:p>
    <w:p w14:paraId="349C0AA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（3）监理人无正当理由没有在约定期限内发出复工指示，导致承包人无法复工；</w:t>
      </w:r>
    </w:p>
    <w:p w14:paraId="4D700FA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（4）发包人无法继续履行或明确表示不履行或实质上已停止履行合同；</w:t>
      </w:r>
    </w:p>
    <w:p w14:paraId="4894F4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（5）发包人不履行合同约定的其他义务。</w:t>
      </w:r>
    </w:p>
    <w:p w14:paraId="7280F5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22.2.2 因发包人违约解除合同</w:t>
      </w:r>
    </w:p>
    <w:p w14:paraId="068D61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（1）发生第22.2.1（4）的违约情况时，承包人可书面通知发包人解除合同。</w:t>
      </w:r>
    </w:p>
    <w:p w14:paraId="05CE45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（2）承包人按12.2.1项约定暂停施工28天后，发包人仍不纠正违约行为的，承包人可向发包人发出解除合同通知。但承包人的这一行为不免除发包人承担的违约责任，也不影响承包人根据合同约定享有的索赔权利。</w:t>
      </w:r>
    </w:p>
    <w:p w14:paraId="422713A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22.2.3 解除合同后的付款</w:t>
      </w:r>
    </w:p>
    <w:p w14:paraId="31A54D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因发包人违约解除合同的，发包人应在解除合同后28天内向承包人支付下列款项，承包人应在此期限内及时向发包人提交要求支付下列金额的有关资料和凭证：</w:t>
      </w:r>
    </w:p>
    <w:p w14:paraId="069BA89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（1）承包人发出解除合同通知前所完成工作的价款；</w:t>
      </w:r>
    </w:p>
    <w:p w14:paraId="199EAB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（2）承包人为该工程施工订购并已付款的材料、工程设备和其他物品的金额。发包人付款后，该材料、工程设备和其他物品归发包人所有；</w:t>
      </w:r>
    </w:p>
    <w:p w14:paraId="16FB97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（3）承包人为完成工程所发生的，而发包人未支付的金额；</w:t>
      </w:r>
    </w:p>
    <w:p w14:paraId="617522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（4）承包人撤离施工场地以及遣散承包人人员的金额；</w:t>
      </w:r>
    </w:p>
    <w:p w14:paraId="454A319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（5）因解除合同造成的承包人损失；</w:t>
      </w:r>
    </w:p>
    <w:p w14:paraId="6D6099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（6）按合同约定在承包人发出解除合同通知前应支付给承包人的其他金额。</w:t>
      </w:r>
    </w:p>
    <w:p w14:paraId="55D794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发包人应按本项约定支付上述金额并退还质量保证金和履约担保，但有权要求承包人支付应偿还给发包人的各项金额。</w:t>
      </w:r>
    </w:p>
    <w:p w14:paraId="3DED74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22.2.4 解除合同后的承包人撤离</w:t>
      </w:r>
    </w:p>
    <w:p w14:paraId="16D06A8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14:paraId="51BD481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第三人造成的违约</w:t>
      </w:r>
    </w:p>
    <w:p w14:paraId="755256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在履行合同过程中，一方当事人因第三人的原因造成违约的，应当向对方当事人承担违约责任。一方当事人和第三人之间的纠纷，依照法律规定或者按照约定解决。</w:t>
      </w:r>
    </w:p>
    <w:p w14:paraId="2827D0E6">
      <w:pPr>
        <w:adjustRightInd w:val="0"/>
        <w:snapToGrid w:val="0"/>
        <w:spacing w:line="360" w:lineRule="auto"/>
        <w:ind w:firstLine="482" w:firstLineChars="200"/>
        <w:outlineLvl w:val="1"/>
        <w:rPr>
          <w:rFonts w:ascii="宋体" w:hAnsi="宋体" w:cs="宋体"/>
          <w:b/>
          <w:color w:val="auto"/>
          <w:sz w:val="24"/>
          <w:highlight w:val="none"/>
        </w:rPr>
      </w:pPr>
      <w:bookmarkStart w:id="39" w:name="_Toc18021"/>
      <w:r>
        <w:rPr>
          <w:rFonts w:hint="eastAsia" w:ascii="宋体" w:hAnsi="宋体" w:cs="宋体"/>
          <w:b/>
          <w:color w:val="auto"/>
          <w:sz w:val="24"/>
          <w:highlight w:val="none"/>
        </w:rPr>
        <w:t>23. 索赔</w:t>
      </w:r>
      <w:bookmarkEnd w:id="39"/>
    </w:p>
    <w:p w14:paraId="66E346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承包人索赔的提出</w:t>
      </w:r>
    </w:p>
    <w:p w14:paraId="23FBA2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根据合同约定，承包人认为有权得到追加付款和（或）延长工期的，应按以下程序向发包人提出索赔：</w:t>
      </w:r>
    </w:p>
    <w:p w14:paraId="0DB7A8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（1）承包人应在知道或应当知道索赔事件发生后28 天内，向监理人递交索赔意向通知书，并说明发生索赔事件的事由。承包人未在前述28天内发出索赔意向通知书的，工期不予顺延，且承包人无权获得追加付款；</w:t>
      </w:r>
    </w:p>
    <w:p w14:paraId="4E95F5C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4A58FA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（3）索赔事件具有连续影响的，承包人应按合理时间间隔继续递交延续索赔通知，说明连续影响的实际情况和记录，列出累计的追加付款金额和（或）工期延长天数；</w:t>
      </w:r>
    </w:p>
    <w:p w14:paraId="383D32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（4）在索赔事件影响结束后的28 天内，承包人应向监理人递交最终索赔通知书，说明最终要求索赔的追加付款金额和延长的工期，并附必要的记录和证明材料。</w:t>
      </w:r>
    </w:p>
    <w:p w14:paraId="54C864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 承包人索赔处理程序</w:t>
      </w:r>
    </w:p>
    <w:p w14:paraId="3C0A7DD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（1）监理人收到承包人提交的索赔通知书后，应及时审查索赔通知书的内容、查验承包人的记录和证明材料，必要时监理人可要求承包人提交全部原始记录副本。</w:t>
      </w:r>
    </w:p>
    <w:p w14:paraId="33B790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14:paraId="59B53E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（3）承包人接受索赔处理结果的，发包人应在作出索赔处理结果答复后28 天内完成赔付。承包人不接受索赔处理结果的，按第24条的约定执行。</w:t>
      </w:r>
    </w:p>
    <w:p w14:paraId="449265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 承包人提出索赔的期限</w:t>
      </w:r>
    </w:p>
    <w:p w14:paraId="13CC19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23.3.1 承包人按第17.5 款的约定接受了竣工付款证书后，应被认为已无权再提出在合同工程接收证书颁发前所发生的任何索赔。</w:t>
      </w:r>
    </w:p>
    <w:p w14:paraId="599774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23.3.2 承包人按第17.6 款的约定提交的最终结清申请单中，只限于提出工程接收证书颁发后发生的索赔。提出索赔的期限自接受最终结清证书时终止。</w:t>
      </w:r>
    </w:p>
    <w:p w14:paraId="048E96F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23.4 发包人的索赔</w:t>
      </w:r>
    </w:p>
    <w:p w14:paraId="779D4AC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14:paraId="1CB861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23.4.2 发包人按第3.5 款商定或确定发包人从承包人处得到赔付的金额和（或）缺陷责任期的延长期。承包人应付给发包人的金额可从拟支付给承包人的合同价款中扣除，或由承包人以其他方式支付给发包人。</w:t>
      </w:r>
    </w:p>
    <w:p w14:paraId="46B1E268">
      <w:pPr>
        <w:adjustRightInd w:val="0"/>
        <w:snapToGrid w:val="0"/>
        <w:spacing w:line="360" w:lineRule="auto"/>
        <w:ind w:firstLine="482" w:firstLineChars="200"/>
        <w:outlineLvl w:val="1"/>
        <w:rPr>
          <w:rFonts w:ascii="宋体" w:hAnsi="宋体" w:cs="宋体"/>
          <w:b/>
          <w:color w:val="auto"/>
          <w:sz w:val="24"/>
          <w:highlight w:val="none"/>
        </w:rPr>
      </w:pPr>
      <w:bookmarkStart w:id="40" w:name="_Toc27456"/>
      <w:r>
        <w:rPr>
          <w:rFonts w:hint="eastAsia" w:ascii="宋体" w:hAnsi="宋体" w:cs="宋体"/>
          <w:b/>
          <w:color w:val="auto"/>
          <w:sz w:val="24"/>
          <w:highlight w:val="none"/>
        </w:rPr>
        <w:t>24. 争议的解决</w:t>
      </w:r>
      <w:bookmarkEnd w:id="40"/>
    </w:p>
    <w:p w14:paraId="7F45427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 争议的解决方式</w:t>
      </w:r>
    </w:p>
    <w:p w14:paraId="4F7C22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4926AA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（1）向约定的仲裁委员会申请仲裁；</w:t>
      </w:r>
    </w:p>
    <w:p w14:paraId="77B7982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（2）向有管辖权的人民法院提起诉讼。</w:t>
      </w:r>
    </w:p>
    <w:p w14:paraId="7CB0DB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友好解决</w:t>
      </w:r>
    </w:p>
    <w:p w14:paraId="1E420F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在提请争议评审、仲裁或者诉讼前，以及在争议评审、仲裁或诉讼过程中，发包人和承包人均可共同努力友好协商解决争议。</w:t>
      </w:r>
    </w:p>
    <w:p w14:paraId="56CEA7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 争议评审</w:t>
      </w:r>
    </w:p>
    <w:p w14:paraId="38052D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24.3.1 采用争议评审的，发包人和承包人应在开工日后的28天内或在争议发生后，协商成立争议评审组。争议评审组由有合同管理和工程实践经验的专家组成。</w:t>
      </w:r>
    </w:p>
    <w:p w14:paraId="331D900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62FE96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24.3.3 被申请人在收到申请人评审申请报告副本后的28 天内，向争议评审组提交一份答辩报告，并附证明材料。被申请人应将答辩报告的副本同时提交给申请人和监理人。</w:t>
      </w:r>
    </w:p>
    <w:p w14:paraId="61A0E1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7E3F1C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174F75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24.3.6 发包人和承包人接受评审意见的，由监理人根据评审意见拟定执行协议，经争议双方签字后作为合同的补充文件，并遵照执行。</w:t>
      </w:r>
    </w:p>
    <w:p w14:paraId="3DB5964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14:paraId="66F8D626">
      <w:pPr>
        <w:adjustRightInd w:val="0"/>
        <w:snapToGrid w:val="0"/>
        <w:spacing w:line="360" w:lineRule="auto"/>
        <w:ind w:firstLine="480" w:firstLineChars="200"/>
        <w:rPr>
          <w:rFonts w:ascii="宋体" w:hAnsi="宋体" w:cs="宋体"/>
          <w:color w:val="auto"/>
          <w:sz w:val="24"/>
          <w:highlight w:val="none"/>
        </w:rPr>
        <w:sectPr>
          <w:footerReference r:id="rId7" w:type="default"/>
          <w:pgSz w:w="11905" w:h="16838"/>
          <w:pgMar w:top="1417" w:right="1474" w:bottom="1417" w:left="1474" w:header="567" w:footer="850" w:gutter="0"/>
          <w:pgNumType w:start="1"/>
          <w:cols w:space="720" w:num="1"/>
          <w:docGrid w:type="lines" w:linePitch="312" w:charSpace="0"/>
        </w:sectPr>
      </w:pPr>
    </w:p>
    <w:p w14:paraId="376D8C89">
      <w:pPr>
        <w:adjustRightInd w:val="0"/>
        <w:snapToGrid w:val="0"/>
        <w:spacing w:line="360" w:lineRule="auto"/>
        <w:jc w:val="center"/>
        <w:outlineLvl w:val="0"/>
        <w:rPr>
          <w:rFonts w:ascii="宋体" w:hAnsi="宋体" w:cs="宋体"/>
          <w:b/>
          <w:color w:val="auto"/>
          <w:sz w:val="32"/>
          <w:szCs w:val="32"/>
          <w:highlight w:val="none"/>
        </w:rPr>
      </w:pPr>
      <w:bookmarkStart w:id="41" w:name="_Toc16940"/>
      <w:r>
        <w:rPr>
          <w:rFonts w:hint="eastAsia" w:ascii="宋体" w:hAnsi="宋体" w:cs="宋体"/>
          <w:b/>
          <w:color w:val="auto"/>
          <w:sz w:val="32"/>
          <w:szCs w:val="32"/>
          <w:highlight w:val="none"/>
        </w:rPr>
        <w:t>第三部分   专用条款</w:t>
      </w:r>
      <w:bookmarkEnd w:id="41"/>
    </w:p>
    <w:p w14:paraId="1DDEDADE">
      <w:pPr>
        <w:adjustRightInd w:val="0"/>
        <w:snapToGrid w:val="0"/>
        <w:spacing w:line="360" w:lineRule="auto"/>
        <w:ind w:firstLine="482" w:firstLineChars="200"/>
        <w:outlineLvl w:val="1"/>
        <w:rPr>
          <w:rFonts w:ascii="宋体" w:hAnsi="宋体" w:cs="宋体"/>
          <w:b/>
          <w:color w:val="auto"/>
          <w:sz w:val="24"/>
          <w:highlight w:val="none"/>
        </w:rPr>
      </w:pPr>
      <w:bookmarkStart w:id="42" w:name="_Toc5733"/>
      <w:r>
        <w:rPr>
          <w:rFonts w:hint="eastAsia" w:ascii="宋体" w:hAnsi="宋体" w:cs="宋体"/>
          <w:b/>
          <w:color w:val="auto"/>
          <w:sz w:val="24"/>
          <w:highlight w:val="none"/>
        </w:rPr>
        <w:t>1. 一般约定</w:t>
      </w:r>
      <w:bookmarkEnd w:id="42"/>
    </w:p>
    <w:p w14:paraId="58EBC3F5">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1.1 词语定义</w:t>
      </w:r>
    </w:p>
    <w:p w14:paraId="6FF0AA7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1.1.6.1 所采用的书面形式包括：</w:t>
      </w:r>
      <w:r>
        <w:rPr>
          <w:rFonts w:hint="eastAsia" w:ascii="宋体" w:hAnsi="宋体" w:cs="宋体"/>
          <w:color w:val="auto"/>
          <w:sz w:val="24"/>
          <w:highlight w:val="none"/>
          <w:u w:val="single"/>
        </w:rPr>
        <w:t>文书</w:t>
      </w:r>
      <w:r>
        <w:rPr>
          <w:rFonts w:hint="eastAsia" w:ascii="宋体" w:hAnsi="宋体" w:cs="宋体"/>
          <w:color w:val="auto"/>
          <w:sz w:val="24"/>
          <w:highlight w:val="none"/>
        </w:rPr>
        <w:t>。</w:t>
      </w:r>
    </w:p>
    <w:p w14:paraId="2FB06124">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1.3 法律</w:t>
      </w:r>
    </w:p>
    <w:p w14:paraId="42EF2F4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约定适用的标准、规范的名称：国家、行业、广东省和现行标准与规范或规程、建筑工程质量评定、验收规程、规范、条例、招标文件所列技术规范及设计所列明的规范等。如施工期间国家或地方标准、规范发生变动，承包人应按新标准、规范执行。如有关施工、验收的标准和规范改变引起的费用增加，按设计变更或新增设计计算。</w:t>
      </w:r>
    </w:p>
    <w:p w14:paraId="020FE17E">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1.6 文件的提供和照管</w:t>
      </w:r>
    </w:p>
    <w:p w14:paraId="4B2D031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承包人文件的提供</w:t>
      </w:r>
    </w:p>
    <w:p w14:paraId="27EA58C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承包人提供施工设计图纸，承包人负责的设计的约定：承包人承担本工程设计，向发包人提交施工图。</w:t>
      </w:r>
    </w:p>
    <w:p w14:paraId="426A01E5">
      <w:pPr>
        <w:adjustRightInd w:val="0"/>
        <w:snapToGrid w:val="0"/>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（1）提供的时间：</w:t>
      </w:r>
      <w:r>
        <w:rPr>
          <w:rFonts w:hint="eastAsia" w:ascii="宋体" w:hAnsi="宋体" w:eastAsia="宋体" w:cs="宋体"/>
          <w:color w:val="auto"/>
          <w:sz w:val="24"/>
          <w:szCs w:val="24"/>
          <w:highlight w:val="none"/>
          <w:u w:val="single"/>
          <w:lang w:val="en-US" w:eastAsia="zh-CN"/>
        </w:rPr>
        <w:t>完成现场查勘后10天</w:t>
      </w:r>
    </w:p>
    <w:p w14:paraId="2A7B3DB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（2）提供的数量：施工图壹式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份交发包人确认，并提供一套与施工图完全一致的施工图电子版（含CAD版本及PDF版本），发包人保留纸质版贰份及电子版，分发监理人壹份，其余分发给承包人。施工图需发包人确认后方可用于工程施工，经确认的施工图将作为施工、验收、结算的依据。 </w:t>
      </w:r>
    </w:p>
    <w:p w14:paraId="77BC28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发包人提供的文件</w:t>
      </w:r>
    </w:p>
    <w:p w14:paraId="63A4F0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（1）提供的资料：项目立项批准文件、建筑图、前期设计单位的成果文件。</w:t>
      </w:r>
    </w:p>
    <w:p w14:paraId="0FF4DC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（2）提供的时间：签订合同后</w:t>
      </w:r>
      <w:r>
        <w:rPr>
          <w:rFonts w:hint="eastAsia" w:ascii="宋体" w:hAnsi="宋体" w:cs="宋体"/>
          <w:color w:val="auto"/>
          <w:sz w:val="24"/>
          <w:highlight w:val="none"/>
          <w:u w:val="single"/>
        </w:rPr>
        <w:t xml:space="preserve">  / 个</w:t>
      </w:r>
      <w:r>
        <w:rPr>
          <w:rFonts w:hint="eastAsia" w:ascii="宋体" w:hAnsi="宋体" w:cs="宋体"/>
          <w:color w:val="auto"/>
          <w:sz w:val="24"/>
          <w:highlight w:val="none"/>
        </w:rPr>
        <w:t xml:space="preserve">工作日内提交。 </w:t>
      </w:r>
    </w:p>
    <w:p w14:paraId="57EB10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图纸及设计变更通知须经设计单位和发包人盖章确认方为有效。未经发包人同意，图纸不得转借他用或泄露给第三方。</w:t>
      </w:r>
    </w:p>
    <w:p w14:paraId="7E62D9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1.7 联络  </w:t>
      </w:r>
    </w:p>
    <w:p w14:paraId="706FB16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各方通讯地址、收件人及其他送达方式</w:t>
      </w:r>
    </w:p>
    <w:p w14:paraId="4D50F3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（1）各方通讯地址和收件人：</w:t>
      </w:r>
    </w:p>
    <w:p w14:paraId="7EADB5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广州珠江住房租赁发展投资有限公司</w:t>
      </w:r>
    </w:p>
    <w:p w14:paraId="5ED157EB">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6FDFA740">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val="en-US" w:eastAsia="zh-CN"/>
        </w:rPr>
        <w:t xml:space="preserve">      </w:t>
      </w:r>
    </w:p>
    <w:p w14:paraId="21354804">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承包人（施工承包人）：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60F0A594">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p>
    <w:p w14:paraId="13DF4729">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val="en-US" w:eastAsia="zh-CN"/>
        </w:rPr>
        <w:t xml:space="preserve">      </w:t>
      </w:r>
    </w:p>
    <w:p w14:paraId="420F2138">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承包人（设计承包人）：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019849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6FBF4CF">
      <w:pPr>
        <w:adjustRightInd w:val="0"/>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val="en-US" w:eastAsia="zh-CN"/>
        </w:rPr>
        <w:t xml:space="preserve">     </w:t>
      </w:r>
    </w:p>
    <w:p w14:paraId="55415336">
      <w:pPr>
        <w:adjustRightInd w:val="0"/>
        <w:snapToGrid w:val="0"/>
        <w:spacing w:line="360" w:lineRule="auto"/>
        <w:ind w:left="479" w:leftChars="228"/>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监理人：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731EF831">
      <w:pPr>
        <w:adjustRightInd w:val="0"/>
        <w:snapToGrid w:val="0"/>
        <w:spacing w:line="360" w:lineRule="auto"/>
        <w:ind w:left="479" w:leftChars="228"/>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通讯地址：</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345EBD73">
      <w:pPr>
        <w:adjustRightInd w:val="0"/>
        <w:snapToGrid w:val="0"/>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val="en-US" w:eastAsia="zh-CN"/>
        </w:rPr>
        <w:t xml:space="preserve">     </w:t>
      </w:r>
    </w:p>
    <w:p w14:paraId="1ED3B4E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视为送达的其他方式：发包人与承包人的文件通过监理人传递，但须发文方代表或授权人签字并加盖有效印章才生效。一方不得以任何理由拒绝签收另一方的文件。发包人认为必要的情况下，可以直接向承包人发出指令，承包人代表或指定收件人必须签收。</w:t>
      </w:r>
    </w:p>
    <w:p w14:paraId="4A06E803">
      <w:pPr>
        <w:adjustRightInd w:val="0"/>
        <w:snapToGrid w:val="0"/>
        <w:spacing w:line="360" w:lineRule="auto"/>
        <w:ind w:firstLine="482" w:firstLineChars="200"/>
        <w:outlineLvl w:val="1"/>
        <w:rPr>
          <w:rFonts w:ascii="宋体" w:hAnsi="宋体" w:cs="宋体"/>
          <w:b/>
          <w:color w:val="auto"/>
          <w:sz w:val="24"/>
          <w:highlight w:val="none"/>
        </w:rPr>
      </w:pPr>
      <w:bookmarkStart w:id="43" w:name="_Toc21105"/>
      <w:r>
        <w:rPr>
          <w:rFonts w:hint="eastAsia" w:ascii="宋体" w:hAnsi="宋体" w:cs="宋体"/>
          <w:b/>
          <w:color w:val="auto"/>
          <w:sz w:val="24"/>
          <w:highlight w:val="none"/>
        </w:rPr>
        <w:t>2. 发包人权利和义务</w:t>
      </w:r>
      <w:bookmarkEnd w:id="43"/>
    </w:p>
    <w:p w14:paraId="66A6F9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提供施工场地</w:t>
      </w:r>
    </w:p>
    <w:p w14:paraId="46027BC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开工令发出前，发包人按进场要求提供项目红线内施工现场，场地清理、平整等工作由承包人负责，红线外场地由承包人自行与有关单位协调。有关费用已包含在中标合同价包干项目措施费中，发包人不另行计量支付。</w:t>
      </w:r>
    </w:p>
    <w:p w14:paraId="7596032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 协调处理施工场地周围地下管线问题和邻近建筑物等保护工作的约定：发包人协助承包人做好上述保护工作的协调处理，除文物保护外，其它保护工作费用已包含在承包人中标合同价包干项目措施费中。</w:t>
      </w:r>
    </w:p>
    <w:p w14:paraId="4CC2D7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办理证件和批件</w:t>
      </w:r>
    </w:p>
    <w:p w14:paraId="0588C7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委托承包人代为办理以下施工所需有关证件和报批手续，除政府部门规定须由发包人支付的费用由发包人据实支付外，其它费用已包含在承包人的合同价款中：包括但不限于临时施工复函、施工许可证、工程质量安全监督报监，向相关管理部门办理道路开挖、余泥排放、防雷、给排水、夜间施工许可等施工所需有关证件和报批手续，均由承包人代为办理，发包人、监理人提供协助。承包人应主动联系有关部门尽快办理上述手续，原则上每项手续在资料备齐后</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个工作日内完成。</w:t>
      </w:r>
    </w:p>
    <w:p w14:paraId="2BCDF1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 支付合同价款</w:t>
      </w:r>
    </w:p>
    <w:p w14:paraId="02A60D2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承包人应得的各类款项（如预付款、安全文明施工费、进度款、结算款、增加价款等）在工程达到合同约定的付款条件，承包人提出书面付款申请且监理工程师审查确认并报发包人，发包人完成审批手续后支付。</w:t>
      </w:r>
    </w:p>
    <w:p w14:paraId="0BDF3F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工程款支付方式：转账或支票支付。</w:t>
      </w:r>
    </w:p>
    <w:p w14:paraId="549D8B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其他义务</w:t>
      </w:r>
    </w:p>
    <w:p w14:paraId="5DFD39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提供完成施工所需水、电、通</w:t>
      </w:r>
      <w:r>
        <w:rPr>
          <w:rFonts w:hint="eastAsia" w:ascii="宋体" w:hAnsi="宋体" w:cs="宋体"/>
          <w:color w:val="auto"/>
          <w:sz w:val="24"/>
          <w:highlight w:val="none"/>
          <w:lang w:eastAsia="zh-CN"/>
        </w:rPr>
        <w:t>信</w:t>
      </w:r>
      <w:r>
        <w:rPr>
          <w:rFonts w:hint="eastAsia" w:ascii="宋体" w:hAnsi="宋体" w:cs="宋体"/>
          <w:color w:val="auto"/>
          <w:sz w:val="24"/>
          <w:highlight w:val="none"/>
        </w:rPr>
        <w:t>线路接驳；开通施工现场与城乡公共道路间的通道。</w:t>
      </w:r>
    </w:p>
    <w:p w14:paraId="30C5EA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 发包人权利：</w:t>
      </w:r>
    </w:p>
    <w:p w14:paraId="0322D8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发包人拥有对本工程使用之材料品质及工程质量确认审查的权利；有权根据项目规划调整或工程实际需要增加或减少部分工程，并经双方协商签订补充合同后执行。如发包人与承包人无法对本合同专用条款约定的工程变更造价、不平衡报价调整、材料样板及品牌确定、变更或新增材料价格达成一致协议，发包人保留对涉及部分的工程及材料设备进行依法招标或另行委托的权利，承包人不得拒绝或要求调整任何单价及收费，招标文件另有约定除外。发包人有权对工程进度，工程质量进行监督检查，有权根据实际情况变更设计，处理工程建设中的协调配合与管理等问题。</w:t>
      </w:r>
    </w:p>
    <w:p w14:paraId="3CB57A1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 发包人代表</w:t>
      </w:r>
    </w:p>
    <w:p w14:paraId="0C10D80C">
      <w:pPr>
        <w:adjustRightInd w:val="0"/>
        <w:snapToGrid w:val="0"/>
        <w:spacing w:line="360" w:lineRule="auto"/>
        <w:ind w:firstLine="480" w:firstLineChars="200"/>
        <w:outlineLvl w:val="1"/>
        <w:rPr>
          <w:rFonts w:ascii="宋体" w:hAnsi="宋体" w:cs="宋体"/>
          <w:color w:val="auto"/>
          <w:sz w:val="24"/>
          <w:highlight w:val="none"/>
        </w:rPr>
      </w:pPr>
      <w:bookmarkStart w:id="44" w:name="_Toc26900"/>
      <w:r>
        <w:rPr>
          <w:rFonts w:hint="eastAsia" w:ascii="宋体" w:hAnsi="宋体" w:cs="宋体"/>
          <w:color w:val="auto"/>
          <w:sz w:val="24"/>
          <w:highlight w:val="none"/>
        </w:rPr>
        <w:t>发包人代表及其权力的限制</w:t>
      </w:r>
      <w:bookmarkEnd w:id="44"/>
    </w:p>
    <w:p w14:paraId="5CD7562B">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（1）发包人任命</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为发包人代表，其通讯方式为：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传真号码：</w:t>
      </w:r>
      <w:r>
        <w:rPr>
          <w:rFonts w:hint="eastAsia" w:ascii="宋体" w:hAnsi="宋体" w:cs="宋体"/>
          <w:color w:val="auto"/>
          <w:sz w:val="24"/>
          <w:highlight w:val="none"/>
          <w:u w:val="single"/>
          <w:lang w:val="en-US" w:eastAsia="zh-CN"/>
        </w:rPr>
        <w:t xml:space="preserve">      </w:t>
      </w:r>
    </w:p>
    <w:p w14:paraId="1B9384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对发包人代表权力做如下限制：发包人代表仅在发包人授权范围内行使发包人的权力，按照发包人的规章制度履行相应职责，监督检查工程施工进度、质量及安全，对设计变更、现场签证及签证工程量的确认以及与本工程相关的所有文件、资料须由发包人盖章确认后方可生效。承包人已完全清楚了解发包人规章制度中对发包人代表的责任要求和授权限制，发包人代表超出授权范围的行为对双方均不具约束力。</w:t>
      </w:r>
    </w:p>
    <w:p w14:paraId="68476BE2">
      <w:pPr>
        <w:adjustRightInd w:val="0"/>
        <w:snapToGrid w:val="0"/>
        <w:spacing w:line="360" w:lineRule="auto"/>
        <w:ind w:firstLine="482" w:firstLineChars="200"/>
        <w:outlineLvl w:val="1"/>
        <w:rPr>
          <w:rFonts w:ascii="宋体" w:hAnsi="宋体" w:cs="宋体"/>
          <w:b/>
          <w:color w:val="auto"/>
          <w:sz w:val="24"/>
          <w:highlight w:val="none"/>
        </w:rPr>
      </w:pPr>
      <w:bookmarkStart w:id="45" w:name="_Toc9737"/>
      <w:r>
        <w:rPr>
          <w:rFonts w:hint="eastAsia" w:ascii="宋体" w:hAnsi="宋体" w:cs="宋体"/>
          <w:b/>
          <w:color w:val="auto"/>
          <w:sz w:val="24"/>
          <w:highlight w:val="none"/>
        </w:rPr>
        <w:t>3. 监理人</w:t>
      </w:r>
      <w:bookmarkEnd w:id="45"/>
    </w:p>
    <w:p w14:paraId="094EEC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 监理工程师</w:t>
      </w:r>
    </w:p>
    <w:p w14:paraId="274FEA97">
      <w:pPr>
        <w:adjustRightInd w:val="0"/>
        <w:snapToGrid w:val="0"/>
        <w:spacing w:line="360" w:lineRule="auto"/>
        <w:ind w:firstLine="480" w:firstLineChars="200"/>
        <w:outlineLvl w:val="1"/>
        <w:rPr>
          <w:rFonts w:ascii="宋体" w:hAnsi="宋体" w:cs="宋体"/>
          <w:color w:val="auto"/>
          <w:sz w:val="24"/>
          <w:highlight w:val="none"/>
        </w:rPr>
      </w:pPr>
      <w:bookmarkStart w:id="46" w:name="_Toc2308"/>
      <w:r>
        <w:rPr>
          <w:rFonts w:hint="eastAsia" w:ascii="宋体" w:hAnsi="宋体" w:cs="宋体"/>
          <w:color w:val="auto"/>
          <w:sz w:val="24"/>
          <w:highlight w:val="none"/>
        </w:rPr>
        <w:t>负责合同工程的监理人及任命的监理工程师</w:t>
      </w:r>
      <w:bookmarkEnd w:id="46"/>
    </w:p>
    <w:p w14:paraId="1814E1E8">
      <w:pPr>
        <w:numPr>
          <w:ilvl w:val="0"/>
          <w:numId w:val="6"/>
        </w:num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监理人：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lang w:val="en-US" w:eastAsia="zh-CN"/>
        </w:rPr>
        <w:t xml:space="preserve">                </w:t>
      </w:r>
    </w:p>
    <w:p w14:paraId="6F671CD5">
      <w:pPr>
        <w:adjustRightInd w:val="0"/>
        <w:snapToGrid w:val="0"/>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（2）任命</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为监理工程师，其通讯方式为：</w:t>
      </w:r>
      <w:r>
        <w:rPr>
          <w:rFonts w:hint="eastAsia" w:ascii="宋体" w:hAnsi="宋体" w:cs="宋体"/>
          <w:color w:val="auto"/>
          <w:sz w:val="24"/>
          <w:highlight w:val="none"/>
          <w:u w:val="single"/>
          <w:lang w:val="en-US" w:eastAsia="zh-CN"/>
        </w:rPr>
        <w:t xml:space="preserve">                </w:t>
      </w:r>
      <w:bookmarkStart w:id="47" w:name="_Toc32048"/>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传真号码：</w:t>
      </w:r>
      <w:r>
        <w:rPr>
          <w:rFonts w:hint="eastAsia" w:ascii="宋体" w:hAnsi="宋体" w:cs="宋体"/>
          <w:color w:val="auto"/>
          <w:sz w:val="24"/>
          <w:highlight w:val="none"/>
          <w:u w:val="single"/>
          <w:lang w:val="en-US" w:eastAsia="zh-CN"/>
        </w:rPr>
        <w:t xml:space="preserve">        </w:t>
      </w:r>
    </w:p>
    <w:p w14:paraId="3C1D1B26">
      <w:pPr>
        <w:adjustRightInd w:val="0"/>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4. 承包人</w:t>
      </w:r>
      <w:bookmarkEnd w:id="47"/>
    </w:p>
    <w:p w14:paraId="0F531E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承包人的一般义务</w:t>
      </w:r>
    </w:p>
    <w:p w14:paraId="3F61A0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14:paraId="7DA7E9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4.1.6.1做好施工场地地下管线和邻近建筑物、构筑物（包括文物保护建筑）、古树名木保护工作的约定：</w:t>
      </w:r>
    </w:p>
    <w:p w14:paraId="2023271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施工场地及周围的地下管线、建筑物、构筑物（含文物保护建筑）、古树名木之状况进行勘察。根据勘察结果确定具体的保护措施并承担有关费用。若发现正常施工措施现有条件已不能达到保护目的，承包人应及时报告，经总监理工程师及发包人批准采取措施保护处理的，发包人承担不包含在招标内容中的额外保护费用。承包人应对上述保护措施进行监测，并应根据监测结果及时反馈信息指导施工，以确保上述受保护物件及作业人员、居民的安全。非因发包人原因，受保护物件发生损坏的，由承包人承担责任并负责赔偿。</w:t>
      </w:r>
    </w:p>
    <w:p w14:paraId="2B41912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4.1.6.2 保证施工场地的清洁和做好交工前施工现场清理工作的约定：承包人须按发包人批准的施工组织设计进行施工现场布置、放置材料机械及其它设施，及时将施工垃圾、余泥运出场外，要求达到广州市文明施工样板工地标准，保证施工场地清洁符合环境卫生管理的有关规定。工程移交前5天内，承包人应对施工场地清理完毕。</w:t>
      </w:r>
    </w:p>
    <w:p w14:paraId="444D34B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14:paraId="5C152E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工程施工时，如与现场其它工程施工发生交叉，承包人必须服从发包人的安排，配合施工，并采用合理的施工方案和采取必要的措施，保护已施工的工程不受损坏，所需的措施费包含在中标价中。如因承包人原因造成其它已施工的工程损坏，修复或重新施工所需的费用由承包人承担。</w:t>
      </w:r>
    </w:p>
    <w:p w14:paraId="7BE4BA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14:paraId="485C20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4.1.10.1 施工用水、电管理要求：施工现场内要求单独安装施工用水、电表，水、电表总表与分表差额按各分表用量进行分摊，由承包人承担。承包人必须按水、电表实际用量乘施工用水电价（含水或电损耗及税金），每月15日前缴回水、电费给管理单位，否则由此造成的工期延误及连带责任由承包人负责。</w:t>
      </w:r>
    </w:p>
    <w:p w14:paraId="0A7492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4.1.10.2 办理施工场地交通、环境保护、施工噪声、安全文明施工等手续的时间：严格遵守国家、省、市有关规定，负责办理施工有关手续（包括有关施工场地交通、环境保护、施工噪音、安全防护、文明施工、消防、爆破管理等），并在开工后2个月内以书面形式报备发包人。建立相应的规章制度和防护措施，并承担造成事故的责任和发生的费用。保证发包人免受因此造成的损失。如因此给发包人造成损失的，承包人按发包人的实际增加的合理费用给予赔偿。造成竣工日期延误，由承包人负责。</w:t>
      </w:r>
    </w:p>
    <w:p w14:paraId="1FF1AF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4.1.10.3 按合同有关规定，并符合市财政部门有关规定提交竣工验收申请报告和竣工结算文件。</w:t>
      </w:r>
    </w:p>
    <w:p w14:paraId="3E6147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4.1.10.4 承包人应做的其他工作及要求：</w:t>
      </w:r>
    </w:p>
    <w:p w14:paraId="66C53E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（1）承包人应对施工图、技术资料认真地复核和检查，并应提出实质性地节约资金和缩短工期的建议和措施。</w:t>
      </w:r>
    </w:p>
    <w:p w14:paraId="6B3FAB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（2）合同所述的计划、报表的具体格式，先由承包人提出格式建议，经监理人和发包人调整后按统一格式执行。</w:t>
      </w:r>
    </w:p>
    <w:p w14:paraId="3B08B96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承包人进场后，负责本施工场地安全和文明施工管理，根据工程需要提供和维修（白天或夜间施工使用的）照明、围栏设施，承担一切安全保卫义务；按照《关于完善广州市建设工程施工围蔽管理提升实施技术要求和标准图集的通知》（穗建质〔2016〕1085号）文件的要求对施工现场采取必要的围蔽设施，保持施工现场的文明、有序，同时与周边环境进行必要的隔离，保证施工人员以及过往行人、车辆的安全，其为履行此项义务而需要的各项材料、设备和临时设施，其费用已包含在中标价格中；依照《建筑施工安全检查标准》（JGJ59-2011）、《广东省建设厅建筑工程安全防护、文明施工措施费用管理办法》粤建管[2007]39号、《广州市建设工程现场文明施工管理办法》〔穗建质（2008）937号〕的有关规定进行施工，费用已包含在合同价款中。若承包人未履行上述义务，发包人有权另行委托第三方进行上述设施的施工，其费用由承包人负责，造成工程、财产、人身损害等，由承包人承担责任及因此所发生的一切费用。</w:t>
      </w:r>
    </w:p>
    <w:p w14:paraId="7FD06B7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（4）工程施工过程需占用部分道路时，征得发包人同意后承包人派出人员对道路的交通进行维护疏导，所发生的费用由承包人负责。</w:t>
      </w:r>
    </w:p>
    <w:p w14:paraId="49EC12F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干扰与协调：承包人应当清楚地预计到施工对外界可能产生的干扰，主动与外界进行协调，努力减少这些干扰对外界的影响。除必须发包人出面的情况外，承包人应负责处理和协调施工期间来自外界的各种干扰，充分运用自己对各方面的影响力，尽可能地将外界对工程的干扰减少到最低程度，但这种协调并不免除承包人按合同约定的各项责任与义务。</w:t>
      </w:r>
    </w:p>
    <w:p w14:paraId="04212E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（6）根据工程需要，承包人应采用计算机信息管理技术建立相应的信息技术网络，以便与发包人、各有关单位及各专业分包单位进行数据交换，提高工作效率。</w:t>
      </w:r>
    </w:p>
    <w:p w14:paraId="1FFE0A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应按广州市城乡建设委员会的规定办理平安卡，应承担施工过程中承包人或其分包人所雇用的工人出现的伤亡事故或损失和对外的人身、财产损害赔偿责任；并对分包单位原因造成的工人意外事故或伤害承担连带责任。</w:t>
      </w:r>
    </w:p>
    <w:p w14:paraId="692410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工程施工时，如与现场其它工程施工发生交叉，承包人必须服从发包人的安排，配合施工并采用合理的施工方案和采取必要的措施，保护已施工的工程不受损坏，所需的措施费包含在中标价中。如因承包人原因造成其它已施工的工程损坏，修复或重新施工所需的费用由承包人承担。</w:t>
      </w:r>
    </w:p>
    <w:p w14:paraId="70C85D1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（9）承包人不服从发包人或发包人指定的施工协调管理单位协调，或配合不及时，造成工程进度延误或其他损失，由承包人承担由本单位原因造成的相关经济责任，并每次向发包人支付违约金人民币5万元。</w:t>
      </w:r>
    </w:p>
    <w:p w14:paraId="4657EA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（10）承包人需严格按照发包人工程款支付管理工作指引申请用款。承包人必须接受发包人对拨付资金的定期监督检查工作，按发包人要求公开资金的用途及去向。</w:t>
      </w:r>
    </w:p>
    <w:p w14:paraId="2BC5C5A2">
      <w:pPr>
        <w:adjustRightInd w:val="0"/>
        <w:snapToGrid w:val="0"/>
        <w:spacing w:line="360" w:lineRule="auto"/>
        <w:ind w:firstLine="480" w:firstLineChars="200"/>
        <w:rPr>
          <w:color w:val="auto"/>
          <w:highlight w:val="none"/>
        </w:rPr>
      </w:pPr>
      <w:r>
        <w:rPr>
          <w:rFonts w:hint="eastAsia" w:ascii="宋体" w:hAnsi="宋体" w:cs="宋体"/>
          <w:color w:val="auto"/>
          <w:sz w:val="24"/>
          <w:highlight w:val="none"/>
        </w:rPr>
        <w:t>（11）承包人必须在本工程验收通过后40个日历天内，按广州市建设工程档案的要求提交完整的工程档案资料一式四套，经监理人审查确认合格后，移交给发包人或发包人指定的单位。承包人未按时提交工程档案资料，每逾期一天须支付违约金500元。</w:t>
      </w:r>
    </w:p>
    <w:p w14:paraId="1E44C5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履约担保</w:t>
      </w:r>
    </w:p>
    <w:p w14:paraId="003458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4.2.1履约担保的期限和退还：</w:t>
      </w:r>
    </w:p>
    <w:p w14:paraId="0567E6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4.2.1.1履约担保的期限：从承包人向发包人提供履约担保之日起，至合同工程验收合格、承包人向发包人提交完整的结算资料后30天止。若承包人提供的履约保函在上述期限内到期，承包人应在履约保函到期之前将其续期，否则发包人有权停止支付工程款并要求承包人支付与履约保函同等金额的违约金，由此造成的工程延误和损失由承包人承担。</w:t>
      </w:r>
    </w:p>
    <w:p w14:paraId="41E919A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4.2.1.2履约担保的退还：承包人向发包人提供的履约保函，发包人在合同工程验收合格（取得验收合格文件）、工程已移交给发包人，且承包人向发包人提交完整的结算资料后30天内退还给承包人。</w:t>
      </w:r>
    </w:p>
    <w:p w14:paraId="288812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4.2.3承包人提供履约担保的约定</w:t>
      </w:r>
    </w:p>
    <w:p w14:paraId="0A6136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4.2.3.1履约担保的金额：承包人向发包人提供履约担保金额为中标合同总价（含暂列金额）的10%，即：（大写）</w:t>
      </w:r>
      <w:r>
        <w:rPr>
          <w:rFonts w:hint="eastAsia" w:ascii="宋体" w:hAnsi="宋体" w:cs="宋体"/>
          <w:bCs/>
          <w:color w:val="auto"/>
          <w:sz w:val="24"/>
          <w:highlight w:val="none"/>
          <w:u w:val="none"/>
        </w:rPr>
        <w:t>人民币</w:t>
      </w:r>
      <w:r>
        <w:rPr>
          <w:rFonts w:hint="eastAsia" w:ascii="宋体" w:hAnsi="宋体" w:cs="宋体"/>
          <w:bCs/>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），履约担保形式为：国内商业银行不可撤销的无条件履约保函。</w:t>
      </w:r>
    </w:p>
    <w:p w14:paraId="68FAA5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4.2.3.2提供履约担保的时间：承包人须在合同签订后15天内向发包人提交履约担保。</w:t>
      </w:r>
    </w:p>
    <w:p w14:paraId="49C309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4.2.3.3出具履约保函的担保人：发包人接受的国内商业银行。</w:t>
      </w:r>
    </w:p>
    <w:p w14:paraId="06A9D1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 分包和不得转包</w:t>
      </w:r>
    </w:p>
    <w:p w14:paraId="513141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 相关违约责任</w:t>
      </w:r>
    </w:p>
    <w:p w14:paraId="6215B0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4.3.5.1发包人有权拒绝不具备实施分包工程能力、影响工程施工分包人进场，若由此造成工期延误的，责任由承包人承担。</w:t>
      </w:r>
    </w:p>
    <w:p w14:paraId="6355792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4.3.5.2承包人在本项目中出现转包、非法分包行为或转让、出借企业资质证书或者以其他方式允许他人以本企业名义承揽本工程的，按照建设部第124号令《房屋建筑和市政基础设施工程施工分包管理办法》、《中华人民共和国建筑法》、《中华人民共和国招标投标法》和《建设工程质量管理条例》的规定处理，并且承包人应按转包、非法分包工程造价的10%向发包人支付违约金，发包人有权解除全部合同，因此造成工期延误和发包人损失的，承包人应赔偿发包人的全部实际损失。</w:t>
      </w:r>
    </w:p>
    <w:p w14:paraId="0D8ACC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4.4联合体组成成员各方关系以及设计施工一体化管理要求</w:t>
      </w:r>
    </w:p>
    <w:p w14:paraId="19F92E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4.4.1.承包人和组成联合体，其中（施工承包人）为联合体主办方，（设计承包人）为联合体成员。</w:t>
      </w:r>
    </w:p>
    <w:p w14:paraId="0E7AA4F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4.4.2.联合体主办方负责设计、施工总协调工作。</w:t>
      </w:r>
    </w:p>
    <w:p w14:paraId="653A24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4.4.3.联合体主办方（施工承包人）应协调设计承包人按本合同规定的时间、内容及数量向发包人提供本工程的、已通过主管部门审批的施工图纸。</w:t>
      </w:r>
    </w:p>
    <w:p w14:paraId="3EE21F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4.4.4.联合体主办方负责工程所有档案资料的整理归档及竣工结算编制工作。</w:t>
      </w:r>
    </w:p>
    <w:p w14:paraId="046FF0AD">
      <w:pPr>
        <w:pStyle w:val="2"/>
        <w:adjustRightInd w:val="0"/>
        <w:snapToGrid w:val="0"/>
        <w:spacing w:line="360" w:lineRule="auto"/>
        <w:ind w:firstLine="480" w:firstLineChars="200"/>
        <w:outlineLvl w:val="9"/>
        <w:rPr>
          <w:rFonts w:hint="eastAsia" w:ascii="宋体" w:hAnsi="宋体" w:eastAsia="宋体" w:cs="宋体"/>
          <w:color w:val="auto"/>
          <w:spacing w:val="0"/>
          <w:kern w:val="2"/>
          <w:sz w:val="24"/>
          <w:szCs w:val="24"/>
          <w:highlight w:val="none"/>
        </w:rPr>
      </w:pPr>
      <w:r>
        <w:rPr>
          <w:rFonts w:hint="eastAsia" w:ascii="宋体" w:hAnsi="宋体" w:cs="宋体"/>
          <w:color w:val="auto"/>
          <w:sz w:val="24"/>
          <w:szCs w:val="24"/>
          <w:highlight w:val="none"/>
          <w:lang w:val="en-US" w:eastAsia="zh-CN"/>
        </w:rPr>
        <w:t>4.4.5</w:t>
      </w:r>
      <w:r>
        <w:rPr>
          <w:rFonts w:hint="eastAsia" w:ascii="宋体" w:hAnsi="宋体" w:eastAsia="宋体" w:cs="宋体"/>
          <w:color w:val="auto"/>
          <w:spacing w:val="0"/>
          <w:kern w:val="2"/>
          <w:sz w:val="24"/>
          <w:szCs w:val="24"/>
          <w:highlight w:val="none"/>
        </w:rPr>
        <w:t>联合体各成员单位应收的款项，统一由联合体牵头单位（主办方）负责向发包人提交请款资料；请款资料经监理人及发包人审核后，发包人在约定时间内向建研中心提交申请，申请通过后由收款单位向广州市住房城乡建设行业监测与研究中心开具收款发票，广州市住房城乡建设行业监测与研究中心根据发票将款项分别支付至联合体各成员单位账户。</w:t>
      </w:r>
    </w:p>
    <w:p w14:paraId="283C08E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 承包人项目经理</w:t>
      </w:r>
    </w:p>
    <w:p w14:paraId="3854EBED">
      <w:pPr>
        <w:adjustRightInd w:val="0"/>
        <w:snapToGrid w:val="0"/>
        <w:spacing w:line="360" w:lineRule="auto"/>
        <w:ind w:firstLine="480" w:firstLineChars="200"/>
        <w:rPr>
          <w:rFonts w:hint="default" w:ascii="宋体" w:hAnsi="宋体" w:cs="宋体"/>
          <w:color w:val="auto"/>
          <w:sz w:val="24"/>
          <w:highlight w:val="none"/>
          <w:u w:val="single"/>
        </w:rPr>
      </w:pPr>
      <w:r>
        <w:rPr>
          <w:rFonts w:hint="eastAsia" w:ascii="宋体" w:hAnsi="宋体" w:cs="宋体"/>
          <w:color w:val="auto"/>
          <w:sz w:val="24"/>
          <w:highlight w:val="none"/>
        </w:rPr>
        <w:t>4.5.5 承包人任命</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为承包人项目经理，其通讯方式为：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通讯地址：</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6D3CDB39">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传真号码：</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7803E9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 承包人人员的管理</w:t>
      </w:r>
    </w:p>
    <w:p w14:paraId="2EE926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4.6.5 承包人必须保证所有项目管理人员全职现场办公，不得兼职或擅自离场。如因特殊情况须短暂离开的，必须妥善安排工地现场的工作交接，指定可以接替工作并能承担责任的临时负责人，并按以下规定执行：离场1天内，须将工作交接情况报告现场监理工程师；离场2至3天，须将工作交接情况报告总监理工程师；离场3天以上，须将工作交接情况报告发包人。每月每人累计离场天数不得超过4天，否则应向发包人支付违约金人民币3000元/人次。承包人擅自更换项目经理或主要施工管理人员，除必须限期纠正外，每人次向发包人支付违约金人民币10万元。</w:t>
      </w:r>
    </w:p>
    <w:p w14:paraId="61AFD3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 保障承包人人员的合法权益</w:t>
      </w:r>
    </w:p>
    <w:p w14:paraId="11A82E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4.8.7 承包人因拖欠工人工资或材料设备供应商材料款而被反映到发包人处，需发包人出面协调，经发包人调查了解属实且确定为承包人责任的，每发生1次，承包人须承担一般违约责任1次；因上述的拖欠，造成较大社会影响，或确属承包人责任且经发包人出面协调3次以上承包人仍拒不执行的，承包人应承担严重违约责任一次，同时发包人还有权将其拖欠的金额从应付工程款中直接支付给被拖欠方。承包人拖欠其雇员工资而造成群体性示威、游行等一切责任，由承包人承担；对发包人造成损失或导致工期延误的，应赔偿发包人的损失，工期不予顺延并承担严重违约责任一次。</w:t>
      </w:r>
    </w:p>
    <w:p w14:paraId="35075C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进度计划</w:t>
      </w:r>
    </w:p>
    <w:p w14:paraId="6BA395F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4.12.1 合同进度计划</w:t>
      </w:r>
    </w:p>
    <w:p w14:paraId="7D2B226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签订后5天内，承包人应将设计成果及本工程的施工组织方案同步提交报发包人审核，并同步编制开工报告和材料、设备进场计划报送发包人及监理人审批。设计成果经发包人确认或组织图纸会审过程中，承包人应同步进行材料、设备进场，确保开工报告经批准即按发包人、监理人批准的计划组织施工。</w:t>
      </w:r>
    </w:p>
    <w:p w14:paraId="4CB307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（2）因发包人原因设计工作延期的，设计工作时间顺延，发包人不予其它补偿且不承担其它违约责任。</w:t>
      </w:r>
    </w:p>
    <w:p w14:paraId="496D0F3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（3）承包人须配合小区其他工程实际进度施工，配合项目整体竣工验收。</w:t>
      </w:r>
    </w:p>
    <w:p w14:paraId="6CBCF9D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（4）因发包人原因导致工程延期的，施工工期顺延，发包人不予其它补偿且不承担其它违约责任。</w:t>
      </w:r>
    </w:p>
    <w:p w14:paraId="036500F2">
      <w:pPr>
        <w:adjustRightInd w:val="0"/>
        <w:snapToGrid w:val="0"/>
        <w:spacing w:line="360" w:lineRule="auto"/>
        <w:ind w:firstLine="482" w:firstLineChars="200"/>
        <w:outlineLvl w:val="1"/>
        <w:rPr>
          <w:rFonts w:ascii="宋体" w:hAnsi="宋体" w:cs="宋体"/>
          <w:b/>
          <w:color w:val="auto"/>
          <w:sz w:val="24"/>
          <w:highlight w:val="none"/>
        </w:rPr>
      </w:pPr>
      <w:bookmarkStart w:id="48" w:name="_Toc18752"/>
      <w:r>
        <w:rPr>
          <w:rFonts w:hint="eastAsia" w:ascii="宋体" w:hAnsi="宋体" w:cs="宋体"/>
          <w:b/>
          <w:color w:val="auto"/>
          <w:sz w:val="24"/>
          <w:highlight w:val="none"/>
        </w:rPr>
        <w:t>5. 设计</w:t>
      </w:r>
      <w:bookmarkEnd w:id="48"/>
    </w:p>
    <w:p w14:paraId="10C486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 承包人的设计义务</w:t>
      </w:r>
    </w:p>
    <w:p w14:paraId="227B6F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5.1.1 设计义务的一般要求</w:t>
      </w:r>
    </w:p>
    <w:p w14:paraId="77D613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国家规定和合同约定的技术规范、标准进行设计，确保设计图纸符合现行规范的要求。按本合同规定的内容、时间及份数向发包人交付设计文件（出现有关规定交付设计文件顺延的情况除外），并对提交的设计文件的质量负责。</w:t>
      </w:r>
    </w:p>
    <w:p w14:paraId="7BE4AA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5.1.3 设计合理使用年限为现行国家有关规定、规范规定的年限。</w:t>
      </w:r>
    </w:p>
    <w:p w14:paraId="449D24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5.1.4 承包人应负责对发包人提供的设计资料进行审查，并及时告知发包人是否满足设计要求，负责该合同项目的设计联络工作。</w:t>
      </w:r>
    </w:p>
    <w:p w14:paraId="528F23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5.1.5 承包人应对设计文件出现的遗漏或错误负责修改或补充。由于承包人设计错误造成工程质量事故损失，承包人除负责采取补救措施外，应免收受损失部分的设计费，并根据损失程度向发包人支付赔偿金，损失程度及造价由监理人或经具有相应资质的第三方评估机构评估为准。 </w:t>
      </w:r>
    </w:p>
    <w:p w14:paraId="002BDC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5.1.6 承包人保证对其提交的设计图纸等工作成果享有完整的知识产权。承包人违反本条约定造成发包人损失的，发包人有权向承包人追偿。</w:t>
      </w:r>
    </w:p>
    <w:p w14:paraId="0EB11FBF">
      <w:pPr>
        <w:adjustRightInd w:val="0"/>
        <w:snapToGrid w:val="0"/>
        <w:spacing w:line="360" w:lineRule="auto"/>
        <w:ind w:firstLine="482" w:firstLineChars="200"/>
        <w:outlineLvl w:val="1"/>
        <w:rPr>
          <w:rFonts w:ascii="宋体" w:hAnsi="宋体" w:cs="宋体"/>
          <w:b/>
          <w:color w:val="auto"/>
          <w:sz w:val="24"/>
          <w:highlight w:val="none"/>
        </w:rPr>
      </w:pPr>
      <w:bookmarkStart w:id="49" w:name="_Toc11146"/>
      <w:r>
        <w:rPr>
          <w:rFonts w:hint="eastAsia" w:ascii="宋体" w:hAnsi="宋体" w:cs="宋体"/>
          <w:b/>
          <w:color w:val="auto"/>
          <w:sz w:val="24"/>
          <w:highlight w:val="none"/>
        </w:rPr>
        <w:t>6. 材料和工程设备</w:t>
      </w:r>
      <w:bookmarkEnd w:id="49"/>
    </w:p>
    <w:p w14:paraId="6057FA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承包人提供的材料和工程设备</w:t>
      </w:r>
    </w:p>
    <w:p w14:paraId="6F3BFF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6.1.4承包人供货要求：本工程使用的设备、主要材料，必须符合设计及相关规范要求。</w:t>
      </w:r>
    </w:p>
    <w:p w14:paraId="4C72518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订货前，承包人应提供与发包人预算审核时确定的品牌、品质一致的材料、设备的合格证书及试验报告及材料样板，经发包人及工程监理人确认后使用，承包人承诺在同等条件下优先选用预拌混凝土绿色生产达标企业生产的混凝土。本项目主要材料设备品牌执行附件</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《主要材料设备品牌推荐表（参照或相当于）》。</w:t>
      </w:r>
    </w:p>
    <w:p w14:paraId="4E2ED8E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承包人拒不提交上述材料、设备的合格证书及试验报告及材料样板，或提交的样板仍不能通过工程监理人及发包人确认，发包人有权自行采购相关材料设备，所需款项在工程款中扣除，承包人不得要求任何费用调整。由此造成的工期延误、费用增加等一切损失均由承包人承担。</w:t>
      </w:r>
    </w:p>
    <w:p w14:paraId="00913F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（3）发包人对经确认的材料样板进行封板，如发生实际施工材料与封板材料不符，发包人有权拒用，并由承包人承担损失。</w:t>
      </w:r>
    </w:p>
    <w:p w14:paraId="11408BD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（4）承包人采购选用的所有材料设备必须符合相关规定，确保不因此影响工程验收。</w:t>
      </w:r>
    </w:p>
    <w:p w14:paraId="3E5BF9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6.1.5 相关违约责任</w:t>
      </w:r>
    </w:p>
    <w:p w14:paraId="2E92E0D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未按本合同规定的程序申报拟选用的材料设备，未经监理工程师和发包人批准擅自组织材料进场，或未经监理工程师和发包人批准擅自使用推荐品牌库以外的材料，承包人应就每批次擅自组织进场或使用的材料设备承担严重违约责任一次，且发包人有权拒绝使用该批次材料设备，由此造成的一切损失由承包人承担。</w:t>
      </w:r>
    </w:p>
    <w:p w14:paraId="32D7B6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发包人提供的材料和工程设备（A）</w:t>
      </w:r>
    </w:p>
    <w:p w14:paraId="1CFA18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2D9AE8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发包人提供的材料和工程设备（B）</w:t>
      </w:r>
    </w:p>
    <w:p w14:paraId="73DE8E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6.2.1发包人保留对本工程主要材料采用甲招乙供（发包人另行招标，承包人按发包人招标确定的品牌、样板采购供应）的方式供应材料，结算材料价格按发包人另行招标确定的价格计算，承包人不得要求增加任何采购、管理、仓储、搬运等费用。</w:t>
      </w:r>
    </w:p>
    <w:p w14:paraId="4A8F62DE">
      <w:pPr>
        <w:adjustRightInd w:val="0"/>
        <w:snapToGrid w:val="0"/>
        <w:spacing w:line="360" w:lineRule="auto"/>
        <w:ind w:firstLine="482" w:firstLineChars="200"/>
        <w:outlineLvl w:val="1"/>
        <w:rPr>
          <w:rFonts w:ascii="宋体" w:hAnsi="宋体" w:cs="宋体"/>
          <w:b/>
          <w:color w:val="auto"/>
          <w:sz w:val="24"/>
          <w:highlight w:val="none"/>
        </w:rPr>
      </w:pPr>
      <w:bookmarkStart w:id="50" w:name="_Toc12464"/>
      <w:r>
        <w:rPr>
          <w:rFonts w:hint="eastAsia" w:ascii="宋体" w:hAnsi="宋体" w:cs="宋体"/>
          <w:b/>
          <w:color w:val="auto"/>
          <w:sz w:val="24"/>
          <w:highlight w:val="none"/>
        </w:rPr>
        <w:t>7.  施工设备和临时设施</w:t>
      </w:r>
      <w:bookmarkEnd w:id="50"/>
    </w:p>
    <w:p w14:paraId="706EEF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 承包人提供的施工设备和临时设施</w:t>
      </w:r>
    </w:p>
    <w:p w14:paraId="4DD48BB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 承包人应按合同工程进度计划的要求，及时配置施工设备和修建临时设施并自行承担修建临时设施的费用。如红线范围内临时用地不能满足施工需要，发包人可协调红线外场地给承包人使用，因此所增加的费用（包括但不限于红线外的场地租赁费、使用费、红线内外临时设施搭拆、迁移、恢复费用以及所占用红线范围外场地设施、地下管网的保护和修复等费用），均包含在中标合同价中的合价包干措施项目费中。如发包人未能协调，则由承包人自行解决，费用均包含在中标合同价中合价包干的措施项目费中。</w:t>
      </w:r>
    </w:p>
    <w:p w14:paraId="390F18B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发包人提供的施工设备和临时设施（A）</w:t>
      </w:r>
    </w:p>
    <w:p w14:paraId="6FE90E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7670249D">
      <w:pPr>
        <w:adjustRightInd w:val="0"/>
        <w:snapToGrid w:val="0"/>
        <w:spacing w:line="360" w:lineRule="auto"/>
        <w:ind w:firstLine="482" w:firstLineChars="200"/>
        <w:outlineLvl w:val="1"/>
        <w:rPr>
          <w:rFonts w:ascii="宋体" w:hAnsi="宋体" w:cs="宋体"/>
          <w:b/>
          <w:color w:val="auto"/>
          <w:sz w:val="24"/>
          <w:highlight w:val="none"/>
        </w:rPr>
      </w:pPr>
      <w:bookmarkStart w:id="51" w:name="_Toc24286"/>
      <w:r>
        <w:rPr>
          <w:rFonts w:hint="eastAsia" w:ascii="宋体" w:hAnsi="宋体" w:cs="宋体"/>
          <w:b/>
          <w:color w:val="auto"/>
          <w:sz w:val="24"/>
          <w:highlight w:val="none"/>
        </w:rPr>
        <w:t>8.  交通运输</w:t>
      </w:r>
      <w:bookmarkEnd w:id="51"/>
    </w:p>
    <w:p w14:paraId="401128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8.1 道路通行权和场外设施（A） </w:t>
      </w:r>
    </w:p>
    <w:p w14:paraId="2FB6DA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3754A1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道路通行权和场外设施（B）</w:t>
      </w:r>
    </w:p>
    <w:p w14:paraId="7CEDE3F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委托承包人办理本合同签订时尚未完成的出入施工场地的专用和临时道路的通行权，以及为实施合同工程所需修建场外设施的权利的手续，发包人予以协助。除政府部门规定须由发包人支付的费用由发包人据实支付外，其它费用已包含在承包人的投标报价中。</w:t>
      </w:r>
    </w:p>
    <w:p w14:paraId="5CDBC258">
      <w:pPr>
        <w:adjustRightInd w:val="0"/>
        <w:snapToGrid w:val="0"/>
        <w:spacing w:line="360" w:lineRule="auto"/>
        <w:ind w:firstLine="482" w:firstLineChars="200"/>
        <w:outlineLvl w:val="1"/>
        <w:rPr>
          <w:rFonts w:ascii="宋体" w:hAnsi="宋体" w:cs="宋体"/>
          <w:b/>
          <w:color w:val="auto"/>
          <w:sz w:val="24"/>
          <w:highlight w:val="none"/>
        </w:rPr>
      </w:pPr>
      <w:bookmarkStart w:id="52" w:name="_Toc5726"/>
      <w:r>
        <w:rPr>
          <w:rFonts w:hint="eastAsia" w:ascii="宋体" w:hAnsi="宋体" w:cs="宋体"/>
          <w:b/>
          <w:color w:val="auto"/>
          <w:sz w:val="24"/>
          <w:highlight w:val="none"/>
        </w:rPr>
        <w:t>9.  测量放线</w:t>
      </w:r>
      <w:bookmarkEnd w:id="52"/>
    </w:p>
    <w:p w14:paraId="561E37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 施工控制网</w:t>
      </w:r>
    </w:p>
    <w:p w14:paraId="6E3F91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9.1.3承包人提交施工控制网资料的时间：开工之前，承包人应该核实图纸所示的所有尺寸和地面标高。当实际尺寸或标高与图纸所示出现任何不一致时，应立即提交给发包人澄清。发包人对任何此类不一致的澄清指令视为最终的决定。</w:t>
      </w:r>
    </w:p>
    <w:p w14:paraId="5501E1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9.5 测量放线误差</w:t>
      </w:r>
    </w:p>
    <w:p w14:paraId="21BC1A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测量放线误差的约定：按国家、行业和广东省现行标准执行。</w:t>
      </w:r>
    </w:p>
    <w:p w14:paraId="6A11AB20">
      <w:pPr>
        <w:adjustRightInd w:val="0"/>
        <w:snapToGrid w:val="0"/>
        <w:spacing w:line="360" w:lineRule="auto"/>
        <w:ind w:firstLine="482" w:firstLineChars="200"/>
        <w:outlineLvl w:val="1"/>
        <w:rPr>
          <w:rFonts w:ascii="宋体" w:hAnsi="宋体" w:cs="宋体"/>
          <w:b/>
          <w:color w:val="auto"/>
          <w:sz w:val="24"/>
          <w:highlight w:val="none"/>
        </w:rPr>
      </w:pPr>
      <w:bookmarkStart w:id="53" w:name="_Toc30960"/>
      <w:r>
        <w:rPr>
          <w:rFonts w:hint="eastAsia" w:ascii="宋体" w:hAnsi="宋体" w:cs="宋体"/>
          <w:b/>
          <w:color w:val="auto"/>
          <w:sz w:val="24"/>
          <w:highlight w:val="none"/>
        </w:rPr>
        <w:t>10. 安全、治安保卫和环境保护</w:t>
      </w:r>
      <w:bookmarkEnd w:id="53"/>
    </w:p>
    <w:p w14:paraId="501539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承包人的安全责任</w:t>
      </w:r>
    </w:p>
    <w:p w14:paraId="28770E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10.2.10 补充条款：安全事故</w:t>
      </w:r>
    </w:p>
    <w:p w14:paraId="28F35C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违约赔偿：非因发包人的原因造成安全事故，承包人必须承担全部的民事赔偿责任。如因此被行政主管部门通报批评或被新闻媒体曝光造成不良影响，除按国家及行业规定由上级主管部门实施处罚外，承包人应根据政府主管部门认定的事故等级，承担相应的违约赔偿责任。</w:t>
      </w:r>
    </w:p>
    <w:p w14:paraId="59309B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具体规定为：</w:t>
      </w:r>
    </w:p>
    <w:p w14:paraId="1F4A7F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①发生特别重大事故，承包人除赔偿因此而给发包人造成的全部损失外，还应按合同总价4%向发包人支付违约金，违约金数额不得低于40万元；</w:t>
      </w:r>
    </w:p>
    <w:p w14:paraId="185B64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②发生重大事故，承包人除赔偿因此而给发包人造成的全部损失外，还应按合同总价3%向发包人支付违约金，违约金数额不得低于20万元；</w:t>
      </w:r>
    </w:p>
    <w:p w14:paraId="0F5FBB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③发生较大事故，承包人除赔偿因此而给发包人造成的全部损失外，还应按合同总价2%向发包人支付违约金，违约金数额不得低于10万元；</w:t>
      </w:r>
    </w:p>
    <w:p w14:paraId="71B515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④发生一般事故，承包人除赔偿因此而给发包人造成的全部损失外，还应按合同总价1%向发包人支付违约金，违约金数额不得低于5万元。</w:t>
      </w:r>
    </w:p>
    <w:p w14:paraId="7D56B6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（2）发生上述重大事故，视情况严重程度，发包人有权按合同专用条款规定部分或全部解除合同。</w:t>
      </w:r>
    </w:p>
    <w:p w14:paraId="0F0F20F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10.2.11补充条款：安全检查</w:t>
      </w:r>
    </w:p>
    <w:p w14:paraId="2619A5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（1）在政府行政主管部门组织的安全检查中，承包人被发现存在严重安全隐患并被通报批评；或存在安全隐患被新闻媒体曝光的，承包人必须承担一般违约责任1次。</w:t>
      </w:r>
    </w:p>
    <w:p w14:paraId="431B9E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在发包人、监理人进行的日常质量安全检查中，被发现存在安全隐患的，承包人应限期改正。若同样问题被发现2次或累计类似问题被发现3次，承包人必须支付违约金人民币10000元；此类问题的认定，以发包人确认的总监理工程师书面通知、指令、发包人督查记录及工程通报和会议纪要为准。</w:t>
      </w:r>
    </w:p>
    <w:p w14:paraId="33061C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10.2.12 补充条款：文明施工措施</w:t>
      </w:r>
    </w:p>
    <w:p w14:paraId="4D195F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及发包人将对承包人文明施工措施进行对照检查，若经检查发现承包人因自身原因未能按计划落实，承包人必须及时纠正，如仍不能及时纠正，承包人每次支付违约金人民币1000元，以此类推直至纠正。若承包人违反文明施工规定，危害到工地作业人员和周围居民的身体健康、人身安全或导致消防等安全隐患，承包人除必须立即整改外，还必须承担一般违约责任1次；被连续发现3次以上，承包人必须承担严重违约责任1次。</w:t>
      </w:r>
    </w:p>
    <w:p w14:paraId="182F8C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（2）在政府行政主管部门组织的文明施工检查中，承包人被发现存在严重问题，被通报批评，或存在严重问题被新闻媒体曝光的，承包人每次支付违约金人民币100000元。</w:t>
      </w:r>
    </w:p>
    <w:p w14:paraId="4968D5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在施工过程中应自觉保持施工场地周围环境卫生。承包人在施工过程中因其自身原因违反文明施工有关规定被投诉的，承包人应立即整改，还应支付违约金人民币1000元/次。如故意拖延或同样问题被连续投诉两次，承包人在原每次违约金基础上再支付违约金人民币5000元。</w:t>
      </w:r>
    </w:p>
    <w:p w14:paraId="3D59F95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（4）安全文明施工要求：按协议书第4.3条约定。</w:t>
      </w:r>
    </w:p>
    <w:p w14:paraId="5ABDC8CF">
      <w:pPr>
        <w:pStyle w:val="2"/>
        <w:spacing w:line="360" w:lineRule="auto"/>
        <w:ind w:firstLine="480"/>
        <w:rPr>
          <w:rFonts w:hint="eastAsia" w:ascii="宋体" w:hAnsi="宋体" w:cs="宋体"/>
          <w:bCs w:val="0"/>
          <w:snapToGrid/>
          <w:color w:val="auto"/>
          <w:kern w:val="2"/>
          <w:sz w:val="24"/>
          <w:szCs w:val="24"/>
          <w:highlight w:val="none"/>
        </w:rPr>
      </w:pPr>
      <w:r>
        <w:rPr>
          <w:rFonts w:hint="eastAsia" w:hAnsi="宋体" w:cs="宋体"/>
          <w:color w:val="auto"/>
          <w:sz w:val="24"/>
          <w:szCs w:val="24"/>
          <w:highlight w:val="none"/>
          <w:lang w:val="en-US" w:eastAsia="zh-CN"/>
        </w:rPr>
        <w:t>10.2.13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补充条款：</w:t>
      </w:r>
      <w:r>
        <w:rPr>
          <w:rFonts w:hint="eastAsia" w:ascii="宋体" w:hAnsi="宋体" w:cs="宋体"/>
          <w:bCs w:val="0"/>
          <w:snapToGrid/>
          <w:color w:val="auto"/>
          <w:kern w:val="2"/>
          <w:sz w:val="24"/>
          <w:szCs w:val="24"/>
          <w:highlight w:val="none"/>
        </w:rPr>
        <w:t>发包人保留权利</w:t>
      </w:r>
    </w:p>
    <w:p w14:paraId="27267170">
      <w:pPr>
        <w:pStyle w:val="7"/>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val="0"/>
          <w:snapToGrid/>
          <w:color w:val="auto"/>
          <w:kern w:val="2"/>
          <w:sz w:val="24"/>
          <w:szCs w:val="24"/>
          <w:highlight w:val="none"/>
        </w:rPr>
        <w:t>为全面提高工程建设管理水平，从监理单位下发开工令起至合同履约完毕，发包人有权按照《广州安居集团有限公司施工合同履约评价实施办法（试行）》（附件</w:t>
      </w:r>
      <w:r>
        <w:rPr>
          <w:rFonts w:hint="eastAsia" w:ascii="宋体" w:hAnsi="宋体" w:eastAsia="宋体" w:cs="宋体"/>
          <w:bCs w:val="0"/>
          <w:snapToGrid/>
          <w:color w:val="auto"/>
          <w:kern w:val="2"/>
          <w:sz w:val="24"/>
          <w:szCs w:val="24"/>
          <w:highlight w:val="none"/>
          <w:lang w:eastAsia="zh-CN"/>
        </w:rPr>
        <w:t>8</w:t>
      </w:r>
      <w:r>
        <w:rPr>
          <w:rFonts w:hint="eastAsia" w:ascii="宋体" w:hAnsi="宋体" w:eastAsia="宋体" w:cs="宋体"/>
          <w:bCs w:val="0"/>
          <w:snapToGrid/>
          <w:color w:val="auto"/>
          <w:kern w:val="2"/>
          <w:sz w:val="24"/>
          <w:szCs w:val="24"/>
          <w:highlight w:val="none"/>
        </w:rPr>
        <w:t>）对承包人进行施工合同履约评价。如合同履约期间，发包人制定的履约评价制度或考评办法更新的，则按新制度或办法执行。</w:t>
      </w:r>
    </w:p>
    <w:p w14:paraId="482A925E">
      <w:pPr>
        <w:adjustRightInd w:val="0"/>
        <w:snapToGrid w:val="0"/>
        <w:spacing w:line="360" w:lineRule="auto"/>
        <w:ind w:firstLine="482" w:firstLineChars="200"/>
        <w:outlineLvl w:val="1"/>
        <w:rPr>
          <w:rFonts w:ascii="宋体" w:hAnsi="宋体" w:cs="宋体"/>
          <w:b/>
          <w:color w:val="auto"/>
          <w:sz w:val="24"/>
          <w:highlight w:val="none"/>
        </w:rPr>
      </w:pPr>
      <w:bookmarkStart w:id="54" w:name="_Toc2165"/>
      <w:r>
        <w:rPr>
          <w:rFonts w:hint="eastAsia" w:ascii="宋体" w:hAnsi="宋体" w:cs="宋体"/>
          <w:b/>
          <w:color w:val="auto"/>
          <w:sz w:val="24"/>
          <w:highlight w:val="none"/>
        </w:rPr>
        <w:t>11.  开始工作和竣工</w:t>
      </w:r>
      <w:bookmarkEnd w:id="54"/>
    </w:p>
    <w:p w14:paraId="4781AF1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开始工作</w:t>
      </w:r>
    </w:p>
    <w:p w14:paraId="38D1380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本项目取得施工许可后，监理工程师在报发包人批准后向承包人发出开工令；承包人应在接到开工令后的</w:t>
      </w:r>
      <w:r>
        <w:rPr>
          <w:rFonts w:hint="eastAsia" w:ascii="宋体" w:hAnsi="宋体" w:cs="宋体"/>
          <w:color w:val="auto"/>
          <w:sz w:val="24"/>
          <w:highlight w:val="none"/>
          <w:u w:val="single"/>
        </w:rPr>
        <w:t>7天</w:t>
      </w:r>
      <w:r>
        <w:rPr>
          <w:rFonts w:hint="eastAsia" w:ascii="宋体" w:hAnsi="宋体" w:cs="宋体"/>
          <w:color w:val="auto"/>
          <w:sz w:val="24"/>
          <w:highlight w:val="none"/>
        </w:rPr>
        <w:t>内开工，并一直保持合同工程连续均衡施工，直至其被改变为止。</w:t>
      </w:r>
    </w:p>
    <w:p w14:paraId="52FF731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发包人引起的工期延误</w:t>
      </w:r>
    </w:p>
    <w:p w14:paraId="5BB657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11.3.1发包人根据工程实施情况，有权对本工程工期（包括关键节点工期和竣工日期）进行适当调整。</w:t>
      </w:r>
    </w:p>
    <w:p w14:paraId="299C0E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11.3.2因发包人原因导致工期延期的，工期顺延，发包人不予其它补偿且不承担其它违约责任。</w:t>
      </w:r>
    </w:p>
    <w:p w14:paraId="5E6D47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11.5承包人引起的工期延误</w:t>
      </w:r>
    </w:p>
    <w:p w14:paraId="1B2966E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11.5.1 承包人违反约定延期开工的，每迟延开工1天，应向发包人支付合同总价1‰的违约金；迟延开工超过30天的，发包人有权解除合同，将本工程另行发包，并不免除承包人的违约赔偿责任。</w:t>
      </w:r>
    </w:p>
    <w:p w14:paraId="72EAF4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11.5.2 由于承包人原因导致设计文件交付时间延误，每逾期一天，按合同设计费的0.3%向发包人支付违约金；设计误期违约金的最高限额为合同设计费的30%。</w:t>
      </w:r>
    </w:p>
    <w:p w14:paraId="11D507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11.5.3 由于承包人原因导致工程施工工期延误，每逾期一天，按合同工程费（包含暂列金额）的0.1%向发包人支付违约金；施工工期误期违约金的最高限额为合同工程费（包含暂列金额）的20%。</w:t>
      </w:r>
    </w:p>
    <w:p w14:paraId="1E00B8E1">
      <w:pPr>
        <w:adjustRightInd w:val="0"/>
        <w:snapToGrid w:val="0"/>
        <w:spacing w:line="360" w:lineRule="auto"/>
        <w:ind w:firstLine="482" w:firstLineChars="200"/>
        <w:outlineLvl w:val="1"/>
        <w:rPr>
          <w:rFonts w:ascii="宋体" w:hAnsi="宋体" w:cs="宋体"/>
          <w:b/>
          <w:color w:val="auto"/>
          <w:sz w:val="24"/>
          <w:highlight w:val="none"/>
        </w:rPr>
      </w:pPr>
      <w:bookmarkStart w:id="55" w:name="_Toc31975"/>
      <w:r>
        <w:rPr>
          <w:rFonts w:hint="eastAsia" w:ascii="宋体" w:hAnsi="宋体" w:cs="宋体"/>
          <w:b/>
          <w:color w:val="auto"/>
          <w:sz w:val="24"/>
          <w:highlight w:val="none"/>
        </w:rPr>
        <w:t>12.  暂停工作</w:t>
      </w:r>
      <w:bookmarkEnd w:id="55"/>
    </w:p>
    <w:p w14:paraId="6BA471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由承包人暂停工作</w:t>
      </w:r>
    </w:p>
    <w:p w14:paraId="53CEFD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12.2.3承包人原因造成暂停施工的其他原因：为了保证工程质量安全，凡出现下列情形之一（不限于此）的，总监理工程师有权下达停工令，责令承包人停工整改，由此造成的损失由承包人自行负责；造成工期延误的，由承包人承担违约责任。</w:t>
      </w:r>
    </w:p>
    <w:p w14:paraId="2D096E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（1）拒绝监理人管理；</w:t>
      </w:r>
    </w:p>
    <w:p w14:paraId="4AA99E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（2）施工组织设计（方案）未获总监理工程师批准而擅自施工；</w:t>
      </w:r>
    </w:p>
    <w:p w14:paraId="024087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（3）未经监理人检验而进行下一道工序作业；</w:t>
      </w:r>
    </w:p>
    <w:p w14:paraId="4CB2D2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（4）擅自采用未经监理工程师及发包人认可或批准的材料；或者使用的材料、设备、构配件不合格或未经检查确认；或者擅自采用未经认可的代用材料；</w:t>
      </w:r>
    </w:p>
    <w:p w14:paraId="4CD737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（5）未按设计图纸施工；</w:t>
      </w:r>
    </w:p>
    <w:p w14:paraId="15178B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（6）非法转包、分包工程；</w:t>
      </w:r>
    </w:p>
    <w:p w14:paraId="660DCC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（7）擅自让未经总监理工程师和发包人批准的分包单位进场作业；</w:t>
      </w:r>
    </w:p>
    <w:p w14:paraId="0A1521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（9）存在安全隐患，未按监理工程师要求及时整改或发生安全事故；</w:t>
      </w:r>
    </w:p>
    <w:p w14:paraId="1EECF10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（10）未按双方约定上报有关资料。</w:t>
      </w:r>
    </w:p>
    <w:p w14:paraId="2423C4EC">
      <w:pPr>
        <w:adjustRightInd w:val="0"/>
        <w:snapToGrid w:val="0"/>
        <w:spacing w:line="360" w:lineRule="auto"/>
        <w:ind w:firstLine="482" w:firstLineChars="200"/>
        <w:outlineLvl w:val="1"/>
        <w:rPr>
          <w:rFonts w:ascii="宋体" w:hAnsi="宋体" w:cs="宋体"/>
          <w:b/>
          <w:color w:val="auto"/>
          <w:sz w:val="24"/>
          <w:highlight w:val="none"/>
        </w:rPr>
      </w:pPr>
      <w:bookmarkStart w:id="56" w:name="_Toc7295"/>
      <w:r>
        <w:rPr>
          <w:rFonts w:hint="eastAsia" w:ascii="宋体" w:hAnsi="宋体" w:cs="宋体"/>
          <w:b/>
          <w:color w:val="auto"/>
          <w:sz w:val="24"/>
          <w:highlight w:val="none"/>
        </w:rPr>
        <w:t>13.  工程质量</w:t>
      </w:r>
      <w:bookmarkEnd w:id="56"/>
    </w:p>
    <w:p w14:paraId="183D38A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 承包人的质量检查</w:t>
      </w:r>
    </w:p>
    <w:p w14:paraId="1CE99D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13.2.1 质量与安全检查</w:t>
      </w:r>
    </w:p>
    <w:p w14:paraId="2831D8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序质量控制点检查：按照质监部门、监理人及有关规范要求，承包人对各工序必须报验检查的各类质量控制点，实行先自检后申请报验的程序，并对自检结果负责。如承包人申请报验后，经检查发现质量不合格，则该工序质量为不合格，承包人必须全部返工，返工后经检查合格才准进入下一道工序，工期不予顺延，承包人必须承担一般违约责任1次；同时发包人将依据每分项工程累计发现三次或连续两次，承包人承担严重违约责任1次。</w:t>
      </w:r>
    </w:p>
    <w:p w14:paraId="23F026A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日常工程技术资料检查：承包人应准确、及时地作好日常工程技术资料的记录、整理和归档工作。保证记录中原始数据的真实性和及时性，保证按国家、地方、行业的有关规定及时作好相关技术资料的整理和归档。发包人、监理人有权抽查承包人日常工程技术资料的整理工作，如发现未按规定及时做好资料整理，累计发生3次，承包人承担一般违 约责任1次；如发现原始记录数据不存在、不真实、不及时、不准确，经监理人确认，发包人将有权拒绝相应部分工程量的计量和支付，视情节轻重，承包人承担一般违约责任或严重违约责任1次。</w:t>
      </w:r>
    </w:p>
    <w:p w14:paraId="00F9E8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 补充条款：施工质量样板引路</w:t>
      </w:r>
    </w:p>
    <w:p w14:paraId="7E39620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全面推行施工样板引路制度，应用于工程的材料设备按要求经看样定板、封样，各分部分项重要工序均实施样板引路。承包人应在编制施工组织方案时细化样板施工措施，实施过程中施工样板完成并经发包人、承包人、监理人共同验收确认后，再全面推行按验收后样板组织大面积施工。杜绝工程因质量不合格、不满足设计文件及发包人要求而大面积返工情况。</w:t>
      </w:r>
    </w:p>
    <w:p w14:paraId="7EAAA3C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13.7补充条款：施工质量违约责任及质量事故</w:t>
      </w:r>
    </w:p>
    <w:p w14:paraId="7E99C9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13.7.1 施工质量违约责任：对每次施工质量的抽查，如发现存在质量不合格或严重违反操作规程的现象，发包人有权要求承包人停工、返工；返工后经检查合格才准进入下一道工序，工期不予顺延，承包人除赔偿发包人损失外，还应按以下约定承担违约责任：</w:t>
      </w:r>
    </w:p>
    <w:p w14:paraId="540E82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（1）造成工程质量问题导致发包人直接经济损失在20万元以下或工期延误3天以上5天以内的，施工承包人须就每宗工程质量问题向发包人支付违约金1.5万元；</w:t>
      </w:r>
    </w:p>
    <w:p w14:paraId="358FF1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（2）造成工程质量问题导致发包人直接经济损失在20万元以上（含本数）50万以下或工期延误5天以上10天以内的，施工承包人须就每宗工程质量问题承担一般违约责任1次；</w:t>
      </w:r>
    </w:p>
    <w:p w14:paraId="7D67690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（3）造成工程质量问题导致发包人直接经济损失在50万元以上（含本数）100万以下或工期延误10天以上15天以内的，施工承包人须就每宗工程质量问题承担严重违约责任1次；</w:t>
      </w:r>
    </w:p>
    <w:p w14:paraId="0A76DF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如承包人有意隐瞒质量问题或存在严重质量隐患，一经发现，承包人承担严重违约责任1次。</w:t>
      </w:r>
    </w:p>
    <w:p w14:paraId="3CD3F6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（4）造成工程质量事故的，除按国家及行业规定由上级主管部门实施处罚外，同时须就每宗事故造成发包人直接经济损失金额的10％向发包人支付违约金。</w:t>
      </w:r>
    </w:p>
    <w:p w14:paraId="06FDFBF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13.7.2除了上述约定的违约金，若因此造成发包人或第三人损失的，承包人还应赔偿发包人或第三人因此造成的损失。</w:t>
      </w:r>
    </w:p>
    <w:p w14:paraId="30B50D88">
      <w:pPr>
        <w:adjustRightInd w:val="0"/>
        <w:snapToGrid w:val="0"/>
        <w:spacing w:line="360" w:lineRule="auto"/>
        <w:ind w:firstLine="482" w:firstLineChars="200"/>
        <w:outlineLvl w:val="1"/>
        <w:rPr>
          <w:rFonts w:ascii="宋体" w:hAnsi="宋体" w:cs="宋体"/>
          <w:b/>
          <w:color w:val="auto"/>
          <w:sz w:val="24"/>
          <w:highlight w:val="none"/>
        </w:rPr>
      </w:pPr>
      <w:bookmarkStart w:id="57" w:name="_Toc21790"/>
      <w:r>
        <w:rPr>
          <w:rFonts w:hint="eastAsia" w:ascii="宋体" w:hAnsi="宋体" w:cs="宋体"/>
          <w:b/>
          <w:color w:val="auto"/>
          <w:sz w:val="24"/>
          <w:highlight w:val="none"/>
        </w:rPr>
        <w:t>14.  试验和检验</w:t>
      </w:r>
      <w:bookmarkEnd w:id="57"/>
    </w:p>
    <w:p w14:paraId="492ABF7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材料、工程设备和工程的试验和检验</w:t>
      </w:r>
    </w:p>
    <w:p w14:paraId="113FE4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14.1.5 见证取样检验试验的材料和工程设备</w:t>
      </w:r>
    </w:p>
    <w:p w14:paraId="5E7732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（1）种类： 依据有关法律、法规、规范和工程建设强制性标准以及结构安全要求进行见证取样的进入施工现场的建筑材料、设备和构配件。</w:t>
      </w:r>
    </w:p>
    <w:p w14:paraId="35DC6B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（2）检测机构：由发包人委托具有相应资格的检测机构实施。</w:t>
      </w:r>
    </w:p>
    <w:p w14:paraId="0F8849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采购的材料需在材料到货前三天将进场计划报发包人和监理工程师，由监理工程师按规定确定材料检验抽样方案；材料到场后，承包人按监理工程师确定的抽样方案，在监理见证人员见证下抽样，按发包人与检测机构约定的格式要求打印检测委托清单一式四份；监理和发包人现场代表负责监督、见证抽样，在样品抽取后贴封条，签发检测委托清单；样品封条方式根据具体情况确定，监理负责对抽样、加封过程进行拍照；承包人负责将已加封条的样品送达检测机构，运送样品所需的费用由承包人负责，包含在合同总价中；承包人需及时将样品送达检测机构，确保不因此而影响工程施工。</w:t>
      </w:r>
    </w:p>
    <w:p w14:paraId="283D7F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（4）样品检验合格的材料，经监理工程师审核同意后方可在合同工程使用，检验报告交给承包人作为质量验收资料；样品检验不合格的，按规定扩大抽样检验或退场处理。</w:t>
      </w:r>
    </w:p>
    <w:p w14:paraId="7A7ECE5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14.1.6  材料和工程设备的检验试验费</w:t>
      </w:r>
    </w:p>
    <w:p w14:paraId="3015A6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建设工程质量检测管理办法》（建设部令141号）第十二条及《广州市城乡建设委员会印发〈关于进一步加强广州市建设工程质量检测委托管理工作方案〉的通知》（穗建质2012[1767]号）规定，建设工程质量、材料及安全检测业务应由发包人依法委托。承包人应按专用条款第20.4款约定，在施工组织设计中报送材料设备进场计划、材料及工程设备和构配件检验试验计划，按经批准的施工组织设计方案组织材料及工程设备进场，配合发包人进行送检。承包人未按批准的计划组织材料、工程设备和构配件进场的，由此造成的检验试验费增加由承包人承担。</w:t>
      </w:r>
    </w:p>
    <w:p w14:paraId="76E585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采购的材料和设备等产品见证取样检验试验合格的，检验试验费由发包人承担；见证取样检验试验不合格的，检验试验费用由承包人承担；见证取样检验试验不合格但扩大见证取样检验试验合格，且经监理工程师批准该批次材料和设备产品可用于合同工程的，发包人承担正常见证取样数量的检验试验费用，因扩大见证取样而额外增加的检验试验费用由承包人承担。发包人采购的材料和设备等产品见证取样检验试验费全部由发包人承担。</w:t>
      </w:r>
    </w:p>
    <w:p w14:paraId="5ED79C2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（3）承包人须在正式施工前提交材料检测计划，并确保材料检验试验费不超过分部分项工程费的0.1%，如超出限额，超出部分由承包人承担。</w:t>
      </w:r>
    </w:p>
    <w:p w14:paraId="21FD7C4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14.1.7 再次检验及其责任承担</w:t>
      </w:r>
    </w:p>
    <w:p w14:paraId="6BC8C9B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14.1.7.1 在施工过程中，总监理工程师有权随时对工程材料、设备的使用进行抽查，包括成品、半成品、器具、设备、附件、小五金等。抽查范围、比例、数量、批次及检查深度可比照国家现行施工质量验收规范和相关规定，且比相应规范要求有所提高。</w:t>
      </w:r>
    </w:p>
    <w:p w14:paraId="3FEC5A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工程材料、设备的质量依据下列标准的先后顺序认定：</w:t>
      </w:r>
    </w:p>
    <w:p w14:paraId="31C9C5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（1）本工程设计图纸规定的设计标准；</w:t>
      </w:r>
    </w:p>
    <w:p w14:paraId="5517A2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（2）经设计单位、监理人、承包人、发包人共同认定的产品封样、样板； </w:t>
      </w:r>
    </w:p>
    <w:p w14:paraId="1E9346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（3）招投标时确定的规格、技术指标、质量标准、品牌等；</w:t>
      </w:r>
    </w:p>
    <w:p w14:paraId="4FE584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（4）国家或行业强制执行的技术标准、技术规范。</w:t>
      </w:r>
    </w:p>
    <w:p w14:paraId="291063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材料、设备的抽查、检验结果达不到上述标准和规范的，总监理工程师必须扩大对该批材料的抽查范围并增加抽检数量。若工程材料、设备复检结果仍达不到上述标准和规范的，无论工程材料、设备是否已施工或安装，承包人必须在发包人联合总监理工程师书面通知的限期内全部无条件拆除、更换，并运出施工现场；由此造成的工期延误、费用增加等一切损失均由承包人承担。同时，承包人还应按本专用条款第14.1.7.2款承担违约责任。</w:t>
      </w:r>
    </w:p>
    <w:p w14:paraId="205B0BE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14.1.7.2 材料设备使用违约责任：如发包人发现抽查结果与设计要求或相关标准、规范任何一项不符的，则该抽检批次为不合格，造成工期延误的，发包人不予顺延工期；同时对该批次材料须扩大范围、增加双倍数量抽检，双倍抽检的检验费由承包人承担，若抽检仍不合格，则该批次材料视为不合格。对被认定为不合格批次的材料，承包人必须在发包人通知的限期内全部无条件拆除、更换，并运出施工现场，由此造成的工期延误、费用增加等一切损失均由承包人承担，同时发包人还将根据该批材料的价值，要求承包人承担不同等级的违约责任：</w:t>
      </w:r>
    </w:p>
    <w:p w14:paraId="7E2EE5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（1）单宗材料在5万元以内（含5万元），承包人每次向发包人支付违约金1万元。</w:t>
      </w:r>
    </w:p>
    <w:p w14:paraId="0E3C583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（2）单宗材料价值在5万元至10万元内（含10万元），承包人每次向发包人支付违约金2万元。</w:t>
      </w:r>
    </w:p>
    <w:p w14:paraId="4DA6202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（3）单宗材料价值在10万至50万元（含50万元），承包人每次向发包人支付违约金5万元。</w:t>
      </w:r>
    </w:p>
    <w:p w14:paraId="335FCC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（4）单宗材料价值在50万元以上，承包人每次向发包人支付违约金10万元。</w:t>
      </w:r>
    </w:p>
    <w:p w14:paraId="0F243B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（5）同一种材料连续发生2次不合格，承包人必须承担一般违约责任1次；不同材料累计发生3次不合格，承包人必须承担一般违约责任1次。</w:t>
      </w:r>
    </w:p>
    <w:p w14:paraId="6562CA0C">
      <w:pPr>
        <w:adjustRightInd w:val="0"/>
        <w:snapToGrid w:val="0"/>
        <w:spacing w:line="360" w:lineRule="auto"/>
        <w:ind w:firstLine="482" w:firstLineChars="200"/>
        <w:outlineLvl w:val="1"/>
        <w:rPr>
          <w:rFonts w:ascii="宋体" w:hAnsi="宋体" w:cs="宋体"/>
          <w:b/>
          <w:color w:val="auto"/>
          <w:sz w:val="24"/>
          <w:highlight w:val="none"/>
        </w:rPr>
      </w:pPr>
      <w:bookmarkStart w:id="58" w:name="_Toc31358"/>
      <w:r>
        <w:rPr>
          <w:rFonts w:hint="eastAsia" w:ascii="宋体" w:hAnsi="宋体" w:cs="宋体"/>
          <w:b/>
          <w:color w:val="auto"/>
          <w:sz w:val="24"/>
          <w:highlight w:val="none"/>
        </w:rPr>
        <w:t>15.  变更</w:t>
      </w:r>
      <w:bookmarkEnd w:id="58"/>
    </w:p>
    <w:p w14:paraId="5AF6FF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变更权</w:t>
      </w:r>
    </w:p>
    <w:p w14:paraId="443F6C5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15.1.1施工图经发包人确认后，实施过程中，所有设计变更或材料、设备换用，不论是否引起合同价款变更均须经发包人书面同意方可实施，紧急或特殊情况须经发包人同意并在3个工作日内办理书面确认手续，不得擅自变更，否则，承包人须按以下方式承担违约责任：</w:t>
      </w:r>
    </w:p>
    <w:p w14:paraId="1B6F1D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事后不认可承包人擅自变更的事项，承包人须拆除该事项已实施的工程并按原要求重新施工，所需费用由承包人承担，工期不得顺延，承包人除须赔偿发包人因此而造成的损失外，还须承担一般违约责任一次；</w:t>
      </w:r>
    </w:p>
    <w:p w14:paraId="18F011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（2）发包人事后认可承包人擅自变更的事项，该事项如节省了费用则归发包人所有，该事项如增加了费用或造成了损失则由承包人承担。</w:t>
      </w:r>
    </w:p>
    <w:p w14:paraId="5B11EE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15.1.2所有变更工程和新增工程引起的计价、计量调整、报批和审批过程，均不得影响变更的执行，承包人不得以此为理由直接或变相拖延或延误新增或变更工程的实施，否则，承包人须承担由此造成的损失及工期延误的责任，且须承担一般违约责任一次。</w:t>
      </w:r>
    </w:p>
    <w:p w14:paraId="4CB83B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15.1.3 工程实施过程中，非发包人原因引起的变更和签证，所增加的费用由承包人承担；由发包人原因引起的变更和签证，所增加的费用由发包人承担。</w:t>
      </w:r>
    </w:p>
    <w:p w14:paraId="0AA3F1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承包人的合理化建议</w:t>
      </w:r>
    </w:p>
    <w:p w14:paraId="1FA991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15.2.3 发包人采纳承包人建议带来利益的计奖方法：发包人采纳承包人建议带来利益归发包人所有。</w:t>
      </w:r>
    </w:p>
    <w:p w14:paraId="47B990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变更程序</w:t>
      </w:r>
    </w:p>
    <w:p w14:paraId="18ABEA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 工程变更的确认</w:t>
      </w:r>
    </w:p>
    <w:p w14:paraId="432080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15.3.4.1设计变更文件必须盖有设计单位的出图章和发包人代表签字并盖公章；</w:t>
      </w:r>
    </w:p>
    <w:p w14:paraId="73EB91D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15.3.4.2 发包人书面通知变更的指令性文件应有发包人代表签字并盖有公章；</w:t>
      </w:r>
    </w:p>
    <w:p w14:paraId="0731D00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15.3.4.3 施工变更文件必须由承包人项目经理签字和加盖项目部印章、监理人总监代表以上监理人员出具审核意见和签字，并加盖监理人印章以及发包人现场代表签字；施工变更文件涉及合同价款调整或工期变动时，必须随变更报告附变更工程价款或工期计算书，除履行上述手续外，还需经总监理工程师和发包人的有关审核人签字并盖公章。</w:t>
      </w:r>
    </w:p>
    <w:p w14:paraId="45BF70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15.3.4.4 设计变更文件（或指令）涉及合同价款和工期调整时，承包人接到设计变更（或指令）有效文件后在14天内申报涉及变更的工程价款和工期调整报告，否则应视作变更不涉及价款和工期调整，发包人不予以接收。 </w:t>
      </w:r>
    </w:p>
    <w:p w14:paraId="4DF276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 计日工（A）</w:t>
      </w:r>
    </w:p>
    <w:p w14:paraId="1A7CF7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3F8592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 暂估价（A）</w:t>
      </w:r>
    </w:p>
    <w:p w14:paraId="45E61E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3FF4BA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15.7 发包人根据工程实施情况，有权对承包人的承包范围及内容进行适当调整（包括增加或减少部分工程）</w:t>
      </w:r>
    </w:p>
    <w:p w14:paraId="52D803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发生不可抗力、政策变更或规划变更等工程实施情况导致承包范围发生变化的，发包人有权发出书面指令单方增加或缩减合同范围。如上述变更导致承包人履行合同义务的费用增加，发包人与承包人按照合同约定调整合同价款。如上述变更导致承包人承包范围减少的，发包人与承包人按照合同约定调整合同价款，承包人无权向发包人另行提出其他任何补偿或赔偿要求。</w:t>
      </w:r>
    </w:p>
    <w:p w14:paraId="5B076A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承包人履行合同的质量、进度不符合合同约定或存在其他违约事实的，发包人有权直接减少承包人的承包范围直至解除合同，对此，承包人无权向发包人提出任何补偿或赔偿要求。</w:t>
      </w:r>
    </w:p>
    <w:p w14:paraId="63E20C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15.8 工程量</w:t>
      </w:r>
    </w:p>
    <w:p w14:paraId="2330E9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所报的施工图预算中开列的工程量应包括由承包人完成合同工程的施工、安装以及相应的施工措施等工作内容。其任何遗漏或错误，既不能使合同无效，也不能免除承包人按照施工设计图纸、标准与规范实施合同工程的任何责任。承包人在施工组织设计中涉及的凡属施工技术措施、安全措施的费用，不论施工组织设计是否得到发包人或监理人的认可和批准，该费用发包人一概不予另行考虑。</w:t>
      </w:r>
    </w:p>
    <w:p w14:paraId="4C703F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15.9 现场签证事件</w:t>
      </w:r>
    </w:p>
    <w:p w14:paraId="5EB588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15.9.1 现场签证报告的确认</w:t>
      </w:r>
    </w:p>
    <w:p w14:paraId="6A1C6A6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收到监理工程师书面通知后的7天内，向监理工程师提交现场签证报告，并抄送造价工程师、发包人。监理工程师在收到承包人的现场签证报告后，对报告内容予以核实，并在收到现场签证报告后的48小时内予以确认或提出修改意见。发包人在收到承包人现场签证报告后的14天内确认或提出修改意见的，若发包人在收到承包人现场签证报告后的14天后还未确认或提出修改意见的，承包人应在7天内与发包人协商，并以协商意见为准。</w:t>
      </w:r>
    </w:p>
    <w:p w14:paraId="1E52FE4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15.9.2 现场签证价款的支付</w:t>
      </w:r>
    </w:p>
    <w:p w14:paraId="61A696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现场签证价款的支付按专用条款第16.6款执行。</w:t>
      </w:r>
    </w:p>
    <w:p w14:paraId="51D1AFC9">
      <w:pPr>
        <w:adjustRightInd w:val="0"/>
        <w:snapToGrid w:val="0"/>
        <w:spacing w:line="360" w:lineRule="auto"/>
        <w:ind w:firstLine="482" w:firstLineChars="200"/>
        <w:outlineLvl w:val="1"/>
        <w:rPr>
          <w:rFonts w:ascii="宋体" w:hAnsi="宋体" w:cs="宋体"/>
          <w:b/>
          <w:color w:val="auto"/>
          <w:sz w:val="24"/>
          <w:highlight w:val="none"/>
        </w:rPr>
      </w:pPr>
      <w:bookmarkStart w:id="59" w:name="_Toc7255"/>
      <w:r>
        <w:rPr>
          <w:rFonts w:hint="eastAsia" w:ascii="宋体" w:hAnsi="宋体" w:cs="宋体"/>
          <w:b/>
          <w:color w:val="auto"/>
          <w:sz w:val="24"/>
          <w:highlight w:val="none"/>
        </w:rPr>
        <w:t>16.  价格调整</w:t>
      </w:r>
      <w:bookmarkEnd w:id="59"/>
    </w:p>
    <w:p w14:paraId="3CF7D1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合同价款的调整事件</w:t>
      </w:r>
    </w:p>
    <w:p w14:paraId="1C527DE8">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后继法律变化事件；</w:t>
      </w:r>
    </w:p>
    <w:p w14:paraId="48155AD1">
      <w:pPr>
        <w:adjustRightInd w:val="0"/>
        <w:snapToGrid w:val="0"/>
        <w:spacing w:line="360" w:lineRule="auto"/>
        <w:ind w:firstLine="480" w:firstLineChars="200"/>
        <w:rPr>
          <w:rFonts w:ascii="宋体" w:hAnsi="宋体" w:cs="宋体"/>
          <w:color w:val="auto"/>
          <w:kern w:val="0"/>
          <w:sz w:val="24"/>
          <w:highlight w:val="none"/>
          <w:bdr w:val="single" w:color="auto" w:sz="4" w:space="0"/>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项目特征描述不符事件；</w:t>
      </w:r>
    </w:p>
    <w:p w14:paraId="677E886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分部分项工程量清单缺项漏项事件；</w:t>
      </w:r>
    </w:p>
    <w:p w14:paraId="7D54D0E3">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因发包人原因引起合同条件变化导致的工程变更事件；</w:t>
      </w:r>
    </w:p>
    <w:p w14:paraId="12BB46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工程量的偏差事件</w:t>
      </w:r>
      <w:r>
        <w:rPr>
          <w:rFonts w:hint="eastAsia" w:ascii="宋体" w:hAnsi="宋体" w:cs="宋体"/>
          <w:color w:val="auto"/>
          <w:sz w:val="24"/>
          <w:highlight w:val="none"/>
        </w:rPr>
        <w:t>；</w:t>
      </w:r>
    </w:p>
    <w:p w14:paraId="3B0A7C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费用索赔事件</w:t>
      </w:r>
      <w:r>
        <w:rPr>
          <w:rFonts w:hint="eastAsia" w:ascii="宋体" w:hAnsi="宋体" w:cs="宋体"/>
          <w:color w:val="auto"/>
          <w:sz w:val="24"/>
          <w:highlight w:val="none"/>
        </w:rPr>
        <w:t>；</w:t>
      </w:r>
    </w:p>
    <w:p w14:paraId="78F56CFB">
      <w:pPr>
        <w:adjustRightInd w:val="0"/>
        <w:snapToGrid w:val="0"/>
        <w:spacing w:line="360" w:lineRule="auto"/>
        <w:ind w:firstLine="480" w:firstLineChars="200"/>
        <w:rPr>
          <w:rFonts w:ascii="宋体" w:hAnsi="宋体" w:cs="宋体"/>
          <w:color w:val="auto"/>
          <w:sz w:val="24"/>
          <w:highlight w:val="none"/>
          <w:bdr w:val="single" w:color="auto" w:sz="4" w:space="0"/>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因发包人原因引起合同条件变化导致的签证</w:t>
      </w:r>
      <w:r>
        <w:rPr>
          <w:rFonts w:hint="eastAsia" w:ascii="宋体" w:hAnsi="宋体" w:cs="宋体"/>
          <w:color w:val="auto"/>
          <w:kern w:val="0"/>
          <w:sz w:val="24"/>
          <w:highlight w:val="none"/>
        </w:rPr>
        <w:t>事件</w:t>
      </w:r>
      <w:r>
        <w:rPr>
          <w:rFonts w:hint="eastAsia" w:ascii="宋体" w:hAnsi="宋体" w:cs="宋体"/>
          <w:color w:val="auto"/>
          <w:sz w:val="24"/>
          <w:highlight w:val="none"/>
        </w:rPr>
        <w:t>；</w:t>
      </w:r>
    </w:p>
    <w:p w14:paraId="2D47ECE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物价涨落事件（详见协议书）</w:t>
      </w:r>
      <w:r>
        <w:rPr>
          <w:rFonts w:hint="eastAsia" w:ascii="宋体" w:hAnsi="宋体" w:cs="宋体"/>
          <w:color w:val="auto"/>
          <w:sz w:val="24"/>
          <w:highlight w:val="none"/>
        </w:rPr>
        <w:t>；</w:t>
      </w:r>
    </w:p>
    <w:p w14:paraId="51EE42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收费减免</w:t>
      </w:r>
      <w:r>
        <w:rPr>
          <w:rFonts w:hint="eastAsia" w:ascii="宋体" w:hAnsi="宋体" w:cs="宋体"/>
          <w:color w:val="auto"/>
          <w:sz w:val="24"/>
          <w:highlight w:val="none"/>
        </w:rPr>
        <w:t>：本项目如能办理到相关的收费减免（如余泥渣土排放费、堤围维护费等）；</w:t>
      </w:r>
    </w:p>
    <w:p w14:paraId="799B8F08">
      <w:pPr>
        <w:adjustRightInd w:val="0"/>
        <w:snapToGri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调整合同价款的其他事件：</w:t>
      </w:r>
      <w:r>
        <w:rPr>
          <w:rFonts w:hint="eastAsia" w:ascii="宋体" w:hAnsi="宋体" w:cs="宋体"/>
          <w:color w:val="auto"/>
          <w:kern w:val="0"/>
          <w:sz w:val="24"/>
          <w:highlight w:val="none"/>
          <w:u w:val="single"/>
        </w:rPr>
        <w:t xml:space="preserve"> 无 。</w:t>
      </w:r>
    </w:p>
    <w:p w14:paraId="6AA1E0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计价原则</w:t>
      </w:r>
    </w:p>
    <w:p w14:paraId="3D3F8F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16.4.1 计价方式按协议书第六条约定</w:t>
      </w:r>
    </w:p>
    <w:p w14:paraId="571604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16.4.2 工程项目实施期间和结算时，原施工图没有而由发包人批准工程变更产生的工程项目，视为新增项目，按以下计价原则调整合同价款：</w:t>
      </w:r>
    </w:p>
    <w:p w14:paraId="425C01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（1）审定的工程预算清单中有相同清单项目，执行该清单项目综合单价；</w:t>
      </w:r>
    </w:p>
    <w:p w14:paraId="0E16AB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（2）审定的工程预算清单报价存在类似的清单项目，按类似清单项目综合单价换算（工程量清单报价中相同清单项目存在多个报价的，取最有利于发包人的报价），换算时，管理费、利润水平保持原报价不变。</w:t>
      </w:r>
    </w:p>
    <w:p w14:paraId="6970C5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（3）审定的工程预算清单中没有相同及类似清单项目，参照审定的工程预算清单的计价方式、由承包人提供详细的单价分析，经发包人审核后确定综合单价执行（须执行中标下浮率）。</w:t>
      </w:r>
    </w:p>
    <w:p w14:paraId="60D9D7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措施项目费</w:t>
      </w:r>
    </w:p>
    <w:p w14:paraId="20647A1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16.5.1本工程措施项目费按审定预算合价包干，结算不得调整。</w:t>
      </w:r>
    </w:p>
    <w:p w14:paraId="62E16C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工程变更价款的支付</w:t>
      </w:r>
    </w:p>
    <w:p w14:paraId="2EECE2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16.6.1当因发包人原因引起的工程变更、现场签证等因素，导致的工程造价增减，经发包人或发包人委托的造价咨询单位评审，累计金额不超过中标合同价（不含暂列金额）5%时，在竣工结算审定后支付。</w:t>
      </w:r>
    </w:p>
    <w:p w14:paraId="082324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16.6.2 当因发包人原因引起的工程变更、现场签证等因素，导致的工程造价增减，经发包人或发包人委托的造价咨询单位评审，累计金额超过中标合同价（不含暂列金额）5%时，双方应签订相关补充协议，调整相应价款，并在工程进度同期按补充协议增加工程价款已完成工程的70%支付。</w:t>
      </w:r>
    </w:p>
    <w:p w14:paraId="2564D1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16.6.3 当因发包人原因引起的工程变更、现场签证等因素，经发包人或发包人委托的造价咨询单位评审，导致累计的工程造价增加超过中标合同价（含暂列金额）的，应按发包人相关规定，审批同意签订补充协议后，调整相应价款，按补充协议约定支付。承包人应及时向发包人报告造价变化情况，并办理审核手续，否则由此造成工程款无法及时支付的责任由承包人承担，承包人不得以此为由拒绝履行或怠于履行本合同约定义务，不得因此而影响工程建设和延误工期。</w:t>
      </w:r>
    </w:p>
    <w:p w14:paraId="02B970CB">
      <w:pPr>
        <w:keepNext w:val="0"/>
        <w:keepLines w:val="0"/>
        <w:pageBreakBefore w:val="0"/>
        <w:kinsoku/>
        <w:wordWrap/>
        <w:overflowPunct/>
        <w:bidi w:val="0"/>
        <w:adjustRightInd w:val="0"/>
        <w:snapToGrid w:val="0"/>
        <w:spacing w:line="360" w:lineRule="auto"/>
        <w:ind w:firstLine="480" w:firstLineChars="200"/>
        <w:jc w:val="left"/>
        <w:textAlignment w:val="auto"/>
        <w:outlineLvl w:val="1"/>
        <w:rPr>
          <w:rFonts w:hint="eastAsia" w:ascii="宋体" w:hAnsi="宋体" w:eastAsia="宋体" w:cs="宋体"/>
          <w:color w:val="auto"/>
          <w:kern w:val="2"/>
          <w:sz w:val="24"/>
          <w:szCs w:val="24"/>
          <w:highlight w:val="none"/>
        </w:rPr>
      </w:pPr>
      <w:bookmarkStart w:id="60" w:name="_Toc16843"/>
      <w:r>
        <w:rPr>
          <w:rFonts w:hint="eastAsia" w:ascii="宋体" w:hAnsi="宋体" w:cs="宋体"/>
          <w:b w:val="0"/>
          <w:color w:val="auto"/>
          <w:sz w:val="24"/>
          <w:szCs w:val="24"/>
          <w:highlight w:val="none"/>
        </w:rPr>
        <w:t>本项目资金来源为芳村花园单位住房维修基金，资金管理单位为广州市住房城乡建设行业监测与研究中心（以下简称“建研中心”）。因此本合同的付款方式为：达到合同约定的付款条件时，承包人向发包人提交付款申请，发包人在约定时间内审核确认后向建研中心提交申请，并由建研中心直接支付给承包人。在发包人按合同约定时间完成付款审核确认并提交资金管理单位审批后，因资金管理单位审批导致付款时间延迟，不属于发包人违约，工期不得顺延。具体约定如下：</w:t>
      </w:r>
      <w:bookmarkEnd w:id="60"/>
    </w:p>
    <w:p w14:paraId="4CA7267D">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17.1 合同价格</w:t>
      </w:r>
    </w:p>
    <w:p w14:paraId="51F5D6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17.1.1设计费</w:t>
      </w:r>
    </w:p>
    <w:p w14:paraId="4B2AA2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（1）各分阶段设计所占合同设计费总金额比例按如下约定：</w:t>
      </w:r>
    </w:p>
    <w:p w14:paraId="1B52F224">
      <w:pPr>
        <w:adjustRightInd w:val="0"/>
        <w:snapToGrid w:val="0"/>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分阶段设计占比附表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866"/>
        <w:gridCol w:w="3190"/>
      </w:tblGrid>
      <w:tr w14:paraId="1025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1466" w:type="dxa"/>
            <w:noWrap/>
            <w:vAlign w:val="center"/>
          </w:tcPr>
          <w:p w14:paraId="02C5DC2D">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编号</w:t>
            </w:r>
          </w:p>
        </w:tc>
        <w:tc>
          <w:tcPr>
            <w:tcW w:w="3866" w:type="dxa"/>
            <w:noWrap/>
            <w:vAlign w:val="center"/>
          </w:tcPr>
          <w:p w14:paraId="5EC63C03">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分阶段设计</w:t>
            </w:r>
          </w:p>
        </w:tc>
        <w:tc>
          <w:tcPr>
            <w:tcW w:w="3190" w:type="dxa"/>
            <w:noWrap/>
            <w:vAlign w:val="center"/>
          </w:tcPr>
          <w:p w14:paraId="6C404782">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所占合同设计费总金额比例</w:t>
            </w:r>
          </w:p>
        </w:tc>
      </w:tr>
      <w:tr w14:paraId="2657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14:paraId="25999CA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一</w:t>
            </w:r>
          </w:p>
        </w:tc>
        <w:tc>
          <w:tcPr>
            <w:tcW w:w="3866" w:type="dxa"/>
            <w:noWrap/>
            <w:vAlign w:val="center"/>
          </w:tcPr>
          <w:p w14:paraId="7BC4AE7D">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方案设计阶段</w:t>
            </w:r>
          </w:p>
        </w:tc>
        <w:tc>
          <w:tcPr>
            <w:tcW w:w="3190" w:type="dxa"/>
            <w:noWrap/>
            <w:vAlign w:val="center"/>
          </w:tcPr>
          <w:p w14:paraId="2BDCBD7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25%</w:t>
            </w:r>
          </w:p>
        </w:tc>
      </w:tr>
      <w:tr w14:paraId="1CD9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14:paraId="760BEF88">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二</w:t>
            </w:r>
          </w:p>
        </w:tc>
        <w:tc>
          <w:tcPr>
            <w:tcW w:w="3866" w:type="dxa"/>
            <w:noWrap/>
            <w:vAlign w:val="center"/>
          </w:tcPr>
          <w:p w14:paraId="1F4097CE">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施工图设计阶段</w:t>
            </w:r>
          </w:p>
        </w:tc>
        <w:tc>
          <w:tcPr>
            <w:tcW w:w="3190" w:type="dxa"/>
            <w:noWrap/>
            <w:vAlign w:val="center"/>
          </w:tcPr>
          <w:p w14:paraId="093E2698">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65%</w:t>
            </w:r>
          </w:p>
        </w:tc>
      </w:tr>
      <w:tr w14:paraId="6D08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14:paraId="111ED3AA">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三</w:t>
            </w:r>
          </w:p>
        </w:tc>
        <w:tc>
          <w:tcPr>
            <w:tcW w:w="3866" w:type="dxa"/>
            <w:noWrap/>
            <w:vAlign w:val="center"/>
          </w:tcPr>
          <w:p w14:paraId="63E7B9BA">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竣工图设计阶段</w:t>
            </w:r>
          </w:p>
        </w:tc>
        <w:tc>
          <w:tcPr>
            <w:tcW w:w="3190" w:type="dxa"/>
            <w:noWrap/>
            <w:vAlign w:val="center"/>
          </w:tcPr>
          <w:p w14:paraId="130CAA88">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r>
    </w:tbl>
    <w:p w14:paraId="0E94CF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（2）若发包人要求分阶段分项设计，则相应分项设计费用按对应分阶段、分项占合同金额的比例乘以相应的建筑面积或发包人确定的设计工作量占比。</w:t>
      </w:r>
    </w:p>
    <w:p w14:paraId="120D7A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预付款</w:t>
      </w:r>
    </w:p>
    <w:p w14:paraId="7A52F80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17.2.1承包人按合同专用条款第4.2.3条的要求提交履约担保，提交支付申请及合法有效的发票后14个工作日内</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支付预付款，预付款支付比例为合同协议书第6.1.2条约定金额的10%即</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w:t>
      </w:r>
    </w:p>
    <w:p w14:paraId="1E8EDE9C">
      <w:pPr>
        <w:pStyle w:val="2"/>
        <w:ind w:firstLine="480" w:firstLineChars="200"/>
        <w:rPr>
          <w:rFonts w:hint="default" w:ascii="宋体" w:hAnsi="Courier New" w:cs="Times New Roman"/>
          <w:color w:val="auto"/>
          <w:sz w:val="21"/>
          <w:highlight w:val="none"/>
        </w:rPr>
      </w:pPr>
      <w:r>
        <w:rPr>
          <w:rFonts w:hint="eastAsia" w:hAnsi="宋体" w:cs="宋体"/>
          <w:color w:val="auto"/>
          <w:sz w:val="24"/>
          <w:highlight w:val="none"/>
          <w:lang w:val="en-US" w:eastAsia="zh-CN"/>
        </w:rPr>
        <w:t>17.2.2本合同无需提供预付款保函。</w:t>
      </w:r>
    </w:p>
    <w:p w14:paraId="1C1AB64F">
      <w:pPr>
        <w:pStyle w:val="2"/>
        <w:adjustRightInd/>
        <w:snapToGri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17.2.3 预付款分别在支付第二次、第三次工程进度款时各按50%扣回</w:t>
      </w:r>
      <w:r>
        <w:rPr>
          <w:rFonts w:hint="eastAsia" w:hAnsi="宋体" w:cs="宋体"/>
          <w:color w:val="auto"/>
          <w:sz w:val="24"/>
          <w:highlight w:val="none"/>
          <w:lang w:eastAsia="zh-CN"/>
        </w:rPr>
        <w:t>。</w:t>
      </w:r>
    </w:p>
    <w:p w14:paraId="05E782D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工程进度付款</w:t>
      </w:r>
    </w:p>
    <w:p w14:paraId="10AE663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17.3.2 支付分解表</w:t>
      </w:r>
    </w:p>
    <w:p w14:paraId="6871822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17.3.2.1 设计费进度款</w:t>
      </w:r>
    </w:p>
    <w:tbl>
      <w:tblPr>
        <w:tblStyle w:val="44"/>
        <w:tblW w:w="90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8"/>
        <w:gridCol w:w="2060"/>
        <w:gridCol w:w="5842"/>
      </w:tblGrid>
      <w:tr w14:paraId="2697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128" w:type="dxa"/>
            <w:noWrap/>
            <w:vAlign w:val="center"/>
          </w:tcPr>
          <w:p w14:paraId="5A49E350">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进度款</w:t>
            </w:r>
          </w:p>
        </w:tc>
        <w:tc>
          <w:tcPr>
            <w:tcW w:w="2060" w:type="dxa"/>
            <w:noWrap/>
            <w:vAlign w:val="center"/>
          </w:tcPr>
          <w:p w14:paraId="576B1168">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付款额度</w:t>
            </w:r>
          </w:p>
        </w:tc>
        <w:tc>
          <w:tcPr>
            <w:tcW w:w="5842" w:type="dxa"/>
            <w:noWrap/>
            <w:vAlign w:val="center"/>
          </w:tcPr>
          <w:p w14:paraId="10A56291">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付款条件及时间</w:t>
            </w:r>
          </w:p>
        </w:tc>
      </w:tr>
      <w:tr w14:paraId="7474F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1128" w:type="dxa"/>
            <w:noWrap/>
            <w:vAlign w:val="center"/>
          </w:tcPr>
          <w:p w14:paraId="7BEF4E61">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第一期</w:t>
            </w:r>
          </w:p>
        </w:tc>
        <w:tc>
          <w:tcPr>
            <w:tcW w:w="2060" w:type="dxa"/>
            <w:noWrap/>
            <w:vAlign w:val="center"/>
          </w:tcPr>
          <w:p w14:paraId="7D15E8A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合同暂定设计费金额的50%</w:t>
            </w:r>
          </w:p>
        </w:tc>
        <w:tc>
          <w:tcPr>
            <w:tcW w:w="5842" w:type="dxa"/>
            <w:noWrap/>
            <w:vAlign w:val="center"/>
          </w:tcPr>
          <w:p w14:paraId="60C1833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施工图审定后，按发包人要求提供申请支付文件资料，完成审批流程后15个工作日内。</w:t>
            </w:r>
          </w:p>
        </w:tc>
      </w:tr>
      <w:tr w14:paraId="30D69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1128" w:type="dxa"/>
            <w:noWrap/>
            <w:vAlign w:val="center"/>
          </w:tcPr>
          <w:p w14:paraId="3FA9AC4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第二期</w:t>
            </w:r>
          </w:p>
        </w:tc>
        <w:tc>
          <w:tcPr>
            <w:tcW w:w="2060" w:type="dxa"/>
            <w:noWrap/>
            <w:vAlign w:val="center"/>
          </w:tcPr>
          <w:p w14:paraId="551A0E9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合同暂定设计费金额的40%</w:t>
            </w:r>
          </w:p>
        </w:tc>
        <w:tc>
          <w:tcPr>
            <w:tcW w:w="5842" w:type="dxa"/>
            <w:noWrap/>
            <w:vAlign w:val="center"/>
          </w:tcPr>
          <w:p w14:paraId="485DC1E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工程验收完成，竣工图提交给发包人，按发包人要求提供申请支付文件资料，完成审批流程后15个工作日内。</w:t>
            </w:r>
          </w:p>
        </w:tc>
      </w:tr>
      <w:tr w14:paraId="4B67F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1128" w:type="dxa"/>
            <w:noWrap/>
            <w:vAlign w:val="center"/>
          </w:tcPr>
          <w:p w14:paraId="611E014F">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第三期</w:t>
            </w:r>
          </w:p>
        </w:tc>
        <w:tc>
          <w:tcPr>
            <w:tcW w:w="2060" w:type="dxa"/>
            <w:noWrap/>
            <w:vAlign w:val="center"/>
          </w:tcPr>
          <w:p w14:paraId="19B5C7B9">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本合同设计费结算尾款</w:t>
            </w:r>
          </w:p>
        </w:tc>
        <w:tc>
          <w:tcPr>
            <w:tcW w:w="5842" w:type="dxa"/>
            <w:noWrap/>
            <w:vAlign w:val="center"/>
          </w:tcPr>
          <w:p w14:paraId="12884525">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本合同结算通过相关部门评审，按发包人要求提供申请支付文件资料，完成审批流程后15个工作日内。</w:t>
            </w:r>
          </w:p>
        </w:tc>
      </w:tr>
    </w:tbl>
    <w:p w14:paraId="3BBE1E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17.3.2.2 工程进度款：</w:t>
      </w:r>
    </w:p>
    <w:p w14:paraId="07E56D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工程进度款</w:t>
      </w:r>
      <w:r>
        <w:rPr>
          <w:rFonts w:hint="eastAsia" w:ascii="宋体" w:hAnsi="宋体" w:eastAsia="宋体" w:cs="宋体"/>
          <w:b w:val="0"/>
          <w:bCs w:val="0"/>
          <w:i w:val="0"/>
          <w:iCs w:val="0"/>
          <w:color w:val="auto"/>
          <w:kern w:val="2"/>
          <w:sz w:val="24"/>
          <w:szCs w:val="24"/>
          <w:highlight w:val="none"/>
          <w:vertAlign w:val="baseline"/>
          <w:lang w:val="en-US" w:eastAsia="zh-CN" w:bidi="ar-SA"/>
        </w:rPr>
        <w:t>根据施工进度情况</w:t>
      </w:r>
      <w:r>
        <w:rPr>
          <w:rFonts w:hint="eastAsia" w:ascii="宋体" w:hAnsi="宋体" w:cs="宋体"/>
          <w:color w:val="auto"/>
          <w:sz w:val="24"/>
          <w:highlight w:val="none"/>
        </w:rPr>
        <w:t>按</w:t>
      </w:r>
      <w:r>
        <w:rPr>
          <w:rFonts w:hint="eastAsia" w:ascii="宋体" w:hAnsi="宋体" w:cs="宋体"/>
          <w:color w:val="auto"/>
          <w:sz w:val="24"/>
          <w:highlight w:val="none"/>
          <w:lang w:eastAsia="zh-CN"/>
        </w:rPr>
        <w:t>每2个</w:t>
      </w:r>
      <w:r>
        <w:rPr>
          <w:rFonts w:hint="eastAsia" w:ascii="宋体" w:hAnsi="宋体" w:cs="宋体"/>
          <w:color w:val="auto"/>
          <w:sz w:val="24"/>
          <w:highlight w:val="none"/>
        </w:rPr>
        <w:t>月计付</w:t>
      </w:r>
      <w:r>
        <w:rPr>
          <w:rFonts w:hint="eastAsia" w:ascii="宋体" w:hAnsi="宋体" w:cs="宋体"/>
          <w:color w:val="auto"/>
          <w:sz w:val="24"/>
          <w:highlight w:val="none"/>
          <w:lang w:eastAsia="zh-CN"/>
        </w:rPr>
        <w:t>一次</w:t>
      </w:r>
      <w:r>
        <w:rPr>
          <w:rFonts w:hint="eastAsia" w:ascii="宋体" w:hAnsi="宋体" w:eastAsia="宋体" w:cs="宋体"/>
          <w:b w:val="0"/>
          <w:bCs w:val="0"/>
          <w:i w:val="0"/>
          <w:iCs w:val="0"/>
          <w:color w:val="auto"/>
          <w:kern w:val="2"/>
          <w:sz w:val="24"/>
          <w:szCs w:val="24"/>
          <w:highlight w:val="none"/>
          <w:vertAlign w:val="baseline"/>
          <w:lang w:val="en-US" w:eastAsia="zh-CN" w:bidi="ar-SA"/>
        </w:rPr>
        <w:t>(预付款分别在支付第二次、第三次工程进度款时各按50%扣回</w:t>
      </w:r>
      <w:r>
        <w:rPr>
          <w:rFonts w:hint="eastAsia" w:ascii="宋体" w:hAnsi="宋体" w:cs="宋体"/>
          <w:b w:val="0"/>
          <w:bCs w:val="0"/>
          <w:i w:val="0"/>
          <w:iCs w:val="0"/>
          <w:color w:val="auto"/>
          <w:kern w:val="2"/>
          <w:sz w:val="24"/>
          <w:szCs w:val="24"/>
          <w:highlight w:val="none"/>
          <w:vertAlign w:val="baseline"/>
          <w:lang w:val="en-US" w:eastAsia="zh-CN" w:bidi="ar-SA"/>
        </w:rPr>
        <w:t>，</w:t>
      </w:r>
      <w:r>
        <w:rPr>
          <w:rFonts w:hint="eastAsia" w:ascii="宋体" w:hAnsi="宋体" w:eastAsia="宋体" w:cs="宋体"/>
          <w:i w:val="0"/>
          <w:iCs w:val="0"/>
          <w:caps w:val="0"/>
          <w:color w:val="auto"/>
          <w:spacing w:val="0"/>
          <w:sz w:val="24"/>
          <w:szCs w:val="24"/>
          <w:highlight w:val="none"/>
          <w:shd w:val="clear" w:fill="auto"/>
        </w:rPr>
        <w:t>若当期应付工程进度款金额不足以全额扣回当期应扣预付款的，当期进度款不予支付，差额部分结转至下期，与下期应付进度款合并后优先扣回预付款，剩余金额再行支付</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fill="auto"/>
        </w:rPr>
        <w:t>。</w:t>
      </w:r>
    </w:p>
    <w:p w14:paraId="7A1E5B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承包人申报第一笔工程进度款前，需提前10个工作日向发包人申报施工图预算。根据施工图预算审核进度支付不同比例的工程进度款，具体如下：</w:t>
      </w:r>
    </w:p>
    <w:p w14:paraId="6442E8E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申报的施工图预算，监理单位已审核、发包人暂未审定的，根据监理单位审核的施工图预算中的工程量清单综合单价及监理单位审核并经发包人确认的工程量计算的当期完成工程造价（不含暂列金额）的60%支付进度款；工人工资比例暂按20%。</w:t>
      </w:r>
    </w:p>
    <w:p w14:paraId="6BF1B2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于发包人审定施工图预算后申请的第一笔工程进度款支付（仅适用于施工图预算审定前已支付过工程进度款的情况），需根据发包人审定的施工图预算中的工程量清单综合单价及监理单位审核并经发包人确认的累计完成工程量计算的累计工程造价对本次应支付进度款进行修正，具体为：本次应支付进度款=累计应支付进度款-累计已支付进度款-应扣预付款（当期如有），其中累计应支付进度款=累计工程造价*80%。同时根据审定预算调整工人工资比例。</w:t>
      </w:r>
    </w:p>
    <w:p w14:paraId="1591CA4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审定施工图预算后，根据发包人审定的施工图预算中的工程量清单综合单价及监理单位审核并经发包人确认的工程量计算的当期完成工程造价（不含暂列金额）的80%支付进度款（如当期应扣预付款，则按约定扣回）；工人工资比例按审核比例。</w:t>
      </w:r>
    </w:p>
    <w:p w14:paraId="108815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（4）竣工验收（需提交经认可的竣工资料）前，累计支付工程款不得超过经发包人审定的施工图预算造价（扣除暂列金额）的85%。</w:t>
      </w:r>
    </w:p>
    <w:p w14:paraId="188CA8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（5）竣工验收合格后支付至经发包人审定的施工图预算造价（扣除暂列金额）的90％。</w:t>
      </w:r>
    </w:p>
    <w:p w14:paraId="7E5EA2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（6）施工合同结算经发包人或其他有权单位审定后，支付至结算审定造价的97%，余下的3%为质量保证金，按保修期满后无息返还。</w:t>
      </w:r>
    </w:p>
    <w:p w14:paraId="380007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17.3.6 期中支付的最低限额为：（ 5 ）万元。低于（ 5 ）万元的，在下一期的进度款中一并支付，不视为发包人迟延付款。</w:t>
      </w:r>
    </w:p>
    <w:p w14:paraId="54667D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 余泥渣土场外运输与排放（如有）</w:t>
      </w:r>
    </w:p>
    <w:p w14:paraId="6264A9E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17.3.8.1本项目余泥渣土场外运输与排放结算执行穗建造价〔2009〕31号文，工程量按实结算，实际运距与招标清单不同时，按定额规定调整综合单价；运距按本条第17.3.8.2点进行核定，工程量按本条第17.3.8.3点约定调整。</w:t>
      </w:r>
    </w:p>
    <w:p w14:paraId="3B7B41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17.3.8.2土方开挖前，承包人必须依据就近排放的原则，将余泥渣土排放地点报监理和发包人批准，由承包人、监理和发包人一起测量运输距离并予签证确认，承包人负责办理余泥渣土排放手续及缴纳相关费用。承包人未按上述约定办理运距签证确认，视为开挖出来的土方全部可以在本项目场地内堆放或回填，结算时不得计算土方外运费用。</w:t>
      </w:r>
    </w:p>
    <w:p w14:paraId="26FE53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17.3.8.3土方外运数量按挖方量扣减现场回填、堆放土方的数量计算，且需在外运前报发包人确认。承包人未按上述约定办理外运数量确认，视为开挖出来的土方全部可以在本项目场地内堆放或回填，结算时不得计算土方外运费用。</w:t>
      </w:r>
    </w:p>
    <w:p w14:paraId="0F386C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17.3.8.4承包人必须严格遵守建设工程余泥渣土运输与排放管理制度，执行广州市相关规定。若承包人因违反规定受到有关部门处罚，经查实，应承担严重违约责任一次。</w:t>
      </w:r>
    </w:p>
    <w:p w14:paraId="4D5137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 其它要求</w:t>
      </w:r>
    </w:p>
    <w:p w14:paraId="3A7276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17.3.9.1工程进度款支付申请，除应按发包人要求提供全部资料外，同时应附确认的民工权益保障合格资料，包括如实记录支付单位、支付时间、支付对象、支付数额等工资支付情况的农民工工资支付凭证。若未按发包人要求及时提供完整的相关资料和凭证的，发包人有权延期或不予支付相应的进度款。</w:t>
      </w:r>
    </w:p>
    <w:p w14:paraId="15165D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17.3.9.2 已完工程的计量与支付必须按合同约定的技术条件、发包人批准的施工图有关要求及规定完成，包括合同规定的与已完工程计量有关且必须完成的责任和义务。</w:t>
      </w:r>
    </w:p>
    <w:p w14:paraId="1CBD19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17.3.9.3 已完工程的计量与支付需得到监理工程师和发包人的认可。如承包人的工作不能使监理工程师和发包人满意（如：质量不合格、工程进度缓慢、施工总承包管理和配合服务不到位或有其它方面违背合同的行为等），监理工程师和发包人有权拒绝计量与支付。</w:t>
      </w:r>
    </w:p>
    <w:p w14:paraId="17D8DAD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 质量保证金</w:t>
      </w:r>
    </w:p>
    <w:p w14:paraId="61D9B6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17.4.4质量保证金的约定与扣留</w:t>
      </w:r>
    </w:p>
    <w:p w14:paraId="19A6E4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（1）质量保证金的约定：为合同结算价款的3%。</w:t>
      </w:r>
    </w:p>
    <w:p w14:paraId="14B22C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（2）质量保证金的扣留：工程竣工且审定工程造价后按本合同约定支付工程结算款，扣留3%质量保证金。</w:t>
      </w:r>
    </w:p>
    <w:p w14:paraId="0D6F5F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17.4.5 质量保证金的返还</w:t>
      </w:r>
    </w:p>
    <w:p w14:paraId="5F6A21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国家和省市的有关规定，承包人自工程竣工验收合格之日起对工程质量实施保修。保修期间，若无任何质量问题（以发包人批复的保修期满验收意见为准），则在竣工验收满一年且工程项目结算评审完成后，返还质量保证金；质量保证金在该阶段期满后30天内（扣除此期间的维修费用）返还。若在保修期内发生质量问题造成损害，质量保证金余额不足以支付赔偿金的，发包人有权依法追偿。</w:t>
      </w:r>
    </w:p>
    <w:p w14:paraId="3BFD6A6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 竣工结算</w:t>
      </w:r>
    </w:p>
    <w:p w14:paraId="15B053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竣工付款申请书</w:t>
      </w:r>
    </w:p>
    <w:p w14:paraId="3CA68B7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17.5.1.1提交支付申请和工程款报告期限：承包人应得的各类款项（如预付款、安全文明施工费、进度款、结算款、增加价款等）在工程达到合同约定的付款条件，承包人在7天内提出书面付款申请且监理工程师审查确认并报发包人。</w:t>
      </w:r>
    </w:p>
    <w:p w14:paraId="2D8EB8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17.5.1.2 承包人应当向发包人提供如下竣工结算资料（其中发生的费用由承包人自理）：</w:t>
      </w:r>
    </w:p>
    <w:p w14:paraId="6BA99B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（1）工程结算书</w:t>
      </w:r>
    </w:p>
    <w:p w14:paraId="67D4C0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（2）工程量计算书</w:t>
      </w:r>
    </w:p>
    <w:p w14:paraId="6DF5D6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（3）钢筋抽料表（土建专业）（如有）</w:t>
      </w:r>
    </w:p>
    <w:p w14:paraId="373241B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（4）工程承包合同</w:t>
      </w:r>
    </w:p>
    <w:p w14:paraId="262A78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（5）工程竣工图（含电子版和竣工通及相关部门要求的专用软件版本）</w:t>
      </w:r>
    </w:p>
    <w:p w14:paraId="697ACE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（6）工程竣工资料（含电子版及相关部门要求的专用软件版本、单位工程开工申请报告、单位工程竣工验收报告）</w:t>
      </w:r>
    </w:p>
    <w:p w14:paraId="799BB4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（7）图纸会审记录</w:t>
      </w:r>
    </w:p>
    <w:p w14:paraId="0C3AD6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（8）设计变更单</w:t>
      </w:r>
    </w:p>
    <w:p w14:paraId="4370FE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（9）工程洽商记录</w:t>
      </w:r>
    </w:p>
    <w:p w14:paraId="6D55D2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（10）监理工程师通知或发包人施工指令</w:t>
      </w:r>
    </w:p>
    <w:p w14:paraId="78EC33B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（11）会议纪要</w:t>
      </w:r>
    </w:p>
    <w:p w14:paraId="6EAEEC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（12）现场签证单</w:t>
      </w:r>
    </w:p>
    <w:p w14:paraId="332999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（13）材料设备单价呈批审核单</w:t>
      </w:r>
    </w:p>
    <w:p w14:paraId="5654092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（14）综合单价呈批审核单</w:t>
      </w:r>
    </w:p>
    <w:p w14:paraId="650A27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（15）招标文件、答疑纪要</w:t>
      </w:r>
    </w:p>
    <w:p w14:paraId="6F7741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（16）投标文件（含经济标软件版）、中标通知书</w:t>
      </w:r>
    </w:p>
    <w:p w14:paraId="377CC7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（17）发包人供应材料收货验收签收单</w:t>
      </w:r>
    </w:p>
    <w:p w14:paraId="10DDAC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（18）其他结算资料</w:t>
      </w:r>
    </w:p>
    <w:p w14:paraId="74426B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（19）移交物业确认表</w:t>
      </w:r>
    </w:p>
    <w:p w14:paraId="4515BB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（20）工期履行审核表</w:t>
      </w:r>
    </w:p>
    <w:p w14:paraId="194A4F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（21）移交资料签收表</w:t>
      </w:r>
    </w:p>
    <w:p w14:paraId="09381C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17.5.1.3发包人对送审结算资料的具体要求：</w:t>
      </w:r>
    </w:p>
    <w:p w14:paraId="4F27C8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结算书：每项工程的结算书要求分两部分编制：第一部分是以竣工图为依据编制部分（即清单范围内），要求以竣工图纸、投标中标价构成的内容为主要部分，但包括图纸会审记录、设计变更、监理工程师通知或发包人施工指令等，第二部分以现场签证、工程洽商记录以及其它有关费用为结算依据编制部分（即清单范围外）。上述两部分不应有重复列项的内容，用电脑编制的结算书要求提供相应的拷贝磁盘（包括软件版和导出的EXCEL版）。</w:t>
      </w:r>
    </w:p>
    <w:p w14:paraId="5C1F1C1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计算书（即计算底稿）：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用电脑编制的工程量计算书应提供相应的拷贝磁盘。</w:t>
      </w:r>
    </w:p>
    <w:p w14:paraId="790CB1F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（3）钢筋抽料表用电脑抽料的钢筋用量表要求提供相应的拷贝磁盘，用手工抽料的钢筋用量表要求提供详细的抽料表和明细汇总表，详细的抽料表应注明钢筋所在的构件名称、施工部位、钢筋编号等（如有）。</w:t>
      </w:r>
    </w:p>
    <w:p w14:paraId="720CBC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（4）工程施工合同：包括发包人与承包人签订的工程施工合同、经发包人确认的承包人与第三方签订的分包合同、各类补充合同、合同附件等，要求将上述合同文件列出总目录按顺序整理装订成册。</w:t>
      </w:r>
    </w:p>
    <w:p w14:paraId="56C9F0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竣工图：用于结算的竣工图必须有承包人竣工图专用章及其相关人员签字和发包人盖章确认，有监理等单位确认的图纸会审记录、设计变更、工程洽商记录、监理工程师通知或发包人施工指令等内容均应反映在相应的竣工图上。对未在竣工图上反映的图纸会审记录、设计变更和工程洽商记录等，其费用增减，在结算评审中不予考虑。</w:t>
      </w:r>
    </w:p>
    <w:p w14:paraId="3F7E2BD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人和发包人在确认表上盖章确认，以证明竣工资料上的相关内容与该项目送审资料的实际内容相一致。整理装订成册的竣工资料需编制总目录，并在每一页的下方统一编号，以便于查找。</w:t>
      </w:r>
    </w:p>
    <w:p w14:paraId="7457CA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（7）图纸会审记录：要求按图纸会审的时间先后整理装订成册，图纸会审记录须有各单位参加会审人员签字及参加会审的单位盖章确认。</w:t>
      </w:r>
    </w:p>
    <w:p w14:paraId="5C47F3E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设计变更单：要求按设计变更的时间先后整理（安装工程要分专业）装订成册。设计变更单要求有设计人员的签名及设计单位盖章，同时要求有发包人同意按相关的设计院变更进行施工的签认意见和盖章确认。</w:t>
      </w:r>
    </w:p>
    <w:p w14:paraId="32A382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（9）工程洽商记录：要求根据工程洽商记录的时间先后整理装订成册，然后在每一页的下方统一编号，以便于查找。工程洽商记录要求有监理人和发包人相关人员的签字和单位盖章确认。</w:t>
      </w:r>
    </w:p>
    <w:p w14:paraId="26C233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监理工程师通知或发包人施工指令：要求根据监理工程师通知或发包人施工指令的时间先后整理装订成册，然后在每一页的下方统一编号。监理工程师通知要求有监理人和发包人相关人员的签字和单位盖章确认。</w:t>
      </w:r>
    </w:p>
    <w:p w14:paraId="056D5AF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会议纪要：指工程质量、安全、技术、经济等现场协调会会议纪要等。要求根据会议纪要的时间先后整理装订成册，然后在每一页的下方统一编号。会议纪要要求有参与会议的各方代表签字，并有监理人和发包人盖章确认。</w:t>
      </w:r>
    </w:p>
    <w:p w14:paraId="3D067AA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现场签证单：要求根据现场签证单的时间先后整理装订成册，然后在每一页的下方统一编号。现场签证单上应有工程数量的计算过程和施工简图，由承包人盖章确认，并有监理人和发包人相关人员签字和单位盖章确认，并且有上述单位的造价工程师对工程造价进行审核的签字和盖章。</w:t>
      </w:r>
    </w:p>
    <w:p w14:paraId="68F8C9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财政部门认可的其它有效材料设备价格凭证等。每份审核单手续必须完备，要求有监理人和发包人相关人员的签字和单位盖章确认。</w:t>
      </w:r>
    </w:p>
    <w:p w14:paraId="137C3FA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综合单价呈批审核单：在作为合同附件之一的工程量清单中未列但在施工过程中发生的项目，应由承包人编制单位分析表，盖章确认后报监理人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工程师通知等。每份综合单价呈批审核单手续必须完备，要求有监理人和发包人相关人员的签字和单位盖章确认，并且有上述单位的造价工程师对综合单价进行审核的签字和盖章。</w:t>
      </w:r>
    </w:p>
    <w:p w14:paraId="089364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发包人供应材料收货验收签收单：按发包人供应材料收货验收签收单的编号顺序及不同材料分类整理装订成册。要求发包人供应材料收货验收签收单上有承包人、材料供货单位、监理人、发包人代表签字和单位盖章确认。</w:t>
      </w:r>
    </w:p>
    <w:p w14:paraId="1C7A50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其它结算资料：凡上述未提及而在结算评审中需要的资料均需提供，例如：施工日记、地质勘察报告、非常用的标准图集、应由承包人承担而由发包人支付的费用证明（如发包人代缴施工水电费票据、余泥排放费证明）等。</w:t>
      </w:r>
    </w:p>
    <w:p w14:paraId="5FABB2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资料签收表：按送审结算资料的内容表，以便资料的移交和管理。资料签收表上应注明资料内容、份数和页数（标注页码），并且对所有复印资料的真实性进行确认，资料签收表一式二份，由资料移交人和接收人分别签名，必要时加盖双方单位的印章。</w:t>
      </w:r>
    </w:p>
    <w:p w14:paraId="34BE1B8A">
      <w:pPr>
        <w:pStyle w:val="2"/>
        <w:adjustRightInd w:val="0"/>
        <w:snapToGrid w:val="0"/>
        <w:spacing w:line="360" w:lineRule="auto"/>
        <w:ind w:firstLine="480" w:firstLineChars="200"/>
        <w:rPr>
          <w:rFonts w:hint="eastAsia" w:eastAsia="宋体"/>
          <w:color w:val="auto"/>
          <w:highlight w:val="none"/>
          <w:lang w:eastAsia="zh-CN"/>
        </w:rPr>
      </w:pPr>
      <w:r>
        <w:rPr>
          <w:rFonts w:hint="eastAsia" w:hAnsi="宋体" w:cs="宋体"/>
          <w:color w:val="auto"/>
          <w:sz w:val="24"/>
          <w:highlight w:val="none"/>
          <w:lang w:eastAsia="zh-CN"/>
        </w:rPr>
        <w:t>（</w:t>
      </w:r>
      <w:r>
        <w:rPr>
          <w:rFonts w:hint="eastAsia" w:hAnsi="宋体" w:cs="宋体"/>
          <w:color w:val="auto"/>
          <w:sz w:val="24"/>
          <w:highlight w:val="none"/>
          <w:lang w:val="en-US" w:eastAsia="zh-CN"/>
        </w:rPr>
        <w:t>18</w:t>
      </w:r>
      <w:r>
        <w:rPr>
          <w:rFonts w:hint="eastAsia" w:hAnsi="宋体" w:cs="宋体"/>
          <w:color w:val="auto"/>
          <w:sz w:val="24"/>
          <w:highlight w:val="none"/>
          <w:lang w:eastAsia="zh-CN"/>
        </w:rPr>
        <w:t>）结算资料还应符合《广州安居住房置业有限公司工程结算编审指引（试行）》（附件</w:t>
      </w:r>
      <w:r>
        <w:rPr>
          <w:rFonts w:hint="eastAsia" w:hAnsi="宋体" w:cs="宋体"/>
          <w:color w:val="auto"/>
          <w:sz w:val="24"/>
          <w:highlight w:val="none"/>
          <w:lang w:val="en-US" w:eastAsia="zh-CN"/>
        </w:rPr>
        <w:t>10</w:t>
      </w:r>
      <w:r>
        <w:rPr>
          <w:rFonts w:hint="eastAsia" w:hAnsi="宋体" w:cs="宋体"/>
          <w:color w:val="auto"/>
          <w:sz w:val="24"/>
          <w:highlight w:val="none"/>
          <w:lang w:eastAsia="zh-CN"/>
        </w:rPr>
        <w:t>）的要求。</w:t>
      </w:r>
    </w:p>
    <w:p w14:paraId="4DC042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14:paraId="691FB1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竣工验收后14天内，承包人提交完整的竣工结算资料，发包人在收到经监理人初审的有关结算资料后90天内完成初审。结算审定后，发包人发现工程款超付，则承包人必须在收到发包人的通知后15天内无条件退还发包人，若承包人迟延退还工程款，除向发包人退还超付工程款，还应向发包人支付该超付工程款的利息，该利息以银行同期贷款利率的2倍计算。</w:t>
      </w:r>
    </w:p>
    <w:p w14:paraId="0FFF43E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17.5.3支付期、支付办法</w:t>
      </w:r>
    </w:p>
    <w:p w14:paraId="496802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支付期、支付办法按专用条款第17.5条约定。承包人怠于提供以上竣工结算资料或者不配合结算事宜的，经发包人催告后仍不配合的，视为认可发包人的评审意见。承包人不得再对合同结算金额提出异议或请求鉴定。</w:t>
      </w:r>
    </w:p>
    <w:p w14:paraId="464CDB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 最终结清</w:t>
      </w:r>
    </w:p>
    <w:p w14:paraId="481815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4DEE3B1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17.6.1.1提交份数：壹式肆份。</w:t>
      </w:r>
    </w:p>
    <w:p w14:paraId="065C6F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17.6.1.2 提交期限：结算评审完成且按专用条款第17.4.5款约定的最后一期质量保证金退还时间期满后5天内。</w:t>
      </w:r>
    </w:p>
    <w:p w14:paraId="3E2F01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最终结清证书和支付时间：在监理工程师签发最终清算支付证书后的10天内。</w:t>
      </w:r>
    </w:p>
    <w:p w14:paraId="276CB6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17.7 支付事项</w:t>
      </w:r>
    </w:p>
    <w:p w14:paraId="0BA734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17.7.2 计算利息的利率：按照中国人民银行发布的同期同类贷款利率。</w:t>
      </w:r>
    </w:p>
    <w:p w14:paraId="57286C1C">
      <w:pPr>
        <w:adjustRightInd w:val="0"/>
        <w:snapToGrid w:val="0"/>
        <w:spacing w:line="360" w:lineRule="auto"/>
        <w:ind w:firstLine="482" w:firstLineChars="200"/>
        <w:outlineLvl w:val="1"/>
        <w:rPr>
          <w:rFonts w:ascii="宋体" w:hAnsi="宋体" w:cs="宋体"/>
          <w:b/>
          <w:color w:val="auto"/>
          <w:sz w:val="24"/>
          <w:highlight w:val="none"/>
        </w:rPr>
      </w:pPr>
      <w:bookmarkStart w:id="61" w:name="_Toc11687"/>
      <w:r>
        <w:rPr>
          <w:rFonts w:hint="eastAsia" w:ascii="宋体" w:hAnsi="宋体" w:cs="宋体"/>
          <w:b/>
          <w:color w:val="auto"/>
          <w:sz w:val="24"/>
          <w:highlight w:val="none"/>
        </w:rPr>
        <w:t>18.  竣工试验和竣工验收</w:t>
      </w:r>
      <w:bookmarkEnd w:id="61"/>
    </w:p>
    <w:p w14:paraId="29177E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竣工验收</w:t>
      </w:r>
    </w:p>
    <w:p w14:paraId="420257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18.3.7竣工验收标准及程序</w:t>
      </w:r>
    </w:p>
    <w:p w14:paraId="415A49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（1）竣工验收标准：按照国家、行业和广东省有关规定执行。</w:t>
      </w:r>
    </w:p>
    <w:p w14:paraId="6224F57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（2）竣工验收程序：承包人工程完工后5天内，由承包人通知发包人及有关单位进行预验收，发包人在随后5天内验收完毕。工程内容及质量符合要求的，叁方签字盖章进行确认，并由承包人向主管部门申报验收。</w:t>
      </w:r>
    </w:p>
    <w:p w14:paraId="33EB3D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18.3.8双方约定的中间交工验收部位按穗建监字〔2001〕068号文件执行，验收人员组成：发包人、总监理工程师、承包人及后续关联工程承建等有关单位。</w:t>
      </w:r>
    </w:p>
    <w:p w14:paraId="77C255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 施工期运行</w:t>
      </w:r>
    </w:p>
    <w:p w14:paraId="0A6897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718FF2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竣工后试验（A）</w:t>
      </w:r>
    </w:p>
    <w:p w14:paraId="0E8BD1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0EE05A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竣工后试验（B）</w:t>
      </w:r>
    </w:p>
    <w:p w14:paraId="7381B32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20D055D1">
      <w:pPr>
        <w:adjustRightInd w:val="0"/>
        <w:snapToGrid w:val="0"/>
        <w:spacing w:line="360" w:lineRule="auto"/>
        <w:ind w:firstLine="482" w:firstLineChars="200"/>
        <w:outlineLvl w:val="1"/>
        <w:rPr>
          <w:rFonts w:ascii="宋体" w:hAnsi="宋体" w:cs="宋体"/>
          <w:b/>
          <w:color w:val="auto"/>
          <w:sz w:val="24"/>
          <w:highlight w:val="none"/>
        </w:rPr>
      </w:pPr>
      <w:bookmarkStart w:id="62" w:name="_Toc7643"/>
      <w:r>
        <w:rPr>
          <w:rFonts w:hint="eastAsia" w:ascii="宋体" w:hAnsi="宋体" w:cs="宋体"/>
          <w:b/>
          <w:color w:val="auto"/>
          <w:sz w:val="24"/>
          <w:highlight w:val="none"/>
        </w:rPr>
        <w:t>19.  缺陷责任与保修责任</w:t>
      </w:r>
      <w:bookmarkEnd w:id="62"/>
    </w:p>
    <w:p w14:paraId="7291D3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 缺陷责任期的起算时间</w:t>
      </w:r>
    </w:p>
    <w:p w14:paraId="610DA1C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缺陷责任期：本工程缺陷责任期自实际竣工且按照合同约定移交之日起计算，缺陷责任期两年，质量保证金的返还按合同专用条款第17.4.5款约定执行。</w:t>
      </w:r>
    </w:p>
    <w:p w14:paraId="3A417B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缺陷责任</w:t>
      </w:r>
    </w:p>
    <w:p w14:paraId="43ADEA5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19.2.5 对在质量保修期内或结束后14天内发包人通知承包人需修正的质量缺陷，承包人应当在规定的时间内完成。如果承包人未能在规定时间内修正质量缺陷，则发包人有权按下列其中的任一种方法处理：</w:t>
      </w:r>
    </w:p>
    <w:p w14:paraId="39AD19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19.2.5.1 可自行或指派第三方修正缺陷，因此产生的费用由承包人承担。该缺陷的修正费用经造价工程师或监理工程师核实，由承包人支付；</w:t>
      </w:r>
    </w:p>
    <w:p w14:paraId="008ECE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19.2.5.2 在合同价款中对此项工作所需的费用做相应的扣除。</w:t>
      </w:r>
    </w:p>
    <w:p w14:paraId="5D767D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 保修责任</w:t>
      </w:r>
    </w:p>
    <w:p w14:paraId="179FA3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 质量保修期：质量保修期从竣工验收合格且按照合同约定移交之日起计算，按国务院第279号《建设工程质量管理条例》的规定。</w:t>
      </w:r>
    </w:p>
    <w:p w14:paraId="3CBF90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19.7.2 修复质量缺陷外工作：</w:t>
      </w:r>
    </w:p>
    <w:p w14:paraId="7EE746DF">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承包人修复属于质量缺陷以外的费用，由责任方承担；如果该项工作是由于下述方面引起的，则全部费用均由承包人承担：</w:t>
      </w:r>
      <w:r>
        <w:rPr>
          <w:rFonts w:hint="eastAsia" w:ascii="宋体" w:hAnsi="宋体" w:cs="宋体"/>
          <w:color w:val="auto"/>
          <w:sz w:val="24"/>
          <w:highlight w:val="none"/>
          <w:u w:val="single"/>
        </w:rPr>
        <w:t>（1）、(2）、（3）</w:t>
      </w:r>
    </w:p>
    <w:p w14:paraId="64E1D1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（1）使用不符合合同规定的材料、设备装置或工艺；</w:t>
      </w:r>
    </w:p>
    <w:p w14:paraId="6F80FC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（2）承包人负责设计的工程，出现设计错误；</w:t>
      </w:r>
    </w:p>
    <w:p w14:paraId="2DECCC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（3）承包人未能执行或忽略了合同中规定和暗含的义务；</w:t>
      </w:r>
    </w:p>
    <w:p w14:paraId="2D116E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如果在合理时间内承包人未能执行上述指示，发包人可自行或指派第三方修复，因此产生的费用经造价工程师或监理工程师核实后，由承包人承担。</w:t>
      </w:r>
    </w:p>
    <w:p w14:paraId="6BB5047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19.7.3 因承包人原因致使建设工程在设计使用年限内造成人身和财产损害的，承包人应当承担损害赔偿责任。</w:t>
      </w:r>
    </w:p>
    <w:p w14:paraId="39A12DB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19.7.4 在本工程质量保修内，承包人接到发包人或发包人委托的物业管理单位维修通知时，必须在1小时内到场，并在接到通知后24小时内完成维修。否则，发包人有权自行委托第三方进行维修，维修费用从保修金内扣除。若保修金不足以弥补发包人损失的，发包人有权追偿。</w:t>
      </w:r>
    </w:p>
    <w:p w14:paraId="2D94BB59">
      <w:pPr>
        <w:adjustRightInd w:val="0"/>
        <w:snapToGrid w:val="0"/>
        <w:spacing w:line="360" w:lineRule="auto"/>
        <w:ind w:firstLine="482" w:firstLineChars="200"/>
        <w:outlineLvl w:val="1"/>
        <w:rPr>
          <w:rFonts w:ascii="宋体" w:hAnsi="宋体" w:cs="宋体"/>
          <w:b/>
          <w:color w:val="auto"/>
          <w:sz w:val="24"/>
          <w:highlight w:val="none"/>
        </w:rPr>
      </w:pPr>
      <w:bookmarkStart w:id="63" w:name="_Toc6290"/>
      <w:r>
        <w:rPr>
          <w:rFonts w:hint="eastAsia" w:ascii="宋体" w:hAnsi="宋体" w:cs="宋体"/>
          <w:b/>
          <w:color w:val="auto"/>
          <w:sz w:val="24"/>
          <w:highlight w:val="none"/>
        </w:rPr>
        <w:t>20. 保险</w:t>
      </w:r>
      <w:bookmarkEnd w:id="63"/>
    </w:p>
    <w:p w14:paraId="48586E9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设计和工程保险</w:t>
      </w:r>
    </w:p>
    <w:p w14:paraId="5F3C8D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20.1.5 投保内容、保险金、保险期限和责任等事项的约定：承包人应当及时办理自身保险事项和受发包人委托办理的保险事项。除非发包人声明不需要，承包人应当在签署保险合同前，就保险合同的内容须征询发包人的意见。承包人应保证相关保险合同的有效性，否则，由此造成的损失由承包人承担。发包人及承包人各自承担应付保险费用。</w:t>
      </w:r>
    </w:p>
    <w:p w14:paraId="6F66AD64">
      <w:pPr>
        <w:adjustRightInd w:val="0"/>
        <w:snapToGrid w:val="0"/>
        <w:spacing w:line="360" w:lineRule="auto"/>
        <w:ind w:firstLine="482" w:firstLineChars="200"/>
        <w:outlineLvl w:val="1"/>
        <w:rPr>
          <w:rFonts w:ascii="宋体" w:hAnsi="宋体" w:cs="宋体"/>
          <w:b/>
          <w:color w:val="auto"/>
          <w:sz w:val="24"/>
          <w:highlight w:val="none"/>
        </w:rPr>
      </w:pPr>
      <w:bookmarkStart w:id="64" w:name="_Toc21095"/>
      <w:r>
        <w:rPr>
          <w:rFonts w:hint="eastAsia" w:ascii="宋体" w:hAnsi="宋体" w:cs="宋体"/>
          <w:b/>
          <w:color w:val="auto"/>
          <w:sz w:val="24"/>
          <w:highlight w:val="none"/>
        </w:rPr>
        <w:t>21. 不可抗力</w:t>
      </w:r>
      <w:bookmarkEnd w:id="64"/>
    </w:p>
    <w:p w14:paraId="1341BB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不可抗力的确认</w:t>
      </w:r>
    </w:p>
    <w:p w14:paraId="53C2DF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不可抗力是指不能预见、不能避免并不能克服，对本合同工程的施工造成重大实质性影响的自然灾害和战争、动乱（不包括承包人内部的任何纠纷和纷争）等事件。不可抗力包括因战争、敌对行动（无论是否宣战）、入侵、外敌行为、军事政变、恐怖主义、动乱、空中飞行物坠落或其他非发包人承包人责任或原因造成的罢工、停工、爆炸、火灾等，以及：</w:t>
      </w:r>
    </w:p>
    <w:p w14:paraId="1C4684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（1）当地气象部门规定的情形：仅指50年（含50年）一遇以上的洪水、10级（含10级）以上的台风；</w:t>
      </w:r>
    </w:p>
    <w:p w14:paraId="18A9B3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（2）当地地震部门规定的情形：仅指里氏5级以上（含5级）地震；</w:t>
      </w:r>
    </w:p>
    <w:p w14:paraId="07E919B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（3）当地卫生部门规定的情形：仅指构成突发公共卫生事件的重大传染病疫情暴发而被卫生部门强行要求停工的情况发生。</w:t>
      </w:r>
    </w:p>
    <w:p w14:paraId="284D96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21.1.3因专用条款第21.1.1款约定的异常天气（洪水、台风）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14:paraId="17831B6F">
      <w:pPr>
        <w:adjustRightInd w:val="0"/>
        <w:snapToGrid w:val="0"/>
        <w:spacing w:line="360" w:lineRule="auto"/>
        <w:ind w:firstLine="482" w:firstLineChars="200"/>
        <w:outlineLvl w:val="1"/>
        <w:rPr>
          <w:rFonts w:ascii="宋体" w:hAnsi="宋体" w:cs="宋体"/>
          <w:b/>
          <w:color w:val="auto"/>
          <w:sz w:val="24"/>
          <w:highlight w:val="none"/>
        </w:rPr>
      </w:pPr>
      <w:bookmarkStart w:id="65" w:name="_Toc17196"/>
      <w:r>
        <w:rPr>
          <w:rFonts w:hint="eastAsia" w:ascii="宋体" w:hAnsi="宋体" w:cs="宋体"/>
          <w:b/>
          <w:color w:val="auto"/>
          <w:sz w:val="24"/>
          <w:highlight w:val="none"/>
        </w:rPr>
        <w:t>22. 违约</w:t>
      </w:r>
      <w:bookmarkEnd w:id="65"/>
    </w:p>
    <w:p w14:paraId="212741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承包人违约</w:t>
      </w:r>
    </w:p>
    <w:p w14:paraId="133D10D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14:paraId="540127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（10）合同生效后，承包人要求终止或解除合同，应返还发包人已支付的价款，双方进行清算，履约担保不予退还。</w:t>
      </w:r>
    </w:p>
    <w:p w14:paraId="6B4153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（11）若承包人不按指定的日期停工、复工的，每次向发包人支付违约金人民币5万元。</w:t>
      </w:r>
    </w:p>
    <w:p w14:paraId="0E29219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（12）工程验收不合格，履约担保不予退还，承包人应自费履行补救措施直到工程验收合格为止。</w:t>
      </w:r>
    </w:p>
    <w:p w14:paraId="33B7A8E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工程通过验收且在发包人发出退场通知后5天内承包人应无条件退场，否则，每迟延一天退场，支付违约金10000元，承包人实际退场完毕之日为实际竣工之日，同时，发包人有权按已竣工工程的租金标准向承包人收取场地占用费。</w:t>
      </w:r>
    </w:p>
    <w:p w14:paraId="28EC30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承包人若无正当理由而未执行监理人的指令，或对监理人的指令敷衍了事，情节严重的，发包人将根据监理人建议，发包人有权每次对承包人处以5000元的罚款，暂停支付当期工程进度款，直至承包人完成监理人指令为止。</w:t>
      </w:r>
    </w:p>
    <w:p w14:paraId="37A848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（15）承包人提供的工程结算资料必须完整真实，不得弄虚作假，随意涂改，否则，一经发现，将按合同价款的2％进行处罚。</w:t>
      </w:r>
    </w:p>
    <w:p w14:paraId="7CCF41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22.1.7 承包人违约责任的认定程序</w:t>
      </w:r>
    </w:p>
    <w:p w14:paraId="286A30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若承包人发生本合同约定的违约行为，发包人要求承包人承担违约责任的，应以书面形式通知承包人，说明其违约的原因和必须承担违约责任的等级，认定程序如下：</w:t>
      </w:r>
    </w:p>
    <w:p w14:paraId="677CEE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（1）由总监理工程师提出书面意见报发包人，发包人审核后向承包人出具《违约情况告知书》；</w:t>
      </w:r>
    </w:p>
    <w:p w14:paraId="33AD49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（2）承包人收到《违约情况告知书》两天内，可向发包人提出书面意见，否则，发包人可直接向承包人出具《违约责任通知书》；</w:t>
      </w:r>
    </w:p>
    <w:p w14:paraId="064384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（3）《违约情况告知书》和《违约责任通知书》于送达承包人时即生效；</w:t>
      </w:r>
    </w:p>
    <w:p w14:paraId="2E7CD5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（4）《违约情况告知书》和《违约责任通知书》的送达方式为下列任一种：</w:t>
      </w:r>
    </w:p>
    <w:p w14:paraId="3B50B62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①本项目的项目负责人或其他管理人员签收； </w:t>
      </w:r>
    </w:p>
    <w:p w14:paraId="6FB2CB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②发包人以挂号邮件送达。</w:t>
      </w:r>
    </w:p>
    <w:p w14:paraId="2D3C53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22.1.8 违约责任的承担形式包括但不限于：  </w:t>
      </w:r>
    </w:p>
    <w:p w14:paraId="1C1BABA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书面警告：</w:t>
      </w:r>
      <w:r>
        <w:rPr>
          <w:rFonts w:hint="eastAsia" w:ascii="宋体" w:hAnsi="宋体" w:cs="宋体"/>
          <w:color w:val="auto"/>
          <w:sz w:val="24"/>
          <w:highlight w:val="none"/>
        </w:rPr>
        <w:t>承包人未履行或未按时履行或未按质按量履行义务时，监理工程师经报发包人同意有权向承包人发出书面警告。</w:t>
      </w:r>
    </w:p>
    <w:p w14:paraId="4281C2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限期改正：</w:t>
      </w:r>
      <w:r>
        <w:rPr>
          <w:rFonts w:hint="eastAsia" w:ascii="宋体" w:hAnsi="宋体" w:cs="宋体"/>
          <w:color w:val="auto"/>
          <w:sz w:val="24"/>
          <w:highlight w:val="none"/>
        </w:rPr>
        <w:t>承包人受到书面警告后仍不改正，监理工程师经报发包人同意有权向承包人发出《违约责任通知书》，要求承包人必须在监理工程师及发包人限定的时间内履行义务；同时，承包人应向发包人支付违约金人民币10000元。</w:t>
      </w:r>
    </w:p>
    <w:p w14:paraId="0B698AE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一般违约责任：</w:t>
      </w:r>
      <w:r>
        <w:rPr>
          <w:rFonts w:hint="eastAsia" w:ascii="宋体" w:hAnsi="宋体" w:cs="宋体"/>
          <w:color w:val="auto"/>
          <w:sz w:val="24"/>
          <w:highlight w:val="none"/>
        </w:rPr>
        <w:t>承包人违反本合同的约定须承担一般违约责任时，必须每次向发包人支付违约金3万元，若承包人再犯性质相同的违约行为，两次以上（含本数）6万元/次。不同违约行为的违约金可相加计算。</w:t>
      </w:r>
    </w:p>
    <w:p w14:paraId="3489392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color w:val="auto"/>
          <w:sz w:val="24"/>
          <w:highlight w:val="none"/>
        </w:rPr>
        <w:t>严重违约责任：</w:t>
      </w:r>
      <w:r>
        <w:rPr>
          <w:rFonts w:hint="eastAsia" w:ascii="宋体" w:hAnsi="宋体" w:cs="宋体"/>
          <w:color w:val="auto"/>
          <w:sz w:val="24"/>
          <w:highlight w:val="none"/>
        </w:rPr>
        <w:t>承包人违反本合同的约定须承担严重违约责任时，必须每次向发包人支付违约金9万元。</w:t>
      </w:r>
    </w:p>
    <w:p w14:paraId="35EE0B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合同的部分解除：</w:t>
      </w:r>
      <w:r>
        <w:rPr>
          <w:rFonts w:hint="eastAsia" w:ascii="宋体" w:hAnsi="宋体" w:cs="宋体"/>
          <w:color w:val="auto"/>
          <w:sz w:val="24"/>
          <w:highlight w:val="none"/>
        </w:rPr>
        <w:t>发包人向承包人发出合同部分解除的通知后，承包人必须在2天内停止该部分工程的施工，并将机械、材料、物件、人员从该部分工程的施工现场撤离。停工3天内，发包人、监理人将会同承包人对已完成工程量进行清点：只承认已发生并投入，且符合质量验收标准的部分，对已订货未到现场或在现场未使用的材料、设备等均不予承认，由承包人自行处理；对于承包人已施工但经检验不合格的工程，承包人必须在限期内拆除，并清运出工地，由此带来的承包人损失发包人不予负任何责任。承包人必须作好与发包人重新确定承包人的配合工作，在7天内作好已施工部分技术资料和实物的交底、移交工作。承包人因没有履行上述义务而给发包人带来工期延误和其它损失的，承包人应赔偿发包人的全部实际损失，发包人有权解除全部合同。</w:t>
      </w:r>
    </w:p>
    <w:p w14:paraId="2AE263F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合同的全部解除：</w:t>
      </w:r>
      <w:r>
        <w:rPr>
          <w:rFonts w:hint="eastAsia" w:ascii="宋体" w:hAnsi="宋体" w:cs="宋体"/>
          <w:color w:val="auto"/>
          <w:sz w:val="24"/>
          <w:highlight w:val="none"/>
        </w:rPr>
        <w:t>发包人向承包人发出解除全部合同的通知后，承包人必须在2天内停工，10天内机械、材料、物件、人员全部清理离场。停工3天内，发包人、监理人将会同承包人对已完成工程量进行清点，清点原则同解除部分合同款。承包人未在规定期限内离场，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保证金不足以赔偿发包人损失的，承包人还应当补足）。由于合同全部解除而引致发包人工期延误及其它方面的损失，发包人有权要求承包人赔偿。停工7天内，承包人应将全部与工程相关的技术资料无条件移交给发包人，任何因移交资料不完整、不及时引起工程工期延误和其它损失均由承包人负责，承包人应赔偿发包人因此造成的一切经济损失。</w:t>
      </w:r>
    </w:p>
    <w:p w14:paraId="64858C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22.1.9 三次一般违约责任其性质相当于一次严重违约责任，累计三次严重违约责任，发包人有权解除部分合同；累计出现五次严重违约责任，发包人将立即解除全部合同。合同解除后，承包人必须承担累计的所有违约责任。</w:t>
      </w:r>
    </w:p>
    <w:p w14:paraId="084B63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22.1.10 违约金的支付</w:t>
      </w:r>
    </w:p>
    <w:p w14:paraId="70C5F4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合同各项的规定，因承包人原因导致违约，承包人须向发包人支付违约金时，承包人须在当月20日前将上月发生的全部违约金向发包人支付完毕，并在申请当期工程进度款时附上付款凭证。如承包人逾期不支付违约金，发包人有权从应支付给承包人的工程进度款中直接抵扣，承包人不得有异议。如当期工程进度款不足扣付，或扣除当期工程进度款会影响工程正常施工时，发包人将在履约担保中扣除，并在以后的工程进度款中扣回。若因承包人的违约行为造成发包人的实际损失超过承包人履约担保所能支付的金额，则承包人必须按造成发包人的实际损失支付赔偿金。若承包人拒不支付，发包人将依法予以追讨。</w:t>
      </w:r>
    </w:p>
    <w:p w14:paraId="2D4AC87F">
      <w:pPr>
        <w:adjustRightInd w:val="0"/>
        <w:snapToGrid w:val="0"/>
        <w:spacing w:line="360" w:lineRule="auto"/>
        <w:ind w:firstLine="482" w:firstLineChars="200"/>
        <w:outlineLvl w:val="1"/>
        <w:rPr>
          <w:rFonts w:ascii="宋体" w:hAnsi="宋体" w:cs="宋体"/>
          <w:b/>
          <w:color w:val="auto"/>
          <w:sz w:val="24"/>
          <w:highlight w:val="none"/>
        </w:rPr>
      </w:pPr>
      <w:bookmarkStart w:id="66" w:name="_Toc386"/>
      <w:r>
        <w:rPr>
          <w:rFonts w:hint="eastAsia" w:ascii="宋体" w:hAnsi="宋体" w:cs="宋体"/>
          <w:b/>
          <w:color w:val="auto"/>
          <w:sz w:val="24"/>
          <w:highlight w:val="none"/>
        </w:rPr>
        <w:t>24. 争议的解决</w:t>
      </w:r>
      <w:bookmarkEnd w:id="66"/>
    </w:p>
    <w:p w14:paraId="45E9D0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24.4 调解或认定</w:t>
      </w:r>
    </w:p>
    <w:p w14:paraId="1D85BF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争议调解或认定机构：</w:t>
      </w:r>
    </w:p>
    <w:p w14:paraId="0C62C5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（1）建设工程安全监督机构，负责有关工程安全方面争议的调解或认定；</w:t>
      </w:r>
    </w:p>
    <w:p w14:paraId="52B254E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（2）建设工程质量监督机构，负责有关工程质量方面争议的调解或认定；</w:t>
      </w:r>
    </w:p>
    <w:p w14:paraId="284D5F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（3）建设工程造价管理机构，负责有关工程造价方面争议的调解或认定。</w:t>
      </w:r>
    </w:p>
    <w:p w14:paraId="371782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24.5 仲裁或诉讼</w:t>
      </w:r>
    </w:p>
    <w:p w14:paraId="633E196D">
      <w:pPr>
        <w:adjustRightInd w:val="0"/>
        <w:snapToGrid w:val="0"/>
        <w:spacing w:line="360" w:lineRule="auto"/>
        <w:ind w:firstLine="480" w:firstLineChars="200"/>
        <w:jc w:val="left"/>
        <w:outlineLvl w:val="9"/>
        <w:rPr>
          <w:rFonts w:ascii="宋体" w:hAnsi="宋体" w:cs="宋体"/>
          <w:b/>
          <w:color w:val="auto"/>
          <w:sz w:val="24"/>
          <w:highlight w:val="none"/>
        </w:rPr>
      </w:pPr>
      <w:r>
        <w:rPr>
          <w:rFonts w:hint="eastAsia" w:ascii="宋体" w:hAnsi="宋体" w:cs="宋体"/>
          <w:color w:val="auto"/>
          <w:sz w:val="24"/>
          <w:highlight w:val="none"/>
        </w:rPr>
        <w:t>解决争议的最终方式：向施工合同履行地人民法院提起诉讼。</w:t>
      </w:r>
      <w:r>
        <w:rPr>
          <w:rFonts w:hint="eastAsia" w:ascii="宋体" w:hAnsi="宋体" w:cs="宋体"/>
          <w:b/>
          <w:color w:val="auto"/>
          <w:sz w:val="24"/>
          <w:highlight w:val="none"/>
        </w:rPr>
        <w:br w:type="page"/>
      </w:r>
      <w:bookmarkStart w:id="67" w:name="_Toc4677"/>
      <w:r>
        <w:rPr>
          <w:rFonts w:hint="eastAsia" w:ascii="宋体" w:hAnsi="宋体" w:cs="宋体"/>
          <w:b/>
          <w:color w:val="auto"/>
          <w:sz w:val="32"/>
          <w:szCs w:val="32"/>
          <w:highlight w:val="none"/>
        </w:rPr>
        <w:t>第四部分   附件</w:t>
      </w:r>
      <w:bookmarkEnd w:id="67"/>
    </w:p>
    <w:p w14:paraId="44D8CA22">
      <w:pPr>
        <w:adjustRightInd w:val="0"/>
        <w:snapToGrid w:val="0"/>
        <w:spacing w:line="360" w:lineRule="auto"/>
        <w:ind w:firstLine="480" w:firstLineChars="200"/>
        <w:outlineLvl w:val="1"/>
        <w:rPr>
          <w:rFonts w:ascii="宋体" w:hAnsi="宋体" w:cs="宋体"/>
          <w:color w:val="auto"/>
          <w:sz w:val="24"/>
          <w:highlight w:val="none"/>
        </w:rPr>
      </w:pPr>
      <w:bookmarkStart w:id="68" w:name="_Toc17308"/>
      <w:r>
        <w:rPr>
          <w:rFonts w:hint="eastAsia" w:ascii="宋体" w:hAnsi="宋体" w:cs="宋体"/>
          <w:color w:val="auto"/>
          <w:sz w:val="24"/>
          <w:highlight w:val="none"/>
        </w:rPr>
        <w:t>附件1：工程质量保修书</w:t>
      </w:r>
      <w:bookmarkEnd w:id="68"/>
    </w:p>
    <w:p w14:paraId="549B32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附件2：廉政合同</w:t>
      </w:r>
    </w:p>
    <w:p w14:paraId="4E9748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附件3：保密协议</w:t>
      </w:r>
    </w:p>
    <w:p w14:paraId="6C40DED5">
      <w:pPr>
        <w:adjustRightInd w:val="0"/>
        <w:snapToGrid w:val="0"/>
        <w:spacing w:line="360" w:lineRule="auto"/>
        <w:ind w:firstLine="480" w:firstLineChars="200"/>
        <w:outlineLvl w:val="1"/>
        <w:rPr>
          <w:rFonts w:hint="eastAsia" w:ascii="宋体" w:hAnsi="宋体" w:eastAsia="宋体" w:cs="宋体"/>
          <w:color w:val="auto"/>
          <w:sz w:val="24"/>
          <w:highlight w:val="none"/>
          <w:lang w:eastAsia="zh-CN"/>
        </w:rPr>
      </w:pPr>
      <w:r>
        <w:rPr>
          <w:rFonts w:hint="eastAsia" w:ascii="宋体" w:hAnsi="宋体" w:cs="宋体"/>
          <w:color w:val="auto"/>
          <w:sz w:val="24"/>
          <w:highlight w:val="none"/>
        </w:rPr>
        <w:t>附件4：</w:t>
      </w:r>
      <w:r>
        <w:rPr>
          <w:rFonts w:hint="eastAsia" w:ascii="宋体" w:hAnsi="宋体" w:eastAsia="宋体" w:cs="宋体"/>
          <w:b w:val="0"/>
          <w:color w:val="auto"/>
          <w:sz w:val="24"/>
          <w:szCs w:val="24"/>
          <w:highlight w:val="none"/>
        </w:rPr>
        <w:t>芳村花园消防设施设备维修</w:t>
      </w:r>
      <w:r>
        <w:rPr>
          <w:rFonts w:hint="eastAsia" w:ascii="宋体" w:hAnsi="宋体" w:eastAsia="宋体" w:cs="宋体"/>
          <w:b w:val="0"/>
          <w:color w:val="auto"/>
          <w:sz w:val="24"/>
          <w:szCs w:val="24"/>
          <w:highlight w:val="none"/>
          <w:lang w:eastAsia="zh-CN"/>
        </w:rPr>
        <w:t>更换</w:t>
      </w:r>
      <w:r>
        <w:rPr>
          <w:rFonts w:hint="eastAsia" w:ascii="宋体" w:hAnsi="宋体" w:cs="宋体"/>
          <w:color w:val="auto"/>
          <w:sz w:val="24"/>
          <w:highlight w:val="none"/>
        </w:rPr>
        <w:t>项目</w:t>
      </w:r>
      <w:r>
        <w:rPr>
          <w:rFonts w:hint="eastAsia" w:ascii="宋体" w:hAnsi="宋体" w:eastAsia="宋体" w:cs="宋体"/>
          <w:b w:val="0"/>
          <w:color w:val="auto"/>
          <w:sz w:val="24"/>
          <w:szCs w:val="24"/>
          <w:highlight w:val="none"/>
          <w:lang w:eastAsia="zh-CN"/>
        </w:rPr>
        <w:t>设计</w:t>
      </w:r>
      <w:r>
        <w:rPr>
          <w:rFonts w:hint="eastAsia" w:ascii="宋体" w:hAnsi="宋体" w:eastAsia="宋体" w:cs="宋体"/>
          <w:b w:val="0"/>
          <w:color w:val="auto"/>
          <w:sz w:val="24"/>
          <w:szCs w:val="24"/>
          <w:highlight w:val="none"/>
        </w:rPr>
        <w:t>施工总承包</w:t>
      </w:r>
      <w:r>
        <w:rPr>
          <w:rFonts w:hint="eastAsia" w:ascii="宋体" w:hAnsi="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需求</w:t>
      </w:r>
      <w:r>
        <w:rPr>
          <w:rFonts w:hint="eastAsia" w:ascii="宋体" w:hAnsi="宋体" w:cs="宋体"/>
          <w:color w:val="auto"/>
          <w:sz w:val="24"/>
          <w:highlight w:val="none"/>
        </w:rPr>
        <w:t>书</w:t>
      </w:r>
      <w:r>
        <w:rPr>
          <w:rFonts w:hint="eastAsia" w:ascii="宋体" w:hAnsi="宋体" w:cs="宋体"/>
          <w:color w:val="auto"/>
          <w:sz w:val="24"/>
          <w:highlight w:val="none"/>
          <w:lang w:eastAsia="zh-CN"/>
        </w:rPr>
        <w:t>（另册）</w:t>
      </w:r>
    </w:p>
    <w:p w14:paraId="507AB4DB">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附件5：联合体协议书（复印件）</w:t>
      </w:r>
    </w:p>
    <w:p w14:paraId="5FFE546A">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附件6：《广州安居集团有限公司建设工程设计管理办法（试行）》</w:t>
      </w:r>
      <w:r>
        <w:rPr>
          <w:rFonts w:hint="eastAsia" w:ascii="宋体" w:hAnsi="宋体" w:cs="宋体"/>
          <w:color w:val="auto"/>
          <w:sz w:val="24"/>
          <w:highlight w:val="none"/>
          <w:lang w:eastAsia="zh-CN"/>
        </w:rPr>
        <w:t>（另册）</w:t>
      </w:r>
    </w:p>
    <w:p w14:paraId="54229A68">
      <w:pPr>
        <w:adjustRightInd w:val="0"/>
        <w:snapToGrid w:val="0"/>
        <w:spacing w:line="360" w:lineRule="auto"/>
        <w:ind w:firstLine="456" w:firstLineChars="200"/>
        <w:outlineLvl w:val="1"/>
        <w:rPr>
          <w:rFonts w:ascii="宋体" w:hAnsi="宋体" w:cs="宋体"/>
          <w:color w:val="auto"/>
          <w:spacing w:val="-6"/>
          <w:sz w:val="24"/>
          <w:highlight w:val="none"/>
        </w:rPr>
      </w:pPr>
      <w:r>
        <w:rPr>
          <w:rFonts w:hint="eastAsia" w:ascii="宋体" w:hAnsi="宋体" w:cs="宋体"/>
          <w:color w:val="auto"/>
          <w:spacing w:val="-6"/>
          <w:sz w:val="24"/>
          <w:highlight w:val="none"/>
        </w:rPr>
        <w:t>附件7：《广州安居集团保障性住房项目设计评价标准及负面清单（试行）》</w:t>
      </w:r>
      <w:r>
        <w:rPr>
          <w:rFonts w:hint="eastAsia" w:ascii="宋体" w:hAnsi="宋体" w:cs="宋体"/>
          <w:color w:val="auto"/>
          <w:spacing w:val="-6"/>
          <w:sz w:val="24"/>
          <w:highlight w:val="none"/>
          <w:lang w:eastAsia="zh-CN"/>
        </w:rPr>
        <w:t>（另册）</w:t>
      </w:r>
    </w:p>
    <w:p w14:paraId="64B4C16E">
      <w:pPr>
        <w:pStyle w:val="2"/>
        <w:spacing w:line="360" w:lineRule="auto"/>
        <w:ind w:firstLine="480" w:firstLineChars="200"/>
        <w:rPr>
          <w:rFonts w:hint="eastAsia" w:hAnsi="宋体" w:cs="宋体"/>
          <w:color w:val="auto"/>
          <w:sz w:val="24"/>
          <w:highlight w:val="none"/>
          <w:lang w:val="en-US" w:eastAsia="zh-CN"/>
        </w:rPr>
      </w:pPr>
      <w:r>
        <w:rPr>
          <w:rFonts w:hint="eastAsia" w:ascii="宋体" w:hAnsi="宋体" w:cs="宋体"/>
          <w:color w:val="auto"/>
          <w:sz w:val="24"/>
          <w:highlight w:val="none"/>
        </w:rPr>
        <w:t>附件8：</w:t>
      </w:r>
      <w:r>
        <w:rPr>
          <w:rFonts w:hint="eastAsia" w:hAnsi="宋体" w:cs="宋体"/>
          <w:color w:val="auto"/>
          <w:sz w:val="24"/>
          <w:highlight w:val="none"/>
          <w:lang w:val="en-US" w:eastAsia="zh-CN"/>
        </w:rPr>
        <w:t>《广州安居集团有限公司施工合同履约评价实施办法（试行）》（另册）</w:t>
      </w:r>
    </w:p>
    <w:p w14:paraId="0667466F">
      <w:pPr>
        <w:pStyle w:val="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w:t>
      </w:r>
      <w:r>
        <w:rPr>
          <w:rFonts w:hint="eastAsia" w:hAnsi="宋体" w:cs="宋体"/>
          <w:color w:val="auto"/>
          <w:sz w:val="24"/>
          <w:highlight w:val="none"/>
          <w:lang w:val="en-US" w:eastAsia="zh-CN"/>
        </w:rPr>
        <w:t>9</w:t>
      </w:r>
      <w:r>
        <w:rPr>
          <w:rFonts w:hint="eastAsia" w:ascii="宋体" w:hAnsi="宋体" w:cs="宋体"/>
          <w:color w:val="auto"/>
          <w:sz w:val="24"/>
          <w:highlight w:val="none"/>
        </w:rPr>
        <w:t>：《广州安居住房置业有限公司工程预算编审指引（试行）》（另册）</w:t>
      </w:r>
    </w:p>
    <w:p w14:paraId="1BA24EDD">
      <w:pPr>
        <w:pStyle w:val="2"/>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1</w:t>
      </w:r>
      <w:r>
        <w:rPr>
          <w:rFonts w:hint="eastAsia" w:hAnsi="宋体" w:cs="宋体"/>
          <w:color w:val="auto"/>
          <w:sz w:val="24"/>
          <w:highlight w:val="none"/>
          <w:lang w:val="en-US" w:eastAsia="zh-CN"/>
        </w:rPr>
        <w:t>0</w:t>
      </w:r>
      <w:r>
        <w:rPr>
          <w:rFonts w:hint="eastAsia" w:ascii="宋体" w:hAnsi="宋体" w:cs="宋体"/>
          <w:color w:val="auto"/>
          <w:sz w:val="24"/>
          <w:highlight w:val="none"/>
        </w:rPr>
        <w:t>：《广州安居住房置业有限公司工程结算编审指引（试行）》（另册）</w:t>
      </w:r>
    </w:p>
    <w:p w14:paraId="15A2F3F5">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：承包人法定代表人、项目负责人的身份证、职务、职称及通</w:t>
      </w:r>
      <w:r>
        <w:rPr>
          <w:rFonts w:hint="eastAsia" w:ascii="宋体" w:hAnsi="宋体" w:cs="宋体"/>
          <w:color w:val="auto"/>
          <w:sz w:val="24"/>
          <w:highlight w:val="none"/>
          <w:lang w:eastAsia="zh-CN"/>
        </w:rPr>
        <w:t>迅</w:t>
      </w:r>
      <w:r>
        <w:rPr>
          <w:rFonts w:hint="eastAsia" w:ascii="宋体" w:hAnsi="宋体" w:cs="宋体"/>
          <w:color w:val="auto"/>
          <w:sz w:val="24"/>
          <w:highlight w:val="none"/>
        </w:rPr>
        <w:t>联系方式</w:t>
      </w:r>
    </w:p>
    <w:p w14:paraId="1E0DBEFB">
      <w:pPr>
        <w:adjustRightInd w:val="0"/>
        <w:snapToGrid w:val="0"/>
        <w:spacing w:line="360" w:lineRule="auto"/>
        <w:ind w:firstLine="480" w:firstLineChars="200"/>
        <w:outlineLvl w:val="1"/>
        <w:rPr>
          <w:rFonts w:hint="eastAsia" w:ascii="宋体" w:hAnsi="宋体" w:cs="宋体"/>
          <w:color w:val="auto"/>
          <w:sz w:val="24"/>
          <w:highlight w:val="none"/>
          <w:lang w:eastAsia="zh-CN"/>
        </w:rPr>
      </w:pPr>
      <w:r>
        <w:rPr>
          <w:rFonts w:hint="eastAsia" w:hAnsi="宋体" w:cs="宋体"/>
          <w:color w:val="auto"/>
          <w:sz w:val="24"/>
          <w:highlight w:val="none"/>
          <w:lang w:val="en-US" w:eastAsia="zh-CN"/>
        </w:rPr>
        <w:t>附件12：</w:t>
      </w:r>
      <w:r>
        <w:rPr>
          <w:rFonts w:hint="eastAsia" w:ascii="宋体" w:hAnsi="宋体" w:cs="宋体"/>
          <w:color w:val="auto"/>
          <w:sz w:val="24"/>
          <w:highlight w:val="none"/>
        </w:rPr>
        <w:t>主要材料设备品牌推荐表（参照或相当于）</w:t>
      </w:r>
      <w:r>
        <w:rPr>
          <w:rFonts w:hint="eastAsia" w:ascii="宋体" w:hAnsi="宋体" w:cs="宋体"/>
          <w:color w:val="auto"/>
          <w:sz w:val="24"/>
          <w:highlight w:val="none"/>
          <w:lang w:eastAsia="zh-CN"/>
        </w:rPr>
        <w:t>（另册）</w:t>
      </w:r>
    </w:p>
    <w:p w14:paraId="0A3BA763">
      <w:pPr>
        <w:adjustRightInd w:val="0"/>
        <w:snapToGrid w:val="0"/>
        <w:spacing w:line="360" w:lineRule="auto"/>
        <w:ind w:firstLine="0" w:firstLineChars="0"/>
        <w:outlineLvl w:val="1"/>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附件1</w:t>
      </w:r>
    </w:p>
    <w:p w14:paraId="3D40F347">
      <w:pPr>
        <w:adjustRightInd w:val="0"/>
        <w:snapToGrid w:val="0"/>
        <w:spacing w:line="480" w:lineRule="auto"/>
        <w:jc w:val="center"/>
        <w:outlineLvl w:val="0"/>
        <w:rPr>
          <w:rFonts w:ascii="宋体" w:hAnsi="宋体" w:cs="宋体"/>
          <w:snapToGrid w:val="0"/>
          <w:color w:val="auto"/>
          <w:kern w:val="0"/>
          <w:sz w:val="30"/>
          <w:szCs w:val="30"/>
          <w:highlight w:val="none"/>
        </w:rPr>
      </w:pPr>
      <w:bookmarkStart w:id="69" w:name="_Toc28645"/>
      <w:bookmarkStart w:id="70" w:name="_Toc2189"/>
      <w:bookmarkStart w:id="71" w:name="_Toc25593"/>
      <w:r>
        <w:rPr>
          <w:rFonts w:hint="eastAsia" w:ascii="宋体" w:hAnsi="宋体" w:cs="宋体"/>
          <w:b/>
          <w:snapToGrid w:val="0"/>
          <w:color w:val="auto"/>
          <w:kern w:val="0"/>
          <w:sz w:val="30"/>
          <w:szCs w:val="30"/>
          <w:highlight w:val="none"/>
        </w:rPr>
        <w:t>工程质量保修书</w:t>
      </w:r>
      <w:bookmarkEnd w:id="69"/>
      <w:bookmarkEnd w:id="70"/>
      <w:bookmarkEnd w:id="71"/>
    </w:p>
    <w:p w14:paraId="52CD8245">
      <w:pPr>
        <w:adjustRightInd w:val="0"/>
        <w:snapToGrid w:val="0"/>
        <w:spacing w:line="360" w:lineRule="auto"/>
        <w:ind w:right="11"/>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发包人：</w:t>
      </w:r>
      <w:r>
        <w:rPr>
          <w:rFonts w:hint="eastAsia" w:ascii="宋体" w:hAnsi="宋体" w:cs="宋体"/>
          <w:b/>
          <w:snapToGrid w:val="0"/>
          <w:color w:val="auto"/>
          <w:kern w:val="0"/>
          <w:sz w:val="24"/>
          <w:highlight w:val="none"/>
          <w:u w:val="single"/>
        </w:rPr>
        <w:t xml:space="preserve">广州珠江住房租赁发展投资有限公司 </w:t>
      </w:r>
    </w:p>
    <w:p w14:paraId="638276BB">
      <w:pPr>
        <w:adjustRightInd w:val="0"/>
        <w:snapToGrid w:val="0"/>
        <w:spacing w:line="360" w:lineRule="auto"/>
        <w:ind w:left="1928" w:right="11" w:hanging="1928" w:hangingChars="800"/>
        <w:rPr>
          <w:rFonts w:hint="default" w:ascii="宋体" w:hAnsi="宋体" w:eastAsia="宋体" w:cs="宋体"/>
          <w:b/>
          <w:snapToGrid w:val="0"/>
          <w:color w:val="auto"/>
          <w:kern w:val="0"/>
          <w:sz w:val="24"/>
          <w:highlight w:val="none"/>
          <w:u w:val="single"/>
          <w:lang w:val="en-US" w:eastAsia="zh-CN"/>
        </w:rPr>
      </w:pPr>
      <w:r>
        <w:rPr>
          <w:rFonts w:hint="eastAsia" w:ascii="宋体" w:hAnsi="宋体" w:cs="宋体"/>
          <w:b/>
          <w:snapToGrid w:val="0"/>
          <w:color w:val="auto"/>
          <w:kern w:val="0"/>
          <w:sz w:val="24"/>
          <w:highlight w:val="none"/>
        </w:rPr>
        <w:t>承包人：</w:t>
      </w:r>
      <w:r>
        <w:rPr>
          <w:rFonts w:hint="eastAsia" w:ascii="宋体" w:hAnsi="宋体" w:cs="宋体"/>
          <w:b/>
          <w:snapToGrid w:val="0"/>
          <w:color w:val="auto"/>
          <w:kern w:val="0"/>
          <w:sz w:val="24"/>
          <w:highlight w:val="none"/>
          <w:u w:val="single"/>
        </w:rPr>
        <w:t>（主）</w:t>
      </w:r>
      <w:r>
        <w:rPr>
          <w:rFonts w:hint="eastAsia" w:ascii="宋体" w:hAnsi="宋体" w:cs="宋体"/>
          <w:b/>
          <w:snapToGrid w:val="0"/>
          <w:color w:val="auto"/>
          <w:kern w:val="0"/>
          <w:sz w:val="24"/>
          <w:highlight w:val="none"/>
          <w:u w:val="single"/>
          <w:lang w:val="en-US" w:eastAsia="zh-CN"/>
        </w:rPr>
        <w:t xml:space="preserve">                          </w:t>
      </w:r>
    </w:p>
    <w:p w14:paraId="32F294C7">
      <w:pPr>
        <w:adjustRightInd w:val="0"/>
        <w:snapToGrid w:val="0"/>
        <w:spacing w:line="360" w:lineRule="auto"/>
        <w:ind w:left="1928" w:right="11" w:hanging="1928" w:hangingChars="800"/>
        <w:rPr>
          <w:rFonts w:hint="eastAsia" w:ascii="宋体" w:hAnsi="宋体" w:cs="宋体"/>
          <w:b/>
          <w:snapToGrid w:val="0"/>
          <w:color w:val="auto"/>
          <w:kern w:val="0"/>
          <w:sz w:val="24"/>
          <w:highlight w:val="none"/>
          <w:u w:val="single"/>
          <w:lang w:val="en-US" w:eastAsia="zh-CN"/>
        </w:rPr>
      </w:pPr>
      <w:r>
        <w:rPr>
          <w:rFonts w:hint="eastAsia" w:ascii="宋体" w:hAnsi="宋体" w:cs="宋体"/>
          <w:b/>
          <w:snapToGrid w:val="0"/>
          <w:color w:val="auto"/>
          <w:kern w:val="0"/>
          <w:sz w:val="24"/>
          <w:highlight w:val="none"/>
        </w:rPr>
        <w:t xml:space="preserve">        </w:t>
      </w:r>
      <w:r>
        <w:rPr>
          <w:rFonts w:hint="eastAsia" w:ascii="宋体" w:hAnsi="宋体" w:cs="宋体"/>
          <w:b/>
          <w:snapToGrid w:val="0"/>
          <w:color w:val="auto"/>
          <w:kern w:val="0"/>
          <w:sz w:val="24"/>
          <w:highlight w:val="none"/>
          <w:u w:val="single"/>
        </w:rPr>
        <w:t>（成）</w:t>
      </w:r>
      <w:r>
        <w:rPr>
          <w:rFonts w:hint="eastAsia" w:ascii="宋体" w:hAnsi="宋体" w:cs="宋体"/>
          <w:b/>
          <w:snapToGrid w:val="0"/>
          <w:color w:val="auto"/>
          <w:kern w:val="0"/>
          <w:sz w:val="24"/>
          <w:highlight w:val="none"/>
          <w:u w:val="single"/>
          <w:lang w:val="en-US" w:eastAsia="zh-CN"/>
        </w:rPr>
        <w:t xml:space="preserve">                           </w:t>
      </w:r>
    </w:p>
    <w:p w14:paraId="35E7A866">
      <w:pPr>
        <w:pStyle w:val="2"/>
        <w:rPr>
          <w:rFonts w:hint="default"/>
          <w:color w:val="auto"/>
          <w:highlight w:val="none"/>
          <w:lang w:val="en-US" w:eastAsia="zh-CN"/>
        </w:rPr>
      </w:pPr>
    </w:p>
    <w:p w14:paraId="7ADCD238">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发包人、承包人根据《中华人民共和国建筑法》、《建设工程质量管理条例》和《房屋建筑工程质量保修办法》，经协商一致，对</w:t>
      </w:r>
      <w:r>
        <w:rPr>
          <w:rFonts w:hint="eastAsia" w:ascii="宋体" w:hAnsi="宋体" w:eastAsia="宋体" w:cs="宋体"/>
          <w:b w:val="0"/>
          <w:snapToGrid w:val="0"/>
          <w:color w:val="auto"/>
          <w:kern w:val="0"/>
          <w:sz w:val="24"/>
          <w:szCs w:val="24"/>
          <w:highlight w:val="none"/>
          <w:u w:val="single"/>
        </w:rPr>
        <w:t>芳村花园消防设施设备维修</w:t>
      </w:r>
      <w:r>
        <w:rPr>
          <w:rFonts w:hint="eastAsia" w:ascii="宋体" w:hAnsi="宋体" w:eastAsia="宋体" w:cs="宋体"/>
          <w:b w:val="0"/>
          <w:snapToGrid w:val="0"/>
          <w:color w:val="auto"/>
          <w:kern w:val="0"/>
          <w:sz w:val="24"/>
          <w:szCs w:val="24"/>
          <w:highlight w:val="none"/>
          <w:u w:val="single"/>
          <w:lang w:eastAsia="zh-CN"/>
        </w:rPr>
        <w:t>更换</w:t>
      </w:r>
      <w:r>
        <w:rPr>
          <w:rFonts w:hint="eastAsia" w:ascii="宋体" w:hAnsi="宋体" w:cs="宋体"/>
          <w:snapToGrid w:val="0"/>
          <w:color w:val="auto"/>
          <w:kern w:val="0"/>
          <w:sz w:val="24"/>
          <w:highlight w:val="none"/>
          <w:u w:val="single"/>
        </w:rPr>
        <w:t>项目设计施工总承包</w:t>
      </w:r>
      <w:r>
        <w:rPr>
          <w:rFonts w:hint="eastAsia" w:ascii="宋体" w:hAnsi="宋体" w:cs="宋体"/>
          <w:snapToGrid w:val="0"/>
          <w:color w:val="auto"/>
          <w:kern w:val="0"/>
          <w:sz w:val="24"/>
          <w:highlight w:val="none"/>
        </w:rPr>
        <w:t>签订工程质量保修书。</w:t>
      </w:r>
      <w:bookmarkStart w:id="72" w:name="_Toc20026"/>
      <w:bookmarkStart w:id="73" w:name="_Toc29663"/>
      <w:bookmarkStart w:id="74" w:name="_Toc9984"/>
    </w:p>
    <w:p w14:paraId="07179B3E">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75" w:name="_Toc10387"/>
      <w:r>
        <w:rPr>
          <w:rFonts w:hint="eastAsia" w:ascii="宋体" w:hAnsi="宋体" w:cs="宋体"/>
          <w:snapToGrid w:val="0"/>
          <w:color w:val="auto"/>
          <w:kern w:val="0"/>
          <w:sz w:val="24"/>
          <w:highlight w:val="none"/>
        </w:rPr>
        <w:t>一、工程质量保修范围和内容</w:t>
      </w:r>
      <w:bookmarkEnd w:id="72"/>
      <w:bookmarkEnd w:id="73"/>
      <w:bookmarkEnd w:id="74"/>
      <w:bookmarkEnd w:id="75"/>
    </w:p>
    <w:p w14:paraId="4B869D3F">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承包人在质量保修期内，按照有关法律、法规、规章的管理规定和双方约定，承担本工程质量保修责任。</w:t>
      </w:r>
    </w:p>
    <w:p w14:paraId="3D45B24E">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质量保修范围包括：所有承包范围内的工程均属保修范围。具体质量保修内容双方约定如下：本合同规定的承包范围内全部工程内容。</w:t>
      </w:r>
    </w:p>
    <w:p w14:paraId="6D891D82">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76" w:name="_Toc29384"/>
      <w:bookmarkStart w:id="77" w:name="_Toc2716"/>
      <w:bookmarkStart w:id="78" w:name="_Toc6227"/>
      <w:bookmarkStart w:id="79" w:name="_Toc22909"/>
      <w:r>
        <w:rPr>
          <w:rFonts w:hint="eastAsia" w:ascii="宋体" w:hAnsi="宋体" w:cs="宋体"/>
          <w:snapToGrid w:val="0"/>
          <w:color w:val="auto"/>
          <w:kern w:val="0"/>
          <w:sz w:val="24"/>
          <w:highlight w:val="none"/>
        </w:rPr>
        <w:t>二、质量保修期</w:t>
      </w:r>
      <w:bookmarkEnd w:id="76"/>
      <w:bookmarkEnd w:id="77"/>
      <w:bookmarkEnd w:id="78"/>
      <w:bookmarkEnd w:id="79"/>
    </w:p>
    <w:p w14:paraId="5A19EC10">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双方根据《建设工程质量管理条例》及有关规定，约定本工程的质量保修期如下：</w:t>
      </w:r>
    </w:p>
    <w:p w14:paraId="22AA890C">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1．电气管线、给排水管道、设备安装为2年。</w:t>
      </w:r>
    </w:p>
    <w:p w14:paraId="24EB188A">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2．其他约定：按国家现行规范规程及相关标准和设计的有关要求执行。</w:t>
      </w:r>
    </w:p>
    <w:p w14:paraId="6666952D">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质量保修期自工程竣工验收合格之日起计算。</w:t>
      </w:r>
    </w:p>
    <w:p w14:paraId="754114F8">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80" w:name="_Toc16552"/>
      <w:bookmarkStart w:id="81" w:name="_Toc12853"/>
      <w:bookmarkStart w:id="82" w:name="_Toc16986"/>
      <w:bookmarkStart w:id="83" w:name="_Toc26784"/>
      <w:r>
        <w:rPr>
          <w:rFonts w:hint="eastAsia" w:ascii="宋体" w:hAnsi="宋体" w:cs="宋体"/>
          <w:snapToGrid w:val="0"/>
          <w:color w:val="auto"/>
          <w:kern w:val="0"/>
          <w:sz w:val="24"/>
          <w:highlight w:val="none"/>
        </w:rPr>
        <w:t>三、质量保修责任</w:t>
      </w:r>
      <w:bookmarkEnd w:id="80"/>
      <w:bookmarkEnd w:id="81"/>
      <w:bookmarkEnd w:id="82"/>
      <w:bookmarkEnd w:id="83"/>
    </w:p>
    <w:p w14:paraId="48BD08CC">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r>
        <w:rPr>
          <w:rFonts w:hint="eastAsia" w:ascii="宋体" w:hAnsi="宋体" w:cs="宋体"/>
          <w:snapToGrid w:val="0"/>
          <w:color w:val="auto"/>
          <w:kern w:val="0"/>
          <w:sz w:val="24"/>
          <w:highlight w:val="none"/>
          <w:lang w:val="zh-CN"/>
        </w:rPr>
        <w:t>属于保修范围的项目，承包人应在接到发包人通知后的</w:t>
      </w:r>
      <w:r>
        <w:rPr>
          <w:rFonts w:hint="eastAsia" w:ascii="宋体" w:hAnsi="宋体" w:cs="宋体"/>
          <w:snapToGrid w:val="0"/>
          <w:color w:val="auto"/>
          <w:kern w:val="0"/>
          <w:sz w:val="24"/>
          <w:highlight w:val="none"/>
        </w:rPr>
        <w:t>24小时</w:t>
      </w:r>
      <w:r>
        <w:rPr>
          <w:rFonts w:hint="eastAsia" w:ascii="宋体" w:hAnsi="宋体" w:cs="宋体"/>
          <w:snapToGrid w:val="0"/>
          <w:color w:val="auto"/>
          <w:kern w:val="0"/>
          <w:sz w:val="24"/>
          <w:highlight w:val="none"/>
          <w:lang w:val="zh-CN"/>
        </w:rPr>
        <w:t>内派人保修。承包人未能在规定时间内派人保修的，发包人可自行或委托第三方保修，保修费用从质量保修金中扣除</w:t>
      </w:r>
      <w:r>
        <w:rPr>
          <w:rFonts w:hint="eastAsia" w:ascii="宋体" w:hAnsi="宋体" w:cs="宋体"/>
          <w:snapToGrid w:val="0"/>
          <w:color w:val="auto"/>
          <w:kern w:val="0"/>
          <w:sz w:val="24"/>
          <w:highlight w:val="none"/>
        </w:rPr>
        <w:t>。</w:t>
      </w:r>
    </w:p>
    <w:p w14:paraId="5B4016C7">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发生紧急抢修事故的，承包人在接到通知后，应立即到达事故现场抢修。保修通知可以口头或书面的方式发出。如以口头方式发出的，承包人应当如实记录通知时间和内容，并在到达现场保修时由发包人签字确认。书面方式包括但不限于电子邮件、传真、信函等方式。否则，发包人可以另委托单位抢修，属承包人施工质量问题造成的修复等费用全部由承包人承担。</w:t>
      </w:r>
    </w:p>
    <w:p w14:paraId="35E01591">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在国家规定的工程合理使用期限内，承包人应确保地基基础工程和主体结构的质量和安全。凡出现质量问题，应立即报告当地建设行政主管部门，由承包人或具有相应资质等级的设计单位提出保修方案后，承包人应立即实施保修。</w:t>
      </w:r>
    </w:p>
    <w:p w14:paraId="4411CCE9">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4．质量保修完成后，由发包人组织验收。</w:t>
      </w:r>
    </w:p>
    <w:p w14:paraId="02C33A09">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84" w:name="_Toc67"/>
      <w:bookmarkStart w:id="85" w:name="_Toc15485"/>
      <w:bookmarkStart w:id="86" w:name="_Toc21301"/>
      <w:bookmarkStart w:id="87" w:name="_Toc25873"/>
      <w:r>
        <w:rPr>
          <w:rFonts w:hint="eastAsia" w:ascii="宋体" w:hAnsi="宋体" w:cs="宋体"/>
          <w:snapToGrid w:val="0"/>
          <w:color w:val="auto"/>
          <w:kern w:val="0"/>
          <w:sz w:val="24"/>
          <w:highlight w:val="none"/>
        </w:rPr>
        <w:t>四、保修费用</w:t>
      </w:r>
      <w:bookmarkEnd w:id="84"/>
      <w:bookmarkEnd w:id="85"/>
      <w:bookmarkEnd w:id="86"/>
      <w:bookmarkEnd w:id="87"/>
    </w:p>
    <w:p w14:paraId="3114ABB9">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保修费用由造成质量缺陷的责任方承担。具体按照以下约定处理：</w:t>
      </w:r>
    </w:p>
    <w:p w14:paraId="142FDE32">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保修期内，因承包人原因造成工程的缺陷、损坏，承包人应负责修复，并承担修复的费用以及因工程的缺陷、损坏造成的人身伤害和财产损失；承包人拒绝维修或未能在合理期限内修复缺陷或损坏，且经发包人书面催告后仍未修复的，发包人有权自行修复或委托第三方修复，所需费用由承包人承担，在保修金中扣除，不足部分发包人有权向承包人追偿。</w:t>
      </w:r>
    </w:p>
    <w:p w14:paraId="6CC15D83">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2.保修期内，因发包人使用不当造成工程的缺陷、损坏，可以委托承包人修复，但发包人应承担修复的费用。</w:t>
      </w:r>
    </w:p>
    <w:p w14:paraId="78FF4E43">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3.因其他原因造成工程的缺陷、损坏，可以委托承包人修复，发包人应承担修复的费用，因工程的缺陷、损坏造成的人身伤害和财产损失由责任方承担。</w:t>
      </w:r>
    </w:p>
    <w:p w14:paraId="043303C4">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88" w:name="_Toc29887"/>
      <w:bookmarkStart w:id="89" w:name="_Toc21435"/>
      <w:bookmarkStart w:id="90" w:name="_Toc14223"/>
      <w:bookmarkStart w:id="91" w:name="_Toc7136"/>
      <w:r>
        <w:rPr>
          <w:rFonts w:hint="eastAsia" w:ascii="宋体" w:hAnsi="宋体" w:cs="宋体"/>
          <w:snapToGrid w:val="0"/>
          <w:color w:val="auto"/>
          <w:kern w:val="0"/>
          <w:sz w:val="24"/>
          <w:highlight w:val="none"/>
        </w:rPr>
        <w:t>五、其他</w:t>
      </w:r>
      <w:bookmarkEnd w:id="88"/>
      <w:bookmarkEnd w:id="89"/>
      <w:bookmarkEnd w:id="90"/>
      <w:bookmarkEnd w:id="91"/>
    </w:p>
    <w:p w14:paraId="1E73EC8C">
      <w:pPr>
        <w:adjustRightInd w:val="0"/>
        <w:snapToGrid w:val="0"/>
        <w:spacing w:line="360" w:lineRule="auto"/>
        <w:ind w:right="11" w:firstLine="480" w:firstLineChars="200"/>
        <w:rPr>
          <w:rFonts w:ascii="宋体" w:hAnsi="宋体" w:cs="宋体"/>
          <w:color w:val="auto"/>
          <w:sz w:val="24"/>
          <w:highlight w:val="none"/>
          <w:u w:val="single"/>
        </w:rPr>
      </w:pPr>
      <w:r>
        <w:rPr>
          <w:rFonts w:hint="eastAsia" w:ascii="宋体" w:hAnsi="宋体" w:cs="宋体"/>
          <w:snapToGrid w:val="0"/>
          <w:color w:val="auto"/>
          <w:kern w:val="0"/>
          <w:sz w:val="24"/>
          <w:highlight w:val="none"/>
        </w:rPr>
        <w:t>双方约定的其他工程质量保修事项：</w:t>
      </w:r>
      <w:r>
        <w:rPr>
          <w:rFonts w:hint="eastAsia" w:ascii="宋体" w:hAnsi="宋体" w:cs="宋体"/>
          <w:snapToGrid w:val="0"/>
          <w:color w:val="auto"/>
          <w:kern w:val="0"/>
          <w:sz w:val="24"/>
          <w:highlight w:val="none"/>
          <w:u w:val="single"/>
        </w:rPr>
        <w:t xml:space="preserve">  /  。</w:t>
      </w:r>
    </w:p>
    <w:p w14:paraId="5119BB67">
      <w:pPr>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本工程质量保修书，由施工合同发包人、承包人双方在竣工验收前共同签署，作为施工合同附件其有效期限至保修期满。</w:t>
      </w:r>
    </w:p>
    <w:p w14:paraId="62681693">
      <w:pPr>
        <w:adjustRightInd w:val="0"/>
        <w:snapToGrid w:val="0"/>
        <w:spacing w:line="360" w:lineRule="auto"/>
        <w:ind w:right="11"/>
        <w:rPr>
          <w:rFonts w:ascii="宋体" w:hAnsi="宋体" w:cs="宋体"/>
          <w:snapToGrid w:val="0"/>
          <w:color w:val="auto"/>
          <w:spacing w:val="-20"/>
          <w:kern w:val="0"/>
          <w:sz w:val="24"/>
          <w:highlight w:val="none"/>
        </w:rPr>
      </w:pPr>
    </w:p>
    <w:p w14:paraId="2643F5D8">
      <w:pPr>
        <w:pStyle w:val="2"/>
        <w:rPr>
          <w:color w:val="auto"/>
          <w:highlight w:val="none"/>
        </w:rPr>
      </w:pPr>
    </w:p>
    <w:p w14:paraId="1F446821">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snapToGrid w:val="0"/>
          <w:color w:val="auto"/>
          <w:spacing w:val="-20"/>
          <w:kern w:val="0"/>
          <w:sz w:val="24"/>
          <w:highlight w:val="none"/>
        </w:rPr>
        <w:t>发包人</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                                承包人（主）</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3FA8B705">
      <w:pPr>
        <w:spacing w:line="360" w:lineRule="auto"/>
        <w:ind w:firstLine="4320" w:firstLineChars="1800"/>
        <w:rPr>
          <w:rFonts w:hint="eastAsia" w:eastAsia="宋体"/>
          <w:color w:val="auto"/>
          <w:sz w:val="24"/>
          <w:szCs w:val="32"/>
          <w:highlight w:val="none"/>
          <w:lang w:eastAsia="zh-CN"/>
        </w:rPr>
      </w:pPr>
      <w:r>
        <w:rPr>
          <w:rFonts w:hint="eastAsia"/>
          <w:color w:val="auto"/>
          <w:sz w:val="24"/>
          <w:szCs w:val="32"/>
          <w:highlight w:val="none"/>
          <w:lang w:val="en-US" w:eastAsia="zh-CN"/>
        </w:rPr>
        <w:t xml:space="preserve"> </w:t>
      </w:r>
    </w:p>
    <w:p w14:paraId="78A6ACF6">
      <w:pPr>
        <w:spacing w:line="360" w:lineRule="auto"/>
        <w:ind w:firstLine="4320" w:firstLineChars="1800"/>
        <w:rPr>
          <w:color w:val="auto"/>
          <w:sz w:val="24"/>
          <w:szCs w:val="32"/>
          <w:highlight w:val="none"/>
        </w:rPr>
      </w:pPr>
      <w:r>
        <w:rPr>
          <w:rFonts w:hint="eastAsia"/>
          <w:color w:val="auto"/>
          <w:sz w:val="24"/>
          <w:szCs w:val="32"/>
          <w:highlight w:val="none"/>
        </w:rPr>
        <w:t>承包人（成）（盖章）：</w:t>
      </w:r>
    </w:p>
    <w:p w14:paraId="2909EB15">
      <w:pPr>
        <w:spacing w:line="360" w:lineRule="auto"/>
        <w:ind w:firstLine="4320" w:firstLineChars="1800"/>
        <w:rPr>
          <w:rFonts w:hint="eastAsia" w:eastAsia="宋体"/>
          <w:color w:val="auto"/>
          <w:sz w:val="24"/>
          <w:szCs w:val="32"/>
          <w:highlight w:val="none"/>
          <w:lang w:eastAsia="zh-CN"/>
        </w:rPr>
      </w:pPr>
      <w:r>
        <w:rPr>
          <w:rFonts w:hint="eastAsia"/>
          <w:color w:val="auto"/>
          <w:sz w:val="24"/>
          <w:szCs w:val="32"/>
          <w:highlight w:val="none"/>
          <w:lang w:val="en-US" w:eastAsia="zh-CN"/>
        </w:rPr>
        <w:t xml:space="preserve"> </w:t>
      </w:r>
    </w:p>
    <w:p w14:paraId="30EA153C">
      <w:pPr>
        <w:adjustRightInd w:val="0"/>
        <w:snapToGrid w:val="0"/>
        <w:spacing w:line="360" w:lineRule="auto"/>
        <w:ind w:right="11"/>
        <w:jc w:val="left"/>
        <w:rPr>
          <w:rFonts w:ascii="宋体" w:hAnsi="宋体" w:cs="宋体"/>
          <w:snapToGrid w:val="0"/>
          <w:color w:val="auto"/>
          <w:kern w:val="0"/>
          <w:sz w:val="24"/>
          <w:highlight w:val="none"/>
        </w:rPr>
      </w:pPr>
    </w:p>
    <w:p w14:paraId="6A5DB3DD">
      <w:pPr>
        <w:adjustRightInd w:val="0"/>
        <w:snapToGrid w:val="0"/>
        <w:spacing w:line="360" w:lineRule="auto"/>
        <w:ind w:right="11" w:firstLine="2880" w:firstLineChars="1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签订日期： </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月  日</w:t>
      </w:r>
    </w:p>
    <w:p w14:paraId="1CCEF735">
      <w:pPr>
        <w:wordWrap w:val="0"/>
        <w:topLinePunct/>
        <w:adjustRightInd w:val="0"/>
        <w:snapToGrid w:val="0"/>
        <w:spacing w:line="360" w:lineRule="auto"/>
        <w:rPr>
          <w:rFonts w:ascii="宋体" w:hAnsi="宋体" w:cs="宋体"/>
          <w:b/>
          <w:bCs/>
          <w:color w:val="auto"/>
          <w:sz w:val="24"/>
          <w:highlight w:val="none"/>
        </w:rPr>
        <w:sectPr>
          <w:pgSz w:w="11905" w:h="16838"/>
          <w:pgMar w:top="1440" w:right="1474" w:bottom="1440" w:left="1587" w:header="567" w:footer="850" w:gutter="0"/>
          <w:cols w:space="720" w:num="1"/>
          <w:docGrid w:type="lines" w:linePitch="312" w:charSpace="0"/>
        </w:sectPr>
      </w:pPr>
    </w:p>
    <w:p w14:paraId="3575ED4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附件2</w:t>
      </w:r>
    </w:p>
    <w:p w14:paraId="5E23955C">
      <w:pPr>
        <w:tabs>
          <w:tab w:val="center" w:pos="4792"/>
          <w:tab w:val="right" w:pos="9045"/>
        </w:tabs>
        <w:spacing w:line="336"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廉政合同</w:t>
      </w:r>
    </w:p>
    <w:p w14:paraId="04B358CD">
      <w:pPr>
        <w:spacing w:line="336" w:lineRule="auto"/>
        <w:rPr>
          <w:rFonts w:ascii="宋体" w:hAnsi="宋体" w:cs="宋体"/>
          <w:color w:val="auto"/>
          <w:sz w:val="24"/>
          <w:highlight w:val="none"/>
          <w:lang w:val="zh-CN"/>
        </w:rPr>
      </w:pPr>
    </w:p>
    <w:p w14:paraId="3784101C">
      <w:pPr>
        <w:tabs>
          <w:tab w:val="center" w:pos="4153"/>
        </w:tabs>
        <w:snapToGrid w:val="0"/>
        <w:spacing w:line="336"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广州珠江住房租赁发展投资有限公司</w:t>
      </w:r>
    </w:p>
    <w:p w14:paraId="637F3C28">
      <w:pPr>
        <w:spacing w:line="336"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承包人：</w:t>
      </w:r>
      <w:r>
        <w:rPr>
          <w:rFonts w:hint="eastAsia" w:ascii="宋体" w:hAnsi="宋体" w:cs="宋体"/>
          <w:color w:val="auto"/>
          <w:sz w:val="24"/>
          <w:highlight w:val="none"/>
          <w:u w:val="single"/>
        </w:rPr>
        <w:t>（主）</w:t>
      </w:r>
      <w:r>
        <w:rPr>
          <w:rFonts w:hint="eastAsia" w:ascii="宋体" w:hAnsi="宋体" w:cs="宋体"/>
          <w:color w:val="auto"/>
          <w:sz w:val="24"/>
          <w:highlight w:val="none"/>
          <w:u w:val="single"/>
          <w:lang w:val="en-US" w:eastAsia="zh-CN"/>
        </w:rPr>
        <w:t xml:space="preserve">                         </w:t>
      </w:r>
    </w:p>
    <w:p w14:paraId="21E41329">
      <w:pPr>
        <w:spacing w:line="336" w:lineRule="auto"/>
        <w:ind w:firstLine="1440" w:firstLineChars="6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rPr>
        <w:t>（成）</w:t>
      </w:r>
      <w:r>
        <w:rPr>
          <w:rFonts w:hint="eastAsia" w:ascii="宋体" w:hAnsi="宋体" w:cs="宋体"/>
          <w:color w:val="auto"/>
          <w:sz w:val="24"/>
          <w:highlight w:val="none"/>
          <w:u w:val="single"/>
          <w:lang w:val="en-US" w:eastAsia="zh-CN"/>
        </w:rPr>
        <w:t xml:space="preserve">                         </w:t>
      </w:r>
    </w:p>
    <w:p w14:paraId="40654F73">
      <w:pPr>
        <w:spacing w:line="336" w:lineRule="auto"/>
        <w:ind w:firstLine="1440" w:firstLineChars="600"/>
        <w:rPr>
          <w:rFonts w:ascii="宋体" w:hAnsi="宋体" w:cs="宋体"/>
          <w:color w:val="auto"/>
          <w:sz w:val="24"/>
          <w:highlight w:val="none"/>
        </w:rPr>
      </w:pPr>
    </w:p>
    <w:p w14:paraId="6AC45B62">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s="宋体"/>
          <w:color w:val="auto"/>
          <w:sz w:val="24"/>
          <w:highlight w:val="none"/>
        </w:rPr>
        <w:t>。</w:t>
      </w:r>
    </w:p>
    <w:p w14:paraId="3685FF2D">
      <w:pPr>
        <w:spacing w:line="336" w:lineRule="auto"/>
        <w:ind w:firstLine="482" w:firstLineChars="200"/>
        <w:outlineLvl w:val="1"/>
        <w:rPr>
          <w:rFonts w:ascii="宋体" w:hAnsi="宋体" w:cs="宋体"/>
          <w:b/>
          <w:bCs/>
          <w:color w:val="auto"/>
          <w:sz w:val="24"/>
          <w:highlight w:val="none"/>
        </w:rPr>
      </w:pPr>
      <w:bookmarkStart w:id="92" w:name="_Toc16054"/>
      <w:bookmarkStart w:id="93" w:name="_Toc11148"/>
      <w:r>
        <w:rPr>
          <w:rFonts w:hint="eastAsia" w:ascii="宋体" w:hAnsi="宋体" w:cs="宋体"/>
          <w:b/>
          <w:bCs/>
          <w:color w:val="auto"/>
          <w:sz w:val="24"/>
          <w:highlight w:val="none"/>
        </w:rPr>
        <w:t>一、双方权利和义务</w:t>
      </w:r>
      <w:bookmarkEnd w:id="92"/>
      <w:bookmarkEnd w:id="93"/>
    </w:p>
    <w:p w14:paraId="3E7A9165">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严格遵守国家、省有关法律法规的规定。</w:t>
      </w:r>
    </w:p>
    <w:p w14:paraId="3AEBA3A8">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严格执行合同工程一切合同文件，自觉按合同办事。</w:t>
      </w:r>
    </w:p>
    <w:p w14:paraId="5B279CC5">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1.3 </w:t>
      </w:r>
      <w:r>
        <w:rPr>
          <w:rFonts w:hint="eastAsia" w:ascii="宋体" w:hAnsi="宋体" w:cs="宋体"/>
          <w:color w:val="auto"/>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highlight w:val="none"/>
        </w:rPr>
        <w:t>。</w:t>
      </w:r>
    </w:p>
    <w:p w14:paraId="7E7DA5E2">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建立健全廉政制度，开展廉政教育，设立廉政告示牌，公布举报电话，监督并认真查处违法违纪行为。</w:t>
      </w:r>
    </w:p>
    <w:p w14:paraId="330A1768">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发现对方在业务活动中有违反廉政建设规定的行为，应及时给予提醒和纠正。</w:t>
      </w:r>
    </w:p>
    <w:p w14:paraId="28C13C28">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发现对方严重违反合同的行为，有向其主管部门举报、建议给予处理并要求告知处理结果的权利。</w:t>
      </w:r>
      <w:bookmarkStart w:id="94" w:name="_Toc18074"/>
    </w:p>
    <w:p w14:paraId="1F50B44B">
      <w:pPr>
        <w:spacing w:line="336" w:lineRule="auto"/>
        <w:ind w:firstLine="482" w:firstLineChars="200"/>
        <w:outlineLvl w:val="1"/>
        <w:rPr>
          <w:rFonts w:ascii="宋体" w:hAnsi="宋体" w:cs="宋体"/>
          <w:b/>
          <w:bCs/>
          <w:color w:val="auto"/>
          <w:sz w:val="24"/>
          <w:highlight w:val="none"/>
        </w:rPr>
      </w:pPr>
      <w:bookmarkStart w:id="95" w:name="_Toc8232"/>
      <w:r>
        <w:rPr>
          <w:rFonts w:hint="eastAsia" w:ascii="宋体" w:hAnsi="宋体" w:cs="宋体"/>
          <w:b/>
          <w:bCs/>
          <w:color w:val="auto"/>
          <w:sz w:val="24"/>
          <w:highlight w:val="none"/>
        </w:rPr>
        <w:t>二、发包人义务</w:t>
      </w:r>
      <w:bookmarkEnd w:id="94"/>
      <w:bookmarkEnd w:id="95"/>
    </w:p>
    <w:p w14:paraId="166B1FF1">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发包人及其工作人员不得索要或接受承包人的礼金、有价证券和贵重物品，不得在承包人报销任何应由发包人或工作人员个人支付的费用等。</w:t>
      </w:r>
    </w:p>
    <w:p w14:paraId="730B52B5">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发包人及其工作人员不得参加承包人安排的宴请（工作餐除外）和娱乐活动；不得接受承包人提供的通讯工具、交通工具和高档办公用品等。</w:t>
      </w:r>
    </w:p>
    <w:p w14:paraId="71DA6D37">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发包人及其工作人员不得要求或者接受承包人为其住房装修、婚丧嫁娶活动、配偶子女的工作安排以及出国出境、旅游等提供方便等。</w:t>
      </w:r>
    </w:p>
    <w:p w14:paraId="3111052D">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 </w:t>
      </w:r>
      <w:r>
        <w:rPr>
          <w:rFonts w:hint="eastAsia" w:ascii="宋体" w:hAnsi="宋体" w:cs="宋体"/>
          <w:color w:val="auto"/>
          <w:sz w:val="24"/>
          <w:highlight w:val="none"/>
          <w:lang w:val="zh-CN"/>
        </w:rPr>
        <w:t>发包人及其工作人员不得以任何理由向承包人推荐分包人、推销工程材料和工程设备，不得要求承包人购买合同以外的工程材料和工程设备</w:t>
      </w:r>
      <w:r>
        <w:rPr>
          <w:rFonts w:hint="eastAsia" w:ascii="宋体" w:hAnsi="宋体" w:cs="宋体"/>
          <w:color w:val="auto"/>
          <w:sz w:val="24"/>
          <w:highlight w:val="none"/>
        </w:rPr>
        <w:t>。</w:t>
      </w:r>
    </w:p>
    <w:p w14:paraId="4DB7707F">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2.5 </w:t>
      </w:r>
      <w:r>
        <w:rPr>
          <w:rFonts w:hint="eastAsia" w:ascii="宋体" w:hAnsi="宋体" w:cs="宋体"/>
          <w:color w:val="auto"/>
          <w:sz w:val="24"/>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s="宋体"/>
          <w:color w:val="auto"/>
          <w:sz w:val="24"/>
          <w:highlight w:val="none"/>
        </w:rPr>
        <w:t>。</w:t>
      </w:r>
    </w:p>
    <w:p w14:paraId="45A2F696">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 </w:t>
      </w:r>
      <w:r>
        <w:rPr>
          <w:rFonts w:hint="eastAsia" w:ascii="宋体" w:hAnsi="宋体" w:cs="宋体"/>
          <w:color w:val="auto"/>
          <w:sz w:val="24"/>
          <w:highlight w:val="none"/>
          <w:lang w:val="zh-CN"/>
        </w:rPr>
        <w:t>发包人及其工作人员（含其配偶、子女）不得从事与合同工程有关的工程材料和工程设备供应、工程分包、劳务等经济活动</w:t>
      </w:r>
      <w:r>
        <w:rPr>
          <w:rFonts w:hint="eastAsia" w:ascii="宋体" w:hAnsi="宋体" w:cs="宋体"/>
          <w:color w:val="auto"/>
          <w:sz w:val="24"/>
          <w:highlight w:val="none"/>
        </w:rPr>
        <w:t>。</w:t>
      </w:r>
    </w:p>
    <w:p w14:paraId="0AD84C97">
      <w:pPr>
        <w:spacing w:line="336" w:lineRule="auto"/>
        <w:ind w:firstLine="482" w:firstLineChars="200"/>
        <w:outlineLvl w:val="1"/>
        <w:rPr>
          <w:rFonts w:ascii="宋体" w:hAnsi="宋体" w:cs="宋体"/>
          <w:b/>
          <w:bCs/>
          <w:color w:val="auto"/>
          <w:sz w:val="24"/>
          <w:highlight w:val="none"/>
        </w:rPr>
      </w:pPr>
      <w:bookmarkStart w:id="96" w:name="_Toc14380"/>
      <w:bookmarkStart w:id="97" w:name="_Toc14115"/>
      <w:r>
        <w:rPr>
          <w:rFonts w:hint="eastAsia" w:ascii="宋体" w:hAnsi="宋体" w:cs="宋体"/>
          <w:b/>
          <w:bCs/>
          <w:color w:val="auto"/>
          <w:sz w:val="24"/>
          <w:highlight w:val="none"/>
        </w:rPr>
        <w:t>三、承包人义务</w:t>
      </w:r>
      <w:bookmarkEnd w:id="96"/>
      <w:bookmarkEnd w:id="97"/>
    </w:p>
    <w:p w14:paraId="69782E08">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承包人不得以任何理由向发包人及其工作人员行贿或馈赠礼金、有价证券、贵重礼品。</w:t>
      </w:r>
    </w:p>
    <w:p w14:paraId="2285806C">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承包人不得以任何名义为发包人及其工作人员报销应由发包人或工作人员个人支付的任何费用。</w:t>
      </w:r>
    </w:p>
    <w:p w14:paraId="74384BE5">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承包人不得以任何理由安排发包人及其工作人员参加宴请（工作餐除外）及娱乐活动。</w:t>
      </w:r>
    </w:p>
    <w:p w14:paraId="028F853D">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 承包人不得为发包人和个人购置或提供通讯工具、交通工具和高档办公用品等。</w:t>
      </w:r>
    </w:p>
    <w:p w14:paraId="4E0B43A4">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3.5 </w:t>
      </w:r>
      <w:r>
        <w:rPr>
          <w:rFonts w:hint="eastAsia" w:ascii="宋体" w:hAnsi="宋体" w:cs="宋体"/>
          <w:color w:val="auto"/>
          <w:sz w:val="24"/>
          <w:highlight w:val="none"/>
          <w:lang w:val="zh-CN"/>
        </w:rPr>
        <w:t>承包人不得为发包人及其工作人员的住房装修、婚丧嫁娶活动、配偶子女工作安排以及出国出境、旅游等提供方便。</w:t>
      </w:r>
    </w:p>
    <w:p w14:paraId="1FD90847">
      <w:pPr>
        <w:spacing w:line="336" w:lineRule="auto"/>
        <w:ind w:firstLine="482" w:firstLineChars="200"/>
        <w:outlineLvl w:val="1"/>
        <w:rPr>
          <w:rFonts w:ascii="宋体" w:hAnsi="宋体" w:cs="宋体"/>
          <w:b/>
          <w:bCs/>
          <w:color w:val="auto"/>
          <w:sz w:val="24"/>
          <w:highlight w:val="none"/>
        </w:rPr>
      </w:pPr>
      <w:bookmarkStart w:id="98" w:name="_Toc13484"/>
      <w:bookmarkStart w:id="99" w:name="_Toc8886"/>
      <w:r>
        <w:rPr>
          <w:rFonts w:hint="eastAsia" w:ascii="宋体" w:hAnsi="宋体" w:cs="宋体"/>
          <w:b/>
          <w:bCs/>
          <w:color w:val="auto"/>
          <w:sz w:val="24"/>
          <w:highlight w:val="none"/>
        </w:rPr>
        <w:t>四、违约责任</w:t>
      </w:r>
      <w:bookmarkEnd w:id="98"/>
      <w:bookmarkEnd w:id="99"/>
    </w:p>
    <w:p w14:paraId="4CC87A01">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发包人及其工作人员违反本合同第一条和第二条约定，应依据有关规定给予廉政建设规定的处分；涉嫌犯罪的，移交司法机关追究刑事责任；给承包人造成经济损失的，应予赔偿。</w:t>
      </w:r>
    </w:p>
    <w:p w14:paraId="4AA148B1">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4.2 </w:t>
      </w:r>
      <w:r>
        <w:rPr>
          <w:rFonts w:hint="eastAsia" w:ascii="宋体" w:hAnsi="宋体" w:cs="宋体"/>
          <w:color w:val="auto"/>
          <w:sz w:val="24"/>
          <w:highlight w:val="none"/>
          <w:lang w:val="zh-CN"/>
        </w:rPr>
        <w:t>承包人及其工作人员违反本合同第</w:t>
      </w:r>
      <w:r>
        <w:rPr>
          <w:rFonts w:hint="eastAsia" w:ascii="宋体" w:hAnsi="宋体" w:cs="宋体"/>
          <w:color w:val="auto"/>
          <w:sz w:val="24"/>
          <w:highlight w:val="none"/>
        </w:rPr>
        <w:t>一</w:t>
      </w:r>
      <w:r>
        <w:rPr>
          <w:rFonts w:hint="eastAsia" w:ascii="宋体" w:hAnsi="宋体" w:cs="宋体"/>
          <w:color w:val="auto"/>
          <w:sz w:val="24"/>
          <w:highlight w:val="none"/>
          <w:lang w:val="zh-CN"/>
        </w:rPr>
        <w:t>条和第</w:t>
      </w:r>
      <w:r>
        <w:rPr>
          <w:rFonts w:hint="eastAsia" w:ascii="宋体" w:hAnsi="宋体" w:cs="宋体"/>
          <w:color w:val="auto"/>
          <w:sz w:val="24"/>
          <w:highlight w:val="none"/>
        </w:rPr>
        <w:t>三</w:t>
      </w:r>
      <w:r>
        <w:rPr>
          <w:rFonts w:hint="eastAsia" w:ascii="宋体" w:hAnsi="宋体" w:cs="宋体"/>
          <w:color w:val="auto"/>
          <w:sz w:val="24"/>
          <w:highlight w:val="none"/>
          <w:lang w:val="zh-CN"/>
        </w:rPr>
        <w:t>条约定，应按照廉政建设的有关规定给予处分；涉嫌犯罪的，移交司法机关追究刑事责任；给发包人造成损失的，应予赔偿。</w:t>
      </w:r>
    </w:p>
    <w:p w14:paraId="1473DC8A">
      <w:pPr>
        <w:spacing w:line="336" w:lineRule="auto"/>
        <w:ind w:firstLine="482" w:firstLineChars="200"/>
        <w:outlineLvl w:val="1"/>
        <w:rPr>
          <w:rFonts w:ascii="宋体" w:hAnsi="宋体" w:cs="宋体"/>
          <w:b/>
          <w:bCs/>
          <w:color w:val="auto"/>
          <w:sz w:val="24"/>
          <w:highlight w:val="none"/>
        </w:rPr>
      </w:pPr>
      <w:bookmarkStart w:id="100" w:name="_Toc22358"/>
      <w:bookmarkStart w:id="101" w:name="_Toc20236"/>
      <w:r>
        <w:rPr>
          <w:rFonts w:hint="eastAsia" w:ascii="宋体" w:hAnsi="宋体" w:cs="宋体"/>
          <w:b/>
          <w:bCs/>
          <w:color w:val="auto"/>
          <w:sz w:val="24"/>
          <w:highlight w:val="none"/>
        </w:rPr>
        <w:t>五、双方约定</w:t>
      </w:r>
      <w:bookmarkEnd w:id="100"/>
      <w:bookmarkEnd w:id="101"/>
    </w:p>
    <w:p w14:paraId="0FA6A8EB">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本合同由合同双方当事人或其主管部门负责监督执行</w:t>
      </w:r>
      <w:r>
        <w:rPr>
          <w:rFonts w:hint="eastAsia" w:ascii="宋体" w:hAnsi="宋体" w:cs="宋体"/>
          <w:color w:val="auto"/>
          <w:sz w:val="24"/>
          <w:highlight w:val="none"/>
        </w:rPr>
        <w:t>。</w:t>
      </w:r>
    </w:p>
    <w:p w14:paraId="2D4748DC">
      <w:pPr>
        <w:spacing w:line="336" w:lineRule="auto"/>
        <w:ind w:firstLine="482" w:firstLineChars="200"/>
        <w:outlineLvl w:val="1"/>
        <w:rPr>
          <w:rFonts w:ascii="宋体" w:hAnsi="宋体" w:cs="宋体"/>
          <w:b/>
          <w:bCs/>
          <w:color w:val="auto"/>
          <w:sz w:val="24"/>
          <w:highlight w:val="none"/>
        </w:rPr>
      </w:pPr>
      <w:bookmarkStart w:id="102" w:name="_Toc18718"/>
      <w:bookmarkStart w:id="103" w:name="_Toc13689"/>
      <w:r>
        <w:rPr>
          <w:rFonts w:hint="eastAsia" w:ascii="宋体" w:hAnsi="宋体" w:cs="宋体"/>
          <w:b/>
          <w:bCs/>
          <w:color w:val="auto"/>
          <w:sz w:val="24"/>
          <w:highlight w:val="none"/>
        </w:rPr>
        <w:t>六、合同法律效力</w:t>
      </w:r>
      <w:bookmarkEnd w:id="102"/>
      <w:bookmarkEnd w:id="103"/>
    </w:p>
    <w:p w14:paraId="2AE720D6">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本合同作为</w:t>
      </w:r>
      <w:r>
        <w:rPr>
          <w:rFonts w:hint="eastAsia" w:ascii="宋体" w:hAnsi="宋体" w:eastAsia="宋体" w:cs="宋体"/>
          <w:b w:val="0"/>
          <w:color w:val="auto"/>
          <w:sz w:val="24"/>
          <w:szCs w:val="24"/>
          <w:highlight w:val="none"/>
          <w:u w:val="single"/>
        </w:rPr>
        <w:t>芳村花园消防设施设备维修</w:t>
      </w:r>
      <w:r>
        <w:rPr>
          <w:rFonts w:hint="eastAsia" w:ascii="宋体" w:hAnsi="宋体" w:eastAsia="宋体" w:cs="宋体"/>
          <w:b w:val="0"/>
          <w:color w:val="auto"/>
          <w:sz w:val="24"/>
          <w:szCs w:val="24"/>
          <w:highlight w:val="none"/>
          <w:u w:val="single"/>
          <w:lang w:eastAsia="zh-CN"/>
        </w:rPr>
        <w:t>更换</w:t>
      </w:r>
      <w:r>
        <w:rPr>
          <w:rFonts w:hint="eastAsia" w:ascii="宋体" w:hAnsi="宋体" w:cs="宋体"/>
          <w:color w:val="auto"/>
          <w:sz w:val="24"/>
          <w:highlight w:val="none"/>
          <w:u w:val="single"/>
        </w:rPr>
        <w:t>项目设计施工总承包合同</w:t>
      </w:r>
      <w:r>
        <w:rPr>
          <w:rFonts w:hint="eastAsia" w:ascii="宋体" w:hAnsi="宋体" w:cs="宋体"/>
          <w:color w:val="auto"/>
          <w:sz w:val="24"/>
          <w:highlight w:val="none"/>
        </w:rPr>
        <w:t>的附件，与主合同具有同等的法律效力。</w:t>
      </w:r>
    </w:p>
    <w:p w14:paraId="2A746F04">
      <w:pPr>
        <w:spacing w:line="336" w:lineRule="auto"/>
        <w:ind w:firstLine="482" w:firstLineChars="200"/>
        <w:outlineLvl w:val="1"/>
        <w:rPr>
          <w:rFonts w:ascii="宋体" w:hAnsi="宋体" w:cs="宋体"/>
          <w:b/>
          <w:bCs/>
          <w:color w:val="auto"/>
          <w:sz w:val="24"/>
          <w:highlight w:val="none"/>
        </w:rPr>
      </w:pPr>
      <w:bookmarkStart w:id="104" w:name="_Toc16606"/>
      <w:r>
        <w:rPr>
          <w:rFonts w:hint="eastAsia" w:ascii="宋体" w:hAnsi="宋体" w:cs="宋体"/>
          <w:b/>
          <w:bCs/>
          <w:color w:val="auto"/>
          <w:sz w:val="24"/>
          <w:highlight w:val="none"/>
        </w:rPr>
        <w:t>七、合同份数</w:t>
      </w:r>
      <w:bookmarkEnd w:id="104"/>
    </w:p>
    <w:p w14:paraId="2AEE9361">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份，发包人执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份，承包人执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份，均具有同等法律效力。</w:t>
      </w:r>
    </w:p>
    <w:p w14:paraId="237E52DF">
      <w:pPr>
        <w:spacing w:line="336" w:lineRule="auto"/>
        <w:rPr>
          <w:rFonts w:ascii="宋体" w:hAnsi="宋体" w:cs="宋体"/>
          <w:color w:val="auto"/>
          <w:sz w:val="24"/>
          <w:highlight w:val="none"/>
        </w:rPr>
      </w:pPr>
    </w:p>
    <w:p w14:paraId="330A349A">
      <w:pPr>
        <w:adjustRightInd w:val="0"/>
        <w:snapToGrid w:val="0"/>
        <w:spacing w:line="336" w:lineRule="auto"/>
        <w:ind w:right="11"/>
        <w:rPr>
          <w:rFonts w:ascii="宋体" w:hAnsi="宋体" w:cs="宋体"/>
          <w:snapToGrid w:val="0"/>
          <w:color w:val="auto"/>
          <w:spacing w:val="-20"/>
          <w:kern w:val="0"/>
          <w:sz w:val="24"/>
          <w:highlight w:val="none"/>
        </w:rPr>
      </w:pPr>
      <w:r>
        <w:rPr>
          <w:rFonts w:hint="eastAsia" w:ascii="宋体" w:hAnsi="宋体" w:cs="宋体"/>
          <w:color w:val="auto"/>
          <w:sz w:val="24"/>
          <w:highlight w:val="none"/>
        </w:rPr>
        <w:t xml:space="preserve">发包人 </w:t>
      </w:r>
      <w:r>
        <w:rPr>
          <w:rFonts w:hint="eastAsia" w:ascii="宋体" w:hAnsi="宋体" w:cs="宋体"/>
          <w:snapToGrid w:val="0"/>
          <w:color w:val="auto"/>
          <w:kern w:val="0"/>
          <w:sz w:val="24"/>
          <w:highlight w:val="none"/>
        </w:rPr>
        <w:t>（盖章）</w:t>
      </w:r>
      <w:r>
        <w:rPr>
          <w:rFonts w:hint="eastAsia" w:ascii="宋体" w:hAnsi="宋体" w:cs="宋体"/>
          <w:color w:val="auto"/>
          <w:sz w:val="24"/>
          <w:highlight w:val="none"/>
        </w:rPr>
        <w:t xml:space="preserve">：               </w:t>
      </w:r>
      <w:r>
        <w:rPr>
          <w:rFonts w:hint="eastAsia" w:ascii="宋体" w:hAnsi="宋体" w:cs="宋体"/>
          <w:snapToGrid w:val="0"/>
          <w:color w:val="auto"/>
          <w:spacing w:val="-20"/>
          <w:kern w:val="0"/>
          <w:sz w:val="24"/>
          <w:highlight w:val="none"/>
        </w:rPr>
        <w:t>承包人（主）</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642A1074">
      <w:pPr>
        <w:pStyle w:val="2"/>
        <w:rPr>
          <w:color w:val="auto"/>
          <w:highlight w:val="none"/>
        </w:rPr>
      </w:pPr>
    </w:p>
    <w:p w14:paraId="51EB2A9A">
      <w:pPr>
        <w:spacing w:line="336" w:lineRule="auto"/>
        <w:rPr>
          <w:rFonts w:ascii="宋体" w:hAnsi="宋体" w:cs="宋体"/>
          <w:color w:val="auto"/>
          <w:sz w:val="24"/>
          <w:highlight w:val="none"/>
        </w:rPr>
      </w:pPr>
      <w:r>
        <w:rPr>
          <w:rFonts w:hint="eastAsia" w:ascii="宋体" w:hAnsi="宋体" w:cs="宋体"/>
          <w:snapToGrid w:val="0"/>
          <w:color w:val="auto"/>
          <w:spacing w:val="-20"/>
          <w:kern w:val="0"/>
          <w:sz w:val="24"/>
          <w:highlight w:val="none"/>
        </w:rPr>
        <w:t xml:space="preserve">                                              </w:t>
      </w:r>
      <w:r>
        <w:rPr>
          <w:rFonts w:hint="eastAsia" w:ascii="宋体" w:hAnsi="宋体" w:cs="宋体"/>
          <w:snapToGrid w:val="0"/>
          <w:color w:val="auto"/>
          <w:spacing w:val="-20"/>
          <w:kern w:val="0"/>
          <w:sz w:val="24"/>
          <w:highlight w:val="none"/>
          <w:lang w:val="en-US" w:eastAsia="zh-CN"/>
        </w:rPr>
        <w:t xml:space="preserve"> </w:t>
      </w:r>
      <w:r>
        <w:rPr>
          <w:rFonts w:hint="eastAsia" w:ascii="宋体" w:hAnsi="宋体" w:cs="宋体"/>
          <w:snapToGrid w:val="0"/>
          <w:color w:val="auto"/>
          <w:spacing w:val="-20"/>
          <w:kern w:val="0"/>
          <w:sz w:val="24"/>
          <w:highlight w:val="none"/>
        </w:rPr>
        <w:t xml:space="preserve"> 承包人（成）</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61A81918">
      <w:pPr>
        <w:tabs>
          <w:tab w:val="left" w:pos="4320"/>
          <w:tab w:val="left" w:pos="6195"/>
        </w:tabs>
        <w:spacing w:line="336" w:lineRule="auto"/>
        <w:jc w:val="right"/>
        <w:rPr>
          <w:rFonts w:ascii="宋体" w:hAnsi="宋体" w:cs="宋体"/>
          <w:b/>
          <w:bCs/>
          <w:color w:val="auto"/>
          <w:sz w:val="2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510E6DE1">
      <w:pPr>
        <w:spacing w:line="360" w:lineRule="auto"/>
        <w:rPr>
          <w:rFonts w:ascii="宋体" w:hAnsi="宋体" w:cs="宋体"/>
          <w:color w:val="auto"/>
          <w:sz w:val="24"/>
          <w:highlight w:val="none"/>
        </w:rPr>
        <w:sectPr>
          <w:footerReference r:id="rId8" w:type="first"/>
          <w:pgSz w:w="11906" w:h="16838"/>
          <w:pgMar w:top="1440" w:right="1440" w:bottom="1440" w:left="1440" w:header="851" w:footer="992" w:gutter="0"/>
          <w:cols w:space="720" w:num="1"/>
          <w:titlePg/>
          <w:docGrid w:type="lines" w:linePitch="312" w:charSpace="0"/>
        </w:sectPr>
      </w:pPr>
    </w:p>
    <w:p w14:paraId="33482912">
      <w:pPr>
        <w:spacing w:line="360" w:lineRule="auto"/>
        <w:rPr>
          <w:rFonts w:ascii="宋体" w:hAnsi="宋体" w:cs="宋体"/>
          <w:b/>
          <w:bCs/>
          <w:color w:val="auto"/>
          <w:sz w:val="24"/>
          <w:highlight w:val="none"/>
        </w:rPr>
      </w:pPr>
      <w:bookmarkStart w:id="105" w:name="_Toc287191706"/>
      <w:bookmarkStart w:id="106" w:name="_Toc239677932"/>
      <w:bookmarkStart w:id="107" w:name="_Toc239731716"/>
      <w:bookmarkStart w:id="108" w:name="_Toc287191073"/>
      <w:bookmarkStart w:id="109" w:name="_Toc287255175"/>
      <w:r>
        <w:rPr>
          <w:rFonts w:hint="eastAsia" w:ascii="宋体" w:hAnsi="宋体" w:cs="宋体"/>
          <w:b/>
          <w:bCs/>
          <w:color w:val="auto"/>
          <w:sz w:val="24"/>
          <w:highlight w:val="none"/>
        </w:rPr>
        <w:t>附件</w:t>
      </w:r>
      <w:bookmarkEnd w:id="105"/>
      <w:bookmarkEnd w:id="106"/>
      <w:bookmarkEnd w:id="107"/>
      <w:bookmarkEnd w:id="108"/>
      <w:bookmarkEnd w:id="109"/>
      <w:r>
        <w:rPr>
          <w:rFonts w:hint="eastAsia" w:ascii="宋体" w:hAnsi="宋体" w:cs="宋体"/>
          <w:b/>
          <w:bCs/>
          <w:color w:val="auto"/>
          <w:sz w:val="24"/>
          <w:highlight w:val="none"/>
        </w:rPr>
        <w:t>3</w:t>
      </w:r>
    </w:p>
    <w:p w14:paraId="4A00551D">
      <w:pPr>
        <w:spacing w:line="480" w:lineRule="auto"/>
        <w:contextualSpacing/>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保密协议</w:t>
      </w:r>
    </w:p>
    <w:p w14:paraId="3EE6A3FB">
      <w:pPr>
        <w:pStyle w:val="2"/>
        <w:rPr>
          <w:color w:val="auto"/>
          <w:highlight w:val="none"/>
        </w:rPr>
      </w:pPr>
    </w:p>
    <w:p w14:paraId="0CEEF334">
      <w:pPr>
        <w:autoSpaceDE w:val="0"/>
        <w:autoSpaceDN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lang w:val="zh-CN"/>
        </w:rPr>
        <w:t>：</w:t>
      </w:r>
      <w:r>
        <w:rPr>
          <w:rFonts w:hint="eastAsia" w:ascii="宋体" w:hAnsi="宋体" w:cs="宋体"/>
          <w:color w:val="auto"/>
          <w:sz w:val="24"/>
          <w:highlight w:val="none"/>
          <w:u w:val="single"/>
        </w:rPr>
        <w:t>广州珠江住房租赁发展投资有限公司</w:t>
      </w:r>
    </w:p>
    <w:p w14:paraId="279DC0A1">
      <w:pPr>
        <w:autoSpaceDE w:val="0"/>
        <w:autoSpaceDN w:val="0"/>
        <w:spacing w:line="360" w:lineRule="auto"/>
        <w:ind w:left="960" w:hanging="960" w:hangingChars="4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承包人</w:t>
      </w:r>
      <w:r>
        <w:rPr>
          <w:rFonts w:hint="eastAsia" w:ascii="宋体" w:hAnsi="宋体" w:cs="宋体"/>
          <w:color w:val="auto"/>
          <w:sz w:val="24"/>
          <w:highlight w:val="none"/>
          <w:lang w:val="zh-CN"/>
        </w:rPr>
        <w:t>：</w:t>
      </w:r>
      <w:r>
        <w:rPr>
          <w:rFonts w:hint="eastAsia" w:ascii="宋体" w:hAnsi="宋体" w:cs="宋体"/>
          <w:color w:val="auto"/>
          <w:sz w:val="24"/>
          <w:highlight w:val="none"/>
          <w:u w:val="single"/>
        </w:rPr>
        <w:t>（主）</w:t>
      </w:r>
      <w:r>
        <w:rPr>
          <w:rFonts w:hint="eastAsia" w:ascii="宋体" w:hAnsi="宋体" w:cs="宋体"/>
          <w:color w:val="auto"/>
          <w:sz w:val="24"/>
          <w:highlight w:val="none"/>
          <w:u w:val="single"/>
          <w:lang w:val="en-US" w:eastAsia="zh-CN"/>
        </w:rPr>
        <w:t xml:space="preserve">                        </w:t>
      </w:r>
    </w:p>
    <w:p w14:paraId="03C468A0">
      <w:pPr>
        <w:autoSpaceDE w:val="0"/>
        <w:autoSpaceDN w:val="0"/>
        <w:spacing w:line="360" w:lineRule="auto"/>
        <w:ind w:left="958" w:leftChars="456"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u w:val="single"/>
        </w:rPr>
        <w:t>（成）</w:t>
      </w:r>
      <w:r>
        <w:rPr>
          <w:rFonts w:hint="eastAsia" w:ascii="宋体" w:hAnsi="宋体" w:cs="宋体"/>
          <w:color w:val="auto"/>
          <w:sz w:val="24"/>
          <w:highlight w:val="none"/>
          <w:u w:val="single"/>
          <w:lang w:val="en-US" w:eastAsia="zh-CN"/>
        </w:rPr>
        <w:t xml:space="preserve">                        </w:t>
      </w:r>
    </w:p>
    <w:p w14:paraId="295A004D">
      <w:pPr>
        <w:autoSpaceDE w:val="0"/>
        <w:autoSpaceDN w:val="0"/>
        <w:spacing w:line="360" w:lineRule="auto"/>
        <w:ind w:firstLine="540"/>
        <w:rPr>
          <w:rFonts w:ascii="宋体" w:hAnsi="宋体" w:cs="宋体"/>
          <w:color w:val="auto"/>
          <w:sz w:val="24"/>
          <w:highlight w:val="none"/>
        </w:rPr>
      </w:pPr>
    </w:p>
    <w:p w14:paraId="0E06AF47">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承包人作为发包人服务单位，承包人同意遵守发包人下列保密条款：</w:t>
      </w:r>
    </w:p>
    <w:p w14:paraId="67487090">
      <w:pPr>
        <w:spacing w:line="360" w:lineRule="auto"/>
        <w:ind w:firstLine="482" w:firstLineChars="200"/>
        <w:outlineLvl w:val="1"/>
        <w:rPr>
          <w:rFonts w:ascii="宋体" w:hAnsi="宋体" w:cs="宋体"/>
          <w:b/>
          <w:bCs/>
          <w:color w:val="auto"/>
          <w:sz w:val="24"/>
          <w:highlight w:val="none"/>
        </w:rPr>
      </w:pPr>
      <w:bookmarkStart w:id="110" w:name="_Toc1203"/>
      <w:r>
        <w:rPr>
          <w:rFonts w:hint="eastAsia" w:ascii="宋体" w:hAnsi="宋体" w:cs="宋体"/>
          <w:b/>
          <w:bCs/>
          <w:color w:val="auto"/>
          <w:sz w:val="24"/>
          <w:highlight w:val="none"/>
        </w:rPr>
        <w:t>一、保密信息的范围</w:t>
      </w:r>
      <w:bookmarkEnd w:id="110"/>
    </w:p>
    <w:p w14:paraId="178F1056">
      <w:pPr>
        <w:autoSpaceDE w:val="0"/>
        <w:autoSpaceDN w:val="0"/>
        <w:spacing w:line="360" w:lineRule="auto"/>
        <w:ind w:firstLine="540"/>
        <w:rPr>
          <w:rFonts w:ascii="宋体" w:hAnsi="宋体" w:cs="宋体"/>
          <w:color w:val="auto"/>
          <w:sz w:val="24"/>
          <w:highlight w:val="none"/>
          <w:lang w:val="zh-CN"/>
        </w:rPr>
      </w:pPr>
      <w:r>
        <w:rPr>
          <w:rFonts w:hint="eastAsia" w:ascii="宋体" w:hAnsi="宋体" w:cs="宋体"/>
          <w:color w:val="auto"/>
          <w:sz w:val="24"/>
          <w:highlight w:val="none"/>
        </w:rPr>
        <w:t>“保密信息”在本保密协议中是指承包人在为发包人提供服务工作的过程中所获取的重要工作信息。</w:t>
      </w:r>
      <w:r>
        <w:rPr>
          <w:rFonts w:hint="eastAsia" w:ascii="宋体" w:hAnsi="宋体" w:cs="宋体"/>
          <w:color w:val="auto"/>
          <w:sz w:val="24"/>
          <w:highlight w:val="none"/>
          <w:lang w:val="zh-CN"/>
        </w:rPr>
        <w:t>该保密信息包括但不限于投资计划、项目规模、项目计划、项目相关数据和图纸、招标文件资料及信息、合同、价格、成本、研究报告、会议资料和文件。</w:t>
      </w:r>
    </w:p>
    <w:p w14:paraId="57EA5897">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不论以何种形式或载于何种载体，无论在披露时是否以口头、图像或以书面方式表明其具有保密性，都视为发包人的保密信息。</w:t>
      </w:r>
    </w:p>
    <w:p w14:paraId="02EA18CA">
      <w:pPr>
        <w:spacing w:line="360" w:lineRule="auto"/>
        <w:ind w:firstLine="482" w:firstLineChars="200"/>
        <w:outlineLvl w:val="1"/>
        <w:rPr>
          <w:rFonts w:ascii="宋体" w:hAnsi="宋体" w:cs="宋体"/>
          <w:b/>
          <w:bCs/>
          <w:color w:val="auto"/>
          <w:sz w:val="24"/>
          <w:highlight w:val="none"/>
        </w:rPr>
      </w:pPr>
      <w:bookmarkStart w:id="111" w:name="_Toc16603"/>
      <w:r>
        <w:rPr>
          <w:rFonts w:hint="eastAsia" w:ascii="宋体" w:hAnsi="宋体" w:cs="宋体"/>
          <w:b/>
          <w:bCs/>
          <w:color w:val="auto"/>
          <w:sz w:val="24"/>
          <w:highlight w:val="none"/>
        </w:rPr>
        <w:t>二、承包人的保密义务</w:t>
      </w:r>
      <w:bookmarkEnd w:id="111"/>
    </w:p>
    <w:p w14:paraId="744E1A63">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承包人对已知悉的发包人保密信息，在此同意：</w:t>
      </w:r>
    </w:p>
    <w:p w14:paraId="3D055FF5">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（一）未经发包人事前书面批准，不论服务期间或以后，承包人及其工作人员不得以任何方式泄漏发包人的保密信息。</w:t>
      </w:r>
    </w:p>
    <w:p w14:paraId="71875E56">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（二）一旦服务工作终止，承包人及其工作人员将退还保存的属于发包人的所有保密信息及资料，如方案、制度、报告、合同等。</w:t>
      </w:r>
    </w:p>
    <w:p w14:paraId="1C3AFA46">
      <w:pPr>
        <w:spacing w:line="360" w:lineRule="auto"/>
        <w:ind w:firstLine="482" w:firstLineChars="200"/>
        <w:outlineLvl w:val="1"/>
        <w:rPr>
          <w:rFonts w:ascii="宋体" w:hAnsi="宋体" w:cs="宋体"/>
          <w:b/>
          <w:bCs/>
          <w:color w:val="auto"/>
          <w:sz w:val="24"/>
          <w:highlight w:val="none"/>
        </w:rPr>
      </w:pPr>
      <w:bookmarkStart w:id="112" w:name="_Toc2140"/>
      <w:r>
        <w:rPr>
          <w:rFonts w:hint="eastAsia" w:ascii="宋体" w:hAnsi="宋体" w:cs="宋体"/>
          <w:b/>
          <w:bCs/>
          <w:color w:val="auto"/>
          <w:sz w:val="24"/>
          <w:highlight w:val="none"/>
        </w:rPr>
        <w:t>三、保密期限</w:t>
      </w:r>
      <w:bookmarkEnd w:id="112"/>
    </w:p>
    <w:p w14:paraId="45A27DC7">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保密期限包括但不限于：从获知发包人保密信息时起，至保密信息已由发包人通过合法途径让普通公众知悉时止。</w:t>
      </w:r>
    </w:p>
    <w:p w14:paraId="53FD69D6">
      <w:pPr>
        <w:spacing w:line="360" w:lineRule="auto"/>
        <w:ind w:firstLine="482" w:firstLineChars="200"/>
        <w:outlineLvl w:val="1"/>
        <w:rPr>
          <w:rFonts w:ascii="宋体" w:hAnsi="宋体" w:cs="宋体"/>
          <w:b/>
          <w:bCs/>
          <w:color w:val="auto"/>
          <w:sz w:val="24"/>
          <w:highlight w:val="none"/>
        </w:rPr>
      </w:pPr>
      <w:bookmarkStart w:id="113" w:name="_Toc17696"/>
      <w:r>
        <w:rPr>
          <w:rFonts w:hint="eastAsia" w:ascii="宋体" w:hAnsi="宋体" w:cs="宋体"/>
          <w:b/>
          <w:bCs/>
          <w:color w:val="auto"/>
          <w:sz w:val="24"/>
          <w:highlight w:val="none"/>
        </w:rPr>
        <w:t>四、违约责任</w:t>
      </w:r>
      <w:bookmarkEnd w:id="113"/>
    </w:p>
    <w:p w14:paraId="369486D4">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承包人违反本保密协议约定，要承担违约责任，发包人有权通过任何合理方式追究承包人的责任并终止服务合同。造成损失的，发包人有权要求承包人进行赔偿并追究承包人其他的法律责任。</w:t>
      </w:r>
    </w:p>
    <w:p w14:paraId="7F1AB501">
      <w:pPr>
        <w:spacing w:line="360" w:lineRule="auto"/>
        <w:ind w:firstLine="482" w:firstLineChars="200"/>
        <w:outlineLvl w:val="1"/>
        <w:rPr>
          <w:rFonts w:ascii="宋体" w:hAnsi="宋体" w:cs="宋体"/>
          <w:b/>
          <w:bCs/>
          <w:color w:val="auto"/>
          <w:sz w:val="24"/>
          <w:highlight w:val="none"/>
        </w:rPr>
      </w:pPr>
      <w:bookmarkStart w:id="114" w:name="_Toc32619"/>
      <w:r>
        <w:rPr>
          <w:rFonts w:hint="eastAsia" w:ascii="宋体" w:hAnsi="宋体" w:cs="宋体"/>
          <w:b/>
          <w:bCs/>
          <w:color w:val="auto"/>
          <w:sz w:val="24"/>
          <w:highlight w:val="none"/>
        </w:rPr>
        <w:t>五、其他约定</w:t>
      </w:r>
      <w:bookmarkEnd w:id="114"/>
    </w:p>
    <w:p w14:paraId="335F47EA">
      <w:pPr>
        <w:autoSpaceDE w:val="0"/>
        <w:autoSpaceDN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本保密协议一式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份，发包人执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份，承包人执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份具有同等法律效力。本保密协议经</w:t>
      </w:r>
      <w:r>
        <w:rPr>
          <w:rFonts w:hint="eastAsia" w:ascii="宋体" w:hAnsi="宋体" w:cs="宋体"/>
          <w:color w:val="auto"/>
          <w:sz w:val="24"/>
          <w:highlight w:val="none"/>
          <w:lang w:eastAsia="zh-CN"/>
        </w:rPr>
        <w:t>发包人与承包人</w:t>
      </w:r>
      <w:r>
        <w:rPr>
          <w:rFonts w:hint="eastAsia" w:ascii="宋体" w:hAnsi="宋体" w:cs="宋体"/>
          <w:color w:val="auto"/>
          <w:sz w:val="24"/>
          <w:highlight w:val="none"/>
        </w:rPr>
        <w:t>签字盖章后生效。</w:t>
      </w:r>
    </w:p>
    <w:p w14:paraId="2E9B27B5">
      <w:pPr>
        <w:pStyle w:val="2"/>
        <w:rPr>
          <w:rFonts w:hint="eastAsia"/>
          <w:color w:val="auto"/>
          <w:highlight w:val="none"/>
        </w:rPr>
      </w:pPr>
    </w:p>
    <w:p w14:paraId="1B232450">
      <w:pPr>
        <w:pStyle w:val="2"/>
        <w:rPr>
          <w:color w:val="auto"/>
          <w:highlight w:val="none"/>
        </w:rPr>
      </w:pPr>
    </w:p>
    <w:p w14:paraId="2D9A3980">
      <w:pPr>
        <w:adjustRightInd w:val="0"/>
        <w:snapToGrid w:val="0"/>
        <w:spacing w:line="360" w:lineRule="auto"/>
        <w:ind w:right="11"/>
        <w:rPr>
          <w:rFonts w:ascii="宋体" w:hAnsi="宋体" w:cs="宋体"/>
          <w:color w:val="auto"/>
          <w:sz w:val="24"/>
          <w:highlight w:val="none"/>
        </w:rPr>
      </w:pPr>
    </w:p>
    <w:p w14:paraId="77B7FA4F">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color w:val="auto"/>
          <w:sz w:val="24"/>
          <w:highlight w:val="none"/>
        </w:rPr>
        <w:t xml:space="preserve">发包人 </w:t>
      </w:r>
      <w:r>
        <w:rPr>
          <w:rFonts w:hint="eastAsia" w:ascii="宋体" w:hAnsi="宋体" w:cs="宋体"/>
          <w:snapToGrid w:val="0"/>
          <w:color w:val="auto"/>
          <w:kern w:val="0"/>
          <w:sz w:val="24"/>
          <w:highlight w:val="none"/>
        </w:rPr>
        <w:t>（盖章）</w:t>
      </w:r>
      <w:r>
        <w:rPr>
          <w:rFonts w:hint="eastAsia" w:ascii="宋体" w:hAnsi="宋体" w:cs="宋体"/>
          <w:color w:val="auto"/>
          <w:sz w:val="24"/>
          <w:highlight w:val="none"/>
        </w:rPr>
        <w:t xml:space="preserve">：                 </w:t>
      </w:r>
      <w:r>
        <w:rPr>
          <w:rFonts w:hint="eastAsia" w:ascii="宋体" w:hAnsi="宋体" w:cs="宋体"/>
          <w:snapToGrid w:val="0"/>
          <w:color w:val="auto"/>
          <w:spacing w:val="-20"/>
          <w:kern w:val="0"/>
          <w:sz w:val="24"/>
          <w:highlight w:val="none"/>
        </w:rPr>
        <w:t>承包人（主）</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305782DB">
      <w:pPr>
        <w:adjustRightInd w:val="0"/>
        <w:snapToGrid w:val="0"/>
        <w:spacing w:line="360" w:lineRule="auto"/>
        <w:ind w:right="11"/>
        <w:jc w:val="left"/>
        <w:rPr>
          <w:rFonts w:ascii="宋体" w:hAnsi="宋体" w:cs="宋体"/>
          <w:snapToGrid w:val="0"/>
          <w:color w:val="auto"/>
          <w:spacing w:val="-20"/>
          <w:kern w:val="0"/>
          <w:sz w:val="24"/>
          <w:highlight w:val="none"/>
        </w:rPr>
      </w:pPr>
    </w:p>
    <w:p w14:paraId="70D69C17">
      <w:pPr>
        <w:autoSpaceDE w:val="0"/>
        <w:autoSpaceDN w:val="0"/>
        <w:spacing w:line="360" w:lineRule="auto"/>
        <w:ind w:firstLine="3550" w:firstLineChars="1775"/>
        <w:rPr>
          <w:rFonts w:ascii="宋体" w:hAnsi="宋体" w:cs="宋体"/>
          <w:color w:val="auto"/>
          <w:sz w:val="24"/>
          <w:highlight w:val="none"/>
        </w:rPr>
      </w:pPr>
      <w:r>
        <w:rPr>
          <w:rFonts w:hint="eastAsia" w:ascii="宋体" w:hAnsi="宋体" w:cs="宋体"/>
          <w:snapToGrid w:val="0"/>
          <w:color w:val="auto"/>
          <w:spacing w:val="-20"/>
          <w:kern w:val="0"/>
          <w:sz w:val="24"/>
          <w:highlight w:val="none"/>
        </w:rPr>
        <w:t xml:space="preserve">     </w:t>
      </w:r>
      <w:r>
        <w:rPr>
          <w:rFonts w:hint="eastAsia" w:ascii="宋体" w:hAnsi="宋体" w:cs="宋体"/>
          <w:snapToGrid w:val="0"/>
          <w:color w:val="auto"/>
          <w:spacing w:val="-20"/>
          <w:kern w:val="0"/>
          <w:sz w:val="24"/>
          <w:highlight w:val="none"/>
          <w:lang w:val="en-US" w:eastAsia="zh-CN"/>
        </w:rPr>
        <w:t xml:space="preserve">  </w:t>
      </w:r>
      <w:r>
        <w:rPr>
          <w:rFonts w:hint="eastAsia" w:ascii="宋体" w:hAnsi="宋体" w:cs="宋体"/>
          <w:snapToGrid w:val="0"/>
          <w:color w:val="auto"/>
          <w:spacing w:val="-20"/>
          <w:kern w:val="0"/>
          <w:sz w:val="24"/>
          <w:highlight w:val="none"/>
        </w:rPr>
        <w:t>承包人（成）</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7008F8BF">
      <w:pPr>
        <w:autoSpaceDE w:val="0"/>
        <w:autoSpaceDN w:val="0"/>
        <w:spacing w:line="360" w:lineRule="auto"/>
        <w:ind w:firstLine="660" w:firstLineChars="275"/>
        <w:rPr>
          <w:rFonts w:ascii="宋体" w:hAnsi="宋体" w:cs="宋体"/>
          <w:color w:val="auto"/>
          <w:sz w:val="24"/>
          <w:highlight w:val="none"/>
        </w:rPr>
      </w:pPr>
    </w:p>
    <w:p w14:paraId="4E169BD7">
      <w:pPr>
        <w:spacing w:line="360" w:lineRule="auto"/>
        <w:ind w:firstLine="2640" w:firstLineChars="1100"/>
        <w:rPr>
          <w:rFonts w:ascii="宋体" w:hAnsi="宋体" w:cs="宋体"/>
          <w:color w:val="auto"/>
          <w:sz w:val="24"/>
          <w:highlight w:val="none"/>
        </w:rPr>
        <w:sectPr>
          <w:pgSz w:w="11906" w:h="16838"/>
          <w:pgMar w:top="1440" w:right="1440" w:bottom="1440" w:left="1587" w:header="851" w:footer="992" w:gutter="0"/>
          <w:cols w:space="720" w:num="1"/>
          <w:titlePg/>
          <w:docGrid w:type="lines" w:linePitch="312" w:charSpace="0"/>
        </w:sectPr>
      </w:pPr>
      <w:r>
        <w:rPr>
          <w:rFonts w:hint="eastAsia" w:ascii="宋体" w:hAnsi="宋体" w:cs="宋体"/>
          <w:color w:val="auto"/>
          <w:sz w:val="24"/>
          <w:highlight w:val="none"/>
        </w:rPr>
        <w:t>签订日期：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  日</w:t>
      </w:r>
    </w:p>
    <w:p w14:paraId="1C51B38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附件4</w:t>
      </w:r>
    </w:p>
    <w:p w14:paraId="27DA2C77">
      <w:pPr>
        <w:widowControl/>
        <w:snapToGrid w:val="0"/>
        <w:spacing w:line="360" w:lineRule="auto"/>
        <w:jc w:val="center"/>
        <w:outlineLvl w:val="0"/>
        <w:rPr>
          <w:rFonts w:hint="eastAsia" w:ascii="宋体" w:hAnsi="宋体" w:cs="宋体"/>
          <w:b/>
          <w:bCs/>
          <w:color w:val="auto"/>
          <w:sz w:val="30"/>
          <w:szCs w:val="30"/>
          <w:highlight w:val="none"/>
        </w:rPr>
      </w:pPr>
      <w:bookmarkStart w:id="115" w:name="_Toc8699"/>
      <w:bookmarkStart w:id="116" w:name="_Toc17975"/>
      <w:bookmarkStart w:id="117" w:name="_Toc9719"/>
      <w:bookmarkStart w:id="118" w:name="_Toc16536"/>
      <w:r>
        <w:rPr>
          <w:rFonts w:hint="eastAsia" w:ascii="宋体" w:hAnsi="宋体" w:eastAsia="宋体" w:cs="宋体"/>
          <w:b/>
          <w:bCs/>
          <w:color w:val="auto"/>
          <w:sz w:val="30"/>
          <w:szCs w:val="30"/>
          <w:highlight w:val="none"/>
        </w:rPr>
        <w:t>芳村花园消防设施设备维修</w:t>
      </w:r>
      <w:r>
        <w:rPr>
          <w:rFonts w:hint="eastAsia" w:ascii="宋体" w:hAnsi="宋体" w:eastAsia="宋体" w:cs="宋体"/>
          <w:b/>
          <w:bCs/>
          <w:color w:val="auto"/>
          <w:sz w:val="30"/>
          <w:szCs w:val="30"/>
          <w:highlight w:val="none"/>
          <w:lang w:eastAsia="zh-CN"/>
        </w:rPr>
        <w:t>更换项目设计</w:t>
      </w:r>
      <w:r>
        <w:rPr>
          <w:rFonts w:hint="eastAsia" w:ascii="宋体" w:hAnsi="宋体" w:eastAsia="宋体" w:cs="宋体"/>
          <w:b/>
          <w:bCs/>
          <w:color w:val="auto"/>
          <w:sz w:val="30"/>
          <w:szCs w:val="30"/>
          <w:highlight w:val="none"/>
        </w:rPr>
        <w:t>施工总承包</w:t>
      </w:r>
      <w:r>
        <w:rPr>
          <w:rFonts w:hint="eastAsia" w:ascii="宋体" w:hAnsi="宋体" w:cs="宋体"/>
          <w:b/>
          <w:bCs/>
          <w:color w:val="auto"/>
          <w:sz w:val="30"/>
          <w:szCs w:val="30"/>
          <w:highlight w:val="none"/>
          <w:lang w:eastAsia="zh-CN"/>
        </w:rPr>
        <w:t>招标</w:t>
      </w:r>
      <w:r>
        <w:rPr>
          <w:rFonts w:hint="eastAsia" w:ascii="宋体" w:hAnsi="宋体" w:eastAsia="宋体" w:cs="宋体"/>
          <w:b/>
          <w:bCs/>
          <w:color w:val="auto"/>
          <w:sz w:val="30"/>
          <w:szCs w:val="30"/>
          <w:highlight w:val="none"/>
        </w:rPr>
        <w:t>需求</w:t>
      </w:r>
      <w:r>
        <w:rPr>
          <w:rFonts w:hint="eastAsia" w:ascii="宋体" w:hAnsi="宋体" w:cs="宋体"/>
          <w:b/>
          <w:bCs/>
          <w:color w:val="auto"/>
          <w:sz w:val="30"/>
          <w:szCs w:val="30"/>
          <w:highlight w:val="none"/>
        </w:rPr>
        <w:t>书</w:t>
      </w:r>
    </w:p>
    <w:p w14:paraId="287904C2">
      <w:pPr>
        <w:widowControl/>
        <w:snapToGrid w:val="0"/>
        <w:spacing w:line="360" w:lineRule="auto"/>
        <w:jc w:val="center"/>
        <w:outlineLvl w:val="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（另册）</w:t>
      </w:r>
    </w:p>
    <w:p w14:paraId="62EE698C">
      <w:pPr>
        <w:ind w:firstLine="1120"/>
        <w:jc w:val="center"/>
        <w:rPr>
          <w:rFonts w:ascii="宋体" w:hAnsi="宋体" w:cs="宋体"/>
          <w:color w:val="auto"/>
          <w:sz w:val="24"/>
          <w:highlight w:val="none"/>
        </w:rPr>
      </w:pPr>
    </w:p>
    <w:p w14:paraId="1C298346">
      <w:pPr>
        <w:pStyle w:val="53"/>
        <w:rPr>
          <w:rFonts w:ascii="宋体" w:hAnsi="宋体" w:cs="宋体"/>
          <w:b w:val="0"/>
          <w:color w:val="auto"/>
          <w:sz w:val="24"/>
          <w:highlight w:val="none"/>
        </w:rPr>
      </w:pPr>
    </w:p>
    <w:p w14:paraId="0B1E8991">
      <w:pPr>
        <w:pStyle w:val="53"/>
        <w:rPr>
          <w:rFonts w:ascii="宋体" w:hAnsi="宋体" w:cs="宋体"/>
          <w:b w:val="0"/>
          <w:color w:val="auto"/>
          <w:sz w:val="24"/>
          <w:highlight w:val="none"/>
        </w:rPr>
      </w:pPr>
    </w:p>
    <w:p w14:paraId="1BBBB88B">
      <w:pPr>
        <w:pStyle w:val="53"/>
        <w:rPr>
          <w:rFonts w:ascii="宋体" w:hAnsi="宋体" w:cs="宋体"/>
          <w:b w:val="0"/>
          <w:color w:val="auto"/>
          <w:sz w:val="24"/>
          <w:highlight w:val="none"/>
        </w:rPr>
      </w:pPr>
    </w:p>
    <w:p w14:paraId="0C9AC494">
      <w:pPr>
        <w:pStyle w:val="53"/>
        <w:rPr>
          <w:rFonts w:ascii="宋体" w:hAnsi="宋体" w:cs="宋体"/>
          <w:b w:val="0"/>
          <w:color w:val="auto"/>
          <w:sz w:val="24"/>
          <w:highlight w:val="none"/>
        </w:rPr>
      </w:pPr>
    </w:p>
    <w:p w14:paraId="39916FF0">
      <w:pPr>
        <w:ind w:firstLine="640"/>
        <w:rPr>
          <w:rFonts w:ascii="宋体" w:hAnsi="宋体" w:cs="宋体"/>
          <w:color w:val="auto"/>
          <w:kern w:val="0"/>
          <w:sz w:val="24"/>
          <w:highlight w:val="none"/>
        </w:rPr>
      </w:pPr>
    </w:p>
    <w:p w14:paraId="5A556B35">
      <w:pPr>
        <w:jc w:val="center"/>
        <w:rPr>
          <w:rFonts w:ascii="宋体" w:hAnsi="宋体" w:cs="宋体"/>
          <w:color w:val="auto"/>
          <w:kern w:val="0"/>
          <w:sz w:val="24"/>
          <w:highlight w:val="none"/>
        </w:rPr>
      </w:pPr>
    </w:p>
    <w:p w14:paraId="4D941994">
      <w:pPr>
        <w:jc w:val="center"/>
        <w:rPr>
          <w:rFonts w:ascii="宋体" w:hAnsi="宋体" w:cs="宋体"/>
          <w:color w:val="auto"/>
          <w:kern w:val="0"/>
          <w:sz w:val="24"/>
          <w:highlight w:val="none"/>
        </w:rPr>
      </w:pPr>
    </w:p>
    <w:p w14:paraId="3C877F16">
      <w:pPr>
        <w:pStyle w:val="53"/>
        <w:rPr>
          <w:rFonts w:ascii="宋体" w:hAnsi="宋体" w:cs="宋体"/>
          <w:color w:val="auto"/>
          <w:kern w:val="0"/>
          <w:sz w:val="24"/>
          <w:highlight w:val="none"/>
        </w:rPr>
      </w:pPr>
    </w:p>
    <w:p w14:paraId="1A0D2511">
      <w:pPr>
        <w:pStyle w:val="53"/>
        <w:rPr>
          <w:rFonts w:ascii="宋体" w:hAnsi="宋体" w:cs="宋体"/>
          <w:color w:val="auto"/>
          <w:kern w:val="0"/>
          <w:sz w:val="24"/>
          <w:highlight w:val="none"/>
        </w:rPr>
      </w:pPr>
    </w:p>
    <w:p w14:paraId="32CED3DC">
      <w:pPr>
        <w:pStyle w:val="53"/>
        <w:rPr>
          <w:rFonts w:ascii="宋体" w:hAnsi="宋体" w:cs="宋体"/>
          <w:color w:val="auto"/>
          <w:kern w:val="0"/>
          <w:sz w:val="24"/>
          <w:highlight w:val="none"/>
        </w:rPr>
      </w:pPr>
    </w:p>
    <w:p w14:paraId="453BF58E">
      <w:pPr>
        <w:pStyle w:val="53"/>
        <w:rPr>
          <w:rFonts w:ascii="宋体" w:hAnsi="宋体" w:cs="宋体"/>
          <w:color w:val="auto"/>
          <w:kern w:val="0"/>
          <w:sz w:val="24"/>
          <w:highlight w:val="none"/>
        </w:rPr>
      </w:pPr>
    </w:p>
    <w:p w14:paraId="51342FD8">
      <w:pPr>
        <w:pStyle w:val="53"/>
        <w:rPr>
          <w:rFonts w:ascii="宋体" w:hAnsi="宋体" w:cs="宋体"/>
          <w:color w:val="auto"/>
          <w:kern w:val="0"/>
          <w:sz w:val="24"/>
          <w:highlight w:val="none"/>
        </w:rPr>
      </w:pPr>
    </w:p>
    <w:p w14:paraId="7A5FD069">
      <w:pPr>
        <w:pStyle w:val="53"/>
        <w:rPr>
          <w:rFonts w:ascii="宋体" w:hAnsi="宋体" w:cs="宋体"/>
          <w:color w:val="auto"/>
          <w:kern w:val="0"/>
          <w:sz w:val="24"/>
          <w:highlight w:val="none"/>
        </w:rPr>
      </w:pPr>
    </w:p>
    <w:p w14:paraId="2B1AB200">
      <w:pPr>
        <w:pStyle w:val="53"/>
        <w:rPr>
          <w:rFonts w:ascii="宋体" w:hAnsi="宋体" w:cs="宋体"/>
          <w:color w:val="auto"/>
          <w:kern w:val="0"/>
          <w:sz w:val="24"/>
          <w:highlight w:val="none"/>
        </w:rPr>
      </w:pPr>
    </w:p>
    <w:p w14:paraId="56D35271">
      <w:pPr>
        <w:pStyle w:val="53"/>
        <w:rPr>
          <w:rFonts w:ascii="宋体" w:hAnsi="宋体" w:cs="宋体"/>
          <w:color w:val="auto"/>
          <w:kern w:val="0"/>
          <w:sz w:val="24"/>
          <w:highlight w:val="none"/>
        </w:rPr>
      </w:pPr>
    </w:p>
    <w:p w14:paraId="6BEC453A">
      <w:pPr>
        <w:pStyle w:val="53"/>
        <w:rPr>
          <w:rFonts w:ascii="宋体" w:hAnsi="宋体" w:cs="宋体"/>
          <w:color w:val="auto"/>
          <w:kern w:val="0"/>
          <w:sz w:val="24"/>
          <w:highlight w:val="none"/>
        </w:rPr>
      </w:pPr>
    </w:p>
    <w:p w14:paraId="256BCF2E">
      <w:pPr>
        <w:pStyle w:val="53"/>
        <w:rPr>
          <w:rFonts w:ascii="宋体" w:hAnsi="宋体" w:cs="宋体"/>
          <w:color w:val="auto"/>
          <w:kern w:val="0"/>
          <w:sz w:val="24"/>
          <w:highlight w:val="none"/>
        </w:rPr>
      </w:pPr>
    </w:p>
    <w:p w14:paraId="0B0A9E02">
      <w:pPr>
        <w:pStyle w:val="53"/>
        <w:rPr>
          <w:rFonts w:ascii="宋体" w:hAnsi="宋体" w:cs="宋体"/>
          <w:color w:val="auto"/>
          <w:kern w:val="0"/>
          <w:sz w:val="24"/>
          <w:highlight w:val="none"/>
        </w:rPr>
      </w:pPr>
    </w:p>
    <w:p w14:paraId="740BC83B">
      <w:pPr>
        <w:pStyle w:val="53"/>
        <w:rPr>
          <w:rFonts w:ascii="宋体" w:hAnsi="宋体" w:cs="宋体"/>
          <w:color w:val="auto"/>
          <w:kern w:val="0"/>
          <w:sz w:val="24"/>
          <w:highlight w:val="none"/>
        </w:rPr>
      </w:pPr>
    </w:p>
    <w:p w14:paraId="01857C8B">
      <w:pPr>
        <w:pStyle w:val="53"/>
        <w:rPr>
          <w:rFonts w:ascii="宋体" w:hAnsi="宋体" w:cs="宋体"/>
          <w:color w:val="auto"/>
          <w:kern w:val="0"/>
          <w:sz w:val="24"/>
          <w:highlight w:val="none"/>
        </w:rPr>
      </w:pPr>
    </w:p>
    <w:p w14:paraId="6D6D531C">
      <w:pPr>
        <w:pStyle w:val="53"/>
        <w:rPr>
          <w:rFonts w:ascii="宋体" w:hAnsi="宋体" w:cs="宋体"/>
          <w:color w:val="auto"/>
          <w:kern w:val="0"/>
          <w:sz w:val="24"/>
          <w:highlight w:val="none"/>
        </w:rPr>
      </w:pPr>
    </w:p>
    <w:p w14:paraId="288D1038">
      <w:pPr>
        <w:pStyle w:val="53"/>
        <w:rPr>
          <w:rFonts w:ascii="宋体" w:hAnsi="宋体" w:cs="宋体"/>
          <w:color w:val="auto"/>
          <w:kern w:val="0"/>
          <w:sz w:val="24"/>
          <w:highlight w:val="none"/>
        </w:rPr>
      </w:pPr>
    </w:p>
    <w:p w14:paraId="1374DCFE">
      <w:pPr>
        <w:rPr>
          <w:rFonts w:ascii="宋体" w:hAnsi="宋体" w:cs="宋体"/>
          <w:b/>
          <w:bCs/>
          <w:color w:val="auto"/>
          <w:sz w:val="24"/>
          <w:highlight w:val="none"/>
        </w:rPr>
      </w:pPr>
      <w:bookmarkStart w:id="119" w:name="_Toc7413"/>
      <w:bookmarkStart w:id="120" w:name="_Toc6858"/>
      <w:bookmarkStart w:id="121" w:name="_Toc11097"/>
      <w:bookmarkStart w:id="122" w:name="_Toc9295"/>
      <w:bookmarkStart w:id="123" w:name="_Toc19757"/>
      <w:bookmarkStart w:id="124" w:name="_Toc29204"/>
      <w:bookmarkStart w:id="125" w:name="_Toc32018"/>
      <w:bookmarkStart w:id="126" w:name="_Toc4600"/>
      <w:bookmarkStart w:id="127" w:name="_Toc18258"/>
      <w:bookmarkStart w:id="128" w:name="_Toc4174"/>
      <w:bookmarkStart w:id="129" w:name="_Toc22751"/>
      <w:bookmarkStart w:id="130" w:name="_Toc26896"/>
      <w:r>
        <w:rPr>
          <w:rFonts w:hint="eastAsia" w:ascii="宋体" w:hAnsi="宋体" w:cs="宋体"/>
          <w:b/>
          <w:bCs/>
          <w:color w:val="auto"/>
          <w:sz w:val="24"/>
          <w:highlight w:val="none"/>
        </w:rPr>
        <w:br w:type="page"/>
      </w:r>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5844A32D">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附件5</w:t>
      </w:r>
    </w:p>
    <w:p w14:paraId="046FC429">
      <w:pPr>
        <w:spacing w:line="360" w:lineRule="auto"/>
        <w:jc w:val="center"/>
        <w:outlineLvl w:val="0"/>
        <w:rPr>
          <w:rFonts w:ascii="宋体" w:hAnsi="宋体" w:cs="宋体"/>
          <w:b/>
          <w:bCs/>
          <w:color w:val="auto"/>
          <w:sz w:val="30"/>
          <w:szCs w:val="30"/>
          <w:highlight w:val="none"/>
        </w:rPr>
      </w:pPr>
      <w:bookmarkStart w:id="131" w:name="_Toc16242"/>
      <w:r>
        <w:rPr>
          <w:rFonts w:hint="eastAsia" w:ascii="宋体" w:hAnsi="宋体" w:cs="宋体"/>
          <w:b/>
          <w:bCs/>
          <w:color w:val="auto"/>
          <w:sz w:val="30"/>
          <w:szCs w:val="30"/>
          <w:highlight w:val="none"/>
        </w:rPr>
        <w:t>联合体协议书（复印件）</w:t>
      </w:r>
      <w:bookmarkEnd w:id="131"/>
    </w:p>
    <w:p w14:paraId="2337C1AF">
      <w:pPr>
        <w:pStyle w:val="2"/>
        <w:rPr>
          <w:color w:val="auto"/>
          <w:highlight w:val="none"/>
        </w:rPr>
      </w:pPr>
    </w:p>
    <w:p w14:paraId="27DABF2A">
      <w:pPr>
        <w:jc w:val="center"/>
        <w:rPr>
          <w:color w:val="auto"/>
          <w:highlight w:val="none"/>
        </w:rPr>
      </w:pPr>
    </w:p>
    <w:p w14:paraId="685C185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附件6</w:t>
      </w:r>
    </w:p>
    <w:p w14:paraId="413C383D">
      <w:p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《广州安居集团有限公司建设工程设计管理办法（试行）》</w:t>
      </w:r>
    </w:p>
    <w:p w14:paraId="3E9398E1">
      <w:pPr>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（另册）</w:t>
      </w:r>
    </w:p>
    <w:p w14:paraId="5003CB8B">
      <w:pPr>
        <w:rPr>
          <w:color w:val="auto"/>
          <w:highlight w:val="none"/>
        </w:rPr>
      </w:pPr>
    </w:p>
    <w:p w14:paraId="776CE3B4">
      <w:pPr>
        <w:rPr>
          <w:color w:val="auto"/>
          <w:highlight w:val="none"/>
        </w:rPr>
      </w:pPr>
    </w:p>
    <w:p w14:paraId="6DF0020E">
      <w:pPr>
        <w:rPr>
          <w:rFonts w:ascii="宋体" w:hAnsi="宋体" w:cs="宋体"/>
          <w:b/>
          <w:bCs/>
          <w:color w:val="auto"/>
          <w:sz w:val="24"/>
          <w:highlight w:val="none"/>
        </w:rPr>
      </w:pPr>
    </w:p>
    <w:p w14:paraId="2ED607FD">
      <w:pPr>
        <w:rPr>
          <w:rFonts w:ascii="宋体" w:hAnsi="宋体" w:cs="宋体"/>
          <w:b/>
          <w:bCs/>
          <w:color w:val="auto"/>
          <w:sz w:val="24"/>
          <w:highlight w:val="none"/>
        </w:rPr>
      </w:pPr>
    </w:p>
    <w:p w14:paraId="78CE754F">
      <w:pPr>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附件7</w:t>
      </w:r>
    </w:p>
    <w:p w14:paraId="6EBC4078">
      <w:pPr>
        <w:spacing w:line="360" w:lineRule="auto"/>
        <w:jc w:val="center"/>
        <w:rPr>
          <w:rFonts w:hint="eastAsia" w:ascii="宋体" w:hAnsi="宋体" w:cs="宋体"/>
          <w:b/>
          <w:bCs/>
          <w:color w:val="auto"/>
          <w:spacing w:val="-11"/>
          <w:sz w:val="30"/>
          <w:szCs w:val="30"/>
          <w:highlight w:val="none"/>
        </w:rPr>
      </w:pPr>
      <w:r>
        <w:rPr>
          <w:rFonts w:hint="eastAsia" w:ascii="宋体" w:hAnsi="宋体" w:cs="宋体"/>
          <w:b/>
          <w:bCs/>
          <w:color w:val="auto"/>
          <w:spacing w:val="-11"/>
          <w:sz w:val="30"/>
          <w:szCs w:val="30"/>
          <w:highlight w:val="none"/>
        </w:rPr>
        <w:t>《广州安居集团保障性住房项目设计评价标准及负面清单（试行）》</w:t>
      </w:r>
    </w:p>
    <w:p w14:paraId="45EB5527">
      <w:pPr>
        <w:spacing w:line="360" w:lineRule="auto"/>
        <w:jc w:val="center"/>
        <w:rPr>
          <w:rFonts w:hint="eastAsia" w:ascii="宋体" w:hAnsi="宋体" w:eastAsia="宋体" w:cs="宋体"/>
          <w:b/>
          <w:bCs/>
          <w:color w:val="auto"/>
          <w:spacing w:val="-11"/>
          <w:sz w:val="30"/>
          <w:szCs w:val="30"/>
          <w:highlight w:val="none"/>
          <w:lang w:eastAsia="zh-CN"/>
        </w:rPr>
      </w:pPr>
      <w:r>
        <w:rPr>
          <w:rFonts w:hint="eastAsia" w:ascii="宋体" w:hAnsi="宋体" w:cs="宋体"/>
          <w:b/>
          <w:bCs/>
          <w:color w:val="auto"/>
          <w:spacing w:val="-11"/>
          <w:sz w:val="30"/>
          <w:szCs w:val="30"/>
          <w:highlight w:val="none"/>
          <w:lang w:eastAsia="zh-CN"/>
        </w:rPr>
        <w:t>（另册）</w:t>
      </w:r>
    </w:p>
    <w:p w14:paraId="5B06A36B">
      <w:pPr>
        <w:pStyle w:val="83"/>
        <w:ind w:firstLine="480"/>
        <w:rPr>
          <w:color w:val="auto"/>
          <w:highlight w:val="none"/>
        </w:rPr>
      </w:pPr>
    </w:p>
    <w:p w14:paraId="55897642">
      <w:pPr>
        <w:pStyle w:val="83"/>
        <w:ind w:firstLine="480"/>
        <w:rPr>
          <w:color w:val="auto"/>
          <w:highlight w:val="none"/>
        </w:rPr>
      </w:pPr>
    </w:p>
    <w:p w14:paraId="5456C5F1">
      <w:pPr>
        <w:spacing w:line="480" w:lineRule="auto"/>
        <w:rPr>
          <w:rFonts w:hint="eastAsia" w:ascii="宋体" w:hAnsi="宋体" w:cs="宋体"/>
          <w:b/>
          <w:bCs/>
          <w:color w:val="auto"/>
          <w:spacing w:val="-11"/>
          <w:sz w:val="24"/>
          <w:highlight w:val="none"/>
        </w:rPr>
      </w:pPr>
      <w:r>
        <w:rPr>
          <w:rFonts w:hint="eastAsia" w:ascii="宋体" w:hAnsi="宋体" w:cs="宋体"/>
          <w:b/>
          <w:bCs/>
          <w:color w:val="auto"/>
          <w:spacing w:val="-11"/>
          <w:sz w:val="24"/>
          <w:highlight w:val="none"/>
        </w:rPr>
        <w:br w:type="page"/>
      </w:r>
      <w:r>
        <w:rPr>
          <w:rFonts w:hint="eastAsia" w:ascii="宋体" w:hAnsi="宋体" w:cs="宋体"/>
          <w:b/>
          <w:bCs/>
          <w:color w:val="auto"/>
          <w:spacing w:val="-11"/>
          <w:sz w:val="24"/>
          <w:highlight w:val="none"/>
        </w:rPr>
        <w:t>附件8</w:t>
      </w:r>
    </w:p>
    <w:p w14:paraId="4542529C">
      <w:pPr>
        <w:pStyle w:val="43"/>
        <w:adjustRightInd w:val="0"/>
        <w:snapToGrid w:val="0"/>
        <w:spacing w:after="0" w:line="360" w:lineRule="auto"/>
        <w:ind w:left="283" w:leftChars="135" w:firstLine="602" w:firstLineChars="200"/>
        <w:jc w:val="center"/>
        <w:outlineLvl w:val="9"/>
        <w:rPr>
          <w:rFonts w:hint="eastAsia" w:ascii="宋体" w:hAnsi="宋体" w:eastAsia="宋体" w:cs="宋体"/>
          <w:b/>
          <w:bCs/>
          <w:snapToGrid w:val="0"/>
          <w:color w:val="auto"/>
          <w:kern w:val="0"/>
          <w:sz w:val="30"/>
          <w:szCs w:val="30"/>
          <w:highlight w:val="none"/>
        </w:rPr>
      </w:pPr>
      <w:bookmarkStart w:id="132" w:name="_Toc883"/>
      <w:bookmarkStart w:id="133" w:name="_Toc25157"/>
      <w:bookmarkStart w:id="134" w:name="_Toc26387"/>
      <w:bookmarkStart w:id="135" w:name="_Toc28924"/>
      <w:bookmarkStart w:id="136" w:name="_Toc1066"/>
      <w:r>
        <w:rPr>
          <w:rFonts w:hint="eastAsia" w:ascii="宋体" w:hAnsi="宋体" w:eastAsia="宋体" w:cs="宋体"/>
          <w:b/>
          <w:bCs/>
          <w:snapToGrid w:val="0"/>
          <w:color w:val="auto"/>
          <w:kern w:val="0"/>
          <w:sz w:val="30"/>
          <w:szCs w:val="30"/>
          <w:highlight w:val="none"/>
        </w:rPr>
        <w:t>《广州安居集团有限公司施工合同履约评价实施办法（试行）</w:t>
      </w:r>
      <w:r>
        <w:rPr>
          <w:rFonts w:hint="eastAsia" w:ascii="宋体" w:hAnsi="宋体" w:eastAsia="宋体" w:cs="宋体"/>
          <w:b/>
          <w:bCs/>
          <w:snapToGrid w:val="0"/>
          <w:color w:val="auto"/>
          <w:kern w:val="0"/>
          <w:sz w:val="30"/>
          <w:szCs w:val="30"/>
          <w:highlight w:val="none"/>
          <w:lang w:eastAsia="zh-CN"/>
        </w:rPr>
        <w:t>》</w:t>
      </w:r>
      <w:r>
        <w:rPr>
          <w:rFonts w:hint="eastAsia" w:ascii="宋体" w:hAnsi="宋体" w:eastAsia="宋体" w:cs="宋体"/>
          <w:b/>
          <w:bCs/>
          <w:snapToGrid w:val="0"/>
          <w:color w:val="auto"/>
          <w:kern w:val="0"/>
          <w:sz w:val="30"/>
          <w:szCs w:val="30"/>
          <w:highlight w:val="none"/>
        </w:rPr>
        <w:t>（另册）</w:t>
      </w:r>
      <w:bookmarkEnd w:id="132"/>
      <w:bookmarkEnd w:id="133"/>
      <w:bookmarkEnd w:id="134"/>
      <w:bookmarkEnd w:id="135"/>
      <w:bookmarkEnd w:id="136"/>
    </w:p>
    <w:p w14:paraId="521A1320">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63AF09D0">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018D369">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21D27F1C">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78C9EA75">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0B82238E">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2A82173E">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154962FF">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D6D7941">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4DB189FE">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3811919B">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73338E8D">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695628DC">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2EEE9CD6">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30A3B0FD">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122C40DF">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29F8B87C">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3D843DAD">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1C329F62">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34D2FCE">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181E42AE">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09926307">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7E6BC50D">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2D56D643">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07C93A45">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3250E1A">
      <w:pPr>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br w:type="page"/>
      </w:r>
    </w:p>
    <w:p w14:paraId="2DE5D250">
      <w:pPr>
        <w:spacing w:line="480" w:lineRule="auto"/>
        <w:rPr>
          <w:rFonts w:hint="eastAsia" w:ascii="宋体" w:hAnsi="宋体" w:eastAsia="宋体" w:cs="宋体"/>
          <w:b/>
          <w:bCs/>
          <w:color w:val="auto"/>
          <w:spacing w:val="-11"/>
          <w:sz w:val="24"/>
          <w:highlight w:val="none"/>
          <w:lang w:eastAsia="zh-CN"/>
        </w:rPr>
      </w:pPr>
      <w:r>
        <w:rPr>
          <w:rFonts w:hint="eastAsia" w:ascii="宋体" w:hAnsi="宋体" w:cs="宋体"/>
          <w:b/>
          <w:bCs/>
          <w:color w:val="auto"/>
          <w:spacing w:val="-11"/>
          <w:sz w:val="24"/>
          <w:highlight w:val="none"/>
        </w:rPr>
        <w:t>附件</w:t>
      </w:r>
      <w:r>
        <w:rPr>
          <w:rFonts w:hint="eastAsia" w:ascii="宋体" w:hAnsi="宋体" w:cs="宋体"/>
          <w:b/>
          <w:bCs/>
          <w:color w:val="auto"/>
          <w:spacing w:val="-11"/>
          <w:sz w:val="24"/>
          <w:highlight w:val="none"/>
          <w:lang w:val="en-US" w:eastAsia="zh-CN"/>
        </w:rPr>
        <w:t>9</w:t>
      </w:r>
    </w:p>
    <w:p w14:paraId="68F5F2E7">
      <w:pPr>
        <w:pStyle w:val="43"/>
        <w:adjustRightInd w:val="0"/>
        <w:snapToGrid w:val="0"/>
        <w:spacing w:after="0" w:line="360" w:lineRule="auto"/>
        <w:ind w:left="283" w:leftChars="135" w:firstLine="602" w:firstLineChars="200"/>
        <w:jc w:val="center"/>
        <w:outlineLvl w:val="9"/>
        <w:rPr>
          <w:rFonts w:hint="eastAsia" w:ascii="宋体" w:hAnsi="宋体" w:eastAsia="宋体" w:cs="宋体"/>
          <w:b/>
          <w:bCs/>
          <w:snapToGrid w:val="0"/>
          <w:color w:val="auto"/>
          <w:kern w:val="0"/>
          <w:sz w:val="30"/>
          <w:szCs w:val="30"/>
          <w:highlight w:val="none"/>
          <w:lang w:eastAsia="zh-CN"/>
        </w:rPr>
      </w:pPr>
      <w:r>
        <w:rPr>
          <w:rFonts w:hint="eastAsia" w:ascii="宋体" w:hAnsi="宋体" w:eastAsia="宋体" w:cs="宋体"/>
          <w:b/>
          <w:bCs/>
          <w:snapToGrid w:val="0"/>
          <w:color w:val="auto"/>
          <w:kern w:val="0"/>
          <w:sz w:val="30"/>
          <w:szCs w:val="30"/>
          <w:highlight w:val="none"/>
        </w:rPr>
        <w:t>《广州安居住房置业有限公司工程</w:t>
      </w:r>
      <w:r>
        <w:rPr>
          <w:rFonts w:hint="eastAsia" w:ascii="宋体" w:hAnsi="宋体" w:eastAsia="宋体" w:cs="宋体"/>
          <w:b/>
          <w:bCs/>
          <w:snapToGrid w:val="0"/>
          <w:color w:val="auto"/>
          <w:kern w:val="0"/>
          <w:sz w:val="30"/>
          <w:szCs w:val="30"/>
          <w:highlight w:val="none"/>
          <w:lang w:eastAsia="zh-CN"/>
        </w:rPr>
        <w:t>预</w:t>
      </w:r>
      <w:r>
        <w:rPr>
          <w:rFonts w:hint="eastAsia" w:ascii="宋体" w:hAnsi="宋体" w:eastAsia="宋体" w:cs="宋体"/>
          <w:b/>
          <w:bCs/>
          <w:snapToGrid w:val="0"/>
          <w:color w:val="auto"/>
          <w:kern w:val="0"/>
          <w:sz w:val="30"/>
          <w:szCs w:val="30"/>
          <w:highlight w:val="none"/>
        </w:rPr>
        <w:t>算编审指引（试行）</w:t>
      </w:r>
      <w:r>
        <w:rPr>
          <w:rFonts w:hint="eastAsia" w:ascii="宋体" w:hAnsi="宋体" w:eastAsia="宋体" w:cs="宋体"/>
          <w:b/>
          <w:bCs/>
          <w:snapToGrid w:val="0"/>
          <w:color w:val="auto"/>
          <w:kern w:val="0"/>
          <w:sz w:val="30"/>
          <w:szCs w:val="30"/>
          <w:highlight w:val="none"/>
          <w:lang w:eastAsia="zh-CN"/>
        </w:rPr>
        <w:t>》</w:t>
      </w:r>
    </w:p>
    <w:p w14:paraId="2AFE812F">
      <w:pPr>
        <w:pStyle w:val="43"/>
        <w:adjustRightInd w:val="0"/>
        <w:snapToGrid w:val="0"/>
        <w:spacing w:after="0" w:line="360" w:lineRule="auto"/>
        <w:ind w:left="283" w:leftChars="135" w:firstLine="602" w:firstLineChars="200"/>
        <w:jc w:val="center"/>
        <w:outlineLvl w:val="9"/>
        <w:rPr>
          <w:rFonts w:hint="eastAsia" w:ascii="宋体" w:hAnsi="宋体" w:eastAsia="宋体" w:cs="宋体"/>
          <w:b/>
          <w:bCs/>
          <w:snapToGrid w:val="0"/>
          <w:color w:val="auto"/>
          <w:kern w:val="0"/>
          <w:sz w:val="30"/>
          <w:szCs w:val="30"/>
          <w:highlight w:val="none"/>
        </w:rPr>
      </w:pPr>
      <w:r>
        <w:rPr>
          <w:rFonts w:hint="eastAsia" w:ascii="宋体" w:hAnsi="宋体" w:eastAsia="宋体" w:cs="宋体"/>
          <w:b/>
          <w:bCs/>
          <w:snapToGrid w:val="0"/>
          <w:color w:val="auto"/>
          <w:kern w:val="0"/>
          <w:sz w:val="30"/>
          <w:szCs w:val="30"/>
          <w:highlight w:val="none"/>
        </w:rPr>
        <w:t>（另册）</w:t>
      </w:r>
    </w:p>
    <w:p w14:paraId="12604C23">
      <w:pPr>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br w:type="page"/>
      </w:r>
    </w:p>
    <w:p w14:paraId="422CB160">
      <w:pPr>
        <w:spacing w:line="480" w:lineRule="auto"/>
        <w:rPr>
          <w:rFonts w:hint="default" w:ascii="宋体" w:hAnsi="宋体" w:eastAsia="宋体" w:cs="宋体"/>
          <w:b/>
          <w:bCs/>
          <w:color w:val="auto"/>
          <w:spacing w:val="-11"/>
          <w:sz w:val="24"/>
          <w:highlight w:val="none"/>
          <w:lang w:val="en-US" w:eastAsia="zh-CN"/>
        </w:rPr>
      </w:pPr>
      <w:r>
        <w:rPr>
          <w:rFonts w:hint="eastAsia" w:ascii="宋体" w:hAnsi="宋体" w:cs="宋体"/>
          <w:b/>
          <w:bCs/>
          <w:color w:val="auto"/>
          <w:spacing w:val="-11"/>
          <w:sz w:val="24"/>
          <w:highlight w:val="none"/>
        </w:rPr>
        <w:t>附件</w:t>
      </w:r>
      <w:r>
        <w:rPr>
          <w:rFonts w:hint="eastAsia" w:ascii="宋体" w:hAnsi="宋体" w:cs="宋体"/>
          <w:b/>
          <w:bCs/>
          <w:color w:val="auto"/>
          <w:spacing w:val="-11"/>
          <w:sz w:val="24"/>
          <w:highlight w:val="none"/>
          <w:lang w:val="en-US" w:eastAsia="zh-CN"/>
        </w:rPr>
        <w:t>10</w:t>
      </w:r>
    </w:p>
    <w:p w14:paraId="64E2D603">
      <w:pPr>
        <w:pStyle w:val="43"/>
        <w:adjustRightInd w:val="0"/>
        <w:snapToGrid w:val="0"/>
        <w:spacing w:after="0" w:line="360" w:lineRule="auto"/>
        <w:ind w:left="283" w:leftChars="135" w:firstLine="602" w:firstLineChars="200"/>
        <w:jc w:val="center"/>
        <w:outlineLvl w:val="9"/>
        <w:rPr>
          <w:rFonts w:hint="eastAsia" w:ascii="宋体" w:hAnsi="宋体" w:eastAsia="宋体" w:cs="宋体"/>
          <w:b/>
          <w:bCs/>
          <w:snapToGrid w:val="0"/>
          <w:color w:val="auto"/>
          <w:kern w:val="0"/>
          <w:sz w:val="30"/>
          <w:szCs w:val="30"/>
          <w:highlight w:val="none"/>
          <w:lang w:eastAsia="zh-CN"/>
        </w:rPr>
      </w:pPr>
      <w:r>
        <w:rPr>
          <w:rFonts w:hint="eastAsia" w:ascii="宋体" w:hAnsi="宋体" w:eastAsia="宋体" w:cs="宋体"/>
          <w:b/>
          <w:bCs/>
          <w:snapToGrid w:val="0"/>
          <w:color w:val="auto"/>
          <w:kern w:val="0"/>
          <w:sz w:val="30"/>
          <w:szCs w:val="30"/>
          <w:highlight w:val="none"/>
        </w:rPr>
        <w:t>《广州安居住房置业有限公司工程结算编审指引（试行）</w:t>
      </w:r>
      <w:r>
        <w:rPr>
          <w:rFonts w:hint="eastAsia" w:ascii="宋体" w:hAnsi="宋体" w:eastAsia="宋体" w:cs="宋体"/>
          <w:b/>
          <w:bCs/>
          <w:snapToGrid w:val="0"/>
          <w:color w:val="auto"/>
          <w:kern w:val="0"/>
          <w:sz w:val="30"/>
          <w:szCs w:val="30"/>
          <w:highlight w:val="none"/>
          <w:lang w:eastAsia="zh-CN"/>
        </w:rPr>
        <w:t>》</w:t>
      </w:r>
    </w:p>
    <w:p w14:paraId="025BA718">
      <w:pPr>
        <w:pStyle w:val="43"/>
        <w:adjustRightInd w:val="0"/>
        <w:snapToGrid w:val="0"/>
        <w:spacing w:after="0" w:line="360" w:lineRule="auto"/>
        <w:ind w:left="283" w:leftChars="135" w:firstLine="602" w:firstLineChars="200"/>
        <w:jc w:val="center"/>
        <w:outlineLvl w:val="9"/>
        <w:rPr>
          <w:rFonts w:hint="eastAsia" w:ascii="宋体" w:hAnsi="宋体" w:eastAsia="宋体" w:cs="宋体"/>
          <w:b/>
          <w:bCs/>
          <w:snapToGrid w:val="0"/>
          <w:color w:val="auto"/>
          <w:kern w:val="0"/>
          <w:sz w:val="30"/>
          <w:szCs w:val="30"/>
          <w:highlight w:val="none"/>
        </w:rPr>
      </w:pPr>
      <w:r>
        <w:rPr>
          <w:rFonts w:hint="eastAsia" w:ascii="宋体" w:hAnsi="宋体" w:eastAsia="宋体" w:cs="宋体"/>
          <w:b/>
          <w:bCs/>
          <w:snapToGrid w:val="0"/>
          <w:color w:val="auto"/>
          <w:kern w:val="0"/>
          <w:sz w:val="30"/>
          <w:szCs w:val="30"/>
          <w:highlight w:val="none"/>
        </w:rPr>
        <w:t>（另册）</w:t>
      </w:r>
    </w:p>
    <w:p w14:paraId="04E7DCB9">
      <w:pPr>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br w:type="page"/>
      </w:r>
    </w:p>
    <w:p w14:paraId="1970A7AD">
      <w:pPr>
        <w:pStyle w:val="2"/>
        <w:spacing w:line="360" w:lineRule="auto"/>
        <w:rPr>
          <w:rFonts w:hint="default" w:eastAsia="宋体"/>
          <w:b/>
          <w:bCs/>
          <w:color w:val="auto"/>
          <w:sz w:val="24"/>
          <w:szCs w:val="24"/>
          <w:highlight w:val="none"/>
          <w:lang w:val="en-US" w:eastAsia="zh-CN"/>
        </w:rPr>
      </w:pPr>
      <w:r>
        <w:rPr>
          <w:rFonts w:hint="eastAsia"/>
          <w:b/>
          <w:bCs/>
          <w:color w:val="auto"/>
          <w:sz w:val="24"/>
          <w:szCs w:val="24"/>
          <w:highlight w:val="none"/>
          <w:lang w:eastAsia="zh-CN"/>
        </w:rPr>
        <w:t>附件</w:t>
      </w:r>
      <w:r>
        <w:rPr>
          <w:rFonts w:hint="eastAsia"/>
          <w:b/>
          <w:bCs/>
          <w:color w:val="auto"/>
          <w:sz w:val="24"/>
          <w:szCs w:val="24"/>
          <w:highlight w:val="none"/>
          <w:lang w:val="en-US" w:eastAsia="zh-CN"/>
        </w:rPr>
        <w:t>11</w:t>
      </w:r>
    </w:p>
    <w:p w14:paraId="56AD0861">
      <w:pPr>
        <w:adjustRightInd w:val="0"/>
        <w:snapToGrid w:val="0"/>
        <w:spacing w:line="360" w:lineRule="auto"/>
        <w:jc w:val="center"/>
        <w:rPr>
          <w:rFonts w:ascii="宋体" w:hAnsi="宋体" w:cs="宋体"/>
          <w:b/>
          <w:snapToGrid w:val="0"/>
          <w:color w:val="auto"/>
          <w:spacing w:val="-11"/>
          <w:kern w:val="0"/>
          <w:sz w:val="30"/>
          <w:szCs w:val="30"/>
          <w:highlight w:val="none"/>
        </w:rPr>
      </w:pPr>
      <w:bookmarkStart w:id="137" w:name="_Toc2452"/>
      <w:bookmarkStart w:id="138" w:name="_Toc9603"/>
      <w:bookmarkStart w:id="139" w:name="_Toc9777"/>
      <w:r>
        <w:rPr>
          <w:rFonts w:hint="eastAsia" w:ascii="宋体" w:hAnsi="宋体" w:cs="宋体"/>
          <w:b/>
          <w:snapToGrid w:val="0"/>
          <w:color w:val="auto"/>
          <w:spacing w:val="-11"/>
          <w:kern w:val="0"/>
          <w:sz w:val="30"/>
          <w:szCs w:val="30"/>
          <w:highlight w:val="none"/>
        </w:rPr>
        <w:t>承包人法定代表人、项目负责人</w:t>
      </w:r>
      <w:bookmarkEnd w:id="137"/>
      <w:bookmarkEnd w:id="138"/>
      <w:bookmarkEnd w:id="139"/>
      <w:bookmarkStart w:id="140" w:name="_Toc5224"/>
      <w:bookmarkStart w:id="141" w:name="_Toc177"/>
      <w:bookmarkStart w:id="142" w:name="_Toc10776"/>
      <w:bookmarkStart w:id="143" w:name="_Toc513"/>
      <w:bookmarkStart w:id="144" w:name="_Toc4492"/>
      <w:r>
        <w:rPr>
          <w:rFonts w:hint="eastAsia" w:ascii="宋体" w:hAnsi="宋体" w:cs="宋体"/>
          <w:b/>
          <w:snapToGrid w:val="0"/>
          <w:color w:val="auto"/>
          <w:spacing w:val="-11"/>
          <w:kern w:val="0"/>
          <w:sz w:val="30"/>
          <w:szCs w:val="30"/>
          <w:highlight w:val="none"/>
        </w:rPr>
        <w:t>的身份证、职务、职称及</w:t>
      </w:r>
      <w:r>
        <w:rPr>
          <w:rFonts w:hint="eastAsia" w:ascii="宋体" w:hAnsi="宋体" w:cs="宋体"/>
          <w:b/>
          <w:snapToGrid w:val="0"/>
          <w:color w:val="auto"/>
          <w:spacing w:val="-11"/>
          <w:kern w:val="0"/>
          <w:sz w:val="30"/>
          <w:szCs w:val="30"/>
          <w:highlight w:val="none"/>
          <w:lang w:eastAsia="zh-CN"/>
        </w:rPr>
        <w:t>通迅</w:t>
      </w:r>
      <w:r>
        <w:rPr>
          <w:rFonts w:hint="eastAsia" w:ascii="宋体" w:hAnsi="宋体" w:cs="宋体"/>
          <w:b/>
          <w:snapToGrid w:val="0"/>
          <w:color w:val="auto"/>
          <w:spacing w:val="-11"/>
          <w:kern w:val="0"/>
          <w:sz w:val="30"/>
          <w:szCs w:val="30"/>
          <w:highlight w:val="none"/>
        </w:rPr>
        <w:t>联系方式</w:t>
      </w:r>
      <w:bookmarkEnd w:id="140"/>
      <w:bookmarkEnd w:id="141"/>
      <w:bookmarkEnd w:id="142"/>
      <w:bookmarkEnd w:id="143"/>
      <w:bookmarkEnd w:id="144"/>
    </w:p>
    <w:p w14:paraId="2374D907">
      <w:pPr>
        <w:adjustRightInd w:val="0"/>
        <w:snapToGrid w:val="0"/>
        <w:spacing w:line="360" w:lineRule="auto"/>
        <w:jc w:val="center"/>
        <w:rPr>
          <w:rFonts w:ascii="宋体" w:hAnsi="宋体" w:cs="宋体"/>
          <w:b/>
          <w:snapToGrid w:val="0"/>
          <w:color w:val="auto"/>
          <w:kern w:val="0"/>
          <w:sz w:val="24"/>
          <w:highlight w:val="none"/>
        </w:rPr>
      </w:pPr>
    </w:p>
    <w:tbl>
      <w:tblPr>
        <w:tblStyle w:val="44"/>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0"/>
        <w:gridCol w:w="1267"/>
        <w:gridCol w:w="1276"/>
        <w:gridCol w:w="1333"/>
        <w:gridCol w:w="1973"/>
      </w:tblGrid>
      <w:tr w14:paraId="0882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2690" w:type="dxa"/>
            <w:noWrap/>
            <w:vAlign w:val="center"/>
          </w:tcPr>
          <w:p w14:paraId="37FAFAD4">
            <w:pPr>
              <w:jc w:val="center"/>
              <w:rPr>
                <w:rFonts w:ascii="宋体" w:hAnsi="宋体" w:cs="宋体"/>
                <w:b/>
                <w:bCs/>
                <w:color w:val="auto"/>
                <w:sz w:val="24"/>
                <w:highlight w:val="none"/>
              </w:rPr>
            </w:pPr>
            <w:r>
              <w:rPr>
                <w:rFonts w:hint="eastAsia" w:ascii="宋体" w:hAnsi="宋体" w:cs="宋体"/>
                <w:b/>
                <w:bCs/>
                <w:color w:val="auto"/>
                <w:sz w:val="24"/>
                <w:highlight w:val="none"/>
              </w:rPr>
              <w:t>人员</w:t>
            </w:r>
          </w:p>
        </w:tc>
        <w:tc>
          <w:tcPr>
            <w:tcW w:w="1267" w:type="dxa"/>
            <w:noWrap/>
            <w:vAlign w:val="center"/>
          </w:tcPr>
          <w:p w14:paraId="3129EF9D">
            <w:pPr>
              <w:jc w:val="center"/>
              <w:rPr>
                <w:rFonts w:ascii="宋体" w:hAnsi="宋体" w:cs="宋体"/>
                <w:b/>
                <w:bCs/>
                <w:color w:val="auto"/>
                <w:sz w:val="24"/>
                <w:highlight w:val="none"/>
              </w:rPr>
            </w:pPr>
            <w:r>
              <w:rPr>
                <w:rFonts w:hint="eastAsia" w:ascii="宋体" w:hAnsi="宋体" w:cs="宋体"/>
                <w:b/>
                <w:bCs/>
                <w:color w:val="auto"/>
                <w:sz w:val="24"/>
                <w:highlight w:val="none"/>
              </w:rPr>
              <w:t>姓名</w:t>
            </w:r>
          </w:p>
        </w:tc>
        <w:tc>
          <w:tcPr>
            <w:tcW w:w="1276" w:type="dxa"/>
            <w:noWrap/>
            <w:vAlign w:val="center"/>
          </w:tcPr>
          <w:p w14:paraId="401CB936">
            <w:pPr>
              <w:jc w:val="center"/>
              <w:rPr>
                <w:rFonts w:ascii="宋体" w:hAnsi="宋体" w:cs="宋体"/>
                <w:b/>
                <w:bCs/>
                <w:color w:val="auto"/>
                <w:sz w:val="24"/>
                <w:highlight w:val="none"/>
              </w:rPr>
            </w:pPr>
            <w:r>
              <w:rPr>
                <w:rFonts w:hint="eastAsia" w:ascii="宋体" w:hAnsi="宋体" w:cs="宋体"/>
                <w:b/>
                <w:bCs/>
                <w:color w:val="auto"/>
                <w:sz w:val="24"/>
                <w:highlight w:val="none"/>
              </w:rPr>
              <w:t>职务</w:t>
            </w:r>
          </w:p>
        </w:tc>
        <w:tc>
          <w:tcPr>
            <w:tcW w:w="1333" w:type="dxa"/>
            <w:noWrap/>
            <w:vAlign w:val="center"/>
          </w:tcPr>
          <w:p w14:paraId="2727E67F">
            <w:pPr>
              <w:jc w:val="center"/>
              <w:rPr>
                <w:rFonts w:ascii="宋体" w:hAnsi="宋体" w:cs="宋体"/>
                <w:b/>
                <w:bCs/>
                <w:color w:val="auto"/>
                <w:sz w:val="24"/>
                <w:highlight w:val="none"/>
              </w:rPr>
            </w:pPr>
            <w:r>
              <w:rPr>
                <w:rFonts w:hint="eastAsia" w:ascii="宋体" w:hAnsi="宋体" w:cs="宋体"/>
                <w:b/>
                <w:bCs/>
                <w:color w:val="auto"/>
                <w:sz w:val="24"/>
                <w:highlight w:val="none"/>
              </w:rPr>
              <w:t>职称</w:t>
            </w:r>
          </w:p>
        </w:tc>
        <w:tc>
          <w:tcPr>
            <w:tcW w:w="1973" w:type="dxa"/>
            <w:noWrap/>
            <w:vAlign w:val="center"/>
          </w:tcPr>
          <w:p w14:paraId="7398EFA8">
            <w:pPr>
              <w:jc w:val="center"/>
              <w:rPr>
                <w:rFonts w:ascii="宋体" w:hAnsi="宋体" w:cs="宋体"/>
                <w:b/>
                <w:bCs/>
                <w:color w:val="auto"/>
                <w:sz w:val="24"/>
                <w:highlight w:val="none"/>
              </w:rPr>
            </w:pPr>
            <w:r>
              <w:rPr>
                <w:rFonts w:hint="eastAsia" w:ascii="宋体" w:hAnsi="宋体" w:cs="宋体"/>
                <w:b/>
                <w:bCs/>
                <w:color w:val="auto"/>
                <w:sz w:val="24"/>
                <w:highlight w:val="none"/>
              </w:rPr>
              <w:t>通</w:t>
            </w:r>
            <w:r>
              <w:rPr>
                <w:rFonts w:hint="eastAsia" w:ascii="宋体" w:hAnsi="宋体" w:cs="宋体"/>
                <w:b/>
                <w:bCs/>
                <w:color w:val="auto"/>
                <w:sz w:val="24"/>
                <w:highlight w:val="none"/>
                <w:lang w:eastAsia="zh-CN"/>
              </w:rPr>
              <w:t>迅</w:t>
            </w:r>
            <w:r>
              <w:rPr>
                <w:rFonts w:hint="eastAsia" w:ascii="宋体" w:hAnsi="宋体" w:cs="宋体"/>
                <w:b/>
                <w:bCs/>
                <w:color w:val="auto"/>
                <w:sz w:val="24"/>
                <w:highlight w:val="none"/>
              </w:rPr>
              <w:t>联系方式</w:t>
            </w:r>
          </w:p>
        </w:tc>
      </w:tr>
      <w:tr w14:paraId="0F2D4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2690" w:type="dxa"/>
            <w:noWrap/>
            <w:vAlign w:val="center"/>
          </w:tcPr>
          <w:p w14:paraId="6BAF7686">
            <w:pPr>
              <w:jc w:val="center"/>
              <w:rPr>
                <w:rFonts w:ascii="宋体" w:hAnsi="宋体" w:cs="宋体"/>
                <w:color w:val="auto"/>
                <w:sz w:val="24"/>
                <w:highlight w:val="none"/>
              </w:rPr>
            </w:pPr>
            <w:r>
              <w:rPr>
                <w:rFonts w:hint="eastAsia" w:ascii="宋体" w:hAnsi="宋体" w:cs="宋体"/>
                <w:color w:val="auto"/>
                <w:sz w:val="24"/>
                <w:highlight w:val="none"/>
              </w:rPr>
              <w:t>法定代表人（主办方）</w:t>
            </w:r>
          </w:p>
        </w:tc>
        <w:tc>
          <w:tcPr>
            <w:tcW w:w="1267" w:type="dxa"/>
            <w:noWrap/>
            <w:vAlign w:val="center"/>
          </w:tcPr>
          <w:p w14:paraId="314183F9">
            <w:pPr>
              <w:rPr>
                <w:rFonts w:ascii="宋体" w:hAnsi="宋体" w:cs="宋体"/>
                <w:color w:val="auto"/>
                <w:sz w:val="24"/>
                <w:highlight w:val="none"/>
              </w:rPr>
            </w:pPr>
          </w:p>
        </w:tc>
        <w:tc>
          <w:tcPr>
            <w:tcW w:w="1276" w:type="dxa"/>
            <w:noWrap/>
            <w:vAlign w:val="center"/>
          </w:tcPr>
          <w:p w14:paraId="23954446">
            <w:pPr>
              <w:rPr>
                <w:rFonts w:ascii="宋体" w:hAnsi="宋体" w:cs="宋体"/>
                <w:color w:val="auto"/>
                <w:sz w:val="24"/>
                <w:highlight w:val="none"/>
              </w:rPr>
            </w:pPr>
          </w:p>
        </w:tc>
        <w:tc>
          <w:tcPr>
            <w:tcW w:w="1333" w:type="dxa"/>
            <w:noWrap/>
            <w:vAlign w:val="center"/>
          </w:tcPr>
          <w:p w14:paraId="13AA6A73">
            <w:pPr>
              <w:rPr>
                <w:rFonts w:ascii="宋体" w:hAnsi="宋体" w:cs="宋体"/>
                <w:color w:val="auto"/>
                <w:sz w:val="24"/>
                <w:highlight w:val="none"/>
              </w:rPr>
            </w:pPr>
          </w:p>
        </w:tc>
        <w:tc>
          <w:tcPr>
            <w:tcW w:w="1973" w:type="dxa"/>
            <w:noWrap/>
            <w:vAlign w:val="center"/>
          </w:tcPr>
          <w:p w14:paraId="2B8FBCBE">
            <w:pPr>
              <w:rPr>
                <w:rFonts w:ascii="宋体" w:hAnsi="宋体" w:cs="宋体"/>
                <w:color w:val="auto"/>
                <w:sz w:val="24"/>
                <w:highlight w:val="none"/>
              </w:rPr>
            </w:pPr>
          </w:p>
        </w:tc>
      </w:tr>
      <w:tr w14:paraId="22E1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2690" w:type="dxa"/>
            <w:noWrap/>
            <w:vAlign w:val="center"/>
          </w:tcPr>
          <w:p w14:paraId="732C3053">
            <w:pPr>
              <w:jc w:val="center"/>
              <w:rPr>
                <w:rFonts w:ascii="宋体" w:hAnsi="宋体" w:cs="宋体"/>
                <w:color w:val="auto"/>
                <w:sz w:val="24"/>
                <w:highlight w:val="none"/>
              </w:rPr>
            </w:pPr>
            <w:r>
              <w:rPr>
                <w:rFonts w:hint="eastAsia" w:ascii="宋体" w:hAnsi="宋体" w:cs="宋体"/>
                <w:color w:val="auto"/>
                <w:sz w:val="24"/>
                <w:highlight w:val="none"/>
              </w:rPr>
              <w:t>项目负责人（主办方）</w:t>
            </w:r>
          </w:p>
        </w:tc>
        <w:tc>
          <w:tcPr>
            <w:tcW w:w="1267" w:type="dxa"/>
            <w:noWrap/>
            <w:vAlign w:val="center"/>
          </w:tcPr>
          <w:p w14:paraId="19F45CF1">
            <w:pPr>
              <w:rPr>
                <w:rFonts w:ascii="宋体" w:hAnsi="宋体" w:cs="宋体"/>
                <w:color w:val="auto"/>
                <w:sz w:val="24"/>
                <w:highlight w:val="none"/>
              </w:rPr>
            </w:pPr>
          </w:p>
        </w:tc>
        <w:tc>
          <w:tcPr>
            <w:tcW w:w="1276" w:type="dxa"/>
            <w:noWrap/>
            <w:vAlign w:val="center"/>
          </w:tcPr>
          <w:p w14:paraId="729577A3">
            <w:pPr>
              <w:rPr>
                <w:rFonts w:ascii="宋体" w:hAnsi="宋体" w:cs="宋体"/>
                <w:color w:val="auto"/>
                <w:sz w:val="24"/>
                <w:highlight w:val="none"/>
              </w:rPr>
            </w:pPr>
          </w:p>
        </w:tc>
        <w:tc>
          <w:tcPr>
            <w:tcW w:w="1333" w:type="dxa"/>
            <w:noWrap/>
            <w:vAlign w:val="center"/>
          </w:tcPr>
          <w:p w14:paraId="204457D5">
            <w:pPr>
              <w:rPr>
                <w:rFonts w:ascii="宋体" w:hAnsi="宋体" w:cs="宋体"/>
                <w:color w:val="auto"/>
                <w:sz w:val="24"/>
                <w:highlight w:val="none"/>
              </w:rPr>
            </w:pPr>
          </w:p>
        </w:tc>
        <w:tc>
          <w:tcPr>
            <w:tcW w:w="1973" w:type="dxa"/>
            <w:noWrap/>
            <w:vAlign w:val="center"/>
          </w:tcPr>
          <w:p w14:paraId="214BB401">
            <w:pPr>
              <w:rPr>
                <w:rFonts w:ascii="宋体" w:hAnsi="宋体" w:cs="宋体"/>
                <w:color w:val="auto"/>
                <w:sz w:val="24"/>
                <w:highlight w:val="none"/>
              </w:rPr>
            </w:pPr>
          </w:p>
        </w:tc>
      </w:tr>
      <w:tr w14:paraId="747C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2690" w:type="dxa"/>
            <w:noWrap/>
            <w:vAlign w:val="center"/>
          </w:tcPr>
          <w:p w14:paraId="4D77A4EE">
            <w:pPr>
              <w:jc w:val="center"/>
              <w:rPr>
                <w:rFonts w:ascii="宋体" w:hAnsi="宋体" w:cs="宋体"/>
                <w:color w:val="auto"/>
                <w:sz w:val="24"/>
                <w:highlight w:val="none"/>
              </w:rPr>
            </w:pPr>
            <w:r>
              <w:rPr>
                <w:rFonts w:hint="eastAsia" w:ascii="宋体" w:hAnsi="宋体" w:cs="宋体"/>
                <w:color w:val="auto"/>
                <w:sz w:val="24"/>
                <w:highlight w:val="none"/>
              </w:rPr>
              <w:t>设计负责人（成员）</w:t>
            </w:r>
          </w:p>
        </w:tc>
        <w:tc>
          <w:tcPr>
            <w:tcW w:w="1267" w:type="dxa"/>
            <w:noWrap/>
            <w:vAlign w:val="center"/>
          </w:tcPr>
          <w:p w14:paraId="5EA1A7B9">
            <w:pPr>
              <w:rPr>
                <w:rFonts w:ascii="宋体" w:hAnsi="宋体" w:cs="宋体"/>
                <w:color w:val="auto"/>
                <w:sz w:val="24"/>
                <w:highlight w:val="none"/>
              </w:rPr>
            </w:pPr>
          </w:p>
        </w:tc>
        <w:tc>
          <w:tcPr>
            <w:tcW w:w="1276" w:type="dxa"/>
            <w:noWrap/>
            <w:vAlign w:val="center"/>
          </w:tcPr>
          <w:p w14:paraId="1490C731">
            <w:pPr>
              <w:rPr>
                <w:rFonts w:ascii="宋体" w:hAnsi="宋体" w:cs="宋体"/>
                <w:color w:val="auto"/>
                <w:sz w:val="24"/>
                <w:highlight w:val="none"/>
              </w:rPr>
            </w:pPr>
          </w:p>
        </w:tc>
        <w:tc>
          <w:tcPr>
            <w:tcW w:w="1333" w:type="dxa"/>
            <w:noWrap/>
            <w:vAlign w:val="center"/>
          </w:tcPr>
          <w:p w14:paraId="214D9D5F">
            <w:pPr>
              <w:rPr>
                <w:rFonts w:ascii="宋体" w:hAnsi="宋体" w:cs="宋体"/>
                <w:color w:val="auto"/>
                <w:sz w:val="24"/>
                <w:highlight w:val="none"/>
              </w:rPr>
            </w:pPr>
          </w:p>
        </w:tc>
        <w:tc>
          <w:tcPr>
            <w:tcW w:w="1973" w:type="dxa"/>
            <w:noWrap/>
            <w:vAlign w:val="center"/>
          </w:tcPr>
          <w:p w14:paraId="59350A2C">
            <w:pPr>
              <w:rPr>
                <w:rFonts w:ascii="宋体" w:hAnsi="宋体" w:cs="宋体"/>
                <w:color w:val="auto"/>
                <w:sz w:val="24"/>
                <w:highlight w:val="none"/>
              </w:rPr>
            </w:pPr>
          </w:p>
        </w:tc>
      </w:tr>
    </w:tbl>
    <w:p w14:paraId="52F47C79">
      <w:pPr>
        <w:pStyle w:val="43"/>
        <w:adjustRightInd w:val="0"/>
        <w:snapToGrid w:val="0"/>
        <w:spacing w:after="0" w:line="360" w:lineRule="auto"/>
        <w:ind w:firstLine="0" w:firstLineChars="0"/>
        <w:rPr>
          <w:rFonts w:ascii="宋体" w:hAnsi="宋体" w:eastAsia="宋体" w:cs="宋体"/>
          <w:b/>
          <w:bCs/>
          <w:snapToGrid w:val="0"/>
          <w:color w:val="auto"/>
          <w:kern w:val="0"/>
          <w:sz w:val="24"/>
          <w:szCs w:val="24"/>
          <w:highlight w:val="none"/>
        </w:rPr>
      </w:pPr>
    </w:p>
    <w:p w14:paraId="3223F3F6">
      <w:pPr>
        <w:pStyle w:val="43"/>
        <w:adjustRightInd w:val="0"/>
        <w:snapToGrid w:val="0"/>
        <w:spacing w:after="0" w:line="360" w:lineRule="auto"/>
        <w:ind w:firstLine="482" w:firstLineChars="200"/>
        <w:rPr>
          <w:rFonts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附：</w:t>
      </w:r>
    </w:p>
    <w:p w14:paraId="204BE8D6">
      <w:pPr>
        <w:pStyle w:val="43"/>
        <w:adjustRightInd w:val="0"/>
        <w:snapToGrid w:val="0"/>
        <w:spacing w:after="0" w:line="360" w:lineRule="auto"/>
        <w:ind w:firstLine="480" w:firstLineChars="200"/>
        <w:rPr>
          <w:rFonts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法定代表人身份证（复印件）</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4"/>
        <w:gridCol w:w="4604"/>
      </w:tblGrid>
      <w:tr w14:paraId="36D5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4" w:type="dxa"/>
            <w:tcBorders>
              <w:top w:val="nil"/>
              <w:left w:val="nil"/>
              <w:bottom w:val="nil"/>
              <w:right w:val="nil"/>
            </w:tcBorders>
          </w:tcPr>
          <w:p w14:paraId="596DEDBB">
            <w:pPr>
              <w:spacing w:line="480" w:lineRule="auto"/>
              <w:rPr>
                <w:rFonts w:ascii="宋体" w:hAnsi="宋体" w:cs="宋体"/>
                <w:b/>
                <w:bCs/>
                <w:color w:val="auto"/>
                <w:spacing w:val="-11"/>
                <w:sz w:val="24"/>
                <w:highlight w:val="none"/>
              </w:rPr>
            </w:pPr>
          </w:p>
        </w:tc>
        <w:tc>
          <w:tcPr>
            <w:tcW w:w="4604" w:type="dxa"/>
            <w:tcBorders>
              <w:top w:val="nil"/>
              <w:left w:val="nil"/>
              <w:bottom w:val="nil"/>
              <w:right w:val="nil"/>
            </w:tcBorders>
          </w:tcPr>
          <w:p w14:paraId="4849944C">
            <w:pPr>
              <w:spacing w:line="480" w:lineRule="auto"/>
              <w:rPr>
                <w:rFonts w:ascii="宋体" w:hAnsi="宋体" w:cs="宋体"/>
                <w:b/>
                <w:bCs/>
                <w:color w:val="auto"/>
                <w:spacing w:val="-11"/>
                <w:sz w:val="24"/>
                <w:highlight w:val="none"/>
              </w:rPr>
            </w:pPr>
          </w:p>
        </w:tc>
      </w:tr>
    </w:tbl>
    <w:p w14:paraId="702C535B">
      <w:pPr>
        <w:pStyle w:val="43"/>
        <w:adjustRightInd w:val="0"/>
        <w:snapToGrid w:val="0"/>
        <w:spacing w:after="0" w:line="360" w:lineRule="auto"/>
        <w:ind w:firstLine="480" w:firstLineChars="200"/>
        <w:rPr>
          <w:rFonts w:ascii="宋体" w:hAnsi="宋体" w:eastAsia="宋体" w:cs="宋体"/>
          <w:bCs/>
          <w:snapToGrid w:val="0"/>
          <w:color w:val="auto"/>
          <w:kern w:val="0"/>
          <w:sz w:val="24"/>
          <w:szCs w:val="24"/>
          <w:highlight w:val="none"/>
        </w:rPr>
      </w:pPr>
    </w:p>
    <w:p w14:paraId="15A89CF5">
      <w:pPr>
        <w:pStyle w:val="43"/>
        <w:adjustRightInd w:val="0"/>
        <w:snapToGrid w:val="0"/>
        <w:spacing w:after="0" w:line="360" w:lineRule="auto"/>
        <w:ind w:firstLine="480" w:firstLineChars="200"/>
        <w:rPr>
          <w:rFonts w:ascii="宋体" w:hAnsi="宋体" w:eastAsia="宋体" w:cs="宋体"/>
          <w:b/>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项目负责人身份证（复印件）</w:t>
      </w:r>
    </w:p>
    <w:p w14:paraId="547D02FF">
      <w:pPr>
        <w:spacing w:line="480" w:lineRule="auto"/>
        <w:rPr>
          <w:rFonts w:ascii="宋体" w:hAnsi="宋体" w:cs="宋体"/>
          <w:b/>
          <w:bCs/>
          <w:color w:val="auto"/>
          <w:spacing w:val="-11"/>
          <w:sz w:val="24"/>
          <w:highlight w:val="none"/>
        </w:rPr>
      </w:pPr>
    </w:p>
    <w:p w14:paraId="7BAD5265">
      <w:pPr>
        <w:spacing w:line="480" w:lineRule="auto"/>
        <w:rPr>
          <w:rFonts w:ascii="宋体" w:hAnsi="宋体" w:cs="宋体"/>
          <w:b/>
          <w:bCs/>
          <w:color w:val="auto"/>
          <w:spacing w:val="-11"/>
          <w:sz w:val="24"/>
          <w:highlight w:val="none"/>
        </w:rPr>
      </w:pPr>
    </w:p>
    <w:p w14:paraId="4F333577">
      <w:pPr>
        <w:spacing w:line="480" w:lineRule="auto"/>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设计负责人身份证（复印件）</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4"/>
        <w:gridCol w:w="4604"/>
      </w:tblGrid>
      <w:tr w14:paraId="2EA6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4" w:type="dxa"/>
            <w:tcBorders>
              <w:top w:val="nil"/>
              <w:left w:val="nil"/>
              <w:bottom w:val="nil"/>
              <w:right w:val="nil"/>
            </w:tcBorders>
          </w:tcPr>
          <w:p w14:paraId="310EF1DE">
            <w:pPr>
              <w:spacing w:line="480" w:lineRule="auto"/>
              <w:rPr>
                <w:rFonts w:ascii="宋体" w:hAnsi="宋体" w:cs="宋体"/>
                <w:b/>
                <w:bCs/>
                <w:color w:val="auto"/>
                <w:spacing w:val="-11"/>
                <w:sz w:val="24"/>
                <w:highlight w:val="none"/>
              </w:rPr>
            </w:pPr>
          </w:p>
        </w:tc>
        <w:tc>
          <w:tcPr>
            <w:tcW w:w="4604" w:type="dxa"/>
            <w:tcBorders>
              <w:top w:val="nil"/>
              <w:left w:val="nil"/>
              <w:bottom w:val="nil"/>
              <w:right w:val="nil"/>
            </w:tcBorders>
          </w:tcPr>
          <w:p w14:paraId="6BBAA67A">
            <w:pPr>
              <w:spacing w:line="480" w:lineRule="auto"/>
              <w:rPr>
                <w:rFonts w:ascii="宋体" w:hAnsi="宋体" w:cs="宋体"/>
                <w:b/>
                <w:bCs/>
                <w:color w:val="auto"/>
                <w:spacing w:val="-11"/>
                <w:sz w:val="24"/>
                <w:highlight w:val="none"/>
              </w:rPr>
            </w:pPr>
          </w:p>
        </w:tc>
      </w:tr>
    </w:tbl>
    <w:p w14:paraId="76354570">
      <w:pPr>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br w:type="page"/>
      </w:r>
      <w:bookmarkStart w:id="145" w:name="_Toc3999"/>
      <w:r>
        <w:rPr>
          <w:rFonts w:hint="eastAsia"/>
          <w:b/>
          <w:bCs/>
          <w:color w:val="auto"/>
          <w:sz w:val="24"/>
          <w:highlight w:val="none"/>
        </w:rPr>
        <w:t>附件</w:t>
      </w:r>
      <w:r>
        <w:rPr>
          <w:rFonts w:hint="eastAsia"/>
          <w:b/>
          <w:bCs/>
          <w:color w:val="auto"/>
          <w:sz w:val="24"/>
          <w:highlight w:val="none"/>
          <w:lang w:val="en-US" w:eastAsia="zh-CN"/>
        </w:rPr>
        <w:t>12</w:t>
      </w:r>
      <w:bookmarkEnd w:id="145"/>
    </w:p>
    <w:p w14:paraId="7A2F8EEC">
      <w:pPr>
        <w:jc w:val="center"/>
        <w:outlineLvl w:val="0"/>
        <w:rPr>
          <w:rFonts w:hint="eastAsia" w:ascii="宋体" w:hAnsi="宋体" w:eastAsia="宋体" w:cs="宋体"/>
          <w:b/>
          <w:bCs/>
          <w:color w:val="auto"/>
          <w:sz w:val="30"/>
          <w:szCs w:val="30"/>
          <w:highlight w:val="none"/>
          <w:lang w:eastAsia="zh-CN"/>
        </w:rPr>
      </w:pPr>
      <w:bookmarkStart w:id="146" w:name="_Toc18570"/>
      <w:bookmarkStart w:id="147" w:name="Print_Titles"/>
      <w:r>
        <w:rPr>
          <w:rFonts w:hint="eastAsia" w:ascii="宋体" w:hAnsi="宋体" w:cs="宋体"/>
          <w:b/>
          <w:bCs/>
          <w:color w:val="auto"/>
          <w:sz w:val="30"/>
          <w:szCs w:val="30"/>
          <w:highlight w:val="none"/>
        </w:rPr>
        <w:t>主要材料设备品牌推荐表（参照或相当于）</w:t>
      </w:r>
      <w:bookmarkEnd w:id="146"/>
      <w:bookmarkEnd w:id="147"/>
      <w:r>
        <w:rPr>
          <w:rFonts w:hint="eastAsia" w:ascii="宋体" w:hAnsi="宋体" w:cs="宋体"/>
          <w:b/>
          <w:bCs/>
          <w:color w:val="auto"/>
          <w:sz w:val="30"/>
          <w:szCs w:val="30"/>
          <w:highlight w:val="none"/>
          <w:lang w:eastAsia="zh-CN"/>
        </w:rPr>
        <w:t>（另册）</w:t>
      </w:r>
    </w:p>
    <w:p w14:paraId="4E3B5307">
      <w:pPr>
        <w:pStyle w:val="2"/>
        <w:rPr>
          <w:color w:val="auto"/>
          <w:highlight w:val="none"/>
        </w:rPr>
      </w:pPr>
    </w:p>
    <w:p w14:paraId="3590F1DD">
      <w:pPr>
        <w:rPr>
          <w:color w:val="auto"/>
          <w:highlight w:val="none"/>
        </w:rPr>
      </w:pPr>
    </w:p>
    <w:p w14:paraId="4F2EEEB2">
      <w:pPr>
        <w:pStyle w:val="2"/>
        <w:rPr>
          <w:color w:val="auto"/>
          <w:highlight w:val="none"/>
        </w:rPr>
      </w:pPr>
    </w:p>
    <w:p w14:paraId="09B5874B">
      <w:pPr>
        <w:rPr>
          <w:color w:val="auto"/>
          <w:highlight w:val="none"/>
        </w:rPr>
      </w:pPr>
    </w:p>
    <w:p w14:paraId="53599931">
      <w:pPr>
        <w:pStyle w:val="2"/>
        <w:rPr>
          <w:color w:val="auto"/>
          <w:highlight w:val="none"/>
        </w:rPr>
      </w:pPr>
    </w:p>
    <w:p w14:paraId="71B8C72E">
      <w:pPr>
        <w:rPr>
          <w:color w:val="auto"/>
          <w:highlight w:val="none"/>
        </w:rPr>
      </w:pPr>
    </w:p>
    <w:p w14:paraId="76CBCB2C">
      <w:pPr>
        <w:pStyle w:val="2"/>
        <w:rPr>
          <w:color w:val="auto"/>
          <w:highlight w:val="none"/>
        </w:rPr>
      </w:pPr>
    </w:p>
    <w:p w14:paraId="0D8E1042">
      <w:pPr>
        <w:rPr>
          <w:color w:val="auto"/>
          <w:highlight w:val="none"/>
        </w:rPr>
      </w:pPr>
    </w:p>
    <w:p w14:paraId="298E3754">
      <w:pPr>
        <w:pStyle w:val="2"/>
        <w:rPr>
          <w:color w:val="auto"/>
          <w:highlight w:val="none"/>
        </w:rPr>
      </w:pPr>
    </w:p>
    <w:p w14:paraId="4E0E194F">
      <w:pPr>
        <w:rPr>
          <w:color w:val="auto"/>
          <w:highlight w:val="none"/>
        </w:rPr>
      </w:pPr>
    </w:p>
    <w:p w14:paraId="374C7596">
      <w:pPr>
        <w:pStyle w:val="2"/>
        <w:rPr>
          <w:color w:val="auto"/>
          <w:highlight w:val="none"/>
        </w:rPr>
      </w:pPr>
    </w:p>
    <w:p w14:paraId="0D9B534A">
      <w:pPr>
        <w:rPr>
          <w:color w:val="auto"/>
          <w:highlight w:val="none"/>
        </w:rPr>
      </w:pPr>
    </w:p>
    <w:p w14:paraId="3393DACF">
      <w:pPr>
        <w:pStyle w:val="2"/>
        <w:rPr>
          <w:color w:val="auto"/>
          <w:highlight w:val="none"/>
        </w:rPr>
      </w:pPr>
    </w:p>
    <w:p w14:paraId="705B4B05">
      <w:pPr>
        <w:rPr>
          <w:color w:val="auto"/>
          <w:highlight w:val="none"/>
        </w:rPr>
      </w:pPr>
    </w:p>
    <w:p w14:paraId="7F99405B">
      <w:pPr>
        <w:pStyle w:val="2"/>
        <w:rPr>
          <w:color w:val="auto"/>
          <w:highlight w:val="none"/>
        </w:rPr>
      </w:pPr>
    </w:p>
    <w:p w14:paraId="0AA5D265">
      <w:pPr>
        <w:rPr>
          <w:color w:val="auto"/>
          <w:highlight w:val="none"/>
        </w:rPr>
      </w:pPr>
    </w:p>
    <w:p w14:paraId="5237F51F">
      <w:pPr>
        <w:pStyle w:val="2"/>
        <w:rPr>
          <w:color w:val="auto"/>
          <w:highlight w:val="none"/>
        </w:rPr>
      </w:pPr>
    </w:p>
    <w:p w14:paraId="548096BA">
      <w:pPr>
        <w:rPr>
          <w:color w:val="auto"/>
          <w:highlight w:val="none"/>
        </w:rPr>
      </w:pPr>
    </w:p>
    <w:p w14:paraId="40B06FF4">
      <w:pPr>
        <w:pStyle w:val="2"/>
        <w:rPr>
          <w:color w:val="auto"/>
          <w:highlight w:val="none"/>
        </w:rPr>
      </w:pPr>
    </w:p>
    <w:p w14:paraId="3FF12676">
      <w:pPr>
        <w:rPr>
          <w:color w:val="auto"/>
          <w:highlight w:val="none"/>
        </w:rPr>
      </w:pPr>
    </w:p>
    <w:p w14:paraId="296E0E28">
      <w:pPr>
        <w:pStyle w:val="2"/>
        <w:rPr>
          <w:color w:val="auto"/>
          <w:highlight w:val="none"/>
        </w:rPr>
      </w:pPr>
    </w:p>
    <w:p w14:paraId="3F64328B">
      <w:pPr>
        <w:rPr>
          <w:color w:val="auto"/>
          <w:highlight w:val="none"/>
        </w:rPr>
      </w:pPr>
    </w:p>
    <w:p w14:paraId="311D7EE0">
      <w:pPr>
        <w:pStyle w:val="2"/>
        <w:rPr>
          <w:color w:val="auto"/>
          <w:highlight w:val="none"/>
        </w:rPr>
      </w:pPr>
    </w:p>
    <w:p w14:paraId="26362D87">
      <w:pPr>
        <w:rPr>
          <w:color w:val="auto"/>
          <w:highlight w:val="none"/>
        </w:rPr>
      </w:pPr>
    </w:p>
    <w:p w14:paraId="74F56223">
      <w:pPr>
        <w:pStyle w:val="2"/>
        <w:rPr>
          <w:color w:val="auto"/>
          <w:highlight w:val="none"/>
        </w:rPr>
      </w:pPr>
    </w:p>
    <w:p w14:paraId="7D353496">
      <w:pPr>
        <w:rPr>
          <w:color w:val="auto"/>
          <w:highlight w:val="none"/>
        </w:rPr>
      </w:pPr>
    </w:p>
    <w:p w14:paraId="4E5E61CD">
      <w:pPr>
        <w:pStyle w:val="2"/>
        <w:rPr>
          <w:color w:val="auto"/>
          <w:highlight w:val="none"/>
        </w:rPr>
      </w:pPr>
    </w:p>
    <w:p w14:paraId="34947023">
      <w:pPr>
        <w:rPr>
          <w:color w:val="auto"/>
          <w:highlight w:val="none"/>
        </w:rPr>
      </w:pPr>
    </w:p>
    <w:p w14:paraId="7897FB99">
      <w:pPr>
        <w:rPr>
          <w:color w:val="auto"/>
          <w:highlight w:val="none"/>
        </w:rPr>
      </w:pPr>
    </w:p>
    <w:p w14:paraId="4066E8D1">
      <w:pPr>
        <w:pStyle w:val="2"/>
        <w:rPr>
          <w:color w:val="auto"/>
          <w:highlight w:val="none"/>
        </w:rPr>
      </w:pPr>
    </w:p>
    <w:p w14:paraId="4D228D8E">
      <w:pPr>
        <w:rPr>
          <w:color w:val="auto"/>
          <w:highlight w:val="none"/>
        </w:rPr>
      </w:pPr>
    </w:p>
    <w:p w14:paraId="3B579819">
      <w:pPr>
        <w:pStyle w:val="2"/>
        <w:rPr>
          <w:color w:val="auto"/>
          <w:highlight w:val="none"/>
        </w:rPr>
      </w:pPr>
    </w:p>
    <w:p w14:paraId="74C0F217">
      <w:pPr>
        <w:rPr>
          <w:color w:val="auto"/>
          <w:highlight w:val="none"/>
        </w:rPr>
      </w:pPr>
    </w:p>
    <w:p w14:paraId="41BDDE8E">
      <w:pPr>
        <w:pStyle w:val="2"/>
        <w:rPr>
          <w:color w:val="auto"/>
          <w:highlight w:val="none"/>
        </w:rPr>
      </w:pPr>
    </w:p>
    <w:p w14:paraId="691504B7">
      <w:pPr>
        <w:rPr>
          <w:color w:val="auto"/>
          <w:highlight w:val="none"/>
        </w:rPr>
      </w:pPr>
    </w:p>
    <w:p w14:paraId="1E947799">
      <w:pPr>
        <w:pStyle w:val="2"/>
        <w:rPr>
          <w:color w:val="auto"/>
          <w:highlight w:val="none"/>
        </w:rPr>
      </w:pPr>
    </w:p>
    <w:p w14:paraId="0D6AECB4">
      <w:pPr>
        <w:rPr>
          <w:color w:val="auto"/>
          <w:highlight w:val="none"/>
        </w:rPr>
      </w:pPr>
    </w:p>
    <w:p w14:paraId="7A70D47D">
      <w:pPr>
        <w:pStyle w:val="2"/>
        <w:rPr>
          <w:color w:val="auto"/>
          <w:highlight w:val="none"/>
        </w:rPr>
      </w:pPr>
    </w:p>
    <w:p w14:paraId="67187390">
      <w:pPr>
        <w:rPr>
          <w:color w:val="auto"/>
          <w:highlight w:val="none"/>
        </w:rPr>
      </w:pPr>
    </w:p>
    <w:p w14:paraId="668A9289">
      <w:pPr>
        <w:pStyle w:val="2"/>
        <w:rPr>
          <w:color w:val="auto"/>
          <w:highlight w:val="none"/>
        </w:rPr>
      </w:pPr>
    </w:p>
    <w:p w14:paraId="6E62F331">
      <w:pPr>
        <w:rPr>
          <w:rFonts w:hint="default" w:eastAsia="宋体"/>
          <w:color w:val="auto"/>
          <w:highlight w:val="none"/>
          <w:lang w:val="en-US" w:eastAsia="zh-CN"/>
        </w:rPr>
      </w:pPr>
    </w:p>
    <w:sectPr>
      <w:pgSz w:w="11906" w:h="16838"/>
      <w:pgMar w:top="1440" w:right="1474"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DejaVu Sans">
    <w:altName w:val="Microsoft Sans Serif"/>
    <w:panose1 w:val="00000000000000000000"/>
    <w:charset w:val="00"/>
    <w:family w:val="swiss"/>
    <w:pitch w:val="default"/>
    <w:sig w:usb0="00000000" w:usb1="00000000" w:usb2="0A246029" w:usb3="00000000" w:csb0="000001FF" w:csb1="00000000"/>
  </w:font>
  <w:font w:name="Microsoft Sans Serif">
    <w:panose1 w:val="020B0604020202020204"/>
    <w:charset w:val="00"/>
    <w:family w:val="auto"/>
    <w:pitch w:val="default"/>
    <w:sig w:usb0="E5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CD1E">
    <w:pPr>
      <w:pStyle w:val="2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46D81">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DC66A">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F99E">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376E55AA">
                          <w:pPr>
                            <w:pStyle w:val="28"/>
                          </w:pPr>
                          <w:r>
                            <w:fldChar w:fldCharType="begin"/>
                          </w:r>
                          <w:r>
                            <w:instrText xml:space="preserve"> PAGE  \* MERGEFORMAT </w:instrText>
                          </w:r>
                          <w:r>
                            <w:fldChar w:fldCharType="separate"/>
                          </w:r>
                          <w:r>
                            <w:t>59</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Pi91E0AAAAAIBAAAPAAAAAAAA&#10;AAEAIAAAACIAAABkcnMvZG93bnJldi54bWxQSwECFAAUAAAACACHTuJA11u7FeEBAAC9AwAADgAA&#10;AAAAAAABACAAAAAfAQAAZHJzL2Uyb0RvYy54bWxQSwUGAAAAAAYABgBZAQAAcgUAAAAA&#10;">
              <v:fill on="f" focussize="0,0"/>
              <v:stroke on="f"/>
              <v:imagedata o:title=""/>
              <o:lock v:ext="edit" aspectratio="f"/>
              <v:textbox inset="0mm,0mm,0mm,0mm" style="mso-fit-shape-to-text:t;">
                <w:txbxContent>
                  <w:p w14:paraId="376E55AA">
                    <w:pPr>
                      <w:pStyle w:val="2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EDDC">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1FC5BB50">
                          <w:pPr>
                            <w:pStyle w:val="28"/>
                            <w:jc w:val="center"/>
                          </w:pPr>
                          <w:r>
                            <w:fldChar w:fldCharType="begin"/>
                          </w:r>
                          <w:r>
                            <w:instrText xml:space="preserve"> PAGE  \* MERGEFORMAT </w:instrText>
                          </w:r>
                          <w:r>
                            <w:fldChar w:fldCharType="separate"/>
                          </w:r>
                          <w:r>
                            <w:t>93</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cDHHduEBAAC+AwAADgAA&#10;AAAAAAABACAAAAAfAQAAZHJzL2Uyb0RvYy54bWxQSwUGAAAAAAYABgBZAQAAcgUAAAAA&#10;">
              <v:fill on="f" focussize="0,0"/>
              <v:stroke on="f"/>
              <v:imagedata o:title=""/>
              <o:lock v:ext="edit" aspectratio="f"/>
              <v:textbox inset="0mm,0mm,0mm,0mm" style="mso-fit-shape-to-text:t;">
                <w:txbxContent>
                  <w:p w14:paraId="1FC5BB50">
                    <w:pPr>
                      <w:pStyle w:val="28"/>
                      <w:jc w:val="center"/>
                    </w:pPr>
                    <w:r>
                      <w:fldChar w:fldCharType="begin"/>
                    </w:r>
                    <w:r>
                      <w:instrText xml:space="preserve"> PAGE  \* MERGEFORMAT </w:instrText>
                    </w:r>
                    <w:r>
                      <w:fldChar w:fldCharType="separate"/>
                    </w:r>
                    <w: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DB824">
    <w:pPr>
      <w:pStyle w:val="18"/>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000000D"/>
    <w:multiLevelType w:val="singleLevel"/>
    <w:tmpl w:val="0000000D"/>
    <w:lvl w:ilvl="0" w:tentative="0">
      <w:start w:val="1"/>
      <w:numFmt w:val="chineseCounting"/>
      <w:pStyle w:val="95"/>
      <w:suff w:val="nothing"/>
      <w:lvlText w:val="（%1）"/>
      <w:lvlJc w:val="left"/>
    </w:lvl>
  </w:abstractNum>
  <w:abstractNum w:abstractNumId="2">
    <w:nsid w:val="24CA3464"/>
    <w:multiLevelType w:val="singleLevel"/>
    <w:tmpl w:val="24CA3464"/>
    <w:lvl w:ilvl="0" w:tentative="0">
      <w:start w:val="1"/>
      <w:numFmt w:val="decimal"/>
      <w:suff w:val="nothing"/>
      <w:lvlText w:val="（%1）"/>
      <w:lvlJc w:val="left"/>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63296058"/>
    <w:multiLevelType w:val="multilevel"/>
    <w:tmpl w:val="63296058"/>
    <w:lvl w:ilvl="0" w:tentative="0">
      <w:start w:val="1"/>
      <w:numFmt w:val="japaneseCounting"/>
      <w:pStyle w:val="81"/>
      <w:lvlText w:val="%1、"/>
      <w:lvlJc w:val="left"/>
      <w:pPr>
        <w:tabs>
          <w:tab w:val="left" w:pos="1445"/>
        </w:tabs>
        <w:ind w:left="1445" w:hanging="645"/>
      </w:pPr>
      <w:rPr>
        <w:rFonts w:hint="default"/>
        <w:lang w:val="en-US"/>
      </w:rPr>
    </w:lvl>
    <w:lvl w:ilvl="1" w:tentative="0">
      <w:start w:val="1"/>
      <w:numFmt w:val="lowerLetter"/>
      <w:lvlText w:val="%2)"/>
      <w:lvlJc w:val="left"/>
      <w:pPr>
        <w:tabs>
          <w:tab w:val="left" w:pos="1640"/>
        </w:tabs>
        <w:ind w:left="1640" w:hanging="420"/>
      </w:pPr>
    </w:lvl>
    <w:lvl w:ilvl="2" w:tentative="0">
      <w:start w:val="1"/>
      <w:numFmt w:val="lowerRoman"/>
      <w:lvlText w:val="%3."/>
      <w:lvlJc w:val="right"/>
      <w:pPr>
        <w:tabs>
          <w:tab w:val="left" w:pos="2060"/>
        </w:tabs>
        <w:ind w:left="2060" w:hanging="420"/>
      </w:pPr>
    </w:lvl>
    <w:lvl w:ilvl="3" w:tentative="0">
      <w:start w:val="1"/>
      <w:numFmt w:val="decimal"/>
      <w:lvlText w:val="%4."/>
      <w:lvlJc w:val="left"/>
      <w:pPr>
        <w:tabs>
          <w:tab w:val="left" w:pos="2480"/>
        </w:tabs>
        <w:ind w:left="2480" w:hanging="420"/>
      </w:pPr>
    </w:lvl>
    <w:lvl w:ilvl="4" w:tentative="0">
      <w:start w:val="1"/>
      <w:numFmt w:val="lowerLetter"/>
      <w:lvlText w:val="%5)"/>
      <w:lvlJc w:val="left"/>
      <w:pPr>
        <w:tabs>
          <w:tab w:val="left" w:pos="2900"/>
        </w:tabs>
        <w:ind w:left="2900" w:hanging="420"/>
      </w:pPr>
    </w:lvl>
    <w:lvl w:ilvl="5" w:tentative="0">
      <w:start w:val="1"/>
      <w:numFmt w:val="lowerRoman"/>
      <w:lvlText w:val="%6."/>
      <w:lvlJc w:val="right"/>
      <w:pPr>
        <w:tabs>
          <w:tab w:val="left" w:pos="3320"/>
        </w:tabs>
        <w:ind w:left="3320" w:hanging="420"/>
      </w:pPr>
    </w:lvl>
    <w:lvl w:ilvl="6" w:tentative="0">
      <w:start w:val="1"/>
      <w:numFmt w:val="decimal"/>
      <w:lvlText w:val="%7."/>
      <w:lvlJc w:val="left"/>
      <w:pPr>
        <w:tabs>
          <w:tab w:val="left" w:pos="3740"/>
        </w:tabs>
        <w:ind w:left="3740" w:hanging="420"/>
      </w:pPr>
    </w:lvl>
    <w:lvl w:ilvl="7" w:tentative="0">
      <w:start w:val="1"/>
      <w:numFmt w:val="lowerLetter"/>
      <w:lvlText w:val="%8)"/>
      <w:lvlJc w:val="left"/>
      <w:pPr>
        <w:tabs>
          <w:tab w:val="left" w:pos="4160"/>
        </w:tabs>
        <w:ind w:left="4160" w:hanging="420"/>
      </w:pPr>
    </w:lvl>
    <w:lvl w:ilvl="8" w:tentative="0">
      <w:start w:val="1"/>
      <w:numFmt w:val="lowerRoman"/>
      <w:lvlText w:val="%9."/>
      <w:lvlJc w:val="right"/>
      <w:pPr>
        <w:tabs>
          <w:tab w:val="left" w:pos="4580"/>
        </w:tabs>
        <w:ind w:left="4580" w:hanging="420"/>
      </w:pPr>
    </w:lvl>
  </w:abstractNum>
  <w:abstractNum w:abstractNumId="5">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9"/>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NzZjMmEyY2U4NWIxODliYmZiOTc5ODc0YjBkNWEifQ=="/>
    <w:docVar w:name="KSO_WPS_MARK_KEY" w:val="8d6f8c63-1960-4677-bbbc-9a25db0e447e"/>
  </w:docVars>
  <w:rsids>
    <w:rsidRoot w:val="00F66D2C"/>
    <w:rsid w:val="000054AD"/>
    <w:rsid w:val="0000729B"/>
    <w:rsid w:val="00012BDF"/>
    <w:rsid w:val="00015E33"/>
    <w:rsid w:val="00024A25"/>
    <w:rsid w:val="00037519"/>
    <w:rsid w:val="00040A5F"/>
    <w:rsid w:val="0005363A"/>
    <w:rsid w:val="000544A8"/>
    <w:rsid w:val="00060E58"/>
    <w:rsid w:val="00066124"/>
    <w:rsid w:val="00071C5B"/>
    <w:rsid w:val="000812E1"/>
    <w:rsid w:val="00095F34"/>
    <w:rsid w:val="000A794B"/>
    <w:rsid w:val="000B2765"/>
    <w:rsid w:val="000B6D12"/>
    <w:rsid w:val="000C59AF"/>
    <w:rsid w:val="000D776D"/>
    <w:rsid w:val="000E14FA"/>
    <w:rsid w:val="000E2C9A"/>
    <w:rsid w:val="000E317C"/>
    <w:rsid w:val="000E629E"/>
    <w:rsid w:val="000F4829"/>
    <w:rsid w:val="000F6950"/>
    <w:rsid w:val="001029B9"/>
    <w:rsid w:val="00156DE8"/>
    <w:rsid w:val="001605D3"/>
    <w:rsid w:val="00164C0C"/>
    <w:rsid w:val="00186245"/>
    <w:rsid w:val="00191DF4"/>
    <w:rsid w:val="001B472F"/>
    <w:rsid w:val="001B664C"/>
    <w:rsid w:val="001C2D8A"/>
    <w:rsid w:val="001C7E60"/>
    <w:rsid w:val="001D20E9"/>
    <w:rsid w:val="001E05C9"/>
    <w:rsid w:val="001E0DFE"/>
    <w:rsid w:val="001E344C"/>
    <w:rsid w:val="001E67C5"/>
    <w:rsid w:val="001F6065"/>
    <w:rsid w:val="0020479A"/>
    <w:rsid w:val="00206AE2"/>
    <w:rsid w:val="00210B71"/>
    <w:rsid w:val="00224492"/>
    <w:rsid w:val="00231B1E"/>
    <w:rsid w:val="002324CF"/>
    <w:rsid w:val="002418B0"/>
    <w:rsid w:val="00250403"/>
    <w:rsid w:val="00261670"/>
    <w:rsid w:val="0027374C"/>
    <w:rsid w:val="002753D9"/>
    <w:rsid w:val="00283634"/>
    <w:rsid w:val="00287762"/>
    <w:rsid w:val="002947F9"/>
    <w:rsid w:val="002A24EC"/>
    <w:rsid w:val="002A46A5"/>
    <w:rsid w:val="002C3B8D"/>
    <w:rsid w:val="002C5CE9"/>
    <w:rsid w:val="002D6C4A"/>
    <w:rsid w:val="002F37A1"/>
    <w:rsid w:val="00305DB9"/>
    <w:rsid w:val="00313AF6"/>
    <w:rsid w:val="003175D3"/>
    <w:rsid w:val="00320A4E"/>
    <w:rsid w:val="00324315"/>
    <w:rsid w:val="003265CE"/>
    <w:rsid w:val="00331E30"/>
    <w:rsid w:val="00333B2F"/>
    <w:rsid w:val="00351FD3"/>
    <w:rsid w:val="003564FB"/>
    <w:rsid w:val="003622C9"/>
    <w:rsid w:val="00363F68"/>
    <w:rsid w:val="00372063"/>
    <w:rsid w:val="003753B3"/>
    <w:rsid w:val="00376454"/>
    <w:rsid w:val="00383C1B"/>
    <w:rsid w:val="00383CDB"/>
    <w:rsid w:val="003B3170"/>
    <w:rsid w:val="003C22A2"/>
    <w:rsid w:val="003C34DA"/>
    <w:rsid w:val="003F2BE6"/>
    <w:rsid w:val="003F32B9"/>
    <w:rsid w:val="003F38B1"/>
    <w:rsid w:val="003F5F8D"/>
    <w:rsid w:val="003F6A95"/>
    <w:rsid w:val="00401F03"/>
    <w:rsid w:val="004211B5"/>
    <w:rsid w:val="00430EE1"/>
    <w:rsid w:val="00441871"/>
    <w:rsid w:val="00450270"/>
    <w:rsid w:val="004629A1"/>
    <w:rsid w:val="004744B5"/>
    <w:rsid w:val="00474CBB"/>
    <w:rsid w:val="004848C0"/>
    <w:rsid w:val="00491836"/>
    <w:rsid w:val="00497F77"/>
    <w:rsid w:val="004A052A"/>
    <w:rsid w:val="004B518E"/>
    <w:rsid w:val="004C0DB1"/>
    <w:rsid w:val="004C3E9D"/>
    <w:rsid w:val="004C49FD"/>
    <w:rsid w:val="004E1499"/>
    <w:rsid w:val="004F4DF2"/>
    <w:rsid w:val="005024F4"/>
    <w:rsid w:val="00506053"/>
    <w:rsid w:val="00510B2B"/>
    <w:rsid w:val="00516F53"/>
    <w:rsid w:val="00526071"/>
    <w:rsid w:val="0053536B"/>
    <w:rsid w:val="005365E9"/>
    <w:rsid w:val="00536763"/>
    <w:rsid w:val="00536B05"/>
    <w:rsid w:val="0054270C"/>
    <w:rsid w:val="0055158F"/>
    <w:rsid w:val="00552EB0"/>
    <w:rsid w:val="00557484"/>
    <w:rsid w:val="00561209"/>
    <w:rsid w:val="00570CB0"/>
    <w:rsid w:val="00572C7C"/>
    <w:rsid w:val="00572F0C"/>
    <w:rsid w:val="005B00C2"/>
    <w:rsid w:val="005B7897"/>
    <w:rsid w:val="005D6C56"/>
    <w:rsid w:val="005E2583"/>
    <w:rsid w:val="005F18BE"/>
    <w:rsid w:val="0062004A"/>
    <w:rsid w:val="0062478C"/>
    <w:rsid w:val="00627F3E"/>
    <w:rsid w:val="00635D25"/>
    <w:rsid w:val="0064557A"/>
    <w:rsid w:val="00650CFB"/>
    <w:rsid w:val="00655B72"/>
    <w:rsid w:val="00661372"/>
    <w:rsid w:val="00675F39"/>
    <w:rsid w:val="006761C8"/>
    <w:rsid w:val="00677915"/>
    <w:rsid w:val="00682373"/>
    <w:rsid w:val="00691238"/>
    <w:rsid w:val="006A12E5"/>
    <w:rsid w:val="006A4540"/>
    <w:rsid w:val="006B61BE"/>
    <w:rsid w:val="006C218B"/>
    <w:rsid w:val="006C332B"/>
    <w:rsid w:val="006C6B98"/>
    <w:rsid w:val="006D625F"/>
    <w:rsid w:val="006D6452"/>
    <w:rsid w:val="006E08AB"/>
    <w:rsid w:val="006E44E8"/>
    <w:rsid w:val="006E53B7"/>
    <w:rsid w:val="006E766A"/>
    <w:rsid w:val="006F7004"/>
    <w:rsid w:val="00710E49"/>
    <w:rsid w:val="00724004"/>
    <w:rsid w:val="00754C6E"/>
    <w:rsid w:val="00755575"/>
    <w:rsid w:val="00761555"/>
    <w:rsid w:val="007659CD"/>
    <w:rsid w:val="007752DF"/>
    <w:rsid w:val="00785F05"/>
    <w:rsid w:val="00793B9A"/>
    <w:rsid w:val="007A4BCC"/>
    <w:rsid w:val="007B1D93"/>
    <w:rsid w:val="007B20B7"/>
    <w:rsid w:val="007F761B"/>
    <w:rsid w:val="00800BBA"/>
    <w:rsid w:val="00810B94"/>
    <w:rsid w:val="00814283"/>
    <w:rsid w:val="00824626"/>
    <w:rsid w:val="00826F23"/>
    <w:rsid w:val="0083549C"/>
    <w:rsid w:val="00846FD0"/>
    <w:rsid w:val="00847037"/>
    <w:rsid w:val="00853D7E"/>
    <w:rsid w:val="0085480A"/>
    <w:rsid w:val="008555CF"/>
    <w:rsid w:val="00867AEE"/>
    <w:rsid w:val="0087753C"/>
    <w:rsid w:val="00877DF1"/>
    <w:rsid w:val="00881B47"/>
    <w:rsid w:val="008872BE"/>
    <w:rsid w:val="008903CF"/>
    <w:rsid w:val="008927D7"/>
    <w:rsid w:val="008A425B"/>
    <w:rsid w:val="008B1357"/>
    <w:rsid w:val="008B3214"/>
    <w:rsid w:val="008B3A41"/>
    <w:rsid w:val="008B69A1"/>
    <w:rsid w:val="008C44EE"/>
    <w:rsid w:val="008D5CDC"/>
    <w:rsid w:val="008E3A8A"/>
    <w:rsid w:val="008E6DF3"/>
    <w:rsid w:val="00901E02"/>
    <w:rsid w:val="00902DC2"/>
    <w:rsid w:val="009112C4"/>
    <w:rsid w:val="00912C42"/>
    <w:rsid w:val="00914433"/>
    <w:rsid w:val="009147C4"/>
    <w:rsid w:val="00926106"/>
    <w:rsid w:val="009261AB"/>
    <w:rsid w:val="009363B1"/>
    <w:rsid w:val="00936CDA"/>
    <w:rsid w:val="0093717A"/>
    <w:rsid w:val="009441A9"/>
    <w:rsid w:val="009467E0"/>
    <w:rsid w:val="0094713A"/>
    <w:rsid w:val="00947EDD"/>
    <w:rsid w:val="00951634"/>
    <w:rsid w:val="00954F00"/>
    <w:rsid w:val="00955876"/>
    <w:rsid w:val="00957296"/>
    <w:rsid w:val="00961389"/>
    <w:rsid w:val="00967A32"/>
    <w:rsid w:val="00970855"/>
    <w:rsid w:val="009B6B34"/>
    <w:rsid w:val="009C16B3"/>
    <w:rsid w:val="009C6C48"/>
    <w:rsid w:val="009C72B6"/>
    <w:rsid w:val="009D4A89"/>
    <w:rsid w:val="009D5E5B"/>
    <w:rsid w:val="009E6C8E"/>
    <w:rsid w:val="009E761A"/>
    <w:rsid w:val="00A04549"/>
    <w:rsid w:val="00A07573"/>
    <w:rsid w:val="00A366C4"/>
    <w:rsid w:val="00A40A0A"/>
    <w:rsid w:val="00A57D39"/>
    <w:rsid w:val="00A630B2"/>
    <w:rsid w:val="00A652C8"/>
    <w:rsid w:val="00A65DE5"/>
    <w:rsid w:val="00A67C3F"/>
    <w:rsid w:val="00A75419"/>
    <w:rsid w:val="00A80ACE"/>
    <w:rsid w:val="00A83FBD"/>
    <w:rsid w:val="00A91F51"/>
    <w:rsid w:val="00A940D8"/>
    <w:rsid w:val="00AA46FF"/>
    <w:rsid w:val="00AA76FE"/>
    <w:rsid w:val="00AB21B2"/>
    <w:rsid w:val="00AB3CA5"/>
    <w:rsid w:val="00AB5038"/>
    <w:rsid w:val="00AB531A"/>
    <w:rsid w:val="00AC0E74"/>
    <w:rsid w:val="00AD4887"/>
    <w:rsid w:val="00AE1527"/>
    <w:rsid w:val="00AE6A19"/>
    <w:rsid w:val="00AE6FCB"/>
    <w:rsid w:val="00AF0171"/>
    <w:rsid w:val="00AF39B4"/>
    <w:rsid w:val="00AF59F2"/>
    <w:rsid w:val="00B137FA"/>
    <w:rsid w:val="00B246F2"/>
    <w:rsid w:val="00B66BD0"/>
    <w:rsid w:val="00B6773E"/>
    <w:rsid w:val="00B70436"/>
    <w:rsid w:val="00B70A80"/>
    <w:rsid w:val="00B75D14"/>
    <w:rsid w:val="00B7634F"/>
    <w:rsid w:val="00B77511"/>
    <w:rsid w:val="00B913DC"/>
    <w:rsid w:val="00B96E05"/>
    <w:rsid w:val="00BA62F5"/>
    <w:rsid w:val="00BC4642"/>
    <w:rsid w:val="00BD7A5A"/>
    <w:rsid w:val="00BE34A0"/>
    <w:rsid w:val="00BE5E77"/>
    <w:rsid w:val="00BE6644"/>
    <w:rsid w:val="00BF13D3"/>
    <w:rsid w:val="00BF401A"/>
    <w:rsid w:val="00BF41B7"/>
    <w:rsid w:val="00BF52BD"/>
    <w:rsid w:val="00BF69FE"/>
    <w:rsid w:val="00C258AF"/>
    <w:rsid w:val="00C301E6"/>
    <w:rsid w:val="00C46641"/>
    <w:rsid w:val="00C47357"/>
    <w:rsid w:val="00C54020"/>
    <w:rsid w:val="00C5505F"/>
    <w:rsid w:val="00C55A44"/>
    <w:rsid w:val="00C73B43"/>
    <w:rsid w:val="00C84A48"/>
    <w:rsid w:val="00C87468"/>
    <w:rsid w:val="00C91572"/>
    <w:rsid w:val="00CA0D5F"/>
    <w:rsid w:val="00CA4303"/>
    <w:rsid w:val="00CA5DD3"/>
    <w:rsid w:val="00CB3C26"/>
    <w:rsid w:val="00CB491C"/>
    <w:rsid w:val="00CC2A36"/>
    <w:rsid w:val="00CD20FC"/>
    <w:rsid w:val="00CD7D72"/>
    <w:rsid w:val="00CF0BDC"/>
    <w:rsid w:val="00CF4B1D"/>
    <w:rsid w:val="00D03970"/>
    <w:rsid w:val="00D03A66"/>
    <w:rsid w:val="00D23C22"/>
    <w:rsid w:val="00D33704"/>
    <w:rsid w:val="00D40E0B"/>
    <w:rsid w:val="00D43A26"/>
    <w:rsid w:val="00D43C75"/>
    <w:rsid w:val="00D443B4"/>
    <w:rsid w:val="00D52415"/>
    <w:rsid w:val="00D64B11"/>
    <w:rsid w:val="00D81B7C"/>
    <w:rsid w:val="00D879ED"/>
    <w:rsid w:val="00DA0F25"/>
    <w:rsid w:val="00DD05B2"/>
    <w:rsid w:val="00DD208D"/>
    <w:rsid w:val="00DD4239"/>
    <w:rsid w:val="00DE4921"/>
    <w:rsid w:val="00DF0807"/>
    <w:rsid w:val="00E0178B"/>
    <w:rsid w:val="00E11EDA"/>
    <w:rsid w:val="00E21145"/>
    <w:rsid w:val="00E25C7D"/>
    <w:rsid w:val="00E270E6"/>
    <w:rsid w:val="00E30DBB"/>
    <w:rsid w:val="00E33D37"/>
    <w:rsid w:val="00E44899"/>
    <w:rsid w:val="00E44F85"/>
    <w:rsid w:val="00E55AC5"/>
    <w:rsid w:val="00E62194"/>
    <w:rsid w:val="00E705FF"/>
    <w:rsid w:val="00E70A0C"/>
    <w:rsid w:val="00E73881"/>
    <w:rsid w:val="00E815CA"/>
    <w:rsid w:val="00E81BAC"/>
    <w:rsid w:val="00E924B2"/>
    <w:rsid w:val="00E94E17"/>
    <w:rsid w:val="00E962B2"/>
    <w:rsid w:val="00EA349F"/>
    <w:rsid w:val="00EE0AF3"/>
    <w:rsid w:val="00EE3C98"/>
    <w:rsid w:val="00EF610E"/>
    <w:rsid w:val="00F00FD5"/>
    <w:rsid w:val="00F047D1"/>
    <w:rsid w:val="00F04C88"/>
    <w:rsid w:val="00F05651"/>
    <w:rsid w:val="00F110EC"/>
    <w:rsid w:val="00F11293"/>
    <w:rsid w:val="00F265DC"/>
    <w:rsid w:val="00F42A3D"/>
    <w:rsid w:val="00F5742A"/>
    <w:rsid w:val="00F57D5E"/>
    <w:rsid w:val="00F61C0D"/>
    <w:rsid w:val="00F66D2C"/>
    <w:rsid w:val="00F828C7"/>
    <w:rsid w:val="00F921B1"/>
    <w:rsid w:val="00FA03E8"/>
    <w:rsid w:val="00FA3548"/>
    <w:rsid w:val="00FA524E"/>
    <w:rsid w:val="00FB4835"/>
    <w:rsid w:val="00FB6CC0"/>
    <w:rsid w:val="00FC7248"/>
    <w:rsid w:val="00FD3D95"/>
    <w:rsid w:val="00FE5A68"/>
    <w:rsid w:val="01382321"/>
    <w:rsid w:val="01521358"/>
    <w:rsid w:val="0177299B"/>
    <w:rsid w:val="01942E59"/>
    <w:rsid w:val="019B3634"/>
    <w:rsid w:val="01A168D0"/>
    <w:rsid w:val="01D57E45"/>
    <w:rsid w:val="01F87695"/>
    <w:rsid w:val="01FD7E4B"/>
    <w:rsid w:val="020C008E"/>
    <w:rsid w:val="02595E05"/>
    <w:rsid w:val="028448AE"/>
    <w:rsid w:val="02886481"/>
    <w:rsid w:val="028E070E"/>
    <w:rsid w:val="028E10CD"/>
    <w:rsid w:val="02A12ECC"/>
    <w:rsid w:val="02B03771"/>
    <w:rsid w:val="02BD713F"/>
    <w:rsid w:val="02C51035"/>
    <w:rsid w:val="02F52891"/>
    <w:rsid w:val="02F83623"/>
    <w:rsid w:val="03180CBA"/>
    <w:rsid w:val="031A59A9"/>
    <w:rsid w:val="03CD3C38"/>
    <w:rsid w:val="03ED6E11"/>
    <w:rsid w:val="041F679F"/>
    <w:rsid w:val="04260D3B"/>
    <w:rsid w:val="044E4A96"/>
    <w:rsid w:val="04575F38"/>
    <w:rsid w:val="04730898"/>
    <w:rsid w:val="04A42D2D"/>
    <w:rsid w:val="04BA64C7"/>
    <w:rsid w:val="04C15A35"/>
    <w:rsid w:val="04C904B8"/>
    <w:rsid w:val="04D42979"/>
    <w:rsid w:val="0509267F"/>
    <w:rsid w:val="054F4812"/>
    <w:rsid w:val="05615168"/>
    <w:rsid w:val="05676AE5"/>
    <w:rsid w:val="057D7052"/>
    <w:rsid w:val="05CF1095"/>
    <w:rsid w:val="05E93B08"/>
    <w:rsid w:val="060C670B"/>
    <w:rsid w:val="063302DF"/>
    <w:rsid w:val="06436186"/>
    <w:rsid w:val="064C314F"/>
    <w:rsid w:val="0676641E"/>
    <w:rsid w:val="06856842"/>
    <w:rsid w:val="06A123D1"/>
    <w:rsid w:val="06B81D95"/>
    <w:rsid w:val="06D21D66"/>
    <w:rsid w:val="06DC32F6"/>
    <w:rsid w:val="0717628B"/>
    <w:rsid w:val="07327843"/>
    <w:rsid w:val="073444C5"/>
    <w:rsid w:val="07A11572"/>
    <w:rsid w:val="07B44EEB"/>
    <w:rsid w:val="07C1603E"/>
    <w:rsid w:val="07C5765D"/>
    <w:rsid w:val="07FB5B2B"/>
    <w:rsid w:val="085D2162"/>
    <w:rsid w:val="086879C7"/>
    <w:rsid w:val="08C34C11"/>
    <w:rsid w:val="08D61386"/>
    <w:rsid w:val="08FD35AE"/>
    <w:rsid w:val="09070651"/>
    <w:rsid w:val="090B26C0"/>
    <w:rsid w:val="09BD48AC"/>
    <w:rsid w:val="09BE25B6"/>
    <w:rsid w:val="0A133E4A"/>
    <w:rsid w:val="0A2A5810"/>
    <w:rsid w:val="0A742C74"/>
    <w:rsid w:val="0A750C19"/>
    <w:rsid w:val="0AAC292F"/>
    <w:rsid w:val="0AC73481"/>
    <w:rsid w:val="0AD10E39"/>
    <w:rsid w:val="0AD56CF2"/>
    <w:rsid w:val="0ADB782C"/>
    <w:rsid w:val="0B665DF5"/>
    <w:rsid w:val="0B7627F0"/>
    <w:rsid w:val="0B7C7A87"/>
    <w:rsid w:val="0B860EB1"/>
    <w:rsid w:val="0B8F053D"/>
    <w:rsid w:val="0BDD4D88"/>
    <w:rsid w:val="0C02298B"/>
    <w:rsid w:val="0C0B0C64"/>
    <w:rsid w:val="0C2B1A59"/>
    <w:rsid w:val="0C3C5FB6"/>
    <w:rsid w:val="0C4F79BD"/>
    <w:rsid w:val="0C801DA5"/>
    <w:rsid w:val="0C9433F9"/>
    <w:rsid w:val="0CE54A83"/>
    <w:rsid w:val="0CF4290E"/>
    <w:rsid w:val="0D0245FD"/>
    <w:rsid w:val="0D3F097E"/>
    <w:rsid w:val="0D562B05"/>
    <w:rsid w:val="0DDE1E9C"/>
    <w:rsid w:val="0E1B67AA"/>
    <w:rsid w:val="0E387361"/>
    <w:rsid w:val="0E407A3D"/>
    <w:rsid w:val="0E4202C8"/>
    <w:rsid w:val="0E4E4DBA"/>
    <w:rsid w:val="0E9502A9"/>
    <w:rsid w:val="0EB80C9B"/>
    <w:rsid w:val="0EC0547E"/>
    <w:rsid w:val="0ED870A5"/>
    <w:rsid w:val="0EE00014"/>
    <w:rsid w:val="0EE0040E"/>
    <w:rsid w:val="0EE04D7C"/>
    <w:rsid w:val="0F0D6BEA"/>
    <w:rsid w:val="0F1A231E"/>
    <w:rsid w:val="0F2D7E01"/>
    <w:rsid w:val="0FE57958"/>
    <w:rsid w:val="10057642"/>
    <w:rsid w:val="104B3700"/>
    <w:rsid w:val="106B763B"/>
    <w:rsid w:val="10710382"/>
    <w:rsid w:val="10B239FE"/>
    <w:rsid w:val="10D557FD"/>
    <w:rsid w:val="11567578"/>
    <w:rsid w:val="11625F1D"/>
    <w:rsid w:val="119F0731"/>
    <w:rsid w:val="11CA0A32"/>
    <w:rsid w:val="11E04312"/>
    <w:rsid w:val="12303925"/>
    <w:rsid w:val="129739A4"/>
    <w:rsid w:val="12B5207C"/>
    <w:rsid w:val="12E77EA1"/>
    <w:rsid w:val="130F171F"/>
    <w:rsid w:val="131571D0"/>
    <w:rsid w:val="131A3D10"/>
    <w:rsid w:val="131B5AA1"/>
    <w:rsid w:val="13607B7A"/>
    <w:rsid w:val="13AD1CE9"/>
    <w:rsid w:val="13B40293"/>
    <w:rsid w:val="13C10C86"/>
    <w:rsid w:val="13D23411"/>
    <w:rsid w:val="13D65BBB"/>
    <w:rsid w:val="13F16EF0"/>
    <w:rsid w:val="13F326E0"/>
    <w:rsid w:val="14151024"/>
    <w:rsid w:val="141776C3"/>
    <w:rsid w:val="14294CC3"/>
    <w:rsid w:val="14357918"/>
    <w:rsid w:val="146D5A8B"/>
    <w:rsid w:val="152F06F4"/>
    <w:rsid w:val="15396F94"/>
    <w:rsid w:val="1552040A"/>
    <w:rsid w:val="157F162F"/>
    <w:rsid w:val="15871706"/>
    <w:rsid w:val="159877B7"/>
    <w:rsid w:val="15D0477B"/>
    <w:rsid w:val="16311D10"/>
    <w:rsid w:val="163F7BD6"/>
    <w:rsid w:val="16BC0261"/>
    <w:rsid w:val="16E21E18"/>
    <w:rsid w:val="16ED6DA6"/>
    <w:rsid w:val="174B0D9F"/>
    <w:rsid w:val="1752297D"/>
    <w:rsid w:val="17B62F89"/>
    <w:rsid w:val="17CE50CF"/>
    <w:rsid w:val="17D17F86"/>
    <w:rsid w:val="17FC66C5"/>
    <w:rsid w:val="1815577B"/>
    <w:rsid w:val="182B52BA"/>
    <w:rsid w:val="187529B4"/>
    <w:rsid w:val="1890511D"/>
    <w:rsid w:val="19461C80"/>
    <w:rsid w:val="194D20C0"/>
    <w:rsid w:val="195345DA"/>
    <w:rsid w:val="196A6E29"/>
    <w:rsid w:val="199F4605"/>
    <w:rsid w:val="19A83DC1"/>
    <w:rsid w:val="19C22CBD"/>
    <w:rsid w:val="19C239FC"/>
    <w:rsid w:val="19D57567"/>
    <w:rsid w:val="1A6A3B28"/>
    <w:rsid w:val="1A793CE7"/>
    <w:rsid w:val="1AC26884"/>
    <w:rsid w:val="1AC92B69"/>
    <w:rsid w:val="1ADC69A0"/>
    <w:rsid w:val="1AE16479"/>
    <w:rsid w:val="1B0D6F4C"/>
    <w:rsid w:val="1B6D3662"/>
    <w:rsid w:val="1BB71286"/>
    <w:rsid w:val="1BE80229"/>
    <w:rsid w:val="1C200F85"/>
    <w:rsid w:val="1C4125A6"/>
    <w:rsid w:val="1C6455ED"/>
    <w:rsid w:val="1CA77076"/>
    <w:rsid w:val="1CE95CBC"/>
    <w:rsid w:val="1D187DD7"/>
    <w:rsid w:val="1DDC27C5"/>
    <w:rsid w:val="1DE5548B"/>
    <w:rsid w:val="1E185727"/>
    <w:rsid w:val="1E1C68BD"/>
    <w:rsid w:val="1E2F7187"/>
    <w:rsid w:val="1F0057E3"/>
    <w:rsid w:val="1F151713"/>
    <w:rsid w:val="1F523B21"/>
    <w:rsid w:val="1F77033E"/>
    <w:rsid w:val="1F7809A0"/>
    <w:rsid w:val="1FB66F0C"/>
    <w:rsid w:val="1FD1105A"/>
    <w:rsid w:val="1FF7722D"/>
    <w:rsid w:val="1FF8178F"/>
    <w:rsid w:val="2087447B"/>
    <w:rsid w:val="20AD10A9"/>
    <w:rsid w:val="20B237F2"/>
    <w:rsid w:val="20C02D42"/>
    <w:rsid w:val="20DD2ECA"/>
    <w:rsid w:val="210E39CB"/>
    <w:rsid w:val="21120064"/>
    <w:rsid w:val="214E00C7"/>
    <w:rsid w:val="218F76B2"/>
    <w:rsid w:val="21BA5E37"/>
    <w:rsid w:val="21DF2C72"/>
    <w:rsid w:val="222D6635"/>
    <w:rsid w:val="22354F02"/>
    <w:rsid w:val="224F082B"/>
    <w:rsid w:val="22525138"/>
    <w:rsid w:val="22723DCE"/>
    <w:rsid w:val="22933C99"/>
    <w:rsid w:val="22964986"/>
    <w:rsid w:val="22D242E7"/>
    <w:rsid w:val="234174BA"/>
    <w:rsid w:val="234F7621"/>
    <w:rsid w:val="235F7526"/>
    <w:rsid w:val="23D11E33"/>
    <w:rsid w:val="23D625A8"/>
    <w:rsid w:val="23E93EF4"/>
    <w:rsid w:val="24715D06"/>
    <w:rsid w:val="24936808"/>
    <w:rsid w:val="24973CD7"/>
    <w:rsid w:val="24BA665E"/>
    <w:rsid w:val="24D818B3"/>
    <w:rsid w:val="24F211F6"/>
    <w:rsid w:val="2529332B"/>
    <w:rsid w:val="253B28D5"/>
    <w:rsid w:val="255D282B"/>
    <w:rsid w:val="258A45EF"/>
    <w:rsid w:val="258E59DD"/>
    <w:rsid w:val="2596694F"/>
    <w:rsid w:val="25A50CC9"/>
    <w:rsid w:val="25BC1C48"/>
    <w:rsid w:val="2623383B"/>
    <w:rsid w:val="270611CA"/>
    <w:rsid w:val="270A1564"/>
    <w:rsid w:val="2727745C"/>
    <w:rsid w:val="272C7277"/>
    <w:rsid w:val="27383645"/>
    <w:rsid w:val="27466615"/>
    <w:rsid w:val="274B6198"/>
    <w:rsid w:val="275B0666"/>
    <w:rsid w:val="275F617F"/>
    <w:rsid w:val="277B51EB"/>
    <w:rsid w:val="27AF1DA4"/>
    <w:rsid w:val="27F45AEA"/>
    <w:rsid w:val="27FB0151"/>
    <w:rsid w:val="288F34F5"/>
    <w:rsid w:val="289D72E9"/>
    <w:rsid w:val="28D54FA9"/>
    <w:rsid w:val="29055A1C"/>
    <w:rsid w:val="29384677"/>
    <w:rsid w:val="29A71751"/>
    <w:rsid w:val="29B7338C"/>
    <w:rsid w:val="29BF27BE"/>
    <w:rsid w:val="29CD0966"/>
    <w:rsid w:val="29E32ADC"/>
    <w:rsid w:val="29E675C2"/>
    <w:rsid w:val="2A224043"/>
    <w:rsid w:val="2A353CFD"/>
    <w:rsid w:val="2A3972F4"/>
    <w:rsid w:val="2B1B7878"/>
    <w:rsid w:val="2B1E2A5D"/>
    <w:rsid w:val="2B2D5CB9"/>
    <w:rsid w:val="2B39378D"/>
    <w:rsid w:val="2B68461C"/>
    <w:rsid w:val="2B7359FA"/>
    <w:rsid w:val="2B8311F8"/>
    <w:rsid w:val="2BA2368E"/>
    <w:rsid w:val="2C1809A7"/>
    <w:rsid w:val="2C5F46BC"/>
    <w:rsid w:val="2C692273"/>
    <w:rsid w:val="2CA376BD"/>
    <w:rsid w:val="2CD31625"/>
    <w:rsid w:val="2D2E13F9"/>
    <w:rsid w:val="2D7A1BE9"/>
    <w:rsid w:val="2D9C61A8"/>
    <w:rsid w:val="2DB41FE8"/>
    <w:rsid w:val="2E041545"/>
    <w:rsid w:val="2E1661E6"/>
    <w:rsid w:val="2EAB5FC3"/>
    <w:rsid w:val="2F145637"/>
    <w:rsid w:val="2F171377"/>
    <w:rsid w:val="2F4F4F24"/>
    <w:rsid w:val="2F594DD2"/>
    <w:rsid w:val="2F5C4655"/>
    <w:rsid w:val="304D1D6B"/>
    <w:rsid w:val="30754C3A"/>
    <w:rsid w:val="307A2CB1"/>
    <w:rsid w:val="30C356D1"/>
    <w:rsid w:val="30C419B0"/>
    <w:rsid w:val="30CD50A8"/>
    <w:rsid w:val="30DB1652"/>
    <w:rsid w:val="30E3452C"/>
    <w:rsid w:val="313769A9"/>
    <w:rsid w:val="3141061D"/>
    <w:rsid w:val="31462D0D"/>
    <w:rsid w:val="318670E2"/>
    <w:rsid w:val="31A17A66"/>
    <w:rsid w:val="31BE0CDA"/>
    <w:rsid w:val="31DA148B"/>
    <w:rsid w:val="31DD5420"/>
    <w:rsid w:val="32466539"/>
    <w:rsid w:val="32FC6AC1"/>
    <w:rsid w:val="33080127"/>
    <w:rsid w:val="330902B3"/>
    <w:rsid w:val="332A7F87"/>
    <w:rsid w:val="33503A92"/>
    <w:rsid w:val="335C4122"/>
    <w:rsid w:val="3388025A"/>
    <w:rsid w:val="338B2CC9"/>
    <w:rsid w:val="33BF137E"/>
    <w:rsid w:val="33D4222E"/>
    <w:rsid w:val="33EE1384"/>
    <w:rsid w:val="34173986"/>
    <w:rsid w:val="341A3419"/>
    <w:rsid w:val="34330282"/>
    <w:rsid w:val="34634E3D"/>
    <w:rsid w:val="347831DE"/>
    <w:rsid w:val="35770353"/>
    <w:rsid w:val="35957DBF"/>
    <w:rsid w:val="35D13477"/>
    <w:rsid w:val="35FA0AD8"/>
    <w:rsid w:val="361A4A7B"/>
    <w:rsid w:val="36236C4E"/>
    <w:rsid w:val="36303BDF"/>
    <w:rsid w:val="364A133F"/>
    <w:rsid w:val="36632FF1"/>
    <w:rsid w:val="366B4F45"/>
    <w:rsid w:val="367D7205"/>
    <w:rsid w:val="36C17560"/>
    <w:rsid w:val="3743620A"/>
    <w:rsid w:val="3772660A"/>
    <w:rsid w:val="37A57F02"/>
    <w:rsid w:val="37C130EE"/>
    <w:rsid w:val="38145E28"/>
    <w:rsid w:val="3816710C"/>
    <w:rsid w:val="38244E95"/>
    <w:rsid w:val="383E5630"/>
    <w:rsid w:val="3850243C"/>
    <w:rsid w:val="386D068A"/>
    <w:rsid w:val="38B03996"/>
    <w:rsid w:val="38C26759"/>
    <w:rsid w:val="38EA77BA"/>
    <w:rsid w:val="38FE1125"/>
    <w:rsid w:val="391560C2"/>
    <w:rsid w:val="391854E7"/>
    <w:rsid w:val="39515725"/>
    <w:rsid w:val="39AC3434"/>
    <w:rsid w:val="39BA40F5"/>
    <w:rsid w:val="39D34C71"/>
    <w:rsid w:val="39D751C8"/>
    <w:rsid w:val="3A1F0242"/>
    <w:rsid w:val="3A5864AF"/>
    <w:rsid w:val="3A5B3385"/>
    <w:rsid w:val="3A7B52E8"/>
    <w:rsid w:val="3AA70BC9"/>
    <w:rsid w:val="3AAB5CE4"/>
    <w:rsid w:val="3AB903B0"/>
    <w:rsid w:val="3AC37B79"/>
    <w:rsid w:val="3AD62004"/>
    <w:rsid w:val="3B561D9F"/>
    <w:rsid w:val="3B7948F7"/>
    <w:rsid w:val="3B85018E"/>
    <w:rsid w:val="3BD67301"/>
    <w:rsid w:val="3BE27C11"/>
    <w:rsid w:val="3C1C1B29"/>
    <w:rsid w:val="3C1F2362"/>
    <w:rsid w:val="3C447E49"/>
    <w:rsid w:val="3C4D0778"/>
    <w:rsid w:val="3C520284"/>
    <w:rsid w:val="3C643836"/>
    <w:rsid w:val="3CD02756"/>
    <w:rsid w:val="3D0870C9"/>
    <w:rsid w:val="3D166298"/>
    <w:rsid w:val="3D294B8D"/>
    <w:rsid w:val="3D2F254E"/>
    <w:rsid w:val="3D440B11"/>
    <w:rsid w:val="3D4F6AA6"/>
    <w:rsid w:val="3D695DB9"/>
    <w:rsid w:val="3D784646"/>
    <w:rsid w:val="3DA10BCD"/>
    <w:rsid w:val="3DBB686B"/>
    <w:rsid w:val="3DCA159E"/>
    <w:rsid w:val="3DFE0C51"/>
    <w:rsid w:val="3E47191D"/>
    <w:rsid w:val="3E75078E"/>
    <w:rsid w:val="3E913F0E"/>
    <w:rsid w:val="3E9B34C5"/>
    <w:rsid w:val="3ECF60F0"/>
    <w:rsid w:val="3EF11A36"/>
    <w:rsid w:val="3F0F516A"/>
    <w:rsid w:val="3F7E0284"/>
    <w:rsid w:val="3FAD5A88"/>
    <w:rsid w:val="3FD66B9D"/>
    <w:rsid w:val="3FE6171A"/>
    <w:rsid w:val="40273B0A"/>
    <w:rsid w:val="404448BC"/>
    <w:rsid w:val="408563A3"/>
    <w:rsid w:val="40A13ABC"/>
    <w:rsid w:val="41006A35"/>
    <w:rsid w:val="41076015"/>
    <w:rsid w:val="411F5A72"/>
    <w:rsid w:val="41260850"/>
    <w:rsid w:val="416B6CE2"/>
    <w:rsid w:val="41AA074E"/>
    <w:rsid w:val="41BF069E"/>
    <w:rsid w:val="41F75335"/>
    <w:rsid w:val="422F1949"/>
    <w:rsid w:val="423041D0"/>
    <w:rsid w:val="424F44AD"/>
    <w:rsid w:val="42804A02"/>
    <w:rsid w:val="42AA6905"/>
    <w:rsid w:val="432745D6"/>
    <w:rsid w:val="438102EA"/>
    <w:rsid w:val="43CC6029"/>
    <w:rsid w:val="4410624B"/>
    <w:rsid w:val="4417329B"/>
    <w:rsid w:val="44371D6C"/>
    <w:rsid w:val="445B4977"/>
    <w:rsid w:val="447062AE"/>
    <w:rsid w:val="44772036"/>
    <w:rsid w:val="447A6AFE"/>
    <w:rsid w:val="44AE49FA"/>
    <w:rsid w:val="44C851AD"/>
    <w:rsid w:val="45032A73"/>
    <w:rsid w:val="450B72E0"/>
    <w:rsid w:val="45151A10"/>
    <w:rsid w:val="452B324F"/>
    <w:rsid w:val="454278F8"/>
    <w:rsid w:val="456728CD"/>
    <w:rsid w:val="456F1408"/>
    <w:rsid w:val="458A3F12"/>
    <w:rsid w:val="45903389"/>
    <w:rsid w:val="46144678"/>
    <w:rsid w:val="463C7E2F"/>
    <w:rsid w:val="46564102"/>
    <w:rsid w:val="465D0485"/>
    <w:rsid w:val="46B856BC"/>
    <w:rsid w:val="47547451"/>
    <w:rsid w:val="475579C7"/>
    <w:rsid w:val="47596DFD"/>
    <w:rsid w:val="478D3B1B"/>
    <w:rsid w:val="47B76DEA"/>
    <w:rsid w:val="47C71762"/>
    <w:rsid w:val="47DB78B4"/>
    <w:rsid w:val="47ED306F"/>
    <w:rsid w:val="48295761"/>
    <w:rsid w:val="483E6AA3"/>
    <w:rsid w:val="48431516"/>
    <w:rsid w:val="48462CE4"/>
    <w:rsid w:val="48D10ECA"/>
    <w:rsid w:val="48E775A8"/>
    <w:rsid w:val="48FB5F4F"/>
    <w:rsid w:val="491004AC"/>
    <w:rsid w:val="49165DA6"/>
    <w:rsid w:val="497A6719"/>
    <w:rsid w:val="498975CF"/>
    <w:rsid w:val="498A0B16"/>
    <w:rsid w:val="49A35E13"/>
    <w:rsid w:val="4A976654"/>
    <w:rsid w:val="4AA807B2"/>
    <w:rsid w:val="4ABA6D58"/>
    <w:rsid w:val="4AD327E2"/>
    <w:rsid w:val="4AEC002A"/>
    <w:rsid w:val="4B517CCB"/>
    <w:rsid w:val="4B7A5635"/>
    <w:rsid w:val="4B836A49"/>
    <w:rsid w:val="4BBC1EC9"/>
    <w:rsid w:val="4C2A666F"/>
    <w:rsid w:val="4C2C4B28"/>
    <w:rsid w:val="4C432784"/>
    <w:rsid w:val="4C555A70"/>
    <w:rsid w:val="4C6E725A"/>
    <w:rsid w:val="4C763282"/>
    <w:rsid w:val="4C8E792C"/>
    <w:rsid w:val="4CB41FF3"/>
    <w:rsid w:val="4CE4720A"/>
    <w:rsid w:val="4CF75D0A"/>
    <w:rsid w:val="4D276D24"/>
    <w:rsid w:val="4D583672"/>
    <w:rsid w:val="4DB63E9B"/>
    <w:rsid w:val="4E74262B"/>
    <w:rsid w:val="4E946A0E"/>
    <w:rsid w:val="4EBE4208"/>
    <w:rsid w:val="4FC1296B"/>
    <w:rsid w:val="4FDC1084"/>
    <w:rsid w:val="4FF05EC6"/>
    <w:rsid w:val="501C6CBB"/>
    <w:rsid w:val="501E0C85"/>
    <w:rsid w:val="502308EA"/>
    <w:rsid w:val="5099030C"/>
    <w:rsid w:val="50A6292A"/>
    <w:rsid w:val="50E871B6"/>
    <w:rsid w:val="510A6AC3"/>
    <w:rsid w:val="512872A6"/>
    <w:rsid w:val="5199388B"/>
    <w:rsid w:val="51C70EA9"/>
    <w:rsid w:val="5227016D"/>
    <w:rsid w:val="522735F1"/>
    <w:rsid w:val="522C5193"/>
    <w:rsid w:val="52324645"/>
    <w:rsid w:val="52634928"/>
    <w:rsid w:val="52786B20"/>
    <w:rsid w:val="528D5C4E"/>
    <w:rsid w:val="52CA7E39"/>
    <w:rsid w:val="53201529"/>
    <w:rsid w:val="536D782E"/>
    <w:rsid w:val="53982AFD"/>
    <w:rsid w:val="53B10AB4"/>
    <w:rsid w:val="53BC6AEA"/>
    <w:rsid w:val="53D72561"/>
    <w:rsid w:val="54342932"/>
    <w:rsid w:val="54425012"/>
    <w:rsid w:val="545104EE"/>
    <w:rsid w:val="547E13AC"/>
    <w:rsid w:val="54AD3770"/>
    <w:rsid w:val="54AF5068"/>
    <w:rsid w:val="54E95E3A"/>
    <w:rsid w:val="553A28B7"/>
    <w:rsid w:val="558E4775"/>
    <w:rsid w:val="55BE5B01"/>
    <w:rsid w:val="55C242F4"/>
    <w:rsid w:val="55EC7856"/>
    <w:rsid w:val="565117F9"/>
    <w:rsid w:val="56602FA9"/>
    <w:rsid w:val="568972EE"/>
    <w:rsid w:val="56A30BEE"/>
    <w:rsid w:val="56A77B6A"/>
    <w:rsid w:val="56B440F1"/>
    <w:rsid w:val="56D906E3"/>
    <w:rsid w:val="57373AAD"/>
    <w:rsid w:val="573D4F33"/>
    <w:rsid w:val="57522DE8"/>
    <w:rsid w:val="57772DF9"/>
    <w:rsid w:val="57820F66"/>
    <w:rsid w:val="57A04676"/>
    <w:rsid w:val="57AA6441"/>
    <w:rsid w:val="57AE35F9"/>
    <w:rsid w:val="57B7551B"/>
    <w:rsid w:val="57DB115D"/>
    <w:rsid w:val="581666E6"/>
    <w:rsid w:val="582D6EF7"/>
    <w:rsid w:val="58443253"/>
    <w:rsid w:val="58502AF2"/>
    <w:rsid w:val="586C27AA"/>
    <w:rsid w:val="587C6E60"/>
    <w:rsid w:val="58AD6518"/>
    <w:rsid w:val="58FA6603"/>
    <w:rsid w:val="59712A4B"/>
    <w:rsid w:val="59ED5249"/>
    <w:rsid w:val="5A0B353B"/>
    <w:rsid w:val="5A0B795B"/>
    <w:rsid w:val="5A882213"/>
    <w:rsid w:val="5A921267"/>
    <w:rsid w:val="5AA24261"/>
    <w:rsid w:val="5ABC185B"/>
    <w:rsid w:val="5AD36B10"/>
    <w:rsid w:val="5AE1122D"/>
    <w:rsid w:val="5B3D2BF4"/>
    <w:rsid w:val="5B894531"/>
    <w:rsid w:val="5B906F80"/>
    <w:rsid w:val="5BC54DF4"/>
    <w:rsid w:val="5BE5131E"/>
    <w:rsid w:val="5C310235"/>
    <w:rsid w:val="5C6D541D"/>
    <w:rsid w:val="5CB534F1"/>
    <w:rsid w:val="5CEC3CAD"/>
    <w:rsid w:val="5CF42402"/>
    <w:rsid w:val="5CFF3BED"/>
    <w:rsid w:val="5D1B21AF"/>
    <w:rsid w:val="5D3E4715"/>
    <w:rsid w:val="5D515A4E"/>
    <w:rsid w:val="5D80006D"/>
    <w:rsid w:val="5DA60C81"/>
    <w:rsid w:val="5DB02783"/>
    <w:rsid w:val="5DC21A60"/>
    <w:rsid w:val="5DDB4BA4"/>
    <w:rsid w:val="5DDE7158"/>
    <w:rsid w:val="5E5758A6"/>
    <w:rsid w:val="5E5D2232"/>
    <w:rsid w:val="5E812B1E"/>
    <w:rsid w:val="5E943FE1"/>
    <w:rsid w:val="5E952C95"/>
    <w:rsid w:val="5EA159EF"/>
    <w:rsid w:val="5ED56004"/>
    <w:rsid w:val="5EDD7F5D"/>
    <w:rsid w:val="5EE161BA"/>
    <w:rsid w:val="5F1C1939"/>
    <w:rsid w:val="5F5610E6"/>
    <w:rsid w:val="5F633A38"/>
    <w:rsid w:val="5FC3596E"/>
    <w:rsid w:val="5FC449AC"/>
    <w:rsid w:val="5FC84222"/>
    <w:rsid w:val="5FC86518"/>
    <w:rsid w:val="5FDE43C0"/>
    <w:rsid w:val="600D28A3"/>
    <w:rsid w:val="60367925"/>
    <w:rsid w:val="605317AE"/>
    <w:rsid w:val="60786190"/>
    <w:rsid w:val="607F4AFF"/>
    <w:rsid w:val="60820189"/>
    <w:rsid w:val="60A65B62"/>
    <w:rsid w:val="60AC6E64"/>
    <w:rsid w:val="60AE6575"/>
    <w:rsid w:val="60C96143"/>
    <w:rsid w:val="61033DD8"/>
    <w:rsid w:val="610655D3"/>
    <w:rsid w:val="61104A3E"/>
    <w:rsid w:val="61265BEC"/>
    <w:rsid w:val="615F0010"/>
    <w:rsid w:val="617F7AE6"/>
    <w:rsid w:val="618D2AD3"/>
    <w:rsid w:val="61BB234F"/>
    <w:rsid w:val="61E97F9F"/>
    <w:rsid w:val="61EB26C7"/>
    <w:rsid w:val="62037CDB"/>
    <w:rsid w:val="62196B34"/>
    <w:rsid w:val="6224175D"/>
    <w:rsid w:val="62A04DC5"/>
    <w:rsid w:val="62E710A2"/>
    <w:rsid w:val="633E1CFD"/>
    <w:rsid w:val="635634FF"/>
    <w:rsid w:val="63972DD1"/>
    <w:rsid w:val="63B76FCF"/>
    <w:rsid w:val="63C21368"/>
    <w:rsid w:val="63DC24EC"/>
    <w:rsid w:val="63F200B4"/>
    <w:rsid w:val="64197F46"/>
    <w:rsid w:val="64714E92"/>
    <w:rsid w:val="649C190D"/>
    <w:rsid w:val="64B21544"/>
    <w:rsid w:val="64B27796"/>
    <w:rsid w:val="64FD5AFA"/>
    <w:rsid w:val="65316E4A"/>
    <w:rsid w:val="654E3963"/>
    <w:rsid w:val="65550012"/>
    <w:rsid w:val="655B07D5"/>
    <w:rsid w:val="65612584"/>
    <w:rsid w:val="65AB4FD6"/>
    <w:rsid w:val="65AD3502"/>
    <w:rsid w:val="65DE4CE7"/>
    <w:rsid w:val="65F17BBD"/>
    <w:rsid w:val="66025E86"/>
    <w:rsid w:val="66267F8A"/>
    <w:rsid w:val="6689123D"/>
    <w:rsid w:val="66A75FC4"/>
    <w:rsid w:val="66E36A05"/>
    <w:rsid w:val="66F84506"/>
    <w:rsid w:val="66FF55A5"/>
    <w:rsid w:val="67044E37"/>
    <w:rsid w:val="676542B7"/>
    <w:rsid w:val="67676974"/>
    <w:rsid w:val="676F35B6"/>
    <w:rsid w:val="678F67DD"/>
    <w:rsid w:val="689E69AF"/>
    <w:rsid w:val="68A45648"/>
    <w:rsid w:val="68E83B78"/>
    <w:rsid w:val="692C7B17"/>
    <w:rsid w:val="694C6B5E"/>
    <w:rsid w:val="69A10B77"/>
    <w:rsid w:val="69E403F2"/>
    <w:rsid w:val="69FC4AAC"/>
    <w:rsid w:val="6A1847CB"/>
    <w:rsid w:val="6A422766"/>
    <w:rsid w:val="6A4874D1"/>
    <w:rsid w:val="6A6169E7"/>
    <w:rsid w:val="6AF01018"/>
    <w:rsid w:val="6B3D3B05"/>
    <w:rsid w:val="6B3D52B3"/>
    <w:rsid w:val="6B6213BB"/>
    <w:rsid w:val="6BA028D5"/>
    <w:rsid w:val="6BA840A9"/>
    <w:rsid w:val="6BB64A65"/>
    <w:rsid w:val="6BCE135A"/>
    <w:rsid w:val="6BEC7A32"/>
    <w:rsid w:val="6BF53221"/>
    <w:rsid w:val="6C036674"/>
    <w:rsid w:val="6C1274B0"/>
    <w:rsid w:val="6C4C5A5B"/>
    <w:rsid w:val="6CBE3142"/>
    <w:rsid w:val="6D137AC9"/>
    <w:rsid w:val="6D371181"/>
    <w:rsid w:val="6D4A527C"/>
    <w:rsid w:val="6D6B45C3"/>
    <w:rsid w:val="6D8609FF"/>
    <w:rsid w:val="6D9528B5"/>
    <w:rsid w:val="6DB217DF"/>
    <w:rsid w:val="6DC72505"/>
    <w:rsid w:val="6DE339FD"/>
    <w:rsid w:val="6E1C56D4"/>
    <w:rsid w:val="6E22598D"/>
    <w:rsid w:val="6E2B579C"/>
    <w:rsid w:val="6E37217F"/>
    <w:rsid w:val="6E5611D1"/>
    <w:rsid w:val="6E804461"/>
    <w:rsid w:val="6E852BF1"/>
    <w:rsid w:val="6E912A5B"/>
    <w:rsid w:val="6EFC14F6"/>
    <w:rsid w:val="6EFE1F56"/>
    <w:rsid w:val="6F5702B1"/>
    <w:rsid w:val="6FA5043E"/>
    <w:rsid w:val="6FBD7470"/>
    <w:rsid w:val="6FC43A9D"/>
    <w:rsid w:val="6FDA2A55"/>
    <w:rsid w:val="6FE86762"/>
    <w:rsid w:val="6FF6634F"/>
    <w:rsid w:val="70262932"/>
    <w:rsid w:val="703060B6"/>
    <w:rsid w:val="704C6CF1"/>
    <w:rsid w:val="70797761"/>
    <w:rsid w:val="70851470"/>
    <w:rsid w:val="70A15B20"/>
    <w:rsid w:val="712B03AE"/>
    <w:rsid w:val="715600C6"/>
    <w:rsid w:val="71581A65"/>
    <w:rsid w:val="71643C74"/>
    <w:rsid w:val="71744751"/>
    <w:rsid w:val="718E61D0"/>
    <w:rsid w:val="719B77EB"/>
    <w:rsid w:val="71E15C6A"/>
    <w:rsid w:val="71FC02A3"/>
    <w:rsid w:val="71FD64F5"/>
    <w:rsid w:val="72101EA0"/>
    <w:rsid w:val="723B0331"/>
    <w:rsid w:val="724845BB"/>
    <w:rsid w:val="72C95878"/>
    <w:rsid w:val="72CB35E3"/>
    <w:rsid w:val="72FD7620"/>
    <w:rsid w:val="730646C5"/>
    <w:rsid w:val="73277640"/>
    <w:rsid w:val="73544F69"/>
    <w:rsid w:val="74007F90"/>
    <w:rsid w:val="740F7AF0"/>
    <w:rsid w:val="7414687C"/>
    <w:rsid w:val="74482476"/>
    <w:rsid w:val="745101DE"/>
    <w:rsid w:val="74780A2A"/>
    <w:rsid w:val="74AF784E"/>
    <w:rsid w:val="74EF66A3"/>
    <w:rsid w:val="75660ACE"/>
    <w:rsid w:val="75757F55"/>
    <w:rsid w:val="757B030B"/>
    <w:rsid w:val="75AF5D58"/>
    <w:rsid w:val="75B321C0"/>
    <w:rsid w:val="75EE7C07"/>
    <w:rsid w:val="7619471D"/>
    <w:rsid w:val="762F499C"/>
    <w:rsid w:val="76682FE4"/>
    <w:rsid w:val="76760624"/>
    <w:rsid w:val="767B3FAD"/>
    <w:rsid w:val="768674F2"/>
    <w:rsid w:val="76986CFB"/>
    <w:rsid w:val="76D27B9A"/>
    <w:rsid w:val="76D87530"/>
    <w:rsid w:val="770B6B66"/>
    <w:rsid w:val="77112A42"/>
    <w:rsid w:val="771E298D"/>
    <w:rsid w:val="77387FCF"/>
    <w:rsid w:val="777059BB"/>
    <w:rsid w:val="77761B41"/>
    <w:rsid w:val="777947C3"/>
    <w:rsid w:val="77804C61"/>
    <w:rsid w:val="77B44AED"/>
    <w:rsid w:val="77B72F43"/>
    <w:rsid w:val="77BF0792"/>
    <w:rsid w:val="77C17FC5"/>
    <w:rsid w:val="780E5B91"/>
    <w:rsid w:val="78175DA9"/>
    <w:rsid w:val="781E357C"/>
    <w:rsid w:val="78210F1F"/>
    <w:rsid w:val="782F6DDE"/>
    <w:rsid w:val="785E3A65"/>
    <w:rsid w:val="787F1F33"/>
    <w:rsid w:val="788B6AA1"/>
    <w:rsid w:val="788D24D3"/>
    <w:rsid w:val="789D0E85"/>
    <w:rsid w:val="78A31478"/>
    <w:rsid w:val="78B92217"/>
    <w:rsid w:val="78BB6B92"/>
    <w:rsid w:val="78C772C8"/>
    <w:rsid w:val="78D81679"/>
    <w:rsid w:val="78D92D55"/>
    <w:rsid w:val="78E4457F"/>
    <w:rsid w:val="79166C1B"/>
    <w:rsid w:val="791C0FC9"/>
    <w:rsid w:val="79275B80"/>
    <w:rsid w:val="79D96EED"/>
    <w:rsid w:val="79F37BFC"/>
    <w:rsid w:val="7A5532C2"/>
    <w:rsid w:val="7AF965D1"/>
    <w:rsid w:val="7B004CFD"/>
    <w:rsid w:val="7B3D1CC7"/>
    <w:rsid w:val="7B6F06D0"/>
    <w:rsid w:val="7B9E2F12"/>
    <w:rsid w:val="7BA619AB"/>
    <w:rsid w:val="7BC45653"/>
    <w:rsid w:val="7BD51572"/>
    <w:rsid w:val="7BFE25AA"/>
    <w:rsid w:val="7C066589"/>
    <w:rsid w:val="7C150EDA"/>
    <w:rsid w:val="7C1D4C64"/>
    <w:rsid w:val="7C1E1BC0"/>
    <w:rsid w:val="7C3E60FC"/>
    <w:rsid w:val="7C793955"/>
    <w:rsid w:val="7CF146FC"/>
    <w:rsid w:val="7D306D5D"/>
    <w:rsid w:val="7D482346"/>
    <w:rsid w:val="7D4F7E21"/>
    <w:rsid w:val="7D6A4B1C"/>
    <w:rsid w:val="7D9A5CDC"/>
    <w:rsid w:val="7E047221"/>
    <w:rsid w:val="7E163333"/>
    <w:rsid w:val="7E207828"/>
    <w:rsid w:val="7E436112"/>
    <w:rsid w:val="7E654BDC"/>
    <w:rsid w:val="7EA032A6"/>
    <w:rsid w:val="7F0974E4"/>
    <w:rsid w:val="7F330658"/>
    <w:rsid w:val="7F662F4E"/>
    <w:rsid w:val="7F89586C"/>
    <w:rsid w:val="7FDE3CAE"/>
    <w:rsid w:val="7FE8538E"/>
    <w:rsid w:val="7FE94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after="120" w:line="360" w:lineRule="auto"/>
      <w:outlineLvl w:val="0"/>
    </w:pPr>
    <w:rPr>
      <w:rFonts w:ascii="仿宋_GB2312" w:hAnsi="宋体" w:eastAsia="仿宋_GB2312" w:cs="宋体"/>
      <w:bCs/>
      <w:sz w:val="30"/>
      <w:szCs w:val="30"/>
    </w:rPr>
  </w:style>
  <w:style w:type="paragraph" w:styleId="4">
    <w:name w:val="heading 2"/>
    <w:basedOn w:val="1"/>
    <w:next w:val="1"/>
    <w:link w:val="59"/>
    <w:qFormat/>
    <w:uiPriority w:val="0"/>
    <w:pPr>
      <w:keepNext/>
      <w:keepLines/>
      <w:snapToGrid w:val="0"/>
      <w:spacing w:before="240" w:after="120"/>
      <w:ind w:left="454" w:hanging="454"/>
      <w:outlineLvl w:val="1"/>
    </w:pPr>
    <w:rPr>
      <w:rFonts w:ascii="宋体" w:hAnsi="宋体" w:eastAsia="仿宋_GB2312" w:cs="宋体"/>
      <w:sz w:val="30"/>
      <w:szCs w:val="30"/>
    </w:rPr>
  </w:style>
  <w:style w:type="paragraph" w:styleId="5">
    <w:name w:val="heading 3"/>
    <w:basedOn w:val="1"/>
    <w:next w:val="1"/>
    <w:link w:val="60"/>
    <w:qFormat/>
    <w:uiPriority w:val="0"/>
    <w:pPr>
      <w:keepNext/>
      <w:keepLines/>
      <w:spacing w:before="260" w:after="260" w:line="416" w:lineRule="auto"/>
      <w:outlineLvl w:val="2"/>
    </w:pPr>
    <w:rPr>
      <w:rFonts w:eastAsia="仿宋_GB2312"/>
      <w:b/>
      <w:bCs/>
      <w:sz w:val="32"/>
      <w:szCs w:val="32"/>
    </w:rPr>
  </w:style>
  <w:style w:type="paragraph" w:styleId="6">
    <w:name w:val="heading 4"/>
    <w:basedOn w:val="5"/>
    <w:next w:val="7"/>
    <w:link w:val="61"/>
    <w:qFormat/>
    <w:uiPriority w:val="0"/>
    <w:pPr>
      <w:numPr>
        <w:ilvl w:val="3"/>
        <w:numId w:val="1"/>
      </w:numPr>
      <w:spacing w:beforeLines="50" w:afterLines="50" w:line="360" w:lineRule="auto"/>
      <w:jc w:val="center"/>
      <w:outlineLvl w:val="3"/>
    </w:pPr>
    <w:rPr>
      <w:rFonts w:ascii="Arial" w:hAnsi="Arial" w:eastAsia="宋体"/>
      <w:b w:val="0"/>
      <w:bCs w:val="0"/>
      <w:sz w:val="24"/>
      <w:szCs w:val="24"/>
    </w:rPr>
  </w:style>
  <w:style w:type="paragraph" w:styleId="8">
    <w:name w:val="heading 5"/>
    <w:basedOn w:val="6"/>
    <w:next w:val="7"/>
    <w:link w:val="62"/>
    <w:qFormat/>
    <w:uiPriority w:val="0"/>
    <w:pPr>
      <w:numPr>
        <w:ilvl w:val="4"/>
      </w:numPr>
      <w:spacing w:line="240" w:lineRule="exact"/>
      <w:outlineLvl w:val="4"/>
    </w:pPr>
  </w:style>
  <w:style w:type="paragraph" w:styleId="9">
    <w:name w:val="heading 6"/>
    <w:basedOn w:val="1"/>
    <w:next w:val="1"/>
    <w:link w:val="63"/>
    <w:qFormat/>
    <w:uiPriority w:val="0"/>
    <w:pPr>
      <w:keepNext/>
      <w:keepLines/>
      <w:numPr>
        <w:ilvl w:val="5"/>
        <w:numId w:val="2"/>
      </w:numPr>
      <w:spacing w:before="240" w:after="64" w:line="312" w:lineRule="auto"/>
      <w:outlineLvl w:val="5"/>
    </w:pPr>
    <w:rPr>
      <w:rFonts w:ascii="Arial" w:hAnsi="Arial" w:eastAsia="黑体"/>
      <w:b/>
      <w:bCs/>
      <w:sz w:val="24"/>
    </w:rPr>
  </w:style>
  <w:style w:type="paragraph" w:styleId="10">
    <w:name w:val="heading 7"/>
    <w:basedOn w:val="1"/>
    <w:next w:val="7"/>
    <w:link w:val="64"/>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7"/>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54"/>
    <w:qFormat/>
    <w:uiPriority w:val="0"/>
    <w:rPr>
      <w:rFonts w:ascii="宋体" w:hAnsi="Courier New"/>
      <w:szCs w:val="20"/>
    </w:rPr>
  </w:style>
  <w:style w:type="paragraph" w:styleId="7">
    <w:name w:val="Normal Indent"/>
    <w:basedOn w:val="1"/>
    <w:qFormat/>
    <w:uiPriority w:val="0"/>
    <w:pPr>
      <w:ind w:firstLine="420" w:firstLineChars="200"/>
    </w:pPr>
    <w:rPr>
      <w:rFonts w:eastAsia="仿宋_GB2312"/>
      <w:sz w:val="32"/>
      <w:szCs w:val="32"/>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List Bullet"/>
    <w:basedOn w:val="1"/>
    <w:qFormat/>
    <w:uiPriority w:val="0"/>
    <w:pPr>
      <w:ind w:left="567" w:hanging="279"/>
    </w:pPr>
  </w:style>
  <w:style w:type="paragraph" w:styleId="15">
    <w:name w:val="Document Map"/>
    <w:basedOn w:val="1"/>
    <w:link w:val="67"/>
    <w:semiHidden/>
    <w:qFormat/>
    <w:uiPriority w:val="0"/>
    <w:pPr>
      <w:shd w:val="clear" w:color="auto" w:fill="000080"/>
    </w:pPr>
  </w:style>
  <w:style w:type="paragraph" w:styleId="16">
    <w:name w:val="annotation text"/>
    <w:basedOn w:val="1"/>
    <w:link w:val="68"/>
    <w:qFormat/>
    <w:uiPriority w:val="0"/>
    <w:pPr>
      <w:widowControl/>
      <w:adjustRightInd w:val="0"/>
      <w:snapToGrid w:val="0"/>
      <w:spacing w:after="200"/>
      <w:jc w:val="left"/>
    </w:pPr>
    <w:rPr>
      <w:rFonts w:ascii="Tahoma" w:hAnsi="Tahoma" w:eastAsia="微软雅黑" w:cs="Tahoma"/>
      <w:kern w:val="0"/>
      <w:sz w:val="22"/>
      <w:szCs w:val="22"/>
    </w:rPr>
  </w:style>
  <w:style w:type="paragraph" w:styleId="17">
    <w:name w:val="Closing"/>
    <w:basedOn w:val="1"/>
    <w:link w:val="69"/>
    <w:qFormat/>
    <w:uiPriority w:val="0"/>
    <w:pPr>
      <w:ind w:left="100" w:leftChars="2100"/>
    </w:pPr>
    <w:rPr>
      <w:rFonts w:eastAsia="仿宋_GB2312"/>
      <w:sz w:val="28"/>
      <w:szCs w:val="28"/>
    </w:rPr>
  </w:style>
  <w:style w:type="paragraph" w:styleId="18">
    <w:name w:val="Body Text"/>
    <w:basedOn w:val="1"/>
    <w:next w:val="1"/>
    <w:link w:val="57"/>
    <w:qFormat/>
    <w:uiPriority w:val="0"/>
    <w:pPr>
      <w:spacing w:after="120"/>
    </w:pPr>
    <w:rPr>
      <w:rFonts w:eastAsia="仿宋_GB2312"/>
      <w:sz w:val="32"/>
      <w:szCs w:val="32"/>
    </w:rPr>
  </w:style>
  <w:style w:type="paragraph" w:styleId="19">
    <w:name w:val="Body Text Indent"/>
    <w:basedOn w:val="1"/>
    <w:link w:val="70"/>
    <w:qFormat/>
    <w:uiPriority w:val="0"/>
    <w:pPr>
      <w:ind w:left="2240" w:hanging="2240" w:hangingChars="700"/>
    </w:pPr>
    <w:rPr>
      <w:rFonts w:eastAsia="仿宋_GB2312"/>
      <w:sz w:val="32"/>
    </w:rPr>
  </w:style>
  <w:style w:type="paragraph" w:styleId="20">
    <w:name w:val="List 2"/>
    <w:basedOn w:val="1"/>
    <w:qFormat/>
    <w:uiPriority w:val="0"/>
    <w:pPr>
      <w:ind w:left="100" w:leftChars="200" w:hanging="200" w:hangingChars="200"/>
    </w:pPr>
    <w:rPr>
      <w:rFonts w:eastAsia="楷体_GB2312"/>
      <w:szCs w:val="20"/>
    </w:rPr>
  </w:style>
  <w:style w:type="paragraph" w:styleId="21">
    <w:name w:val="List Bullet 2"/>
    <w:basedOn w:val="14"/>
    <w:qFormat/>
    <w:uiPriority w:val="0"/>
    <w:pPr>
      <w:widowControl/>
      <w:tabs>
        <w:tab w:val="left" w:pos="1350"/>
      </w:tabs>
      <w:spacing w:after="220" w:line="220" w:lineRule="atLeast"/>
      <w:ind w:left="2160" w:right="720" w:hanging="870"/>
      <w:jc w:val="left"/>
    </w:pPr>
    <w:rPr>
      <w:kern w:val="0"/>
      <w:szCs w:val="20"/>
    </w:rPr>
  </w:style>
  <w:style w:type="paragraph" w:styleId="2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3">
    <w:name w:val="toc 3"/>
    <w:basedOn w:val="1"/>
    <w:next w:val="1"/>
    <w:unhideWhenUsed/>
    <w:qFormat/>
    <w:uiPriority w:val="39"/>
    <w:pPr>
      <w:ind w:left="840" w:leftChars="400"/>
    </w:pPr>
    <w:rPr>
      <w:rFonts w:asciiTheme="minorHAnsi" w:hAnsiTheme="minorHAnsi" w:eastAsiaTheme="minorEastAsia" w:cstheme="minorBidi"/>
      <w:szCs w:val="22"/>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71"/>
    <w:qFormat/>
    <w:uiPriority w:val="0"/>
    <w:pPr>
      <w:ind w:left="100" w:leftChars="2500"/>
    </w:pPr>
    <w:rPr>
      <w:rFonts w:eastAsia="仿宋_GB2312"/>
      <w:sz w:val="32"/>
      <w:szCs w:val="32"/>
    </w:rPr>
  </w:style>
  <w:style w:type="paragraph" w:styleId="26">
    <w:name w:val="Body Text Indent 2"/>
    <w:basedOn w:val="1"/>
    <w:link w:val="72"/>
    <w:qFormat/>
    <w:uiPriority w:val="0"/>
    <w:pPr>
      <w:spacing w:after="120" w:line="480" w:lineRule="auto"/>
      <w:ind w:left="420" w:leftChars="200"/>
    </w:pPr>
    <w:rPr>
      <w:rFonts w:eastAsia="仿宋_GB2312"/>
      <w:sz w:val="32"/>
      <w:szCs w:val="32"/>
    </w:rPr>
  </w:style>
  <w:style w:type="paragraph" w:styleId="27">
    <w:name w:val="Balloon Text"/>
    <w:basedOn w:val="1"/>
    <w:link w:val="73"/>
    <w:unhideWhenUsed/>
    <w:qFormat/>
    <w:uiPriority w:val="0"/>
    <w:rPr>
      <w:rFonts w:ascii="Calibri" w:hAnsi="Calibri"/>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2">
    <w:name w:val="List"/>
    <w:basedOn w:val="18"/>
    <w:qFormat/>
    <w:uiPriority w:val="0"/>
    <w:pPr>
      <w:suppressAutoHyphens/>
      <w:spacing w:after="0"/>
    </w:pPr>
    <w:rPr>
      <w:rFonts w:eastAsia="黑体"/>
      <w:kern w:val="1"/>
      <w:sz w:val="24"/>
      <w:szCs w:val="20"/>
      <w:lang w:eastAsia="ar-SA"/>
    </w:rPr>
  </w:style>
  <w:style w:type="paragraph" w:styleId="33">
    <w:name w:val="footnote text"/>
    <w:basedOn w:val="1"/>
    <w:link w:val="76"/>
    <w:unhideWhenUsed/>
    <w:qFormat/>
    <w:uiPriority w:val="0"/>
    <w:pPr>
      <w:snapToGrid w:val="0"/>
      <w:jc w:val="left"/>
    </w:pPr>
    <w:rPr>
      <w:rFonts w:ascii="Calibri" w:hAnsi="Calibri"/>
      <w:sz w:val="18"/>
      <w:szCs w:val="18"/>
    </w:rPr>
  </w:style>
  <w:style w:type="paragraph" w:styleId="3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5">
    <w:name w:val="Body Text Indent 3"/>
    <w:basedOn w:val="1"/>
    <w:link w:val="77"/>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8">
    <w:name w:val="Body Text 2"/>
    <w:basedOn w:val="1"/>
    <w:link w:val="78"/>
    <w:qFormat/>
    <w:uiPriority w:val="0"/>
    <w:pPr>
      <w:spacing w:after="120" w:line="480" w:lineRule="auto"/>
    </w:pPr>
    <w:rPr>
      <w:rFonts w:eastAsia="仿宋_GB2312"/>
      <w:sz w:val="32"/>
      <w:szCs w:val="32"/>
    </w:rPr>
  </w:style>
  <w:style w:type="paragraph" w:styleId="3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0">
    <w:name w:val="Normal (Web)"/>
    <w:basedOn w:val="1"/>
    <w:qFormat/>
    <w:uiPriority w:val="0"/>
    <w:pPr>
      <w:widowControl/>
      <w:spacing w:before="100" w:beforeAutospacing="1" w:after="100" w:afterAutospacing="1"/>
      <w:jc w:val="left"/>
    </w:pPr>
    <w:rPr>
      <w:rFonts w:ascii="宋体" w:hAnsi="宋体"/>
      <w:kern w:val="0"/>
      <w:sz w:val="24"/>
    </w:rPr>
  </w:style>
  <w:style w:type="paragraph" w:styleId="41">
    <w:name w:val="Title"/>
    <w:basedOn w:val="1"/>
    <w:link w:val="55"/>
    <w:qFormat/>
    <w:uiPriority w:val="0"/>
    <w:pPr>
      <w:spacing w:before="120" w:after="60"/>
      <w:jc w:val="center"/>
    </w:pPr>
    <w:rPr>
      <w:rFonts w:ascii="Arial" w:hAnsi="Arial" w:eastAsia="楷体_GB2312"/>
      <w:b/>
      <w:sz w:val="44"/>
      <w:szCs w:val="20"/>
    </w:rPr>
  </w:style>
  <w:style w:type="paragraph" w:styleId="42">
    <w:name w:val="annotation subject"/>
    <w:basedOn w:val="16"/>
    <w:next w:val="16"/>
    <w:semiHidden/>
    <w:qFormat/>
    <w:uiPriority w:val="0"/>
    <w:pPr>
      <w:widowControl w:val="0"/>
      <w:adjustRightInd/>
      <w:snapToGrid/>
      <w:spacing w:after="0"/>
    </w:pPr>
    <w:rPr>
      <w:rFonts w:ascii="Times New Roman" w:hAnsi="Times New Roman" w:eastAsia="宋体" w:cs="Times New Roman"/>
      <w:b/>
      <w:bCs/>
      <w:kern w:val="2"/>
      <w:sz w:val="21"/>
      <w:szCs w:val="24"/>
    </w:rPr>
  </w:style>
  <w:style w:type="paragraph" w:styleId="43">
    <w:name w:val="Body Text First Indent"/>
    <w:basedOn w:val="18"/>
    <w:link w:val="58"/>
    <w:qFormat/>
    <w:uiPriority w:val="0"/>
    <w:pPr>
      <w:ind w:firstLine="420" w:firstLineChars="100"/>
    </w:pPr>
  </w:style>
  <w:style w:type="character" w:styleId="46">
    <w:name w:val="Strong"/>
    <w:basedOn w:val="45"/>
    <w:qFormat/>
    <w:uiPriority w:val="0"/>
    <w:rPr>
      <w:rFonts w:eastAsia="宋体"/>
      <w:b/>
      <w:bCs/>
      <w:kern w:val="2"/>
      <w:sz w:val="24"/>
      <w:szCs w:val="24"/>
      <w:lang w:val="en-US" w:eastAsia="zh-CN" w:bidi="ar-SA"/>
    </w:rPr>
  </w:style>
  <w:style w:type="character" w:styleId="47">
    <w:name w:val="page number"/>
    <w:basedOn w:val="45"/>
    <w:qFormat/>
    <w:uiPriority w:val="0"/>
  </w:style>
  <w:style w:type="character" w:styleId="48">
    <w:name w:val="FollowedHyperlink"/>
    <w:basedOn w:val="45"/>
    <w:qFormat/>
    <w:uiPriority w:val="0"/>
    <w:rPr>
      <w:color w:val="000000"/>
      <w:u w:val="none"/>
    </w:rPr>
  </w:style>
  <w:style w:type="character" w:styleId="49">
    <w:name w:val="Emphasis"/>
    <w:qFormat/>
    <w:uiPriority w:val="0"/>
    <w:rPr>
      <w:i/>
      <w:iCs/>
    </w:rPr>
  </w:style>
  <w:style w:type="character" w:styleId="50">
    <w:name w:val="Hyperlink"/>
    <w:basedOn w:val="45"/>
    <w:qFormat/>
    <w:uiPriority w:val="99"/>
    <w:rPr>
      <w:color w:val="000000"/>
      <w:u w:val="none"/>
    </w:rPr>
  </w:style>
  <w:style w:type="character" w:styleId="51">
    <w:name w:val="annotation reference"/>
    <w:qFormat/>
    <w:uiPriority w:val="0"/>
    <w:rPr>
      <w:sz w:val="21"/>
      <w:szCs w:val="21"/>
    </w:rPr>
  </w:style>
  <w:style w:type="character" w:styleId="52">
    <w:name w:val="footnote reference"/>
    <w:basedOn w:val="45"/>
    <w:unhideWhenUsed/>
    <w:qFormat/>
    <w:uiPriority w:val="0"/>
    <w:rPr>
      <w:vertAlign w:val="superscript"/>
    </w:rPr>
  </w:style>
  <w:style w:type="paragraph" w:customStyle="1" w:styleId="53">
    <w:name w:val="样式 宋体 行距: 1.5 倍行距"/>
    <w:basedOn w:val="1"/>
    <w:qFormat/>
    <w:uiPriority w:val="99"/>
    <w:pPr>
      <w:jc w:val="center"/>
    </w:pPr>
    <w:rPr>
      <w:b/>
      <w:bCs/>
    </w:rPr>
  </w:style>
  <w:style w:type="character" w:customStyle="1" w:styleId="54">
    <w:name w:val="纯文本 Char"/>
    <w:link w:val="2"/>
    <w:qFormat/>
    <w:locked/>
    <w:uiPriority w:val="0"/>
    <w:rPr>
      <w:rFonts w:ascii="宋体" w:hAnsi="Courier New"/>
      <w:kern w:val="2"/>
      <w:sz w:val="21"/>
      <w:lang w:bidi="ar-SA"/>
    </w:rPr>
  </w:style>
  <w:style w:type="character" w:customStyle="1" w:styleId="55">
    <w:name w:val="标题 Char"/>
    <w:basedOn w:val="45"/>
    <w:link w:val="41"/>
    <w:qFormat/>
    <w:uiPriority w:val="0"/>
    <w:rPr>
      <w:rFonts w:ascii="Arial" w:hAnsi="Arial" w:eastAsia="楷体_GB2312"/>
      <w:b/>
      <w:kern w:val="2"/>
      <w:sz w:val="44"/>
    </w:rPr>
  </w:style>
  <w:style w:type="character" w:customStyle="1" w:styleId="56">
    <w:name w:val="标题 1 Char"/>
    <w:basedOn w:val="45"/>
    <w:link w:val="3"/>
    <w:qFormat/>
    <w:uiPriority w:val="0"/>
    <w:rPr>
      <w:rFonts w:ascii="仿宋_GB2312" w:hAnsi="宋体" w:eastAsia="仿宋_GB2312" w:cs="宋体"/>
      <w:b/>
      <w:bCs/>
      <w:kern w:val="2"/>
      <w:sz w:val="30"/>
      <w:szCs w:val="30"/>
    </w:rPr>
  </w:style>
  <w:style w:type="character" w:customStyle="1" w:styleId="57">
    <w:name w:val="正文文本 Char"/>
    <w:basedOn w:val="45"/>
    <w:link w:val="18"/>
    <w:qFormat/>
    <w:uiPriority w:val="0"/>
    <w:rPr>
      <w:rFonts w:eastAsia="仿宋_GB2312"/>
      <w:kern w:val="2"/>
      <w:sz w:val="32"/>
      <w:szCs w:val="32"/>
    </w:rPr>
  </w:style>
  <w:style w:type="character" w:customStyle="1" w:styleId="58">
    <w:name w:val="正文首行缩进 Char"/>
    <w:basedOn w:val="57"/>
    <w:link w:val="43"/>
    <w:qFormat/>
    <w:uiPriority w:val="0"/>
    <w:rPr>
      <w:rFonts w:eastAsia="仿宋_GB2312"/>
      <w:kern w:val="2"/>
      <w:sz w:val="32"/>
      <w:szCs w:val="32"/>
    </w:rPr>
  </w:style>
  <w:style w:type="character" w:customStyle="1" w:styleId="59">
    <w:name w:val="标题 2 Char"/>
    <w:basedOn w:val="45"/>
    <w:link w:val="4"/>
    <w:qFormat/>
    <w:uiPriority w:val="0"/>
    <w:rPr>
      <w:rFonts w:ascii="宋体" w:hAnsi="宋体" w:eastAsia="仿宋_GB2312" w:cs="宋体"/>
      <w:kern w:val="2"/>
      <w:sz w:val="30"/>
      <w:szCs w:val="30"/>
    </w:rPr>
  </w:style>
  <w:style w:type="character" w:customStyle="1" w:styleId="60">
    <w:name w:val="标题 3 Char"/>
    <w:basedOn w:val="45"/>
    <w:link w:val="5"/>
    <w:qFormat/>
    <w:uiPriority w:val="0"/>
    <w:rPr>
      <w:rFonts w:eastAsia="仿宋_GB2312"/>
      <w:b/>
      <w:bCs/>
      <w:kern w:val="2"/>
      <w:sz w:val="32"/>
      <w:szCs w:val="32"/>
    </w:rPr>
  </w:style>
  <w:style w:type="character" w:customStyle="1" w:styleId="61">
    <w:name w:val="标题 4 Char"/>
    <w:basedOn w:val="45"/>
    <w:link w:val="6"/>
    <w:qFormat/>
    <w:uiPriority w:val="0"/>
    <w:rPr>
      <w:rFonts w:ascii="Arial" w:hAnsi="Arial"/>
      <w:kern w:val="2"/>
      <w:sz w:val="24"/>
      <w:szCs w:val="24"/>
    </w:rPr>
  </w:style>
  <w:style w:type="character" w:customStyle="1" w:styleId="62">
    <w:name w:val="标题 5 Char"/>
    <w:basedOn w:val="45"/>
    <w:link w:val="8"/>
    <w:qFormat/>
    <w:uiPriority w:val="0"/>
    <w:rPr>
      <w:rFonts w:ascii="Arial" w:hAnsi="Arial"/>
      <w:kern w:val="2"/>
      <w:sz w:val="24"/>
      <w:szCs w:val="24"/>
    </w:rPr>
  </w:style>
  <w:style w:type="character" w:customStyle="1" w:styleId="63">
    <w:name w:val="标题 6 Char"/>
    <w:basedOn w:val="45"/>
    <w:link w:val="9"/>
    <w:qFormat/>
    <w:uiPriority w:val="0"/>
    <w:rPr>
      <w:rFonts w:ascii="Arial" w:hAnsi="Arial" w:eastAsia="黑体"/>
      <w:b/>
      <w:bCs/>
      <w:kern w:val="2"/>
      <w:sz w:val="24"/>
      <w:szCs w:val="24"/>
    </w:rPr>
  </w:style>
  <w:style w:type="character" w:customStyle="1" w:styleId="64">
    <w:name w:val="标题 7 Char"/>
    <w:basedOn w:val="45"/>
    <w:link w:val="10"/>
    <w:qFormat/>
    <w:uiPriority w:val="0"/>
    <w:rPr>
      <w:b/>
      <w:kern w:val="2"/>
      <w:sz w:val="24"/>
    </w:rPr>
  </w:style>
  <w:style w:type="character" w:customStyle="1" w:styleId="65">
    <w:name w:val="标题 8 Char"/>
    <w:basedOn w:val="45"/>
    <w:link w:val="11"/>
    <w:qFormat/>
    <w:uiPriority w:val="0"/>
    <w:rPr>
      <w:rFonts w:ascii="Arial" w:hAnsi="Arial" w:eastAsia="黑体"/>
      <w:kern w:val="2"/>
      <w:sz w:val="24"/>
    </w:rPr>
  </w:style>
  <w:style w:type="character" w:customStyle="1" w:styleId="66">
    <w:name w:val="标题 9 Char"/>
    <w:basedOn w:val="45"/>
    <w:link w:val="12"/>
    <w:qFormat/>
    <w:uiPriority w:val="0"/>
    <w:rPr>
      <w:rFonts w:ascii="Arial" w:hAnsi="Arial" w:eastAsia="黑体"/>
      <w:kern w:val="2"/>
      <w:sz w:val="21"/>
    </w:rPr>
  </w:style>
  <w:style w:type="character" w:customStyle="1" w:styleId="67">
    <w:name w:val="文档结构图 Char"/>
    <w:basedOn w:val="45"/>
    <w:link w:val="15"/>
    <w:semiHidden/>
    <w:qFormat/>
    <w:uiPriority w:val="0"/>
    <w:rPr>
      <w:kern w:val="2"/>
      <w:sz w:val="21"/>
      <w:szCs w:val="24"/>
      <w:shd w:val="clear" w:color="auto" w:fill="000080"/>
    </w:rPr>
  </w:style>
  <w:style w:type="character" w:customStyle="1" w:styleId="68">
    <w:name w:val="批注文字 Char"/>
    <w:basedOn w:val="45"/>
    <w:link w:val="16"/>
    <w:qFormat/>
    <w:uiPriority w:val="0"/>
    <w:rPr>
      <w:rFonts w:ascii="Tahoma" w:hAnsi="Tahoma" w:eastAsia="微软雅黑" w:cs="Tahoma"/>
      <w:sz w:val="22"/>
      <w:szCs w:val="22"/>
    </w:rPr>
  </w:style>
  <w:style w:type="character" w:customStyle="1" w:styleId="69">
    <w:name w:val="结束语 Char"/>
    <w:basedOn w:val="45"/>
    <w:link w:val="17"/>
    <w:qFormat/>
    <w:uiPriority w:val="0"/>
    <w:rPr>
      <w:rFonts w:eastAsia="仿宋_GB2312"/>
      <w:kern w:val="2"/>
      <w:sz w:val="28"/>
      <w:szCs w:val="28"/>
    </w:rPr>
  </w:style>
  <w:style w:type="character" w:customStyle="1" w:styleId="70">
    <w:name w:val="正文文本缩进 Char"/>
    <w:basedOn w:val="45"/>
    <w:link w:val="19"/>
    <w:qFormat/>
    <w:uiPriority w:val="0"/>
    <w:rPr>
      <w:rFonts w:eastAsia="仿宋_GB2312"/>
      <w:kern w:val="2"/>
      <w:sz w:val="32"/>
      <w:szCs w:val="24"/>
    </w:rPr>
  </w:style>
  <w:style w:type="character" w:customStyle="1" w:styleId="71">
    <w:name w:val="日期 Char"/>
    <w:basedOn w:val="45"/>
    <w:link w:val="25"/>
    <w:qFormat/>
    <w:uiPriority w:val="0"/>
    <w:rPr>
      <w:rFonts w:eastAsia="仿宋_GB2312"/>
      <w:kern w:val="2"/>
      <w:sz w:val="32"/>
      <w:szCs w:val="32"/>
    </w:rPr>
  </w:style>
  <w:style w:type="character" w:customStyle="1" w:styleId="72">
    <w:name w:val="正文文本缩进 2 Char"/>
    <w:basedOn w:val="45"/>
    <w:link w:val="26"/>
    <w:qFormat/>
    <w:uiPriority w:val="0"/>
    <w:rPr>
      <w:rFonts w:eastAsia="仿宋_GB2312"/>
      <w:kern w:val="2"/>
      <w:sz w:val="32"/>
      <w:szCs w:val="32"/>
    </w:rPr>
  </w:style>
  <w:style w:type="character" w:customStyle="1" w:styleId="73">
    <w:name w:val="批注框文本 Char"/>
    <w:basedOn w:val="45"/>
    <w:link w:val="27"/>
    <w:qFormat/>
    <w:uiPriority w:val="0"/>
    <w:rPr>
      <w:rFonts w:ascii="Calibri" w:hAnsi="Calibri"/>
      <w:kern w:val="2"/>
      <w:sz w:val="18"/>
      <w:szCs w:val="18"/>
    </w:rPr>
  </w:style>
  <w:style w:type="character" w:customStyle="1" w:styleId="74">
    <w:name w:val="页脚 Char"/>
    <w:basedOn w:val="45"/>
    <w:link w:val="28"/>
    <w:qFormat/>
    <w:uiPriority w:val="0"/>
    <w:rPr>
      <w:kern w:val="2"/>
      <w:sz w:val="18"/>
      <w:szCs w:val="18"/>
    </w:rPr>
  </w:style>
  <w:style w:type="character" w:customStyle="1" w:styleId="75">
    <w:name w:val="页眉 Char"/>
    <w:basedOn w:val="45"/>
    <w:link w:val="29"/>
    <w:qFormat/>
    <w:uiPriority w:val="0"/>
    <w:rPr>
      <w:kern w:val="2"/>
      <w:sz w:val="18"/>
      <w:szCs w:val="18"/>
    </w:rPr>
  </w:style>
  <w:style w:type="character" w:customStyle="1" w:styleId="76">
    <w:name w:val="脚注文本 Char"/>
    <w:basedOn w:val="45"/>
    <w:link w:val="33"/>
    <w:qFormat/>
    <w:uiPriority w:val="0"/>
    <w:rPr>
      <w:rFonts w:ascii="Calibri" w:hAnsi="Calibri"/>
      <w:kern w:val="2"/>
      <w:sz w:val="18"/>
      <w:szCs w:val="18"/>
    </w:rPr>
  </w:style>
  <w:style w:type="character" w:customStyle="1" w:styleId="77">
    <w:name w:val="正文文本缩进 3 Char"/>
    <w:basedOn w:val="45"/>
    <w:link w:val="35"/>
    <w:qFormat/>
    <w:uiPriority w:val="0"/>
    <w:rPr>
      <w:kern w:val="2"/>
      <w:sz w:val="16"/>
      <w:szCs w:val="16"/>
    </w:rPr>
  </w:style>
  <w:style w:type="character" w:customStyle="1" w:styleId="78">
    <w:name w:val="正文文本 2 Char"/>
    <w:basedOn w:val="45"/>
    <w:link w:val="38"/>
    <w:qFormat/>
    <w:uiPriority w:val="0"/>
    <w:rPr>
      <w:rFonts w:eastAsia="仿宋_GB2312"/>
      <w:kern w:val="2"/>
      <w:sz w:val="32"/>
      <w:szCs w:val="32"/>
    </w:rPr>
  </w:style>
  <w:style w:type="paragraph" w:customStyle="1" w:styleId="79">
    <w:name w:val="样式1"/>
    <w:basedOn w:val="4"/>
    <w:qFormat/>
    <w:uiPriority w:val="0"/>
    <w:pPr>
      <w:snapToGrid/>
      <w:spacing w:line="360" w:lineRule="auto"/>
      <w:jc w:val="left"/>
    </w:pPr>
    <w:rPr>
      <w:rFonts w:eastAsia="宋体" w:cs="Times New Roman"/>
      <w:b/>
      <w:bCs/>
      <w:spacing w:val="26"/>
      <w:sz w:val="28"/>
      <w:szCs w:val="28"/>
    </w:rPr>
  </w:style>
  <w:style w:type="paragraph" w:customStyle="1" w:styleId="80">
    <w:name w:val="Char13 Char Char Char Char Char"/>
    <w:basedOn w:val="1"/>
    <w:qFormat/>
    <w:uiPriority w:val="0"/>
    <w:pPr>
      <w:ind w:left="567" w:hanging="279"/>
    </w:pPr>
    <w:rPr>
      <w:kern w:val="0"/>
      <w:sz w:val="20"/>
      <w:szCs w:val="20"/>
    </w:rPr>
  </w:style>
  <w:style w:type="paragraph" w:customStyle="1" w:styleId="81">
    <w:name w:val="Char"/>
    <w:basedOn w:val="1"/>
    <w:qFormat/>
    <w:uiPriority w:val="0"/>
    <w:pPr>
      <w:numPr>
        <w:ilvl w:val="0"/>
        <w:numId w:val="3"/>
      </w:numPr>
    </w:pPr>
    <w:rPr>
      <w:sz w:val="24"/>
    </w:rPr>
  </w:style>
  <w:style w:type="character" w:customStyle="1" w:styleId="82">
    <w:name w:val="A正文 Char"/>
    <w:link w:val="83"/>
    <w:qFormat/>
    <w:uiPriority w:val="0"/>
    <w:rPr>
      <w:rFonts w:eastAsia="仿宋_GB2312"/>
      <w:sz w:val="24"/>
      <w:szCs w:val="24"/>
    </w:rPr>
  </w:style>
  <w:style w:type="paragraph" w:customStyle="1" w:styleId="83">
    <w:name w:val="A正文"/>
    <w:basedOn w:val="1"/>
    <w:link w:val="82"/>
    <w:qFormat/>
    <w:uiPriority w:val="0"/>
    <w:pPr>
      <w:widowControl/>
      <w:overflowPunct w:val="0"/>
      <w:autoSpaceDE w:val="0"/>
      <w:autoSpaceDN w:val="0"/>
      <w:adjustRightInd w:val="0"/>
      <w:spacing w:line="360" w:lineRule="auto"/>
      <w:ind w:firstLine="200" w:firstLineChars="200"/>
      <w:jc w:val="left"/>
    </w:pPr>
    <w:rPr>
      <w:rFonts w:eastAsia="仿宋_GB2312"/>
      <w:kern w:val="0"/>
      <w:sz w:val="24"/>
    </w:rPr>
  </w:style>
  <w:style w:type="paragraph" w:customStyle="1" w:styleId="84">
    <w:name w:val="Char 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Char Char Char Char Char Char1 Char1"/>
    <w:basedOn w:val="1"/>
    <w:link w:val="86"/>
    <w:qFormat/>
    <w:uiPriority w:val="0"/>
    <w:pPr>
      <w:widowControl/>
      <w:spacing w:after="160" w:line="600" w:lineRule="exact"/>
      <w:ind w:firstLine="696"/>
    </w:pPr>
    <w:rPr>
      <w:rFonts w:ascii="Verdana" w:hAnsi="Verdana" w:eastAsia="仿宋_GB2312"/>
      <w:kern w:val="0"/>
      <w:sz w:val="32"/>
      <w:szCs w:val="32"/>
      <w:lang w:eastAsia="en-US"/>
    </w:rPr>
  </w:style>
  <w:style w:type="character" w:customStyle="1" w:styleId="86">
    <w:name w:val="Char Char Char Char Char Char1 Char Char"/>
    <w:link w:val="85"/>
    <w:qFormat/>
    <w:locked/>
    <w:uiPriority w:val="0"/>
    <w:rPr>
      <w:rFonts w:ascii="Verdana" w:hAnsi="Verdana" w:eastAsia="仿宋_GB2312"/>
      <w:sz w:val="32"/>
      <w:szCs w:val="32"/>
      <w:lang w:eastAsia="en-US"/>
    </w:rPr>
  </w:style>
  <w:style w:type="paragraph" w:customStyle="1" w:styleId="87">
    <w:name w:val="表头"/>
    <w:basedOn w:val="1"/>
    <w:qFormat/>
    <w:uiPriority w:val="0"/>
    <w:pPr>
      <w:spacing w:line="360" w:lineRule="auto"/>
      <w:jc w:val="center"/>
    </w:pPr>
    <w:rPr>
      <w:rFonts w:ascii="黑体" w:eastAsia="黑体"/>
      <w:kern w:val="0"/>
      <w:sz w:val="24"/>
      <w:szCs w:val="4"/>
    </w:rPr>
  </w:style>
  <w:style w:type="paragraph" w:customStyle="1" w:styleId="88">
    <w:name w:val="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89">
    <w:name w:val="style6"/>
    <w:basedOn w:val="45"/>
    <w:qFormat/>
    <w:uiPriority w:val="0"/>
  </w:style>
  <w:style w:type="paragraph" w:customStyle="1" w:styleId="90">
    <w:name w:val="p0"/>
    <w:basedOn w:val="1"/>
    <w:qFormat/>
    <w:uiPriority w:val="0"/>
    <w:pPr>
      <w:widowControl/>
      <w:jc w:val="left"/>
    </w:pPr>
    <w:rPr>
      <w:kern w:val="0"/>
      <w:szCs w:val="21"/>
    </w:rPr>
  </w:style>
  <w:style w:type="paragraph" w:customStyle="1" w:styleId="91">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92">
    <w:name w:val="List Paragraph"/>
    <w:basedOn w:val="1"/>
    <w:qFormat/>
    <w:uiPriority w:val="0"/>
    <w:pPr>
      <w:ind w:firstLine="420" w:firstLineChars="200"/>
    </w:pPr>
    <w:rPr>
      <w:rFonts w:ascii="Calibri" w:hAnsi="Calibri" w:eastAsia="仿宋_GB2312"/>
      <w:sz w:val="32"/>
      <w:szCs w:val="22"/>
    </w:rPr>
  </w:style>
  <w:style w:type="paragraph" w:customStyle="1" w:styleId="93">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94">
    <w:name w:val="文标题"/>
    <w:basedOn w:val="1"/>
    <w:qFormat/>
    <w:uiPriority w:val="0"/>
    <w:pPr>
      <w:jc w:val="center"/>
    </w:pPr>
    <w:rPr>
      <w:rFonts w:ascii="方正小标宋简体" w:eastAsia="方正小标宋简体" w:cs="宋体"/>
      <w:sz w:val="44"/>
      <w:szCs w:val="20"/>
    </w:rPr>
  </w:style>
  <w:style w:type="paragraph" w:customStyle="1" w:styleId="95">
    <w:name w:val="Char11"/>
    <w:basedOn w:val="1"/>
    <w:qFormat/>
    <w:uiPriority w:val="0"/>
    <w:pPr>
      <w:numPr>
        <w:ilvl w:val="0"/>
        <w:numId w:val="4"/>
      </w:numPr>
    </w:pPr>
    <w:rPr>
      <w:sz w:val="24"/>
    </w:rPr>
  </w:style>
  <w:style w:type="paragraph" w:customStyle="1" w:styleId="96">
    <w:name w:val="默认段落字体 Para Char"/>
    <w:basedOn w:val="1"/>
    <w:qFormat/>
    <w:uiPriority w:val="0"/>
    <w:pPr>
      <w:adjustRightInd w:val="0"/>
      <w:spacing w:line="312" w:lineRule="atLeast"/>
      <w:textAlignment w:val="baseline"/>
    </w:pPr>
    <w:rPr>
      <w:rFonts w:ascii="Tahoma" w:hAnsi="Tahoma"/>
      <w:kern w:val="0"/>
      <w:sz w:val="24"/>
      <w:szCs w:val="20"/>
    </w:rPr>
  </w:style>
  <w:style w:type="character" w:customStyle="1" w:styleId="97">
    <w:name w:val="hover37"/>
    <w:basedOn w:val="45"/>
    <w:qFormat/>
    <w:uiPriority w:val="0"/>
  </w:style>
  <w:style w:type="paragraph" w:customStyle="1" w:styleId="98">
    <w:name w:val="Char Char Char1 Char"/>
    <w:basedOn w:val="15"/>
    <w:qFormat/>
    <w:uiPriority w:val="0"/>
    <w:rPr>
      <w:rFonts w:ascii="Tahoma" w:hAnsi="Tahoma"/>
      <w:sz w:val="24"/>
    </w:rPr>
  </w:style>
  <w:style w:type="character" w:customStyle="1" w:styleId="99">
    <w:name w:val="尾注文本 Char"/>
    <w:basedOn w:val="45"/>
    <w:qFormat/>
    <w:locked/>
    <w:uiPriority w:val="0"/>
    <w:rPr>
      <w:rFonts w:ascii="宋体" w:hAnsi="宋体" w:eastAsia="宋体"/>
      <w:kern w:val="2"/>
      <w:sz w:val="21"/>
      <w:szCs w:val="24"/>
      <w:lang w:val="en-US" w:eastAsia="zh-CN" w:bidi="ar-SA"/>
    </w:rPr>
  </w:style>
  <w:style w:type="character" w:customStyle="1" w:styleId="100">
    <w:name w:val="普通文字 Char Char"/>
    <w:basedOn w:val="45"/>
    <w:qFormat/>
    <w:locked/>
    <w:uiPriority w:val="0"/>
    <w:rPr>
      <w:rFonts w:ascii="宋体" w:hAnsi="Courier New" w:eastAsia="楷体_GB2312"/>
      <w:kern w:val="2"/>
      <w:sz w:val="21"/>
      <w:szCs w:val="24"/>
      <w:lang w:val="en-US" w:eastAsia="zh-CN" w:bidi="ar-SA"/>
    </w:rPr>
  </w:style>
  <w:style w:type="paragraph" w:customStyle="1" w:styleId="10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2">
    <w:name w:val="公文标题"/>
    <w:basedOn w:val="5"/>
    <w:qFormat/>
    <w:uiPriority w:val="0"/>
    <w:pPr>
      <w:spacing w:line="240" w:lineRule="auto"/>
      <w:ind w:left="1469" w:right="1542"/>
      <w:jc w:val="center"/>
    </w:pPr>
    <w:rPr>
      <w:rFonts w:eastAsia="宋体"/>
      <w:bCs w:val="0"/>
      <w:sz w:val="44"/>
      <w:szCs w:val="24"/>
    </w:rPr>
  </w:style>
  <w:style w:type="paragraph" w:customStyle="1" w:styleId="103">
    <w:name w:val="发文落款"/>
    <w:basedOn w:val="101"/>
    <w:qFormat/>
    <w:uiPriority w:val="0"/>
    <w:pPr>
      <w:ind w:left="4094" w:right="607" w:firstLine="0"/>
      <w:jc w:val="center"/>
    </w:pPr>
  </w:style>
  <w:style w:type="paragraph" w:customStyle="1" w:styleId="104">
    <w:name w:val="cjk"/>
    <w:basedOn w:val="1"/>
    <w:qFormat/>
    <w:uiPriority w:val="0"/>
    <w:pPr>
      <w:widowControl/>
      <w:spacing w:before="284" w:after="100" w:afterAutospacing="1" w:line="360" w:lineRule="auto"/>
      <w:jc w:val="left"/>
    </w:pPr>
    <w:rPr>
      <w:rFonts w:ascii="宋体" w:hAnsi="宋体"/>
      <w:kern w:val="0"/>
      <w:sz w:val="22"/>
      <w:szCs w:val="22"/>
    </w:rPr>
  </w:style>
  <w:style w:type="character" w:customStyle="1" w:styleId="105">
    <w:name w:val="WW8Num1z0"/>
    <w:qFormat/>
    <w:uiPriority w:val="0"/>
    <w:rPr>
      <w:sz w:val="24"/>
    </w:rPr>
  </w:style>
  <w:style w:type="character" w:customStyle="1" w:styleId="106">
    <w:name w:val="WW8Num3z0"/>
    <w:qFormat/>
    <w:uiPriority w:val="0"/>
    <w:rPr>
      <w:sz w:val="24"/>
      <w:szCs w:val="24"/>
    </w:rPr>
  </w:style>
  <w:style w:type="character" w:customStyle="1" w:styleId="107">
    <w:name w:val="WW8Num4z0"/>
    <w:qFormat/>
    <w:uiPriority w:val="0"/>
    <w:rPr>
      <w:rFonts w:ascii="Courier New" w:hAnsi="Courier New"/>
      <w:sz w:val="22"/>
    </w:rPr>
  </w:style>
  <w:style w:type="character" w:customStyle="1" w:styleId="108">
    <w:name w:val="WW8Num8z0"/>
    <w:qFormat/>
    <w:uiPriority w:val="0"/>
    <w:rPr>
      <w:sz w:val="24"/>
    </w:rPr>
  </w:style>
  <w:style w:type="character" w:customStyle="1" w:styleId="109">
    <w:name w:val="WW8Num9z0"/>
    <w:qFormat/>
    <w:uiPriority w:val="0"/>
    <w:rPr>
      <w:rFonts w:ascii="Wingdings" w:hAnsi="Wingdings"/>
    </w:rPr>
  </w:style>
  <w:style w:type="character" w:customStyle="1" w:styleId="110">
    <w:name w:val="WW8Num15z1"/>
    <w:qFormat/>
    <w:uiPriority w:val="0"/>
    <w:rPr>
      <w:rFonts w:ascii="Times New Roman" w:hAnsi="Times New Roman" w:cs="Times New Roman"/>
      <w:color w:val="auto"/>
    </w:rPr>
  </w:style>
  <w:style w:type="character" w:customStyle="1" w:styleId="111">
    <w:name w:val="默认段落字体1"/>
    <w:qFormat/>
    <w:uiPriority w:val="0"/>
  </w:style>
  <w:style w:type="character" w:customStyle="1" w:styleId="112">
    <w:name w:val="Char Char7"/>
    <w:basedOn w:val="111"/>
    <w:qFormat/>
    <w:uiPriority w:val="0"/>
    <w:rPr>
      <w:b/>
      <w:sz w:val="28"/>
    </w:rPr>
  </w:style>
  <w:style w:type="character" w:customStyle="1" w:styleId="113">
    <w:name w:val="Char Char8"/>
    <w:basedOn w:val="111"/>
    <w:qFormat/>
    <w:uiPriority w:val="0"/>
    <w:rPr>
      <w:rFonts w:ascii="Arial" w:hAnsi="Arial" w:eastAsia="黑体"/>
      <w:b/>
      <w:sz w:val="28"/>
    </w:rPr>
  </w:style>
  <w:style w:type="character" w:customStyle="1" w:styleId="114">
    <w:name w:val="Char Char6"/>
    <w:basedOn w:val="111"/>
    <w:qFormat/>
    <w:uiPriority w:val="0"/>
    <w:rPr>
      <w:rFonts w:ascii="Arial" w:hAnsi="Arial" w:eastAsia="黑体"/>
      <w:b/>
      <w:sz w:val="24"/>
    </w:rPr>
  </w:style>
  <w:style w:type="paragraph" w:customStyle="1" w:styleId="115">
    <w:name w:val="标题1"/>
    <w:basedOn w:val="1"/>
    <w:next w:val="18"/>
    <w:qFormat/>
    <w:uiPriority w:val="0"/>
    <w:pPr>
      <w:keepNext/>
      <w:suppressAutoHyphens/>
      <w:spacing w:before="240" w:after="120"/>
    </w:pPr>
    <w:rPr>
      <w:rFonts w:ascii="DejaVu Sans" w:hAnsi="DejaVu Sans" w:eastAsia="DejaVu Sans" w:cs="DejaVu Sans"/>
      <w:kern w:val="1"/>
      <w:sz w:val="28"/>
      <w:szCs w:val="28"/>
      <w:lang w:eastAsia="ar-SA"/>
    </w:rPr>
  </w:style>
  <w:style w:type="paragraph" w:customStyle="1" w:styleId="116">
    <w:name w:val="标签"/>
    <w:basedOn w:val="1"/>
    <w:qFormat/>
    <w:uiPriority w:val="0"/>
    <w:pPr>
      <w:suppressLineNumbers/>
      <w:suppressAutoHyphens/>
      <w:spacing w:before="120" w:after="120"/>
    </w:pPr>
    <w:rPr>
      <w:i/>
      <w:iCs/>
      <w:kern w:val="1"/>
      <w:sz w:val="24"/>
      <w:lang w:eastAsia="ar-SA"/>
    </w:rPr>
  </w:style>
  <w:style w:type="paragraph" w:customStyle="1" w:styleId="117">
    <w:name w:val="目录"/>
    <w:basedOn w:val="1"/>
    <w:qFormat/>
    <w:uiPriority w:val="0"/>
    <w:pPr>
      <w:suppressLineNumbers/>
      <w:suppressAutoHyphens/>
    </w:pPr>
    <w:rPr>
      <w:kern w:val="1"/>
      <w:szCs w:val="20"/>
      <w:lang w:eastAsia="ar-SA"/>
    </w:rPr>
  </w:style>
  <w:style w:type="paragraph" w:customStyle="1" w:styleId="118">
    <w:name w:val="正文文本 21"/>
    <w:basedOn w:val="1"/>
    <w:qFormat/>
    <w:uiPriority w:val="0"/>
    <w:pPr>
      <w:suppressAutoHyphens/>
    </w:pPr>
    <w:rPr>
      <w:rFonts w:eastAsia="楷体_GB2312"/>
      <w:b/>
      <w:kern w:val="1"/>
      <w:szCs w:val="20"/>
      <w:lang w:eastAsia="ar-SA"/>
    </w:rPr>
  </w:style>
  <w:style w:type="paragraph" w:customStyle="1" w:styleId="119">
    <w:name w:val="普通(网站)1"/>
    <w:basedOn w:val="1"/>
    <w:qFormat/>
    <w:uiPriority w:val="0"/>
    <w:pPr>
      <w:widowControl/>
      <w:suppressAutoHyphens/>
      <w:spacing w:before="284" w:after="280" w:line="360" w:lineRule="auto"/>
      <w:jc w:val="left"/>
    </w:pPr>
    <w:rPr>
      <w:rFonts w:ascii="宋体" w:hAnsi="宋体"/>
      <w:kern w:val="1"/>
      <w:sz w:val="24"/>
      <w:szCs w:val="20"/>
      <w:lang w:eastAsia="ar-SA"/>
    </w:rPr>
  </w:style>
  <w:style w:type="paragraph" w:customStyle="1" w:styleId="120">
    <w:name w:val="正文文本缩进 21"/>
    <w:basedOn w:val="1"/>
    <w:qFormat/>
    <w:uiPriority w:val="0"/>
    <w:pPr>
      <w:suppressAutoHyphens/>
      <w:spacing w:after="120" w:line="480" w:lineRule="auto"/>
      <w:ind w:left="420"/>
    </w:pPr>
    <w:rPr>
      <w:kern w:val="1"/>
      <w:szCs w:val="20"/>
      <w:lang w:eastAsia="ar-SA"/>
    </w:rPr>
  </w:style>
  <w:style w:type="paragraph" w:customStyle="1" w:styleId="121">
    <w:name w:val="批注文字1"/>
    <w:basedOn w:val="1"/>
    <w:qFormat/>
    <w:uiPriority w:val="0"/>
    <w:pPr>
      <w:suppressAutoHyphens/>
      <w:jc w:val="left"/>
    </w:pPr>
    <w:rPr>
      <w:kern w:val="1"/>
      <w:szCs w:val="20"/>
      <w:lang w:eastAsia="ar-SA"/>
    </w:rPr>
  </w:style>
  <w:style w:type="paragraph" w:customStyle="1" w:styleId="122">
    <w:name w:val="xl26"/>
    <w:basedOn w:val="1"/>
    <w:qFormat/>
    <w:uiPriority w:val="0"/>
    <w:pPr>
      <w:widowControl/>
      <w:pBdr>
        <w:left w:val="single" w:color="000000" w:sz="4" w:space="0"/>
        <w:bottom w:val="single" w:color="000000" w:sz="4" w:space="0"/>
        <w:right w:val="single" w:color="000000" w:sz="4" w:space="0"/>
      </w:pBdr>
      <w:suppressAutoHyphens/>
      <w:spacing w:before="280" w:after="280"/>
      <w:jc w:val="center"/>
    </w:pPr>
    <w:rPr>
      <w:rFonts w:ascii="宋体" w:hAnsi="宋体"/>
      <w:kern w:val="1"/>
      <w:sz w:val="24"/>
      <w:szCs w:val="20"/>
      <w:lang w:eastAsia="ar-SA"/>
    </w:rPr>
  </w:style>
  <w:style w:type="paragraph" w:customStyle="1" w:styleId="123">
    <w:name w:val="列表项目符号1"/>
    <w:basedOn w:val="1"/>
    <w:qFormat/>
    <w:uiPriority w:val="0"/>
    <w:pPr>
      <w:tabs>
        <w:tab w:val="left" w:pos="360"/>
      </w:tabs>
      <w:suppressAutoHyphens/>
    </w:pPr>
    <w:rPr>
      <w:kern w:val="1"/>
      <w:szCs w:val="20"/>
      <w:lang w:eastAsia="ar-SA"/>
    </w:rPr>
  </w:style>
  <w:style w:type="paragraph" w:customStyle="1" w:styleId="124">
    <w:name w:val="列表项目符号 21"/>
    <w:basedOn w:val="123"/>
    <w:qFormat/>
    <w:uiPriority w:val="0"/>
    <w:pPr>
      <w:widowControl/>
      <w:spacing w:after="220" w:line="220" w:lineRule="atLeast"/>
      <w:ind w:left="360" w:right="720"/>
      <w:jc w:val="left"/>
    </w:pPr>
  </w:style>
  <w:style w:type="paragraph" w:customStyle="1" w:styleId="125">
    <w:name w:val="文档结构图1"/>
    <w:basedOn w:val="1"/>
    <w:qFormat/>
    <w:uiPriority w:val="0"/>
    <w:pPr>
      <w:shd w:val="clear" w:color="auto" w:fill="000080"/>
      <w:suppressAutoHyphens/>
    </w:pPr>
    <w:rPr>
      <w:kern w:val="1"/>
      <w:szCs w:val="20"/>
      <w:lang w:eastAsia="ar-SA"/>
    </w:rPr>
  </w:style>
  <w:style w:type="paragraph" w:customStyle="1" w:styleId="126">
    <w:name w:val="正文文本缩进 31"/>
    <w:basedOn w:val="1"/>
    <w:qFormat/>
    <w:uiPriority w:val="0"/>
    <w:pPr>
      <w:suppressAutoHyphens/>
      <w:spacing w:after="120"/>
      <w:ind w:left="420"/>
    </w:pPr>
    <w:rPr>
      <w:kern w:val="1"/>
      <w:sz w:val="16"/>
      <w:szCs w:val="20"/>
      <w:lang w:eastAsia="ar-SA"/>
    </w:rPr>
  </w:style>
  <w:style w:type="paragraph" w:customStyle="1" w:styleId="127">
    <w:name w:val="纯文本1"/>
    <w:basedOn w:val="1"/>
    <w:qFormat/>
    <w:uiPriority w:val="0"/>
    <w:pPr>
      <w:suppressAutoHyphens/>
    </w:pPr>
    <w:rPr>
      <w:rFonts w:ascii="宋体" w:hAnsi="宋体"/>
      <w:kern w:val="1"/>
      <w:szCs w:val="20"/>
      <w:lang w:eastAsia="ar-SA"/>
    </w:rPr>
  </w:style>
  <w:style w:type="paragraph" w:customStyle="1" w:styleId="128">
    <w:name w:val="日期1"/>
    <w:basedOn w:val="1"/>
    <w:next w:val="1"/>
    <w:qFormat/>
    <w:uiPriority w:val="0"/>
    <w:pPr>
      <w:suppressAutoHyphens/>
      <w:ind w:left="100"/>
    </w:pPr>
    <w:rPr>
      <w:kern w:val="1"/>
      <w:szCs w:val="20"/>
      <w:lang w:eastAsia="ar-SA"/>
    </w:rPr>
  </w:style>
  <w:style w:type="paragraph" w:customStyle="1" w:styleId="129">
    <w:name w:val="内容目录 10"/>
    <w:basedOn w:val="117"/>
    <w:qFormat/>
    <w:uiPriority w:val="0"/>
    <w:pPr>
      <w:tabs>
        <w:tab w:val="right" w:leader="dot" w:pos="9637"/>
      </w:tabs>
      <w:ind w:left="2547"/>
    </w:pPr>
  </w:style>
  <w:style w:type="paragraph" w:customStyle="1" w:styleId="130">
    <w:name w:val="表格内容"/>
    <w:basedOn w:val="1"/>
    <w:qFormat/>
    <w:uiPriority w:val="0"/>
    <w:pPr>
      <w:suppressLineNumbers/>
      <w:suppressAutoHyphens/>
    </w:pPr>
    <w:rPr>
      <w:kern w:val="1"/>
      <w:szCs w:val="20"/>
      <w:lang w:eastAsia="ar-SA"/>
    </w:rPr>
  </w:style>
  <w:style w:type="paragraph" w:customStyle="1" w:styleId="131">
    <w:name w:val="表格标题"/>
    <w:basedOn w:val="130"/>
    <w:qFormat/>
    <w:uiPriority w:val="0"/>
    <w:pPr>
      <w:jc w:val="center"/>
    </w:pPr>
    <w:rPr>
      <w:b/>
      <w:bCs/>
    </w:rPr>
  </w:style>
  <w:style w:type="character" w:customStyle="1" w:styleId="132">
    <w:name w:val="textcontents1"/>
    <w:basedOn w:val="45"/>
    <w:qFormat/>
    <w:uiPriority w:val="0"/>
    <w:rPr>
      <w:rFonts w:eastAsia="宋体"/>
      <w:color w:val="000000"/>
      <w:kern w:val="2"/>
      <w:sz w:val="22"/>
      <w:szCs w:val="22"/>
      <w:lang w:val="en-US" w:eastAsia="zh-CN" w:bidi="ar-SA"/>
    </w:rPr>
  </w:style>
  <w:style w:type="paragraph" w:customStyle="1" w:styleId="133">
    <w:name w:val="Char1"/>
    <w:basedOn w:val="1"/>
    <w:qFormat/>
    <w:uiPriority w:val="0"/>
    <w:pPr>
      <w:ind w:left="567" w:hanging="279"/>
    </w:pPr>
    <w:rPr>
      <w:sz w:val="24"/>
    </w:rPr>
  </w:style>
  <w:style w:type="paragraph" w:customStyle="1" w:styleId="134">
    <w:name w:val="Char12"/>
    <w:basedOn w:val="1"/>
    <w:qFormat/>
    <w:uiPriority w:val="0"/>
    <w:pPr>
      <w:ind w:left="567" w:hanging="279"/>
    </w:pPr>
    <w:rPr>
      <w:sz w:val="24"/>
    </w:rPr>
  </w:style>
  <w:style w:type="character" w:customStyle="1" w:styleId="135">
    <w:name w:val="标题 1 Char Char"/>
    <w:basedOn w:val="136"/>
    <w:qFormat/>
    <w:uiPriority w:val="0"/>
    <w:rPr>
      <w:rFonts w:ascii="仿宋_GB2312" w:hAnsi="宋体" w:eastAsia="仿宋_GB2312" w:cs="宋体"/>
      <w:bCs/>
      <w:kern w:val="2"/>
      <w:sz w:val="30"/>
      <w:szCs w:val="30"/>
      <w:lang w:val="en-US" w:eastAsia="zh-CN" w:bidi="ar-SA"/>
    </w:rPr>
  </w:style>
  <w:style w:type="character" w:customStyle="1" w:styleId="136">
    <w:name w:val="标题 Char Char"/>
    <w:basedOn w:val="45"/>
    <w:qFormat/>
    <w:uiPriority w:val="0"/>
    <w:rPr>
      <w:rFonts w:ascii="Arial" w:hAnsi="Arial" w:eastAsia="楷体_GB2312"/>
      <w:b/>
      <w:kern w:val="2"/>
      <w:sz w:val="44"/>
      <w:szCs w:val="24"/>
      <w:lang w:val="en-US" w:eastAsia="zh-CN" w:bidi="ar-SA"/>
    </w:rPr>
  </w:style>
  <w:style w:type="character" w:customStyle="1" w:styleId="137">
    <w:name w:val="标题 2 Char Char"/>
    <w:qFormat/>
    <w:uiPriority w:val="0"/>
    <w:rPr>
      <w:rFonts w:ascii="黑体" w:hAnsi="黑体" w:eastAsia="黑体"/>
      <w:sz w:val="24"/>
    </w:rPr>
  </w:style>
  <w:style w:type="character" w:customStyle="1" w:styleId="138">
    <w:name w:val="尾注文本 Char Char"/>
    <w:basedOn w:val="45"/>
    <w:qFormat/>
    <w:uiPriority w:val="0"/>
    <w:rPr>
      <w:rFonts w:ascii="宋体" w:hAnsi="宋体" w:eastAsia="宋体"/>
      <w:kern w:val="2"/>
      <w:sz w:val="21"/>
      <w:szCs w:val="24"/>
      <w:lang w:val="en-US" w:eastAsia="zh-CN" w:bidi="ar-SA"/>
    </w:rPr>
  </w:style>
  <w:style w:type="character" w:customStyle="1" w:styleId="139">
    <w:name w:val="Char Char Char1"/>
    <w:basedOn w:val="111"/>
    <w:qFormat/>
    <w:uiPriority w:val="0"/>
    <w:rPr>
      <w:rFonts w:eastAsia="楷体_GB2312"/>
      <w:b/>
      <w:kern w:val="1"/>
      <w:sz w:val="21"/>
    </w:rPr>
  </w:style>
  <w:style w:type="paragraph" w:customStyle="1" w:styleId="140">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141">
    <w:name w:val="公文抬头"/>
    <w:basedOn w:val="7"/>
    <w:qFormat/>
    <w:uiPriority w:val="0"/>
    <w:pPr>
      <w:ind w:firstLine="0" w:firstLineChars="0"/>
    </w:pPr>
    <w:rPr>
      <w:rFonts w:ascii="仿宋_GB2312"/>
      <w:sz w:val="30"/>
      <w:szCs w:val="24"/>
    </w:rPr>
  </w:style>
  <w:style w:type="paragraph" w:customStyle="1" w:styleId="142">
    <w:name w:val="目录文字"/>
    <w:basedOn w:val="1"/>
    <w:qFormat/>
    <w:uiPriority w:val="0"/>
    <w:pPr>
      <w:widowControl/>
      <w:spacing w:line="480" w:lineRule="auto"/>
      <w:jc w:val="left"/>
    </w:pPr>
    <w:rPr>
      <w:rFonts w:ascii="宋体" w:hAnsi="宋体"/>
      <w:kern w:val="0"/>
      <w:sz w:val="24"/>
      <w:szCs w:val="20"/>
    </w:rPr>
  </w:style>
  <w:style w:type="paragraph" w:customStyle="1" w:styleId="143">
    <w:name w:val="方框图"/>
    <w:basedOn w:val="1"/>
    <w:qFormat/>
    <w:uiPriority w:val="0"/>
    <w:pPr>
      <w:jc w:val="center"/>
    </w:pPr>
    <w:rPr>
      <w:bCs/>
    </w:rPr>
  </w:style>
  <w:style w:type="paragraph" w:customStyle="1" w:styleId="144">
    <w:name w:val="Char Char Char Char Char Char Char Char Char Char Char Char Char"/>
    <w:basedOn w:val="15"/>
    <w:qFormat/>
    <w:uiPriority w:val="0"/>
    <w:rPr>
      <w:rFonts w:ascii="Tahoma" w:hAnsi="Tahoma"/>
      <w:sz w:val="24"/>
    </w:rPr>
  </w:style>
  <w:style w:type="paragraph" w:customStyle="1" w:styleId="145">
    <w:name w:val="Char Char1 Char Char Char Char Char Char Char"/>
    <w:basedOn w:val="15"/>
    <w:qFormat/>
    <w:uiPriority w:val="0"/>
    <w:rPr>
      <w:rFonts w:ascii="Tahoma" w:hAnsi="Tahoma"/>
      <w:sz w:val="24"/>
    </w:rPr>
  </w:style>
  <w:style w:type="paragraph" w:customStyle="1" w:styleId="146">
    <w:name w:val="BodyText"/>
    <w:basedOn w:val="1"/>
    <w:qFormat/>
    <w:uiPriority w:val="0"/>
    <w:pPr>
      <w:spacing w:after="120"/>
    </w:pPr>
    <w:rPr>
      <w:sz w:val="20"/>
      <w:szCs w:val="20"/>
    </w:rPr>
  </w:style>
  <w:style w:type="paragraph" w:customStyle="1" w:styleId="147">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48">
    <w:name w:val="WPSOffice手动目录 1"/>
    <w:qFormat/>
    <w:uiPriority w:val="0"/>
    <w:rPr>
      <w:rFonts w:ascii="Times New Roman" w:hAnsi="Times New Roman" w:eastAsia="宋体" w:cs="Times New Roman"/>
      <w:lang w:val="en-US" w:eastAsia="zh-CN" w:bidi="ar-SA"/>
    </w:rPr>
  </w:style>
  <w:style w:type="paragraph" w:customStyle="1" w:styleId="1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0">
    <w:name w:val="_Style 3"/>
    <w:next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Table Paragraph"/>
    <w:basedOn w:val="1"/>
    <w:qFormat/>
    <w:uiPriority w:val="1"/>
    <w:pPr>
      <w:jc w:val="left"/>
    </w:pPr>
    <w:rPr>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114</Pages>
  <Words>40299</Words>
  <Characters>43288</Characters>
  <Lines>700</Lines>
  <Paragraphs>197</Paragraphs>
  <TotalTime>18</TotalTime>
  <ScaleCrop>false</ScaleCrop>
  <LinksUpToDate>false</LinksUpToDate>
  <CharactersWithSpaces>44569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2025-01-14T12:51:00Z</dcterms:created>
  <dc:creator>LSK</dc:creator>
  <dc:description>Shankar's Birthday falls on 25th July.  Don't Forget to wish him</dc:description>
  <cp:keywords>Birthday</cp:keywords>
  <cp:lastModifiedBy>吴彩珊</cp:lastModifiedBy>
  <cp:lastPrinted>2017-11-24T03:18:00Z</cp:lastPrinted>
  <dcterms:modified xsi:type="dcterms:W3CDTF">2025-11-21T03:41:05Z</dcterms:modified>
  <dc:subject>Birthday</dc:subject>
  <dc:title>Are You suprised ?</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3E67490B674A4F068235C3692EED9ADE_13</vt:lpwstr>
  </property>
  <property fmtid="{D5CDD505-2E9C-101B-9397-08002B2CF9AE}" pid="4" name="KSOTemplateDocerSaveRecord">
    <vt:lpwstr>eyJoZGlkIjoiMzgyN2UyMDMyMWVhY2UzZmY4NGVhMzNmM2ZlMTE2ODYiLCJ1c2VySWQiOiI1NzU5NTA0OTkifQ==</vt:lpwstr>
  </property>
</Properties>
</file>