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CDEFB">
      <w:pPr>
        <w:tabs>
          <w:tab w:val="left" w:pos="8600"/>
        </w:tabs>
        <w:autoSpaceDE w:val="0"/>
        <w:autoSpaceDN w:val="0"/>
        <w:adjustRightInd w:val="0"/>
        <w:spacing w:line="372" w:lineRule="exact"/>
        <w:ind w:left="105" w:leftChars="50" w:firstLine="150" w:firstLineChars="50"/>
        <w:jc w:val="left"/>
        <w:rPr>
          <w:rFonts w:ascii="宋体" w:hAnsi="宋体" w:eastAsia="宋体" w:cs="宋体"/>
          <w:color w:val="auto"/>
          <w:kern w:val="0"/>
          <w:position w:val="-3"/>
          <w:sz w:val="30"/>
          <w:szCs w:val="30"/>
          <w:highlight w:val="none"/>
        </w:rPr>
      </w:pPr>
    </w:p>
    <w:p w14:paraId="39C6D91D">
      <w:pPr>
        <w:autoSpaceDE w:val="0"/>
        <w:autoSpaceDN w:val="0"/>
        <w:adjustRightInd w:val="0"/>
        <w:spacing w:before="13" w:line="260" w:lineRule="exact"/>
        <w:jc w:val="left"/>
        <w:rPr>
          <w:rFonts w:ascii="宋体" w:hAnsi="宋体" w:eastAsia="宋体" w:cs="宋体"/>
          <w:color w:val="auto"/>
          <w:kern w:val="0"/>
          <w:sz w:val="28"/>
          <w:szCs w:val="28"/>
          <w:highlight w:val="none"/>
        </w:rPr>
      </w:pPr>
    </w:p>
    <w:p w14:paraId="4191979E">
      <w:pPr>
        <w:autoSpaceDE w:val="0"/>
        <w:autoSpaceDN w:val="0"/>
        <w:adjustRightInd w:val="0"/>
        <w:spacing w:line="360" w:lineRule="auto"/>
        <w:ind w:right="-85"/>
        <w:jc w:val="center"/>
        <w:rPr>
          <w:rFonts w:ascii="宋体" w:hAnsi="宋体" w:eastAsia="宋体" w:cs="宋体"/>
          <w:color w:val="auto"/>
          <w:kern w:val="0"/>
          <w:position w:val="-5"/>
          <w:sz w:val="48"/>
          <w:szCs w:val="48"/>
          <w:highlight w:val="none"/>
        </w:rPr>
      </w:pPr>
      <w:r>
        <w:rPr>
          <w:rFonts w:hint="eastAsia" w:ascii="宋体" w:hAnsi="宋体" w:eastAsia="宋体" w:cs="宋体"/>
          <w:b/>
          <w:bCs w:val="0"/>
          <w:color w:val="auto"/>
          <w:spacing w:val="0"/>
          <w:sz w:val="44"/>
          <w:szCs w:val="44"/>
          <w:highlight w:val="none"/>
          <w:lang w:eastAsia="zh-CN"/>
        </w:rPr>
        <w:t>番禺区傍江东村村镇工业集聚区更新改造试点项目（首开区）</w:t>
      </w:r>
      <w:r>
        <w:rPr>
          <w:rFonts w:hint="eastAsia" w:ascii="宋体" w:hAnsi="宋体" w:eastAsia="宋体" w:cs="宋体"/>
          <w:b/>
          <w:color w:val="auto"/>
          <w:sz w:val="44"/>
          <w:szCs w:val="44"/>
          <w:highlight w:val="none"/>
        </w:rPr>
        <w:t>勘察设计施工总承包及运营（EPCO）</w:t>
      </w:r>
      <w:r>
        <w:rPr>
          <w:rFonts w:hint="eastAsia" w:ascii="宋体" w:hAnsi="宋体" w:eastAsia="宋体" w:cs="宋体"/>
          <w:b/>
          <w:bCs/>
          <w:color w:val="auto"/>
          <w:sz w:val="48"/>
          <w:szCs w:val="48"/>
          <w:highlight w:val="none"/>
        </w:rPr>
        <w:t>合同</w:t>
      </w:r>
    </w:p>
    <w:p w14:paraId="2AB63A20">
      <w:pPr>
        <w:autoSpaceDE w:val="0"/>
        <w:autoSpaceDN w:val="0"/>
        <w:adjustRightInd w:val="0"/>
        <w:spacing w:before="4" w:line="130" w:lineRule="exact"/>
        <w:jc w:val="left"/>
        <w:rPr>
          <w:rFonts w:ascii="宋体" w:hAnsi="宋体" w:eastAsia="宋体" w:cs="宋体"/>
          <w:color w:val="auto"/>
          <w:kern w:val="0"/>
          <w:sz w:val="28"/>
          <w:szCs w:val="28"/>
          <w:highlight w:val="none"/>
        </w:rPr>
      </w:pPr>
    </w:p>
    <w:p w14:paraId="78F81F22">
      <w:pPr>
        <w:autoSpaceDE w:val="0"/>
        <w:autoSpaceDN w:val="0"/>
        <w:adjustRightInd w:val="0"/>
        <w:spacing w:line="200" w:lineRule="exact"/>
        <w:jc w:val="left"/>
        <w:rPr>
          <w:rFonts w:ascii="宋体" w:hAnsi="宋体" w:eastAsia="宋体" w:cs="宋体"/>
          <w:color w:val="auto"/>
          <w:kern w:val="0"/>
          <w:sz w:val="28"/>
          <w:szCs w:val="28"/>
          <w:highlight w:val="none"/>
        </w:rPr>
      </w:pPr>
    </w:p>
    <w:p w14:paraId="7FA04BC6">
      <w:pPr>
        <w:autoSpaceDE w:val="0"/>
        <w:autoSpaceDN w:val="0"/>
        <w:adjustRightInd w:val="0"/>
        <w:spacing w:line="200" w:lineRule="exact"/>
        <w:jc w:val="left"/>
        <w:rPr>
          <w:rFonts w:ascii="宋体" w:hAnsi="宋体" w:eastAsia="宋体" w:cs="宋体"/>
          <w:color w:val="auto"/>
          <w:kern w:val="0"/>
          <w:sz w:val="28"/>
          <w:szCs w:val="28"/>
          <w:highlight w:val="none"/>
        </w:rPr>
      </w:pPr>
    </w:p>
    <w:p w14:paraId="009B2F78">
      <w:pPr>
        <w:autoSpaceDE w:val="0"/>
        <w:autoSpaceDN w:val="0"/>
        <w:adjustRightInd w:val="0"/>
        <w:spacing w:line="200" w:lineRule="exact"/>
        <w:jc w:val="left"/>
        <w:rPr>
          <w:rFonts w:ascii="宋体" w:hAnsi="宋体" w:eastAsia="宋体" w:cs="宋体"/>
          <w:color w:val="auto"/>
          <w:kern w:val="0"/>
          <w:sz w:val="28"/>
          <w:szCs w:val="28"/>
          <w:highlight w:val="none"/>
        </w:rPr>
      </w:pPr>
    </w:p>
    <w:p w14:paraId="778BCC3E">
      <w:pPr>
        <w:autoSpaceDE w:val="0"/>
        <w:autoSpaceDN w:val="0"/>
        <w:adjustRightInd w:val="0"/>
        <w:spacing w:line="200" w:lineRule="exact"/>
        <w:jc w:val="left"/>
        <w:rPr>
          <w:rFonts w:ascii="宋体" w:hAnsi="宋体" w:eastAsia="宋体" w:cs="宋体"/>
          <w:color w:val="auto"/>
          <w:kern w:val="0"/>
          <w:sz w:val="28"/>
          <w:szCs w:val="28"/>
          <w:highlight w:val="none"/>
        </w:rPr>
      </w:pPr>
    </w:p>
    <w:p w14:paraId="249BCA81">
      <w:pPr>
        <w:autoSpaceDE w:val="0"/>
        <w:autoSpaceDN w:val="0"/>
        <w:adjustRightInd w:val="0"/>
        <w:spacing w:line="200" w:lineRule="exact"/>
        <w:jc w:val="left"/>
        <w:rPr>
          <w:rFonts w:ascii="宋体" w:hAnsi="宋体" w:eastAsia="宋体" w:cs="宋体"/>
          <w:color w:val="auto"/>
          <w:kern w:val="0"/>
          <w:sz w:val="28"/>
          <w:szCs w:val="28"/>
          <w:highlight w:val="none"/>
        </w:rPr>
      </w:pPr>
    </w:p>
    <w:p w14:paraId="6568EB1F">
      <w:pPr>
        <w:autoSpaceDE w:val="0"/>
        <w:autoSpaceDN w:val="0"/>
        <w:adjustRightInd w:val="0"/>
        <w:spacing w:line="200" w:lineRule="exact"/>
        <w:jc w:val="left"/>
        <w:rPr>
          <w:rFonts w:ascii="宋体" w:hAnsi="宋体" w:eastAsia="宋体" w:cs="宋体"/>
          <w:color w:val="auto"/>
          <w:kern w:val="0"/>
          <w:sz w:val="28"/>
          <w:szCs w:val="28"/>
          <w:highlight w:val="none"/>
        </w:rPr>
      </w:pPr>
    </w:p>
    <w:p w14:paraId="10A68514">
      <w:pPr>
        <w:autoSpaceDE w:val="0"/>
        <w:autoSpaceDN w:val="0"/>
        <w:adjustRightInd w:val="0"/>
        <w:spacing w:line="200" w:lineRule="exact"/>
        <w:jc w:val="left"/>
        <w:rPr>
          <w:rFonts w:ascii="宋体" w:hAnsi="宋体" w:eastAsia="宋体" w:cs="宋体"/>
          <w:color w:val="auto"/>
          <w:kern w:val="0"/>
          <w:sz w:val="28"/>
          <w:szCs w:val="28"/>
          <w:highlight w:val="none"/>
        </w:rPr>
      </w:pPr>
    </w:p>
    <w:p w14:paraId="74B09602">
      <w:pPr>
        <w:pStyle w:val="122"/>
        <w:tabs>
          <w:tab w:val="left" w:pos="2940"/>
        </w:tabs>
        <w:ind w:left="2937" w:leftChars="600" w:hanging="1677" w:hangingChars="599"/>
        <w:rPr>
          <w:rFonts w:eastAsia="宋体"/>
          <w:bCs/>
          <w:color w:val="auto"/>
          <w:sz w:val="28"/>
          <w:szCs w:val="28"/>
          <w:highlight w:val="none"/>
          <w:u w:val="single"/>
        </w:rPr>
      </w:pPr>
      <w:r>
        <w:rPr>
          <w:rFonts w:hint="eastAsia" w:eastAsia="宋体"/>
          <w:bCs/>
          <w:color w:val="auto"/>
          <w:sz w:val="28"/>
          <w:szCs w:val="28"/>
          <w:highlight w:val="none"/>
        </w:rPr>
        <w:t>项目名称：</w:t>
      </w:r>
      <w:r>
        <w:rPr>
          <w:rFonts w:hint="eastAsia" w:eastAsia="宋体"/>
          <w:bCs/>
          <w:color w:val="auto"/>
          <w:sz w:val="28"/>
          <w:szCs w:val="28"/>
          <w:highlight w:val="none"/>
          <w:u w:val="single"/>
        </w:rPr>
        <w:t xml:space="preserve"> </w:t>
      </w:r>
      <w:r>
        <w:rPr>
          <w:rFonts w:hint="eastAsia" w:eastAsia="宋体"/>
          <w:bCs/>
          <w:color w:val="auto"/>
          <w:sz w:val="28"/>
          <w:szCs w:val="28"/>
          <w:highlight w:val="none"/>
          <w:u w:val="single"/>
          <w:lang w:eastAsia="zh-CN"/>
        </w:rPr>
        <w:t>番禺区傍江东村村镇工业集聚区更新改造试点项目（首开区）勘察设计施工总承包及运营（EPCO）</w:t>
      </w:r>
    </w:p>
    <w:p w14:paraId="4873897C">
      <w:pPr>
        <w:pStyle w:val="122"/>
        <w:spacing w:before="312"/>
        <w:ind w:firstLine="1260" w:firstLineChars="450"/>
        <w:jc w:val="left"/>
        <w:rPr>
          <w:rFonts w:eastAsia="宋体"/>
          <w:bCs/>
          <w:color w:val="auto"/>
          <w:sz w:val="28"/>
          <w:szCs w:val="28"/>
          <w:highlight w:val="none"/>
          <w:u w:val="single"/>
        </w:rPr>
      </w:pPr>
      <w:r>
        <w:rPr>
          <w:rFonts w:hint="eastAsia" w:eastAsia="宋体"/>
          <w:bCs/>
          <w:color w:val="auto"/>
          <w:sz w:val="28"/>
          <w:szCs w:val="28"/>
          <w:highlight w:val="none"/>
        </w:rPr>
        <w:t>项目地点：</w:t>
      </w:r>
      <w:r>
        <w:rPr>
          <w:rFonts w:hint="eastAsia" w:eastAsia="宋体"/>
          <w:bCs/>
          <w:color w:val="auto"/>
          <w:sz w:val="28"/>
          <w:szCs w:val="28"/>
          <w:highlight w:val="none"/>
          <w:u w:val="single"/>
        </w:rPr>
        <w:t xml:space="preserve"> 广州市番禺区大龙街道</w:t>
      </w:r>
      <w:r>
        <w:rPr>
          <w:rFonts w:hint="eastAsia" w:eastAsia="宋体"/>
          <w:bCs/>
          <w:color w:val="auto"/>
          <w:sz w:val="28"/>
          <w:szCs w:val="28"/>
          <w:highlight w:val="none"/>
          <w:u w:val="single"/>
          <w:lang w:eastAsia="zh-CN"/>
        </w:rPr>
        <w:t>傍江东村</w:t>
      </w:r>
      <w:r>
        <w:rPr>
          <w:rFonts w:hint="eastAsia" w:eastAsia="宋体"/>
          <w:bCs/>
          <w:color w:val="auto"/>
          <w:sz w:val="28"/>
          <w:szCs w:val="28"/>
          <w:highlight w:val="none"/>
          <w:u w:val="single"/>
        </w:rPr>
        <w:t xml:space="preserve">   　　　　 </w:t>
      </w:r>
      <w:bookmarkStart w:id="377" w:name="_GoBack"/>
      <w:bookmarkEnd w:id="377"/>
      <w:r>
        <w:rPr>
          <w:rFonts w:hint="eastAsia" w:eastAsia="宋体"/>
          <w:bCs/>
          <w:color w:val="auto"/>
          <w:sz w:val="28"/>
          <w:szCs w:val="28"/>
          <w:highlight w:val="none"/>
          <w:u w:val="single"/>
        </w:rPr>
        <w:t xml:space="preserve"> </w:t>
      </w:r>
      <w:r>
        <w:rPr>
          <w:rFonts w:hint="eastAsia" w:eastAsia="宋体"/>
          <w:bCs/>
          <w:color w:val="auto"/>
          <w:sz w:val="28"/>
          <w:szCs w:val="28"/>
          <w:highlight w:val="none"/>
          <w:u w:val="single"/>
          <w:lang w:val="en-US" w:eastAsia="zh-CN"/>
        </w:rPr>
        <w:t xml:space="preserve">   </w:t>
      </w:r>
      <w:r>
        <w:rPr>
          <w:rFonts w:hint="eastAsia" w:eastAsia="宋体"/>
          <w:bCs/>
          <w:color w:val="auto"/>
          <w:sz w:val="28"/>
          <w:szCs w:val="28"/>
          <w:highlight w:val="none"/>
          <w:u w:val="single"/>
        </w:rPr>
        <w:t xml:space="preserve">        </w:t>
      </w:r>
    </w:p>
    <w:p w14:paraId="6A5B2A66">
      <w:pPr>
        <w:pStyle w:val="122"/>
        <w:spacing w:before="312"/>
        <w:ind w:firstLine="1260" w:firstLineChars="450"/>
        <w:jc w:val="left"/>
        <w:rPr>
          <w:rFonts w:eastAsia="宋体"/>
          <w:bCs/>
          <w:color w:val="auto"/>
          <w:sz w:val="28"/>
          <w:szCs w:val="28"/>
          <w:highlight w:val="none"/>
        </w:rPr>
      </w:pPr>
    </w:p>
    <w:p w14:paraId="512477E2">
      <w:pPr>
        <w:pStyle w:val="122"/>
        <w:spacing w:before="312"/>
        <w:ind w:firstLine="1260" w:firstLineChars="450"/>
        <w:jc w:val="left"/>
        <w:rPr>
          <w:rFonts w:eastAsia="宋体"/>
          <w:color w:val="auto"/>
          <w:sz w:val="28"/>
          <w:szCs w:val="28"/>
          <w:highlight w:val="none"/>
        </w:rPr>
      </w:pPr>
      <w:r>
        <w:rPr>
          <w:rFonts w:hint="eastAsia" w:eastAsia="宋体"/>
          <w:bCs/>
          <w:color w:val="auto"/>
          <w:sz w:val="28"/>
          <w:szCs w:val="28"/>
          <w:highlight w:val="none"/>
        </w:rPr>
        <w:t>甲方（建设管理单位）</w:t>
      </w:r>
      <w:r>
        <w:rPr>
          <w:rFonts w:hint="eastAsia" w:eastAsia="宋体"/>
          <w:color w:val="auto"/>
          <w:sz w:val="28"/>
          <w:szCs w:val="28"/>
          <w:highlight w:val="none"/>
        </w:rPr>
        <w:t>：</w:t>
      </w:r>
      <w:r>
        <w:rPr>
          <w:rFonts w:hint="eastAsia" w:eastAsia="宋体"/>
          <w:color w:val="auto"/>
          <w:sz w:val="28"/>
          <w:szCs w:val="28"/>
          <w:highlight w:val="none"/>
          <w:u w:val="single"/>
        </w:rPr>
        <w:t xml:space="preserve"> 广州市番禺区大龙街</w:t>
      </w:r>
      <w:r>
        <w:rPr>
          <w:rFonts w:hint="eastAsia" w:eastAsia="宋体"/>
          <w:color w:val="auto"/>
          <w:sz w:val="28"/>
          <w:szCs w:val="28"/>
          <w:highlight w:val="none"/>
          <w:u w:val="single"/>
          <w:lang w:eastAsia="zh-CN"/>
        </w:rPr>
        <w:t>傍江东村</w:t>
      </w:r>
      <w:r>
        <w:rPr>
          <w:rFonts w:hint="eastAsia" w:eastAsia="宋体"/>
          <w:color w:val="auto"/>
          <w:sz w:val="28"/>
          <w:szCs w:val="28"/>
          <w:highlight w:val="none"/>
          <w:u w:val="single"/>
        </w:rPr>
        <w:t>股份合作经济社</w:t>
      </w:r>
    </w:p>
    <w:p w14:paraId="31047755">
      <w:pPr>
        <w:pStyle w:val="122"/>
        <w:spacing w:before="240" w:beforeLines="100" w:line="360" w:lineRule="auto"/>
        <w:ind w:firstLine="1260" w:firstLineChars="450"/>
        <w:jc w:val="left"/>
        <w:rPr>
          <w:rFonts w:eastAsia="宋体"/>
          <w:color w:val="auto"/>
          <w:sz w:val="28"/>
          <w:szCs w:val="28"/>
          <w:highlight w:val="none"/>
          <w:u w:val="single"/>
        </w:rPr>
      </w:pPr>
      <w:r>
        <w:rPr>
          <w:rFonts w:hint="eastAsia" w:eastAsia="宋体"/>
          <w:bCs/>
          <w:color w:val="auto"/>
          <w:sz w:val="28"/>
          <w:szCs w:val="28"/>
          <w:highlight w:val="none"/>
        </w:rPr>
        <w:t>甲方合同编号</w:t>
      </w:r>
      <w:r>
        <w:rPr>
          <w:rFonts w:hint="eastAsia" w:eastAsia="宋体"/>
          <w:color w:val="auto"/>
          <w:sz w:val="28"/>
          <w:szCs w:val="28"/>
          <w:highlight w:val="none"/>
        </w:rPr>
        <w:t>：</w:t>
      </w:r>
      <w:r>
        <w:rPr>
          <w:rFonts w:hint="eastAsia" w:eastAsia="宋体"/>
          <w:color w:val="auto"/>
          <w:sz w:val="28"/>
          <w:szCs w:val="28"/>
          <w:highlight w:val="none"/>
          <w:u w:val="single"/>
        </w:rPr>
        <w:t xml:space="preserve">                                                 </w:t>
      </w:r>
    </w:p>
    <w:p w14:paraId="030DAC03">
      <w:pPr>
        <w:pStyle w:val="122"/>
        <w:spacing w:before="312"/>
        <w:ind w:firstLine="1260" w:firstLineChars="450"/>
        <w:jc w:val="left"/>
        <w:rPr>
          <w:rFonts w:hint="eastAsia" w:eastAsia="宋体"/>
          <w:bCs/>
          <w:color w:val="auto"/>
          <w:sz w:val="28"/>
          <w:szCs w:val="28"/>
          <w:highlight w:val="none"/>
        </w:rPr>
      </w:pPr>
    </w:p>
    <w:p w14:paraId="23B36B6C">
      <w:pPr>
        <w:pStyle w:val="122"/>
        <w:spacing w:before="312"/>
        <w:ind w:firstLine="1260" w:firstLineChars="450"/>
        <w:jc w:val="left"/>
        <w:rPr>
          <w:rFonts w:eastAsia="宋体"/>
          <w:bCs/>
          <w:color w:val="auto"/>
          <w:sz w:val="28"/>
          <w:szCs w:val="28"/>
          <w:highlight w:val="none"/>
        </w:rPr>
      </w:pPr>
      <w:r>
        <w:rPr>
          <w:rFonts w:hint="eastAsia" w:eastAsia="宋体"/>
          <w:bCs/>
          <w:color w:val="auto"/>
          <w:sz w:val="28"/>
          <w:szCs w:val="28"/>
          <w:highlight w:val="none"/>
        </w:rPr>
        <w:t>乙方（</w:t>
      </w:r>
      <w:bookmarkStart w:id="0" w:name="_Hlk55295482"/>
      <w:r>
        <w:rPr>
          <w:rFonts w:hint="eastAsia" w:eastAsia="宋体"/>
          <w:bCs/>
          <w:color w:val="auto"/>
          <w:sz w:val="28"/>
          <w:szCs w:val="28"/>
          <w:highlight w:val="none"/>
        </w:rPr>
        <w:t>承包人</w:t>
      </w:r>
      <w:bookmarkEnd w:id="0"/>
      <w:r>
        <w:rPr>
          <w:rFonts w:hint="eastAsia" w:eastAsia="宋体"/>
          <w:bCs/>
          <w:color w:val="auto"/>
          <w:sz w:val="28"/>
          <w:szCs w:val="28"/>
          <w:highlight w:val="none"/>
        </w:rPr>
        <w:t>）（主）：</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p>
    <w:p w14:paraId="15014F5F">
      <w:pPr>
        <w:pStyle w:val="122"/>
        <w:spacing w:before="312"/>
        <w:ind w:firstLine="1260" w:firstLineChars="450"/>
        <w:jc w:val="left"/>
        <w:rPr>
          <w:rFonts w:eastAsia="宋体"/>
          <w:bCs/>
          <w:color w:val="auto"/>
          <w:sz w:val="28"/>
          <w:szCs w:val="28"/>
          <w:highlight w:val="none"/>
        </w:rPr>
      </w:pPr>
      <w:r>
        <w:rPr>
          <w:rFonts w:hint="eastAsia" w:eastAsia="宋体"/>
          <w:bCs/>
          <w:color w:val="auto"/>
          <w:sz w:val="28"/>
          <w:szCs w:val="28"/>
          <w:highlight w:val="none"/>
        </w:rPr>
        <w:t>乙方（承包人）（成）：</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p>
    <w:p w14:paraId="4E29A90C">
      <w:pPr>
        <w:pStyle w:val="122"/>
        <w:spacing w:before="312"/>
        <w:ind w:firstLine="1260" w:firstLineChars="450"/>
        <w:jc w:val="left"/>
        <w:rPr>
          <w:rFonts w:eastAsia="宋体"/>
          <w:bCs/>
          <w:color w:val="auto"/>
          <w:sz w:val="28"/>
          <w:szCs w:val="28"/>
          <w:highlight w:val="none"/>
        </w:rPr>
      </w:pPr>
      <w:r>
        <w:rPr>
          <w:rFonts w:hint="eastAsia" w:eastAsia="宋体"/>
          <w:bCs/>
          <w:color w:val="auto"/>
          <w:sz w:val="28"/>
          <w:szCs w:val="28"/>
          <w:highlight w:val="none"/>
        </w:rPr>
        <w:t>乙方（承包人）（成）：</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p>
    <w:p w14:paraId="3E8745E0">
      <w:pPr>
        <w:pStyle w:val="122"/>
        <w:spacing w:before="312"/>
        <w:ind w:firstLine="1260" w:firstLineChars="450"/>
        <w:jc w:val="left"/>
        <w:rPr>
          <w:rFonts w:eastAsia="宋体"/>
          <w:color w:val="auto"/>
          <w:sz w:val="28"/>
          <w:szCs w:val="28"/>
          <w:highlight w:val="none"/>
        </w:rPr>
      </w:pPr>
      <w:r>
        <w:rPr>
          <w:rFonts w:hint="eastAsia" w:eastAsia="宋体"/>
          <w:bCs/>
          <w:color w:val="auto"/>
          <w:sz w:val="28"/>
          <w:szCs w:val="28"/>
          <w:highlight w:val="none"/>
        </w:rPr>
        <w:t>乙方合同编号：</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r>
        <w:rPr>
          <w:rFonts w:hint="eastAsia" w:eastAsia="宋体"/>
          <w:color w:val="auto"/>
          <w:sz w:val="28"/>
          <w:szCs w:val="28"/>
          <w:highlight w:val="none"/>
          <w:u w:val="single"/>
        </w:rPr>
        <w:t xml:space="preserve">  </w:t>
      </w:r>
    </w:p>
    <w:p w14:paraId="73FC9AF4">
      <w:pPr>
        <w:pStyle w:val="122"/>
        <w:spacing w:before="312"/>
        <w:ind w:firstLine="1260" w:firstLineChars="450"/>
        <w:jc w:val="left"/>
        <w:rPr>
          <w:rFonts w:eastAsia="宋体"/>
          <w:bCs/>
          <w:color w:val="auto"/>
          <w:sz w:val="28"/>
          <w:szCs w:val="28"/>
          <w:highlight w:val="none"/>
        </w:rPr>
      </w:pPr>
    </w:p>
    <w:p w14:paraId="4438F765">
      <w:pPr>
        <w:pStyle w:val="122"/>
        <w:spacing w:before="312"/>
        <w:ind w:firstLine="1260" w:firstLineChars="450"/>
        <w:jc w:val="left"/>
        <w:rPr>
          <w:rFonts w:eastAsia="宋体"/>
          <w:color w:val="auto"/>
          <w:sz w:val="28"/>
          <w:szCs w:val="28"/>
          <w:highlight w:val="none"/>
        </w:rPr>
      </w:pPr>
      <w:r>
        <w:rPr>
          <w:rFonts w:hint="eastAsia" w:eastAsia="宋体"/>
          <w:bCs/>
          <w:color w:val="auto"/>
          <w:sz w:val="28"/>
          <w:szCs w:val="28"/>
          <w:highlight w:val="none"/>
        </w:rPr>
        <w:t>签订地点</w:t>
      </w:r>
      <w:r>
        <w:rPr>
          <w:rFonts w:hint="eastAsia" w:eastAsia="宋体"/>
          <w:color w:val="auto"/>
          <w:sz w:val="28"/>
          <w:szCs w:val="28"/>
          <w:highlight w:val="none"/>
        </w:rPr>
        <w:t>：</w:t>
      </w:r>
      <w:r>
        <w:rPr>
          <w:rFonts w:hint="eastAsia" w:eastAsia="宋体"/>
          <w:color w:val="auto"/>
          <w:sz w:val="28"/>
          <w:szCs w:val="28"/>
          <w:highlight w:val="none"/>
          <w:u w:val="single"/>
        </w:rPr>
        <w:t xml:space="preserve">广州市番禺区大龙街道               </w:t>
      </w:r>
      <w:r>
        <w:rPr>
          <w:rFonts w:hint="eastAsia" w:eastAsia="宋体"/>
          <w:color w:val="auto"/>
          <w:sz w:val="28"/>
          <w:szCs w:val="28"/>
          <w:highlight w:val="none"/>
          <w:u w:val="single"/>
          <w:lang w:val="en-US" w:eastAsia="zh-CN"/>
        </w:rPr>
        <w:t xml:space="preserve">   </w:t>
      </w:r>
      <w:r>
        <w:rPr>
          <w:rFonts w:hint="eastAsia" w:eastAsia="宋体"/>
          <w:color w:val="auto"/>
          <w:sz w:val="28"/>
          <w:szCs w:val="28"/>
          <w:highlight w:val="none"/>
          <w:u w:val="single"/>
        </w:rPr>
        <w:t xml:space="preserve">               </w:t>
      </w:r>
    </w:p>
    <w:p w14:paraId="01BA11F1">
      <w:pPr>
        <w:autoSpaceDE w:val="0"/>
        <w:autoSpaceDN w:val="0"/>
        <w:adjustRightInd w:val="0"/>
        <w:spacing w:before="240" w:beforeLines="100" w:line="360" w:lineRule="auto"/>
        <w:ind w:firstLine="1260" w:firstLineChars="450"/>
        <w:jc w:val="left"/>
        <w:rPr>
          <w:rFonts w:ascii="宋体" w:hAnsi="宋体" w:eastAsia="宋体" w:cs="宋体"/>
          <w:color w:val="auto"/>
          <w:kern w:val="0"/>
          <w:sz w:val="28"/>
          <w:szCs w:val="28"/>
          <w:highlight w:val="none"/>
        </w:rPr>
      </w:pPr>
      <w:r>
        <w:rPr>
          <w:rFonts w:hint="eastAsia" w:ascii="宋体" w:hAnsi="宋体" w:eastAsia="宋体" w:cs="宋体"/>
          <w:bCs/>
          <w:color w:val="auto"/>
          <w:sz w:val="28"/>
          <w:szCs w:val="28"/>
          <w:highlight w:val="none"/>
        </w:rPr>
        <w:t>签订日期</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年     月     日                            </w:t>
      </w:r>
    </w:p>
    <w:p w14:paraId="7ACD435F">
      <w:pPr>
        <w:autoSpaceDE w:val="0"/>
        <w:autoSpaceDN w:val="0"/>
        <w:adjustRightInd w:val="0"/>
        <w:spacing w:line="200" w:lineRule="exact"/>
        <w:jc w:val="left"/>
        <w:rPr>
          <w:rFonts w:ascii="宋体" w:hAnsi="宋体" w:eastAsia="宋体" w:cs="宋体"/>
          <w:color w:val="auto"/>
          <w:kern w:val="0"/>
          <w:sz w:val="28"/>
          <w:szCs w:val="28"/>
          <w:highlight w:val="none"/>
        </w:rPr>
      </w:pPr>
    </w:p>
    <w:p w14:paraId="7F69DEE1">
      <w:pPr>
        <w:autoSpaceDE w:val="0"/>
        <w:autoSpaceDN w:val="0"/>
        <w:adjustRightInd w:val="0"/>
        <w:spacing w:line="420" w:lineRule="exact"/>
        <w:rPr>
          <w:rFonts w:ascii="宋体" w:hAnsi="宋体" w:eastAsia="宋体" w:cs="宋体"/>
          <w:color w:val="auto"/>
          <w:kern w:val="0"/>
          <w:position w:val="-3"/>
          <w:sz w:val="36"/>
          <w:szCs w:val="36"/>
          <w:highlight w:val="none"/>
        </w:rPr>
      </w:pPr>
    </w:p>
    <w:p w14:paraId="69CFA3B2">
      <w:pPr>
        <w:autoSpaceDE w:val="0"/>
        <w:autoSpaceDN w:val="0"/>
        <w:adjustRightInd w:val="0"/>
        <w:spacing w:line="420" w:lineRule="exact"/>
        <w:rPr>
          <w:rFonts w:ascii="宋体" w:hAnsi="宋体" w:eastAsia="宋体" w:cs="宋体"/>
          <w:color w:val="auto"/>
          <w:kern w:val="0"/>
          <w:position w:val="-3"/>
          <w:sz w:val="36"/>
          <w:szCs w:val="36"/>
          <w:highlight w:val="none"/>
        </w:rPr>
      </w:pPr>
    </w:p>
    <w:p w14:paraId="46462558">
      <w:pPr>
        <w:pStyle w:val="6"/>
        <w:ind w:firstLine="0" w:firstLineChars="0"/>
        <w:rPr>
          <w:rFonts w:ascii="宋体" w:hAnsi="宋体" w:eastAsia="宋体" w:cs="宋体"/>
          <w:color w:val="auto"/>
          <w:kern w:val="0"/>
          <w:position w:val="-3"/>
          <w:sz w:val="36"/>
          <w:szCs w:val="36"/>
          <w:highlight w:val="none"/>
        </w:rPr>
      </w:pPr>
    </w:p>
    <w:p w14:paraId="71046F7B">
      <w:pPr>
        <w:rPr>
          <w:rFonts w:ascii="宋体" w:hAnsi="宋体" w:eastAsia="宋体" w:cs="宋体"/>
          <w:color w:val="auto"/>
          <w:highlight w:val="none"/>
        </w:rPr>
        <w:sectPr>
          <w:footerReference r:id="rId3" w:type="default"/>
          <w:footerReference r:id="rId4" w:type="even"/>
          <w:pgSz w:w="11920" w:h="16840"/>
          <w:pgMar w:top="1580" w:right="880" w:bottom="280" w:left="920" w:header="720" w:footer="720" w:gutter="0"/>
          <w:pgNumType w:fmt="numberInDash" w:start="1"/>
          <w:cols w:space="720" w:num="1"/>
          <w:titlePg/>
          <w:docGrid w:linePitch="286" w:charSpace="0"/>
        </w:sectPr>
      </w:pPr>
    </w:p>
    <w:p w14:paraId="405D3AC7">
      <w:pPr>
        <w:pStyle w:val="92"/>
        <w:spacing w:line="360" w:lineRule="auto"/>
        <w:jc w:val="center"/>
        <w:rPr>
          <w:rFonts w:ascii="宋体" w:hAnsi="宋体" w:eastAsia="宋体" w:cs="宋体"/>
          <w:b/>
          <w:color w:val="auto"/>
          <w:sz w:val="32"/>
          <w:szCs w:val="32"/>
          <w:highlight w:val="none"/>
        </w:rPr>
      </w:pPr>
      <w:bookmarkStart w:id="1" w:name="_Toc287627913"/>
      <w:r>
        <w:rPr>
          <w:rFonts w:hint="eastAsia" w:ascii="宋体" w:hAnsi="宋体" w:eastAsia="宋体" w:cs="宋体"/>
          <w:b/>
          <w:color w:val="auto"/>
          <w:sz w:val="32"/>
          <w:szCs w:val="32"/>
          <w:highlight w:val="none"/>
        </w:rPr>
        <w:t>合　同　目  录</w:t>
      </w:r>
    </w:p>
    <w:p w14:paraId="796C9190">
      <w:pPr>
        <w:pStyle w:val="92"/>
        <w:spacing w:line="360" w:lineRule="auto"/>
        <w:ind w:firstLine="1275" w:firstLineChars="397"/>
        <w:jc w:val="left"/>
        <w:rPr>
          <w:color w:val="auto"/>
          <w:highlight w:val="none"/>
        </w:rPr>
      </w:pPr>
      <w:r>
        <w:rPr>
          <w:rFonts w:hint="eastAsia" w:ascii="宋体" w:hAnsi="宋体" w:eastAsia="宋体" w:cs="宋体"/>
          <w:b/>
          <w:color w:val="auto"/>
          <w:sz w:val="32"/>
          <w:szCs w:val="32"/>
          <w:highlight w:val="none"/>
        </w:rPr>
        <w:t xml:space="preserve">  </w:t>
      </w:r>
    </w:p>
    <w:sdt>
      <w:sdtPr>
        <w:rPr>
          <w:rFonts w:ascii="宋体" w:hAnsi="宋体" w:eastAsia="宋体" w:cs="Times New Roman"/>
          <w:color w:val="auto"/>
          <w:kern w:val="2"/>
          <w:sz w:val="21"/>
          <w:szCs w:val="24"/>
          <w:highlight w:val="none"/>
          <w:lang w:val="en-US" w:eastAsia="zh-CN" w:bidi="ar-SA"/>
        </w:rPr>
        <w:id w:val="147455391"/>
        <w15:color w:val="DBDBDB"/>
        <w:docPartObj>
          <w:docPartGallery w:val="Table of Contents"/>
          <w:docPartUnique/>
        </w:docPartObj>
      </w:sdtPr>
      <w:sdtEndPr>
        <w:rPr>
          <w:rFonts w:hint="eastAsia" w:ascii="宋体" w:hAnsi="宋体" w:eastAsia="宋体" w:cs="宋体"/>
          <w:color w:val="auto"/>
          <w:kern w:val="2"/>
          <w:sz w:val="21"/>
          <w:szCs w:val="32"/>
          <w:highlight w:val="none"/>
          <w:lang w:val="en-US" w:eastAsia="zh-CN" w:bidi="ar-SA"/>
        </w:rPr>
      </w:sdtEndPr>
      <w:sdtContent>
        <w:p w14:paraId="73539B63">
          <w:pPr>
            <w:pStyle w:val="92"/>
            <w:keepNext w:val="0"/>
            <w:keepLines w:val="0"/>
            <w:pageBreakBefore w:val="0"/>
            <w:widowControl w:val="0"/>
            <w:kinsoku/>
            <w:wordWrap/>
            <w:overflowPunct/>
            <w:topLinePunct w:val="0"/>
            <w:autoSpaceDE/>
            <w:autoSpaceDN/>
            <w:bidi w:val="0"/>
            <w:adjustRightInd/>
            <w:snapToGrid/>
            <w:spacing w:line="360" w:lineRule="auto"/>
            <w:ind w:firstLine="833" w:firstLineChars="397"/>
            <w:jc w:val="left"/>
            <w:textAlignment w:val="auto"/>
            <w:rPr>
              <w:rFonts w:hint="eastAsia" w:ascii="宋体" w:hAnsi="宋体" w:eastAsia="宋体" w:cs="宋体"/>
              <w:color w:val="auto"/>
              <w:sz w:val="24"/>
              <w:szCs w:val="24"/>
              <w:highlight w:val="none"/>
            </w:rPr>
          </w:pPr>
        </w:p>
        <w:p w14:paraId="03775A39">
          <w:pPr>
            <w:pStyle w:val="31"/>
            <w:tabs>
              <w:tab w:val="right" w:leader="dot" w:pos="10120"/>
            </w:tabs>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_Toc4460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第一篇  合 同 协 议 书</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_Toc4460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- 3 -</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EE9F1BE">
          <w:pPr>
            <w:pStyle w:val="31"/>
            <w:tabs>
              <w:tab w:val="right" w:pos="2000"/>
              <w:tab w:val="right" w:leader="dot" w:pos="10120"/>
            </w:tabs>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_Toc9889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第二篇</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工程勘察合同条款</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_Toc9889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- 18 -</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1D8C06A">
          <w:pPr>
            <w:pStyle w:val="31"/>
            <w:tabs>
              <w:tab w:val="right" w:pos="2000"/>
              <w:tab w:val="right" w:leader="dot" w:pos="10120"/>
            </w:tabs>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_Toc20822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第三篇</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工程设计合同条款</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_Toc20822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- 23 -</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3AEE3C4">
          <w:pPr>
            <w:pStyle w:val="31"/>
            <w:tabs>
              <w:tab w:val="right" w:leader="dot" w:pos="10120"/>
            </w:tabs>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_Toc25206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第四篇  工程施工总承包合同条款</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_Toc25206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- 29 -</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B5190F5">
          <w:pPr>
            <w:pStyle w:val="31"/>
            <w:tabs>
              <w:tab w:val="right" w:leader="dot" w:pos="10120"/>
            </w:tabs>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_Toc29809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kern w:val="0"/>
              <w:sz w:val="24"/>
              <w:szCs w:val="24"/>
              <w:highlight w:val="none"/>
              <w:lang w:val="en-US" w:eastAsia="zh-CN"/>
            </w:rPr>
            <w:t xml:space="preserve">第五篇  </w:t>
          </w:r>
          <w:r>
            <w:rPr>
              <w:rFonts w:hint="eastAsia" w:ascii="宋体" w:hAnsi="宋体" w:eastAsia="宋体" w:cs="宋体"/>
              <w:b/>
              <w:bCs/>
              <w:color w:val="auto"/>
              <w:kern w:val="0"/>
              <w:sz w:val="24"/>
              <w:szCs w:val="24"/>
              <w:highlight w:val="none"/>
            </w:rPr>
            <w:t>物业运营管理合同</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_Toc29809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- 173 -</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59A7F5B">
          <w:pPr>
            <w:pStyle w:val="31"/>
            <w:tabs>
              <w:tab w:val="right" w:leader="dot" w:pos="10120"/>
            </w:tabs>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_Toc29759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第六篇　组成合同附件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_Toc29759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- 191 -</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9DC26A1">
          <w:pPr>
            <w:pStyle w:val="92"/>
            <w:keepNext w:val="0"/>
            <w:keepLines w:val="0"/>
            <w:pageBreakBefore w:val="0"/>
            <w:widowControl w:val="0"/>
            <w:kinsoku/>
            <w:wordWrap/>
            <w:overflowPunct/>
            <w:topLinePunct w:val="0"/>
            <w:autoSpaceDE/>
            <w:autoSpaceDN/>
            <w:bidi w:val="0"/>
            <w:adjustRightInd/>
            <w:snapToGrid/>
            <w:spacing w:line="360" w:lineRule="auto"/>
            <w:ind w:firstLine="957" w:firstLineChars="397"/>
            <w:jc w:val="left"/>
            <w:textAlignment w:val="auto"/>
            <w:rPr>
              <w:rFonts w:hint="eastAsia" w:ascii="宋体" w:hAnsi="宋体" w:eastAsia="宋体" w:cs="宋体"/>
              <w:color w:val="auto"/>
              <w:kern w:val="2"/>
              <w:sz w:val="21"/>
              <w:szCs w:val="32"/>
              <w:highlight w:val="none"/>
              <w:lang w:val="en-US" w:eastAsia="zh-CN" w:bidi="ar-SA"/>
            </w:rPr>
          </w:pPr>
          <w:r>
            <w:rPr>
              <w:rFonts w:hint="eastAsia" w:ascii="宋体" w:hAnsi="宋体" w:eastAsia="宋体" w:cs="宋体"/>
              <w:b/>
              <w:bCs/>
              <w:color w:val="auto"/>
              <w:sz w:val="24"/>
              <w:szCs w:val="24"/>
              <w:highlight w:val="none"/>
            </w:rPr>
            <w:fldChar w:fldCharType="end"/>
          </w:r>
        </w:p>
      </w:sdtContent>
    </w:sdt>
    <w:p w14:paraId="7E7EC583">
      <w:pPr>
        <w:pStyle w:val="92"/>
        <w:spacing w:line="360" w:lineRule="auto"/>
        <w:ind w:firstLine="833" w:firstLineChars="397"/>
        <w:jc w:val="left"/>
        <w:rPr>
          <w:rFonts w:hint="eastAsia" w:ascii="宋体" w:hAnsi="宋体" w:eastAsia="宋体" w:cs="宋体"/>
          <w:color w:val="auto"/>
          <w:kern w:val="2"/>
          <w:sz w:val="21"/>
          <w:szCs w:val="32"/>
          <w:highlight w:val="none"/>
          <w:lang w:val="en-US" w:eastAsia="zh-CN" w:bidi="ar-SA"/>
        </w:rPr>
      </w:pPr>
    </w:p>
    <w:p w14:paraId="2D19069D">
      <w:pPr>
        <w:pStyle w:val="92"/>
        <w:spacing w:line="360" w:lineRule="auto"/>
        <w:ind w:firstLine="1275" w:firstLineChars="397"/>
        <w:jc w:val="left"/>
        <w:rPr>
          <w:rFonts w:ascii="宋体" w:hAnsi="宋体" w:eastAsia="宋体" w:cs="宋体"/>
          <w:b/>
          <w:color w:val="auto"/>
          <w:sz w:val="32"/>
          <w:szCs w:val="32"/>
          <w:highlight w:val="none"/>
        </w:rPr>
      </w:pPr>
    </w:p>
    <w:p w14:paraId="06397C7F">
      <w:pPr>
        <w:pStyle w:val="92"/>
        <w:spacing w:line="360" w:lineRule="auto"/>
        <w:ind w:firstLine="1275" w:firstLineChars="397"/>
        <w:jc w:val="left"/>
        <w:rPr>
          <w:rFonts w:ascii="宋体" w:hAnsi="宋体" w:eastAsia="宋体" w:cs="宋体"/>
          <w:b/>
          <w:color w:val="auto"/>
          <w:sz w:val="32"/>
          <w:szCs w:val="32"/>
          <w:highlight w:val="none"/>
        </w:rPr>
      </w:pPr>
    </w:p>
    <w:p w14:paraId="11309954">
      <w:pPr>
        <w:pStyle w:val="92"/>
        <w:spacing w:line="360" w:lineRule="auto"/>
        <w:ind w:firstLine="1275" w:firstLineChars="397"/>
        <w:jc w:val="left"/>
        <w:rPr>
          <w:rFonts w:ascii="宋体" w:hAnsi="宋体" w:eastAsia="宋体" w:cs="宋体"/>
          <w:b/>
          <w:color w:val="auto"/>
          <w:sz w:val="32"/>
          <w:szCs w:val="32"/>
          <w:highlight w:val="none"/>
        </w:rPr>
      </w:pPr>
    </w:p>
    <w:p w14:paraId="40E58D4C">
      <w:pPr>
        <w:pStyle w:val="92"/>
        <w:spacing w:line="360" w:lineRule="auto"/>
        <w:ind w:firstLine="1275" w:firstLineChars="397"/>
        <w:jc w:val="left"/>
        <w:rPr>
          <w:rFonts w:ascii="宋体" w:hAnsi="宋体" w:eastAsia="宋体" w:cs="宋体"/>
          <w:b/>
          <w:color w:val="auto"/>
          <w:sz w:val="32"/>
          <w:szCs w:val="32"/>
          <w:highlight w:val="none"/>
        </w:rPr>
      </w:pPr>
    </w:p>
    <w:p w14:paraId="26EFDDCF">
      <w:pPr>
        <w:pStyle w:val="92"/>
        <w:spacing w:line="360" w:lineRule="auto"/>
        <w:ind w:firstLine="1275" w:firstLineChars="397"/>
        <w:jc w:val="left"/>
        <w:rPr>
          <w:rFonts w:ascii="宋体" w:hAnsi="宋体" w:eastAsia="宋体" w:cs="宋体"/>
          <w:b/>
          <w:color w:val="auto"/>
          <w:sz w:val="32"/>
          <w:szCs w:val="32"/>
          <w:highlight w:val="none"/>
        </w:rPr>
      </w:pPr>
    </w:p>
    <w:p w14:paraId="04886E8F">
      <w:pPr>
        <w:pStyle w:val="92"/>
        <w:spacing w:line="360" w:lineRule="auto"/>
        <w:ind w:firstLine="1275" w:firstLineChars="397"/>
        <w:jc w:val="left"/>
        <w:rPr>
          <w:rFonts w:ascii="宋体" w:hAnsi="宋体" w:eastAsia="宋体" w:cs="宋体"/>
          <w:b/>
          <w:color w:val="auto"/>
          <w:sz w:val="32"/>
          <w:szCs w:val="32"/>
          <w:highlight w:val="none"/>
        </w:rPr>
      </w:pPr>
    </w:p>
    <w:p w14:paraId="2D9FBF15">
      <w:pPr>
        <w:pStyle w:val="92"/>
        <w:spacing w:line="360" w:lineRule="auto"/>
        <w:ind w:firstLine="1275" w:firstLineChars="397"/>
        <w:jc w:val="left"/>
        <w:rPr>
          <w:rFonts w:ascii="宋体" w:hAnsi="宋体" w:eastAsia="宋体" w:cs="宋体"/>
          <w:b/>
          <w:color w:val="auto"/>
          <w:sz w:val="32"/>
          <w:szCs w:val="32"/>
          <w:highlight w:val="none"/>
        </w:rPr>
      </w:pPr>
    </w:p>
    <w:p w14:paraId="2B607C27">
      <w:pPr>
        <w:pStyle w:val="92"/>
        <w:spacing w:line="360" w:lineRule="auto"/>
        <w:ind w:firstLine="1275" w:firstLineChars="397"/>
        <w:jc w:val="left"/>
        <w:rPr>
          <w:rFonts w:ascii="宋体" w:hAnsi="宋体" w:eastAsia="宋体" w:cs="宋体"/>
          <w:b/>
          <w:color w:val="auto"/>
          <w:sz w:val="32"/>
          <w:szCs w:val="32"/>
          <w:highlight w:val="none"/>
        </w:rPr>
      </w:pPr>
    </w:p>
    <w:p w14:paraId="328E0771">
      <w:pPr>
        <w:pStyle w:val="92"/>
        <w:spacing w:line="360" w:lineRule="auto"/>
        <w:ind w:firstLine="1275" w:firstLineChars="397"/>
        <w:jc w:val="left"/>
        <w:rPr>
          <w:rFonts w:ascii="宋体" w:hAnsi="宋体" w:eastAsia="宋体" w:cs="宋体"/>
          <w:b/>
          <w:color w:val="auto"/>
          <w:sz w:val="32"/>
          <w:szCs w:val="32"/>
          <w:highlight w:val="none"/>
        </w:rPr>
      </w:pPr>
    </w:p>
    <w:p w14:paraId="6A7E9D1F">
      <w:pPr>
        <w:pStyle w:val="92"/>
        <w:spacing w:line="360" w:lineRule="auto"/>
        <w:ind w:firstLine="1275" w:firstLineChars="397"/>
        <w:jc w:val="left"/>
        <w:rPr>
          <w:rFonts w:ascii="宋体" w:hAnsi="宋体" w:eastAsia="宋体" w:cs="宋体"/>
          <w:b/>
          <w:color w:val="auto"/>
          <w:sz w:val="32"/>
          <w:szCs w:val="32"/>
          <w:highlight w:val="none"/>
        </w:rPr>
      </w:pPr>
    </w:p>
    <w:p w14:paraId="5E33A8EF">
      <w:pPr>
        <w:pStyle w:val="92"/>
        <w:spacing w:line="360" w:lineRule="auto"/>
        <w:ind w:firstLine="1275" w:firstLineChars="397"/>
        <w:jc w:val="left"/>
        <w:rPr>
          <w:rFonts w:ascii="宋体" w:hAnsi="宋体" w:eastAsia="宋体" w:cs="宋体"/>
          <w:b/>
          <w:color w:val="auto"/>
          <w:sz w:val="32"/>
          <w:szCs w:val="32"/>
          <w:highlight w:val="none"/>
        </w:rPr>
      </w:pPr>
    </w:p>
    <w:p w14:paraId="715A0F0E">
      <w:pPr>
        <w:pStyle w:val="92"/>
        <w:spacing w:line="360" w:lineRule="auto"/>
        <w:ind w:firstLine="1275" w:firstLineChars="397"/>
        <w:jc w:val="left"/>
        <w:rPr>
          <w:rFonts w:ascii="宋体" w:hAnsi="宋体" w:eastAsia="宋体" w:cs="宋体"/>
          <w:b/>
          <w:color w:val="auto"/>
          <w:sz w:val="32"/>
          <w:szCs w:val="32"/>
          <w:highlight w:val="none"/>
        </w:rPr>
      </w:pPr>
    </w:p>
    <w:p w14:paraId="6AE82A29">
      <w:pPr>
        <w:pStyle w:val="92"/>
        <w:spacing w:line="360" w:lineRule="auto"/>
        <w:ind w:firstLine="1275" w:firstLineChars="397"/>
        <w:jc w:val="left"/>
        <w:rPr>
          <w:rFonts w:ascii="宋体" w:hAnsi="宋体" w:eastAsia="宋体" w:cs="宋体"/>
          <w:b/>
          <w:color w:val="auto"/>
          <w:sz w:val="32"/>
          <w:szCs w:val="32"/>
          <w:highlight w:val="none"/>
        </w:rPr>
      </w:pPr>
    </w:p>
    <w:p w14:paraId="62F7F210">
      <w:pPr>
        <w:pStyle w:val="92"/>
        <w:spacing w:line="360" w:lineRule="auto"/>
        <w:ind w:firstLine="833" w:firstLineChars="397"/>
        <w:jc w:val="left"/>
        <w:rPr>
          <w:rFonts w:ascii="宋体" w:hAnsi="宋体" w:eastAsia="宋体" w:cs="宋体"/>
          <w:color w:val="auto"/>
          <w:highlight w:val="none"/>
        </w:rPr>
      </w:pPr>
    </w:p>
    <w:p w14:paraId="2A1D1A9D">
      <w:pPr>
        <w:pStyle w:val="83"/>
        <w:jc w:val="both"/>
        <w:rPr>
          <w:rFonts w:ascii="宋体" w:hAnsi="宋体" w:eastAsia="宋体" w:cs="宋体"/>
          <w:color w:val="auto"/>
          <w:highlight w:val="none"/>
        </w:rPr>
      </w:pPr>
    </w:p>
    <w:p w14:paraId="04A3C545">
      <w:pPr>
        <w:rPr>
          <w:rFonts w:ascii="宋体" w:hAnsi="宋体" w:eastAsia="宋体" w:cs="宋体"/>
          <w:color w:val="auto"/>
          <w:highlight w:val="none"/>
        </w:rPr>
        <w:sectPr>
          <w:footerReference r:id="rId6" w:type="first"/>
          <w:footerReference r:id="rId5" w:type="default"/>
          <w:pgSz w:w="11920" w:h="16840"/>
          <w:pgMar w:top="1580" w:right="880" w:bottom="280" w:left="920" w:header="720" w:footer="720" w:gutter="0"/>
          <w:pgNumType w:fmt="numberInDash" w:start="1"/>
          <w:cols w:space="720" w:num="1"/>
          <w:titlePg/>
          <w:docGrid w:linePitch="286" w:charSpace="0"/>
        </w:sectPr>
      </w:pPr>
    </w:p>
    <w:p w14:paraId="398BAC02">
      <w:pPr>
        <w:pStyle w:val="83"/>
        <w:rPr>
          <w:rFonts w:ascii="宋体" w:hAnsi="宋体" w:eastAsia="宋体" w:cs="宋体"/>
          <w:b/>
          <w:bCs w:val="0"/>
          <w:color w:val="auto"/>
          <w:highlight w:val="none"/>
        </w:rPr>
      </w:pPr>
      <w:bookmarkStart w:id="2" w:name="_Toc4460"/>
      <w:r>
        <w:rPr>
          <w:rFonts w:hint="eastAsia" w:ascii="宋体" w:hAnsi="宋体" w:eastAsia="宋体" w:cs="宋体"/>
          <w:b/>
          <w:bCs w:val="0"/>
          <w:color w:val="auto"/>
          <w:highlight w:val="none"/>
        </w:rPr>
        <w:t>第一篇  合 同 协 议 书</w:t>
      </w:r>
      <w:bookmarkEnd w:id="1"/>
      <w:bookmarkEnd w:id="2"/>
    </w:p>
    <w:p w14:paraId="069C78F9">
      <w:pPr>
        <w:autoSpaceDE w:val="0"/>
        <w:autoSpaceDN w:val="0"/>
        <w:adjustRightInd w:val="0"/>
        <w:spacing w:before="4" w:line="130" w:lineRule="exact"/>
        <w:jc w:val="left"/>
        <w:rPr>
          <w:rFonts w:ascii="宋体" w:hAnsi="宋体" w:eastAsia="宋体" w:cs="宋体"/>
          <w:color w:val="auto"/>
          <w:kern w:val="0"/>
          <w:sz w:val="13"/>
          <w:szCs w:val="13"/>
          <w:highlight w:val="none"/>
        </w:rPr>
      </w:pPr>
    </w:p>
    <w:p w14:paraId="5768C5E5">
      <w:pPr>
        <w:adjustRightInd w:val="0"/>
        <w:snapToGrid w:val="0"/>
        <w:spacing w:line="360" w:lineRule="auto"/>
        <w:ind w:firstLine="482" w:firstLineChars="200"/>
        <w:jc w:val="left"/>
        <w:rPr>
          <w:rFonts w:hint="eastAsia" w:ascii="宋体" w:hAnsi="宋体" w:eastAsia="宋体" w:cs="宋体"/>
          <w:b/>
          <w:color w:val="auto"/>
          <w:sz w:val="24"/>
          <w:highlight w:val="none"/>
        </w:rPr>
      </w:pPr>
    </w:p>
    <w:p w14:paraId="4424E623">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甲方（建设管理单位）</w:t>
      </w:r>
      <w:r>
        <w:rPr>
          <w:rFonts w:hint="eastAsia" w:ascii="宋体" w:hAnsi="宋体" w:eastAsia="宋体" w:cs="宋体"/>
          <w:b/>
          <w:snapToGrid w:val="0"/>
          <w:color w:val="auto"/>
          <w:kern w:val="13"/>
          <w:sz w:val="24"/>
          <w:highlight w:val="none"/>
        </w:rPr>
        <w:t>：</w:t>
      </w:r>
      <w:r>
        <w:rPr>
          <w:rFonts w:hint="eastAsia" w:ascii="宋体" w:hAnsi="宋体" w:eastAsia="宋体" w:cs="宋体"/>
          <w:b/>
          <w:snapToGrid w:val="0"/>
          <w:color w:val="auto"/>
          <w:kern w:val="13"/>
          <w:sz w:val="24"/>
          <w:highlight w:val="none"/>
          <w:u w:val="single"/>
        </w:rPr>
        <w:t xml:space="preserve"> 广州市番禺区大龙街</w:t>
      </w:r>
      <w:r>
        <w:rPr>
          <w:rFonts w:hint="eastAsia" w:ascii="宋体" w:hAnsi="宋体" w:eastAsia="宋体" w:cs="宋体"/>
          <w:b/>
          <w:snapToGrid w:val="0"/>
          <w:color w:val="auto"/>
          <w:kern w:val="13"/>
          <w:sz w:val="24"/>
          <w:highlight w:val="none"/>
          <w:u w:val="single"/>
          <w:lang w:eastAsia="zh-CN"/>
        </w:rPr>
        <w:t>傍江东村</w:t>
      </w:r>
      <w:r>
        <w:rPr>
          <w:rFonts w:hint="eastAsia" w:ascii="宋体" w:hAnsi="宋体" w:eastAsia="宋体" w:cs="宋体"/>
          <w:b/>
          <w:snapToGrid w:val="0"/>
          <w:color w:val="auto"/>
          <w:kern w:val="13"/>
          <w:sz w:val="24"/>
          <w:highlight w:val="none"/>
          <w:u w:val="single"/>
        </w:rPr>
        <w:t xml:space="preserve">股份合作经济社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7FC4FE13">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法定代表人：</w:t>
      </w:r>
      <w:r>
        <w:rPr>
          <w:rFonts w:hint="eastAsia"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val="en-US" w:eastAsia="zh-CN"/>
        </w:rPr>
        <w:t xml:space="preserve">  </w:t>
      </w:r>
      <w:r>
        <w:rPr>
          <w:rFonts w:hint="eastAsia"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val="en-US" w:eastAsia="zh-CN"/>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5D88BF3B">
      <w:pPr>
        <w:adjustRightInd w:val="0"/>
        <w:snapToGrid w:val="0"/>
        <w:spacing w:after="240" w:afterLines="100"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通信地址：</w:t>
      </w:r>
      <w:r>
        <w:rPr>
          <w:rFonts w:hint="eastAsia" w:ascii="宋体" w:hAnsi="宋体" w:eastAsia="宋体" w:cs="宋体"/>
          <w:b/>
          <w:snapToGrid w:val="0"/>
          <w:color w:val="auto"/>
          <w:kern w:val="13"/>
          <w:sz w:val="24"/>
          <w:highlight w:val="none"/>
          <w:u w:val="single"/>
        </w:rPr>
        <w:t xml:space="preserve"> 广州市番禺区大龙街道</w:t>
      </w:r>
      <w:r>
        <w:rPr>
          <w:rFonts w:hint="eastAsia" w:ascii="宋体" w:hAnsi="宋体" w:eastAsia="宋体" w:cs="宋体"/>
          <w:b/>
          <w:snapToGrid w:val="0"/>
          <w:color w:val="auto"/>
          <w:kern w:val="13"/>
          <w:sz w:val="24"/>
          <w:highlight w:val="none"/>
          <w:u w:val="single"/>
          <w:lang w:eastAsia="zh-CN"/>
        </w:rPr>
        <w:t>傍江东村</w:t>
      </w:r>
      <w:r>
        <w:rPr>
          <w:rFonts w:hint="eastAsia"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val="en-US" w:eastAsia="zh-CN"/>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4958F9C2">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乙方（承包人）（主）</w:t>
      </w:r>
      <w:r>
        <w:rPr>
          <w:rFonts w:hint="eastAsia" w:ascii="宋体" w:hAnsi="宋体" w:eastAsia="宋体" w:cs="宋体"/>
          <w:b/>
          <w:snapToGrid w:val="0"/>
          <w:color w:val="auto"/>
          <w:kern w:val="13"/>
          <w:sz w:val="24"/>
          <w:highlight w:val="none"/>
        </w:rPr>
        <w:t>：</w:t>
      </w:r>
      <w:r>
        <w:rPr>
          <w:rFonts w:hint="eastAsia" w:ascii="宋体" w:hAnsi="宋体" w:eastAsia="宋体" w:cs="宋体"/>
          <w:b/>
          <w:snapToGrid w:val="0"/>
          <w:color w:val="auto"/>
          <w:kern w:val="13"/>
          <w:sz w:val="24"/>
          <w:highlight w:val="none"/>
          <w:u w:val="single"/>
        </w:rPr>
        <w:t xml:space="preserve">                                                             </w:t>
      </w:r>
    </w:p>
    <w:p w14:paraId="2CC24D7B">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法定代表人：</w:t>
      </w:r>
      <w:r>
        <w:rPr>
          <w:rFonts w:hint="eastAsia" w:ascii="宋体" w:hAnsi="宋体" w:eastAsia="宋体" w:cs="宋体"/>
          <w:b/>
          <w:color w:val="auto"/>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104D1785">
      <w:pPr>
        <w:adjustRightInd w:val="0"/>
        <w:snapToGrid w:val="0"/>
        <w:spacing w:after="240" w:afterLines="100"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通信地址：</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533E578B">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乙方（承包人）</w:t>
      </w:r>
      <w:r>
        <w:rPr>
          <w:rFonts w:hint="eastAsia" w:ascii="宋体" w:hAnsi="宋体" w:eastAsia="宋体" w:cs="宋体"/>
          <w:b/>
          <w:snapToGrid w:val="0"/>
          <w:color w:val="auto"/>
          <w:kern w:val="13"/>
          <w:sz w:val="24"/>
          <w:highlight w:val="none"/>
        </w:rPr>
        <w:t>(成)：</w:t>
      </w:r>
      <w:r>
        <w:rPr>
          <w:rFonts w:hint="eastAsia" w:ascii="宋体" w:hAnsi="宋体" w:eastAsia="宋体" w:cs="宋体"/>
          <w:color w:val="auto"/>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475088AF">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法定代表人：</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08FAD243">
      <w:pPr>
        <w:autoSpaceDE w:val="0"/>
        <w:autoSpaceDN w:val="0"/>
        <w:adjustRightInd w:val="0"/>
        <w:snapToGrid w:val="0"/>
        <w:spacing w:after="240" w:afterLines="100" w:line="360" w:lineRule="auto"/>
        <w:ind w:firstLine="482" w:firstLineChars="200"/>
        <w:jc w:val="left"/>
        <w:rPr>
          <w:rFonts w:ascii="宋体" w:hAnsi="宋体" w:eastAsia="宋体" w:cs="宋体"/>
          <w:color w:val="auto"/>
          <w:spacing w:val="1"/>
          <w:kern w:val="0"/>
          <w:position w:val="-3"/>
          <w:sz w:val="24"/>
          <w:highlight w:val="none"/>
        </w:rPr>
      </w:pPr>
      <w:r>
        <w:rPr>
          <w:rFonts w:hint="eastAsia" w:ascii="宋体" w:hAnsi="宋体" w:eastAsia="宋体" w:cs="宋体"/>
          <w:b/>
          <w:snapToGrid w:val="0"/>
          <w:color w:val="auto"/>
          <w:kern w:val="13"/>
          <w:sz w:val="24"/>
          <w:highlight w:val="none"/>
        </w:rPr>
        <w:t>通信地址：</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046C4107">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乙方（承包人）</w:t>
      </w:r>
      <w:r>
        <w:rPr>
          <w:rFonts w:hint="eastAsia" w:ascii="宋体" w:hAnsi="宋体" w:eastAsia="宋体" w:cs="宋体"/>
          <w:b/>
          <w:snapToGrid w:val="0"/>
          <w:color w:val="auto"/>
          <w:kern w:val="13"/>
          <w:sz w:val="24"/>
          <w:highlight w:val="none"/>
        </w:rPr>
        <w:t>(成)：</w:t>
      </w:r>
      <w:r>
        <w:rPr>
          <w:rFonts w:hint="eastAsia" w:ascii="宋体" w:hAnsi="宋体" w:eastAsia="宋体" w:cs="宋体"/>
          <w:color w:val="auto"/>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6DEC9648">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法定代表人：</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6A2A99ED">
      <w:pPr>
        <w:adjustRightInd w:val="0"/>
        <w:snapToGrid w:val="0"/>
        <w:spacing w:after="240" w:afterLines="100" w:line="360" w:lineRule="auto"/>
        <w:ind w:firstLine="482" w:firstLineChars="200"/>
        <w:jc w:val="left"/>
        <w:rPr>
          <w:rFonts w:ascii="宋体" w:hAnsi="宋体" w:eastAsia="宋体" w:cs="宋体"/>
          <w:color w:val="auto"/>
          <w:spacing w:val="1"/>
          <w:kern w:val="0"/>
          <w:position w:val="-3"/>
          <w:sz w:val="24"/>
          <w:highlight w:val="none"/>
        </w:rPr>
      </w:pPr>
      <w:r>
        <w:rPr>
          <w:rFonts w:hint="eastAsia" w:ascii="宋体" w:hAnsi="宋体" w:eastAsia="宋体" w:cs="宋体"/>
          <w:b/>
          <w:snapToGrid w:val="0"/>
          <w:color w:val="auto"/>
          <w:kern w:val="13"/>
          <w:sz w:val="24"/>
          <w:highlight w:val="none"/>
        </w:rPr>
        <w:t>通信地址：</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7A519761">
      <w:pPr>
        <w:autoSpaceDE w:val="0"/>
        <w:autoSpaceDN w:val="0"/>
        <w:adjustRightInd w:val="0"/>
        <w:spacing w:line="360" w:lineRule="auto"/>
        <w:ind w:right="81" w:firstLine="578" w:firstLineChars="239"/>
        <w:rPr>
          <w:rFonts w:ascii="宋体" w:hAnsi="宋体" w:eastAsia="宋体" w:cs="宋体"/>
          <w:color w:val="auto"/>
          <w:kern w:val="0"/>
          <w:sz w:val="24"/>
          <w:highlight w:val="none"/>
        </w:rPr>
      </w:pPr>
      <w:r>
        <w:rPr>
          <w:rFonts w:hint="eastAsia" w:ascii="宋体" w:hAnsi="宋体" w:eastAsia="宋体" w:cs="宋体"/>
          <w:color w:val="auto"/>
          <w:spacing w:val="1"/>
          <w:kern w:val="0"/>
          <w:position w:val="-3"/>
          <w:sz w:val="24"/>
          <w:highlight w:val="none"/>
        </w:rPr>
        <w:t>依照《中华人民共和国民法典》、《中华人民共和国建筑法》及</w:t>
      </w:r>
      <w:r>
        <w:rPr>
          <w:rFonts w:hint="eastAsia" w:ascii="宋体" w:hAnsi="宋体" w:eastAsia="宋体" w:cs="宋体"/>
          <w:color w:val="auto"/>
          <w:kern w:val="0"/>
          <w:position w:val="-3"/>
          <w:sz w:val="24"/>
          <w:highlight w:val="none"/>
        </w:rPr>
        <w:t>其</w:t>
      </w:r>
      <w:r>
        <w:rPr>
          <w:rFonts w:hint="eastAsia" w:ascii="宋体" w:hAnsi="宋体" w:eastAsia="宋体" w:cs="宋体"/>
          <w:color w:val="auto"/>
          <w:spacing w:val="1"/>
          <w:kern w:val="0"/>
          <w:position w:val="-3"/>
          <w:sz w:val="24"/>
          <w:highlight w:val="none"/>
        </w:rPr>
        <w:t>他有关法律法规，遵循平</w:t>
      </w:r>
      <w:r>
        <w:rPr>
          <w:rFonts w:hint="eastAsia" w:ascii="宋体" w:hAnsi="宋体" w:eastAsia="宋体" w:cs="宋体"/>
          <w:color w:val="auto"/>
          <w:kern w:val="0"/>
          <w:sz w:val="24"/>
          <w:highlight w:val="none"/>
        </w:rPr>
        <w:t>等、自愿、公平和诚实信用</w:t>
      </w:r>
      <w:r>
        <w:rPr>
          <w:rFonts w:hint="eastAsia" w:ascii="宋体" w:hAnsi="宋体" w:eastAsia="宋体" w:cs="宋体"/>
          <w:color w:val="auto"/>
          <w:spacing w:val="2"/>
          <w:kern w:val="0"/>
          <w:sz w:val="24"/>
          <w:highlight w:val="none"/>
        </w:rPr>
        <w:t>的</w:t>
      </w:r>
      <w:r>
        <w:rPr>
          <w:rFonts w:hint="eastAsia" w:ascii="宋体" w:hAnsi="宋体" w:eastAsia="宋体" w:cs="宋体"/>
          <w:color w:val="auto"/>
          <w:kern w:val="0"/>
          <w:sz w:val="24"/>
          <w:highlight w:val="none"/>
        </w:rPr>
        <w:t>原则，合同各方当事人就合同工</w:t>
      </w:r>
      <w:r>
        <w:rPr>
          <w:rFonts w:hint="eastAsia" w:ascii="宋体" w:hAnsi="宋体" w:eastAsia="宋体" w:cs="宋体"/>
          <w:color w:val="auto"/>
          <w:spacing w:val="2"/>
          <w:kern w:val="0"/>
          <w:sz w:val="24"/>
          <w:highlight w:val="none"/>
        </w:rPr>
        <w:t>程勘察、设计、</w:t>
      </w:r>
      <w:r>
        <w:rPr>
          <w:rFonts w:hint="eastAsia" w:ascii="宋体" w:hAnsi="宋体" w:eastAsia="宋体" w:cs="宋体"/>
          <w:color w:val="auto"/>
          <w:kern w:val="0"/>
          <w:sz w:val="24"/>
          <w:highlight w:val="none"/>
        </w:rPr>
        <w:t>施工总承包及物业运营管理有关事项达成一</w:t>
      </w:r>
      <w:r>
        <w:rPr>
          <w:rFonts w:hint="eastAsia" w:ascii="宋体" w:hAnsi="宋体" w:eastAsia="宋体" w:cs="宋体"/>
          <w:color w:val="auto"/>
          <w:spacing w:val="2"/>
          <w:kern w:val="0"/>
          <w:sz w:val="24"/>
          <w:highlight w:val="none"/>
        </w:rPr>
        <w:t>致</w:t>
      </w:r>
      <w:r>
        <w:rPr>
          <w:rFonts w:hint="eastAsia" w:ascii="宋体" w:hAnsi="宋体" w:eastAsia="宋体" w:cs="宋体"/>
          <w:color w:val="auto"/>
          <w:kern w:val="0"/>
          <w:sz w:val="24"/>
          <w:highlight w:val="none"/>
        </w:rPr>
        <w:t>意</w:t>
      </w:r>
      <w:r>
        <w:rPr>
          <w:rFonts w:hint="eastAsia" w:ascii="宋体" w:hAnsi="宋体" w:eastAsia="宋体" w:cs="宋体"/>
          <w:color w:val="auto"/>
          <w:spacing w:val="2"/>
          <w:kern w:val="0"/>
          <w:sz w:val="24"/>
          <w:highlight w:val="none"/>
        </w:rPr>
        <w:t>见</w:t>
      </w:r>
      <w:r>
        <w:rPr>
          <w:rFonts w:hint="eastAsia" w:ascii="宋体" w:hAnsi="宋体" w:eastAsia="宋体" w:cs="宋体"/>
          <w:color w:val="auto"/>
          <w:kern w:val="0"/>
          <w:sz w:val="24"/>
          <w:highlight w:val="none"/>
        </w:rPr>
        <w:t xml:space="preserve">，订立本协议书。 </w:t>
      </w:r>
    </w:p>
    <w:p w14:paraId="6EADA92D">
      <w:pPr>
        <w:pStyle w:val="118"/>
        <w:spacing w:line="360" w:lineRule="auto"/>
        <w:rPr>
          <w:rFonts w:ascii="宋体" w:hAnsi="宋体" w:eastAsia="宋体" w:cs="宋体"/>
          <w:b/>
          <w:bCs w:val="0"/>
          <w:color w:val="auto"/>
          <w:highlight w:val="none"/>
        </w:rPr>
      </w:pPr>
      <w:bookmarkStart w:id="3" w:name="_Toc287627914"/>
      <w:r>
        <w:rPr>
          <w:rFonts w:hint="eastAsia" w:ascii="宋体" w:hAnsi="宋体" w:eastAsia="宋体" w:cs="宋体"/>
          <w:b/>
          <w:bCs w:val="0"/>
          <w:color w:val="auto"/>
          <w:highlight w:val="none"/>
        </w:rPr>
        <w:t>一、工程概况</w:t>
      </w:r>
      <w:bookmarkEnd w:id="3"/>
    </w:p>
    <w:p w14:paraId="28EB1159">
      <w:pPr>
        <w:autoSpaceDE w:val="0"/>
        <w:autoSpaceDN w:val="0"/>
        <w:adjustRightInd w:val="0"/>
        <w:spacing w:line="360" w:lineRule="auto"/>
        <w:ind w:right="930"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1、工程名称：</w:t>
      </w:r>
      <w:r>
        <w:rPr>
          <w:rFonts w:hint="eastAsia" w:ascii="宋体" w:hAnsi="宋体" w:eastAsia="宋体" w:cs="宋体"/>
          <w:color w:val="auto"/>
          <w:sz w:val="24"/>
          <w:highlight w:val="none"/>
          <w:u w:val="single"/>
          <w:lang w:eastAsia="zh-CN"/>
        </w:rPr>
        <w:t>番禺区傍江东村村镇工业集聚区更新改造试点项目（首开区）勘察设计施工总承包及运营（EPCO）</w:t>
      </w:r>
      <w:r>
        <w:rPr>
          <w:rFonts w:hint="eastAsia" w:ascii="宋体" w:hAnsi="宋体" w:eastAsia="宋体" w:cs="宋体"/>
          <w:color w:val="auto"/>
          <w:kern w:val="0"/>
          <w:sz w:val="24"/>
          <w:highlight w:val="none"/>
          <w:u w:val="single"/>
        </w:rPr>
        <w:t>。</w:t>
      </w:r>
    </w:p>
    <w:p w14:paraId="620B2905">
      <w:pPr>
        <w:autoSpaceDE w:val="0"/>
        <w:autoSpaceDN w:val="0"/>
        <w:adjustRightInd w:val="0"/>
        <w:spacing w:line="360" w:lineRule="auto"/>
        <w:ind w:right="930"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2、工程地点：</w:t>
      </w:r>
      <w:r>
        <w:rPr>
          <w:rFonts w:hint="eastAsia" w:ascii="宋体" w:hAnsi="宋体" w:eastAsia="宋体" w:cs="宋体"/>
          <w:color w:val="auto"/>
          <w:kern w:val="0"/>
          <w:sz w:val="24"/>
          <w:highlight w:val="none"/>
          <w:u w:val="single"/>
        </w:rPr>
        <w:t>广州市番禺区大龙街道</w:t>
      </w:r>
      <w:r>
        <w:rPr>
          <w:rFonts w:hint="eastAsia" w:ascii="宋体" w:hAnsi="宋体" w:eastAsia="宋体" w:cs="宋体"/>
          <w:color w:val="auto"/>
          <w:kern w:val="0"/>
          <w:sz w:val="24"/>
          <w:highlight w:val="none"/>
          <w:u w:val="single"/>
          <w:lang w:eastAsia="zh-CN"/>
        </w:rPr>
        <w:t>傍江东村</w:t>
      </w:r>
      <w:r>
        <w:rPr>
          <w:rFonts w:hint="eastAsia" w:ascii="宋体" w:hAnsi="宋体" w:eastAsia="宋体" w:cs="宋体"/>
          <w:color w:val="auto"/>
          <w:kern w:val="0"/>
          <w:sz w:val="24"/>
          <w:highlight w:val="none"/>
          <w:u w:val="single"/>
        </w:rPr>
        <w:t xml:space="preserve"> 。</w:t>
      </w:r>
    </w:p>
    <w:p w14:paraId="55AB594E">
      <w:pPr>
        <w:autoSpaceDE w:val="0"/>
        <w:autoSpaceDN w:val="0"/>
        <w:adjustRightInd w:val="0"/>
        <w:spacing w:line="360" w:lineRule="auto"/>
        <w:ind w:right="93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3、工程规模和建设内容：</w:t>
      </w:r>
      <w:r>
        <w:rPr>
          <w:rFonts w:hint="eastAsia" w:ascii="宋体" w:hAnsi="宋体" w:eastAsia="宋体" w:cs="宋体"/>
          <w:color w:val="auto"/>
          <w:sz w:val="24"/>
          <w:szCs w:val="24"/>
          <w:highlight w:val="none"/>
          <w:u w:val="single"/>
        </w:rPr>
        <w:t>本项目采用EPCO的建设管理模式，项目规划总用地面积约12368.02平方米，建筑占地约3750平方米，新建2栋工业大厦，工业建筑高度控制在60米以内，配套设施高度局部突破60米，均控制在80米以内；单项工程建筑面积分别约为18690平方米、17640平方米；总建筑面积约36980平方米(其中地上建筑面积约36330平方米，地下约650平方米)。</w:t>
      </w:r>
      <w:r>
        <w:rPr>
          <w:rFonts w:hint="eastAsia" w:ascii="宋体" w:hAnsi="宋体" w:eastAsia="宋体" w:cs="宋体"/>
          <w:color w:val="auto"/>
          <w:sz w:val="24"/>
          <w:szCs w:val="24"/>
          <w:highlight w:val="none"/>
          <w:u w:val="single"/>
          <w:lang w:val="en-US" w:eastAsia="zh-CN"/>
        </w:rPr>
        <w:t>主要建设内容包括主体结构工程、水电工程（含通信线网）、绿化工程、场地内原有遗留基础处理、</w:t>
      </w:r>
      <w:r>
        <w:rPr>
          <w:rFonts w:hint="eastAsia" w:ascii="宋体" w:hAnsi="宋体" w:eastAsia="宋体" w:cs="宋体"/>
          <w:color w:val="auto"/>
          <w:sz w:val="24"/>
          <w:szCs w:val="24"/>
          <w:highlight w:val="none"/>
          <w:u w:val="single"/>
        </w:rPr>
        <w:t>场地平整、场地准备及临时设施、室外场地、园林及绿化工程、园路</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含周边道路</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及市政道路接驳、项目对外接驳的外水（包括给水和雨污水接驳等）、外电（从供电部门批复的接取电源处开始，至本项目高低压配电房所有的电力设施装置及土建</w:t>
      </w:r>
      <w:r>
        <w:rPr>
          <w:rFonts w:hint="eastAsia" w:ascii="宋体" w:hAnsi="宋体" w:eastAsia="宋体" w:cs="宋体"/>
          <w:color w:val="auto"/>
          <w:sz w:val="24"/>
          <w:szCs w:val="24"/>
          <w:highlight w:val="none"/>
          <w:u w:val="single"/>
          <w:lang w:val="en-US" w:eastAsia="zh-CN"/>
        </w:rPr>
        <w:t>等配套设施</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w:t>
      </w:r>
    </w:p>
    <w:p w14:paraId="65133C4D">
      <w:pPr>
        <w:autoSpaceDE w:val="0"/>
        <w:autoSpaceDN w:val="0"/>
        <w:adjustRightInd w:val="0"/>
        <w:spacing w:line="360" w:lineRule="auto"/>
        <w:ind w:right="930"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4、广东省建设项目投资备案证编号：</w:t>
      </w:r>
      <w:r>
        <w:rPr>
          <w:rFonts w:hint="eastAsia" w:ascii="宋体" w:hAnsi="宋体" w:eastAsia="宋体" w:cs="宋体"/>
          <w:color w:val="auto"/>
          <w:kern w:val="0"/>
          <w:sz w:val="24"/>
          <w:highlight w:val="none"/>
          <w:u w:val="single"/>
        </w:rPr>
        <w:t xml:space="preserve">       /      。</w:t>
      </w:r>
    </w:p>
    <w:p w14:paraId="5684CDD0">
      <w:pPr>
        <w:autoSpaceDE w:val="0"/>
        <w:autoSpaceDN w:val="0"/>
        <w:adjustRightInd w:val="0"/>
        <w:spacing w:line="360" w:lineRule="auto"/>
        <w:ind w:right="930"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5、资金来源：</w:t>
      </w:r>
      <w:r>
        <w:rPr>
          <w:rFonts w:hint="eastAsia" w:ascii="宋体" w:hAnsi="宋体" w:eastAsia="宋体" w:cs="宋体"/>
          <w:color w:val="auto"/>
          <w:kern w:val="0"/>
          <w:sz w:val="24"/>
          <w:highlight w:val="none"/>
          <w:u w:val="single"/>
        </w:rPr>
        <w:t xml:space="preserve"> 村集体自筹资金 。</w:t>
      </w:r>
    </w:p>
    <w:p w14:paraId="6AD1F6EB">
      <w:pPr>
        <w:pStyle w:val="118"/>
        <w:spacing w:line="360" w:lineRule="auto"/>
        <w:rPr>
          <w:rFonts w:ascii="宋体" w:hAnsi="宋体" w:eastAsia="宋体" w:cs="宋体"/>
          <w:b/>
          <w:bCs w:val="0"/>
          <w:color w:val="auto"/>
          <w:highlight w:val="none"/>
        </w:rPr>
      </w:pPr>
      <w:bookmarkStart w:id="4" w:name="_Toc287627915"/>
      <w:r>
        <w:rPr>
          <w:rFonts w:hint="eastAsia" w:ascii="宋体" w:hAnsi="宋体" w:eastAsia="宋体" w:cs="宋体"/>
          <w:b/>
          <w:bCs w:val="0"/>
          <w:color w:val="auto"/>
          <w:highlight w:val="none"/>
        </w:rPr>
        <w:t>二、工程承包范围及承包方式</w:t>
      </w:r>
      <w:bookmarkEnd w:id="4"/>
    </w:p>
    <w:p w14:paraId="58E08B5D">
      <w:pPr>
        <w:autoSpaceDE w:val="0"/>
        <w:autoSpaceDN w:val="0"/>
        <w:adjustRightIn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工程承包</w:t>
      </w:r>
      <w:r>
        <w:rPr>
          <w:rFonts w:hint="eastAsia" w:ascii="宋体" w:hAnsi="宋体" w:eastAsia="宋体" w:cs="宋体"/>
          <w:color w:val="auto"/>
          <w:kern w:val="0"/>
          <w:sz w:val="24"/>
          <w:highlight w:val="none"/>
        </w:rPr>
        <w:t>方式：</w:t>
      </w:r>
    </w:p>
    <w:p w14:paraId="111F4FE8">
      <w:pPr>
        <w:autoSpaceDE w:val="0"/>
        <w:autoSpaceDN w:val="0"/>
        <w:adjustRightInd w:val="0"/>
        <w:spacing w:line="360" w:lineRule="auto"/>
        <w:ind w:firstLine="480"/>
        <w:jc w:val="both"/>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EPC</w:t>
      </w:r>
      <w:r>
        <w:rPr>
          <w:rFonts w:ascii="宋体" w:hAnsi="宋体" w:eastAsia="宋体" w:cs="宋体"/>
          <w:color w:val="auto"/>
          <w:kern w:val="0"/>
          <w:sz w:val="24"/>
          <w:highlight w:val="none"/>
        </w:rPr>
        <w:t>+</w:t>
      </w:r>
      <w:r>
        <w:rPr>
          <w:rFonts w:hint="eastAsia" w:ascii="宋体" w:hAnsi="宋体" w:eastAsia="宋体" w:cs="宋体"/>
          <w:color w:val="auto"/>
          <w:kern w:val="0"/>
          <w:sz w:val="24"/>
          <w:highlight w:val="none"/>
        </w:rPr>
        <w:t>O</w:t>
      </w:r>
      <w:r>
        <w:rPr>
          <w:rFonts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rPr>
        <w:t>，即勘察</w:t>
      </w:r>
      <w:r>
        <w:rPr>
          <w:rFonts w:hint="eastAsia" w:ascii="宋体" w:hAnsi="宋体" w:eastAsia="宋体" w:cs="宋体"/>
          <w:color w:val="auto"/>
          <w:sz w:val="24"/>
          <w:highlight w:val="none"/>
        </w:rPr>
        <w:t>设计施工总承包及运营（EPCO）。</w:t>
      </w:r>
      <w:r>
        <w:rPr>
          <w:rFonts w:ascii="宋体" w:hAnsi="宋体" w:eastAsia="宋体" w:cs="宋体"/>
          <w:color w:val="auto"/>
          <w:sz w:val="24"/>
          <w:highlight w:val="none"/>
        </w:rPr>
        <w:t>包勘察、包设计（含深化设计）、包</w:t>
      </w:r>
      <w:r>
        <w:rPr>
          <w:rFonts w:hint="eastAsia" w:ascii="宋体" w:hAnsi="宋体" w:eastAsia="宋体" w:cs="宋体"/>
          <w:color w:val="auto"/>
          <w:sz w:val="24"/>
          <w:highlight w:val="none"/>
          <w:lang w:val="en-US" w:eastAsia="zh-CN"/>
        </w:rPr>
        <w:t>工程</w:t>
      </w:r>
      <w:r>
        <w:rPr>
          <w:rFonts w:ascii="宋体" w:hAnsi="宋体" w:eastAsia="宋体" w:cs="宋体"/>
          <w:color w:val="auto"/>
          <w:sz w:val="24"/>
          <w:highlight w:val="none"/>
        </w:rPr>
        <w:t>施工、包工</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包料、包工期、包质量、包安全、包文明施工、包验收通过、</w:t>
      </w:r>
      <w:r>
        <w:rPr>
          <w:rFonts w:hint="eastAsia" w:ascii="宋体" w:hAnsi="宋体" w:eastAsia="宋体" w:cs="宋体"/>
          <w:color w:val="auto"/>
          <w:sz w:val="24"/>
          <w:highlight w:val="none"/>
        </w:rPr>
        <w:t>包保修、施工图预算编制、包变更预算及结算编制、负责办理报建、报批及产业园运营、产业招商、行业孵化、品牌运营、园区物业管理。（施工图预算编、变更预算及结算需经甲方审核确认</w:t>
      </w:r>
      <w:r>
        <w:rPr>
          <w:rFonts w:hint="eastAsia" w:ascii="宋体" w:hAnsi="宋体" w:eastAsia="宋体" w:cs="宋体"/>
          <w:color w:val="auto"/>
          <w:sz w:val="24"/>
          <w:szCs w:val="24"/>
          <w:highlight w:val="none"/>
          <w:lang w:eastAsia="zh-CN"/>
        </w:rPr>
        <w:t>）</w:t>
      </w:r>
    </w:p>
    <w:p w14:paraId="468D9B4E">
      <w:pPr>
        <w:autoSpaceDE w:val="0"/>
        <w:autoSpaceDN w:val="0"/>
        <w:adjustRightInd w:val="0"/>
        <w:spacing w:line="360" w:lineRule="auto"/>
        <w:ind w:firstLine="480"/>
        <w:jc w:val="both"/>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ascii="宋体" w:hAnsi="宋体" w:eastAsia="宋体" w:cs="宋体"/>
          <w:color w:val="auto"/>
          <w:kern w:val="0"/>
          <w:sz w:val="24"/>
          <w:highlight w:val="none"/>
        </w:rPr>
        <w:t>本项目采用EPC+O总承包模式，即工程勘察、设计、施工及运营</w:t>
      </w:r>
      <w:r>
        <w:rPr>
          <w:rFonts w:hint="eastAsia" w:ascii="宋体" w:hAnsi="宋体" w:eastAsia="宋体" w:cs="宋体"/>
          <w:color w:val="auto"/>
          <w:kern w:val="0"/>
          <w:sz w:val="24"/>
          <w:highlight w:val="none"/>
        </w:rPr>
        <w:t>、招商、推广一</w:t>
      </w:r>
      <w:r>
        <w:rPr>
          <w:rFonts w:ascii="宋体" w:hAnsi="宋体" w:eastAsia="宋体" w:cs="宋体"/>
          <w:color w:val="auto"/>
          <w:kern w:val="0"/>
          <w:sz w:val="24"/>
          <w:highlight w:val="none"/>
        </w:rPr>
        <w:t>体化模式。乙方负责勘察</w:t>
      </w:r>
      <w:r>
        <w:rPr>
          <w:rFonts w:hint="eastAsia" w:ascii="宋体" w:hAnsi="宋体" w:eastAsia="宋体" w:cs="宋体"/>
          <w:color w:val="auto"/>
          <w:kern w:val="0"/>
          <w:sz w:val="24"/>
          <w:highlight w:val="none"/>
        </w:rPr>
        <w:t>（</w:t>
      </w:r>
      <w:r>
        <w:rPr>
          <w:rFonts w:hint="eastAsia" w:ascii="宋体" w:hAnsi="宋体" w:eastAsia="宋体" w:cs="宋体"/>
          <w:color w:val="auto"/>
          <w:sz w:val="24"/>
          <w:szCs w:val="24"/>
          <w:highlight w:val="none"/>
          <w:u w:val="single"/>
        </w:rPr>
        <w:t>（补勘）</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ascii="宋体" w:hAnsi="宋体" w:eastAsia="宋体" w:cs="宋体"/>
          <w:color w:val="auto"/>
          <w:kern w:val="0"/>
          <w:sz w:val="24"/>
          <w:highlight w:val="none"/>
        </w:rPr>
        <w:t>设计、施工</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在项目竣工并验收后，</w:t>
      </w:r>
      <w:r>
        <w:rPr>
          <w:rFonts w:hint="eastAsia" w:ascii="宋体" w:hAnsi="宋体" w:eastAsia="宋体" w:cs="宋体"/>
          <w:color w:val="auto"/>
          <w:kern w:val="0"/>
          <w:sz w:val="24"/>
          <w:highlight w:val="none"/>
        </w:rPr>
        <w:t>需要组织</w:t>
      </w:r>
      <w:r>
        <w:rPr>
          <w:rFonts w:ascii="宋体" w:hAnsi="宋体" w:eastAsia="宋体" w:cs="宋体"/>
          <w:color w:val="auto"/>
          <w:kern w:val="0"/>
          <w:sz w:val="24"/>
          <w:highlight w:val="none"/>
        </w:rPr>
        <w:t>产业园招商与运营</w:t>
      </w:r>
      <w:r>
        <w:rPr>
          <w:rFonts w:hint="eastAsia" w:ascii="宋体" w:hAnsi="宋体" w:eastAsia="宋体" w:cs="宋体"/>
          <w:color w:val="auto"/>
          <w:kern w:val="0"/>
          <w:sz w:val="24"/>
          <w:highlight w:val="none"/>
        </w:rPr>
        <w:t>，策划运营管理实施方案及招商执行方案，</w:t>
      </w:r>
      <w:r>
        <w:rPr>
          <w:rFonts w:ascii="宋体" w:hAnsi="宋体" w:eastAsia="宋体" w:cs="宋体"/>
          <w:color w:val="auto"/>
          <w:kern w:val="0"/>
          <w:sz w:val="24"/>
          <w:highlight w:val="none"/>
        </w:rPr>
        <w:t>统筹</w:t>
      </w:r>
      <w:r>
        <w:rPr>
          <w:rFonts w:hint="eastAsia" w:ascii="宋体" w:hAnsi="宋体" w:eastAsia="宋体" w:cs="宋体"/>
          <w:color w:val="auto"/>
          <w:kern w:val="0"/>
          <w:sz w:val="24"/>
          <w:highlight w:val="none"/>
        </w:rPr>
        <w:t>组织</w:t>
      </w:r>
      <w:r>
        <w:rPr>
          <w:rFonts w:ascii="宋体" w:hAnsi="宋体" w:eastAsia="宋体" w:cs="宋体"/>
          <w:color w:val="auto"/>
          <w:kern w:val="0"/>
          <w:sz w:val="24"/>
          <w:highlight w:val="none"/>
        </w:rPr>
        <w:t>招</w:t>
      </w:r>
      <w:r>
        <w:rPr>
          <w:rFonts w:hint="eastAsia" w:ascii="宋体" w:hAnsi="宋体" w:eastAsia="宋体" w:cs="宋体"/>
          <w:color w:val="auto"/>
          <w:kern w:val="0"/>
          <w:sz w:val="24"/>
          <w:highlight w:val="none"/>
        </w:rPr>
        <w:t>商</w:t>
      </w:r>
      <w:r>
        <w:rPr>
          <w:rFonts w:ascii="宋体" w:hAnsi="宋体" w:eastAsia="宋体" w:cs="宋体"/>
          <w:color w:val="auto"/>
          <w:kern w:val="0"/>
          <w:sz w:val="24"/>
          <w:highlight w:val="none"/>
        </w:rPr>
        <w:t>推广工作，负责园区厂房及配套综合楼的出租与</w:t>
      </w:r>
      <w:r>
        <w:rPr>
          <w:rFonts w:hint="eastAsia" w:ascii="宋体" w:hAnsi="宋体" w:eastAsia="宋体" w:cs="宋体"/>
          <w:color w:val="auto"/>
          <w:kern w:val="0"/>
          <w:sz w:val="24"/>
          <w:highlight w:val="none"/>
        </w:rPr>
        <w:t>经</w:t>
      </w:r>
      <w:r>
        <w:rPr>
          <w:rFonts w:ascii="宋体" w:hAnsi="宋体" w:eastAsia="宋体" w:cs="宋体"/>
          <w:color w:val="auto"/>
          <w:kern w:val="0"/>
          <w:sz w:val="24"/>
          <w:highlight w:val="none"/>
        </w:rPr>
        <w:t>营，针对引入的新兴</w:t>
      </w:r>
      <w:r>
        <w:rPr>
          <w:rFonts w:hint="eastAsia" w:ascii="宋体" w:hAnsi="宋体" w:eastAsia="宋体" w:cs="宋体"/>
          <w:color w:val="auto"/>
          <w:kern w:val="0"/>
          <w:sz w:val="24"/>
          <w:highlight w:val="none"/>
        </w:rPr>
        <w:t>产</w:t>
      </w:r>
      <w:r>
        <w:rPr>
          <w:rFonts w:ascii="宋体" w:hAnsi="宋体" w:eastAsia="宋体" w:cs="宋体"/>
          <w:color w:val="auto"/>
          <w:kern w:val="0"/>
          <w:sz w:val="24"/>
          <w:highlight w:val="none"/>
        </w:rPr>
        <w:t>业进行管理。</w:t>
      </w:r>
      <w:r>
        <w:rPr>
          <w:rFonts w:ascii="宋体" w:hAnsi="宋体" w:eastAsia="宋体" w:cs="宋体"/>
          <w:color w:val="auto"/>
          <w:sz w:val="24"/>
          <w:highlight w:val="none"/>
        </w:rPr>
        <w:t>通过全过程</w:t>
      </w:r>
      <w:r>
        <w:rPr>
          <w:rFonts w:hint="eastAsia" w:ascii="宋体" w:hAnsi="宋体" w:eastAsia="宋体" w:cs="宋体"/>
          <w:color w:val="auto"/>
          <w:kern w:val="0"/>
          <w:sz w:val="24"/>
          <w:highlight w:val="none"/>
        </w:rPr>
        <w:t>生命周期管理与控制，</w:t>
      </w:r>
      <w:r>
        <w:rPr>
          <w:rFonts w:ascii="宋体" w:hAnsi="宋体" w:eastAsia="宋体" w:cs="宋体"/>
          <w:color w:val="auto"/>
          <w:kern w:val="0"/>
          <w:sz w:val="24"/>
          <w:highlight w:val="none"/>
        </w:rPr>
        <w:t>高质量、高效率</w:t>
      </w:r>
      <w:r>
        <w:rPr>
          <w:rFonts w:hint="eastAsia" w:ascii="宋体" w:hAnsi="宋体" w:eastAsia="宋体" w:cs="宋体"/>
          <w:color w:val="auto"/>
          <w:kern w:val="0"/>
          <w:sz w:val="24"/>
          <w:highlight w:val="none"/>
        </w:rPr>
        <w:t>推进</w:t>
      </w:r>
      <w:r>
        <w:rPr>
          <w:rFonts w:ascii="宋体" w:hAnsi="宋体" w:eastAsia="宋体" w:cs="宋体"/>
          <w:color w:val="auto"/>
          <w:kern w:val="0"/>
          <w:sz w:val="24"/>
          <w:highlight w:val="none"/>
        </w:rPr>
        <w:t>园区运营</w:t>
      </w:r>
      <w:r>
        <w:rPr>
          <w:rFonts w:hint="eastAsia" w:ascii="宋体" w:hAnsi="宋体" w:eastAsia="宋体" w:cs="宋体"/>
          <w:color w:val="auto"/>
          <w:kern w:val="0"/>
          <w:sz w:val="24"/>
          <w:highlight w:val="none"/>
        </w:rPr>
        <w:t>管理</w:t>
      </w:r>
      <w:r>
        <w:rPr>
          <w:rFonts w:ascii="宋体" w:hAnsi="宋体" w:eastAsia="宋体" w:cs="宋体"/>
          <w:color w:val="auto"/>
          <w:kern w:val="0"/>
          <w:sz w:val="24"/>
          <w:highlight w:val="none"/>
        </w:rPr>
        <w:t>、</w:t>
      </w:r>
      <w:r>
        <w:rPr>
          <w:rFonts w:hint="eastAsia" w:ascii="宋体" w:hAnsi="宋体" w:eastAsia="宋体" w:cs="宋体"/>
          <w:color w:val="auto"/>
          <w:sz w:val="24"/>
          <w:highlight w:val="none"/>
        </w:rPr>
        <w:t>行业招商、</w:t>
      </w:r>
      <w:r>
        <w:rPr>
          <w:rFonts w:hint="eastAsia" w:ascii="宋体" w:hAnsi="宋体" w:eastAsia="宋体" w:cs="宋体"/>
          <w:color w:val="auto"/>
          <w:kern w:val="0"/>
          <w:sz w:val="24"/>
          <w:highlight w:val="none"/>
        </w:rPr>
        <w:t>企业招租与孵化</w:t>
      </w:r>
      <w:r>
        <w:rPr>
          <w:rFonts w:ascii="宋体" w:hAnsi="宋体" w:eastAsia="宋体" w:cs="宋体"/>
          <w:color w:val="auto"/>
          <w:sz w:val="24"/>
          <w:highlight w:val="none"/>
        </w:rPr>
        <w:t>、</w:t>
      </w:r>
      <w:r>
        <w:rPr>
          <w:rFonts w:hint="eastAsia" w:ascii="宋体" w:hAnsi="宋体" w:eastAsia="宋体" w:cs="宋体"/>
          <w:color w:val="auto"/>
          <w:sz w:val="24"/>
          <w:highlight w:val="none"/>
        </w:rPr>
        <w:t>品牌</w:t>
      </w:r>
      <w:r>
        <w:rPr>
          <w:rFonts w:ascii="宋体" w:hAnsi="宋体" w:eastAsia="宋体" w:cs="宋体"/>
          <w:color w:val="auto"/>
          <w:sz w:val="24"/>
          <w:highlight w:val="none"/>
        </w:rPr>
        <w:t>运营</w:t>
      </w:r>
      <w:r>
        <w:rPr>
          <w:rFonts w:hint="eastAsia" w:ascii="宋体" w:hAnsi="宋体" w:eastAsia="宋体" w:cs="宋体"/>
          <w:color w:val="auto"/>
          <w:sz w:val="24"/>
          <w:highlight w:val="none"/>
        </w:rPr>
        <w:t>、物业</w:t>
      </w:r>
      <w:r>
        <w:rPr>
          <w:rFonts w:ascii="宋体" w:hAnsi="宋体" w:eastAsia="宋体" w:cs="宋体"/>
          <w:color w:val="auto"/>
          <w:sz w:val="24"/>
          <w:highlight w:val="none"/>
        </w:rPr>
        <w:t>管理</w:t>
      </w:r>
      <w:r>
        <w:rPr>
          <w:rFonts w:ascii="宋体" w:hAnsi="宋体" w:eastAsia="宋体" w:cs="宋体"/>
          <w:color w:val="auto"/>
          <w:kern w:val="0"/>
          <w:sz w:val="24"/>
          <w:highlight w:val="none"/>
        </w:rPr>
        <w:t>。</w:t>
      </w:r>
    </w:p>
    <w:p w14:paraId="505C3F7D">
      <w:pPr>
        <w:autoSpaceDE/>
        <w:autoSpaceDN/>
        <w:adjustRightInd/>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、工程勘察</w:t>
      </w:r>
      <w:r>
        <w:rPr>
          <w:rFonts w:hint="eastAsia" w:ascii="宋体" w:hAnsi="宋体" w:eastAsia="宋体" w:cs="宋体"/>
          <w:color w:val="auto"/>
          <w:sz w:val="24"/>
          <w:highlight w:val="none"/>
          <w:lang w:val="en-US" w:eastAsia="zh-CN"/>
        </w:rPr>
        <w:t>按</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确认</w:t>
      </w:r>
      <w:r>
        <w:rPr>
          <w:rFonts w:hint="eastAsia" w:ascii="宋体" w:hAnsi="宋体" w:eastAsia="宋体" w:cs="宋体"/>
          <w:color w:val="auto"/>
          <w:sz w:val="24"/>
          <w:highlight w:val="none"/>
        </w:rPr>
        <w:t>的勘察工作大纲中</w:t>
      </w:r>
      <w:r>
        <w:rPr>
          <w:rFonts w:hint="eastAsia" w:ascii="宋体" w:hAnsi="宋体" w:eastAsia="宋体" w:cs="宋体"/>
          <w:color w:val="auto"/>
          <w:sz w:val="24"/>
          <w:highlight w:val="none"/>
          <w:lang w:val="en-US" w:eastAsia="zh-CN"/>
        </w:rPr>
        <w:t>实际发生的</w:t>
      </w:r>
      <w:r>
        <w:rPr>
          <w:rFonts w:hint="eastAsia" w:ascii="宋体" w:hAnsi="宋体" w:eastAsia="宋体" w:cs="宋体"/>
          <w:color w:val="auto"/>
          <w:sz w:val="24"/>
          <w:highlight w:val="none"/>
        </w:rPr>
        <w:t>工作量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根据</w:t>
      </w:r>
      <w:r>
        <w:rPr>
          <w:rFonts w:hint="eastAsia" w:ascii="宋体" w:hAnsi="宋体" w:eastAsia="宋体" w:cs="宋体"/>
          <w:color w:val="auto"/>
          <w:sz w:val="24"/>
          <w:szCs w:val="24"/>
          <w:highlight w:val="none"/>
          <w:lang w:val="zh-CN"/>
        </w:rPr>
        <w:t>《工程勘察设计收费标准》（2002年修订本）</w:t>
      </w:r>
      <w:r>
        <w:rPr>
          <w:rFonts w:hint="eastAsia" w:ascii="宋体" w:hAnsi="宋体" w:eastAsia="宋体" w:cs="宋体"/>
          <w:color w:val="auto"/>
          <w:spacing w:val="10"/>
          <w:sz w:val="24"/>
          <w:szCs w:val="24"/>
          <w:highlight w:val="none"/>
          <w:lang w:val="en-US" w:eastAsia="zh-CN"/>
        </w:rPr>
        <w:t>中对应项目的价格标准</w:t>
      </w:r>
      <w:r>
        <w:rPr>
          <w:rFonts w:hint="eastAsia" w:ascii="宋体" w:hAnsi="宋体" w:eastAsia="宋体" w:cs="宋体"/>
          <w:bCs w:val="0"/>
          <w:color w:val="auto"/>
          <w:sz w:val="24"/>
          <w:szCs w:val="24"/>
          <w:highlight w:val="none"/>
          <w:lang w:val="en-US" w:eastAsia="zh-CN"/>
        </w:rPr>
        <w:t>乘以（1-20%-中标下浮率）</w:t>
      </w:r>
      <w:r>
        <w:rPr>
          <w:rFonts w:hint="eastAsia" w:ascii="宋体" w:hAnsi="宋体" w:eastAsia="宋体" w:cs="宋体"/>
          <w:color w:val="auto"/>
          <w:spacing w:val="10"/>
          <w:sz w:val="24"/>
          <w:szCs w:val="24"/>
          <w:highlight w:val="none"/>
          <w:lang w:val="en-US" w:eastAsia="zh-CN"/>
        </w:rPr>
        <w:t>来结算勘察费用。</w:t>
      </w:r>
      <w:r>
        <w:rPr>
          <w:rFonts w:hint="eastAsia" w:ascii="宋体" w:hAnsi="宋体" w:eastAsia="宋体" w:cs="宋体"/>
          <w:color w:val="auto"/>
          <w:sz w:val="24"/>
          <w:szCs w:val="24"/>
          <w:highlight w:val="none"/>
        </w:rPr>
        <w:t>工程量按实计算，最终结算</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lang w:val="en-US" w:eastAsia="zh-CN"/>
        </w:rPr>
        <w:t>不得超出中标价，如超出中标价，则按勘察费中标价结算。最终结算价</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审定结果为准。</w:t>
      </w:r>
    </w:p>
    <w:p w14:paraId="46F7A1B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w:t>
      </w:r>
      <w:r>
        <w:rPr>
          <w:rFonts w:hint="eastAsia" w:ascii="宋体" w:hAnsi="宋体" w:eastAsia="宋体" w:cs="宋体"/>
          <w:bCs/>
          <w:snapToGrid w:val="0"/>
          <w:color w:val="auto"/>
          <w:kern w:val="0"/>
          <w:sz w:val="24"/>
          <w:szCs w:val="24"/>
          <w:highlight w:val="none"/>
        </w:rPr>
        <w:t>、</w:t>
      </w:r>
      <w:r>
        <w:rPr>
          <w:rFonts w:hint="eastAsia" w:ascii="宋体" w:hAnsi="宋体" w:eastAsia="宋体" w:cs="宋体"/>
          <w:color w:val="auto"/>
          <w:sz w:val="24"/>
          <w:szCs w:val="24"/>
          <w:highlight w:val="none"/>
        </w:rPr>
        <w:t>工程设计必须依据可行性研究报告进行施工图设计，工程设计的范围、标准、规格、限额均不得超过可行性研究报告的要求，满足甲方成本控制要求。设计费的结算以经甲方最终确定的施工图预算为计费基数，按《工程勘察设计收费标准》（2002年修订本）规定计算的设计收费基价并结合各调整系数（工程复杂程度调整系数为1.0、专业调整系数为1.0、附加调整系数为1.0）后再乘以（1-20%-中标下浮率）计算</w:t>
      </w:r>
      <w:r>
        <w:rPr>
          <w:rFonts w:hint="eastAsia" w:ascii="宋体" w:hAnsi="宋体" w:eastAsia="宋体" w:cs="宋体"/>
          <w:bCs w:val="0"/>
          <w:color w:val="auto"/>
          <w:sz w:val="24"/>
          <w:szCs w:val="24"/>
          <w:highlight w:val="none"/>
          <w:lang w:eastAsia="zh-CN"/>
        </w:rPr>
        <w:t>。</w:t>
      </w:r>
    </w:p>
    <w:p w14:paraId="4A0ADA3D">
      <w:pPr>
        <w:autoSpaceDE/>
        <w:autoSpaceDN/>
        <w:adjustRightInd/>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设计费</w:t>
      </w:r>
      <w:r>
        <w:rPr>
          <w:rFonts w:hint="eastAsia" w:ascii="宋体" w:hAnsi="宋体" w:eastAsia="宋体" w:cs="宋体"/>
          <w:bCs w:val="0"/>
          <w:color w:val="auto"/>
          <w:sz w:val="24"/>
          <w:szCs w:val="24"/>
          <w:highlight w:val="none"/>
          <w:lang w:val="en-US" w:eastAsia="zh-CN"/>
        </w:rPr>
        <w:t>最终</w:t>
      </w:r>
      <w:r>
        <w:rPr>
          <w:rFonts w:hint="eastAsia" w:ascii="宋体" w:hAnsi="宋体" w:eastAsia="宋体" w:cs="宋体"/>
          <w:bCs w:val="0"/>
          <w:color w:val="auto"/>
          <w:sz w:val="24"/>
          <w:szCs w:val="24"/>
          <w:highlight w:val="none"/>
        </w:rPr>
        <w:t>结算价不得超过设计费中标价，如超</w:t>
      </w:r>
      <w:r>
        <w:rPr>
          <w:rFonts w:hint="eastAsia" w:ascii="宋体" w:hAnsi="宋体" w:eastAsia="宋体" w:cs="宋体"/>
          <w:bCs w:val="0"/>
          <w:color w:val="auto"/>
          <w:sz w:val="24"/>
          <w:szCs w:val="24"/>
          <w:highlight w:val="none"/>
          <w:lang w:val="en-US" w:eastAsia="zh-CN"/>
        </w:rPr>
        <w:t>过中标价</w:t>
      </w:r>
      <w:r>
        <w:rPr>
          <w:rFonts w:hint="eastAsia" w:ascii="宋体" w:hAnsi="宋体" w:eastAsia="宋体" w:cs="宋体"/>
          <w:bCs w:val="0"/>
          <w:color w:val="auto"/>
          <w:sz w:val="24"/>
          <w:szCs w:val="24"/>
          <w:highlight w:val="none"/>
        </w:rPr>
        <w:t>，则按设计费中标价结算，设计费最终结算价</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审定结果为准。</w:t>
      </w:r>
    </w:p>
    <w:p w14:paraId="4D060B25">
      <w:pPr>
        <w:pStyle w:val="92"/>
        <w:snapToGrid w:val="0"/>
        <w:spacing w:line="360" w:lineRule="auto"/>
        <w:ind w:firstLine="490"/>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5</w:t>
      </w:r>
      <w:r>
        <w:rPr>
          <w:rFonts w:hint="eastAsia" w:ascii="宋体" w:hAnsi="宋体" w:eastAsia="宋体" w:cs="宋体"/>
          <w:bCs w:val="0"/>
          <w:color w:val="auto"/>
          <w:sz w:val="24"/>
          <w:szCs w:val="24"/>
          <w:highlight w:val="none"/>
        </w:rPr>
        <w:t>、工程施工部分：按经</w:t>
      </w:r>
      <w:r>
        <w:rPr>
          <w:rFonts w:hint="eastAsia" w:ascii="宋体" w:hAnsi="宋体" w:eastAsia="宋体" w:cs="宋体"/>
          <w:bCs w:val="0"/>
          <w:color w:val="auto"/>
          <w:sz w:val="24"/>
          <w:szCs w:val="24"/>
          <w:highlight w:val="none"/>
          <w:lang w:val="en-US" w:eastAsia="zh-CN"/>
        </w:rPr>
        <w:t>甲方确认</w:t>
      </w:r>
      <w:r>
        <w:rPr>
          <w:rFonts w:hint="eastAsia" w:ascii="宋体" w:hAnsi="宋体" w:eastAsia="宋体" w:cs="宋体"/>
          <w:bCs w:val="0"/>
          <w:color w:val="auto"/>
          <w:sz w:val="24"/>
          <w:szCs w:val="24"/>
          <w:highlight w:val="none"/>
        </w:rPr>
        <w:t>的</w:t>
      </w:r>
      <w:r>
        <w:rPr>
          <w:rFonts w:hint="eastAsia" w:ascii="宋体" w:hAnsi="宋体" w:eastAsia="宋体" w:cs="宋体"/>
          <w:bCs w:val="0"/>
          <w:color w:val="auto"/>
          <w:sz w:val="24"/>
          <w:szCs w:val="24"/>
          <w:highlight w:val="none"/>
          <w:lang w:val="en-US" w:eastAsia="zh-CN"/>
        </w:rPr>
        <w:t>施工图</w:t>
      </w:r>
      <w:r>
        <w:rPr>
          <w:rFonts w:hint="eastAsia" w:ascii="宋体" w:hAnsi="宋体" w:eastAsia="宋体" w:cs="宋体"/>
          <w:bCs w:val="0"/>
          <w:color w:val="auto"/>
          <w:sz w:val="24"/>
          <w:szCs w:val="24"/>
          <w:highlight w:val="none"/>
        </w:rPr>
        <w:t>预算及合同约定的计价方式确定的综合单价包干，项目措施费</w:t>
      </w:r>
      <w:r>
        <w:rPr>
          <w:rFonts w:hint="eastAsia" w:ascii="宋体" w:hAnsi="宋体" w:eastAsia="宋体" w:cs="宋体"/>
          <w:bCs w:val="0"/>
          <w:color w:val="auto"/>
          <w:sz w:val="24"/>
          <w:szCs w:val="24"/>
          <w:highlight w:val="none"/>
          <w:lang w:val="en-US" w:eastAsia="zh-CN"/>
        </w:rPr>
        <w:t>总价</w:t>
      </w:r>
      <w:r>
        <w:rPr>
          <w:rFonts w:hint="eastAsia" w:ascii="宋体" w:hAnsi="宋体" w:eastAsia="宋体" w:cs="宋体"/>
          <w:bCs w:val="0"/>
          <w:color w:val="auto"/>
          <w:sz w:val="24"/>
          <w:szCs w:val="24"/>
          <w:highlight w:val="none"/>
        </w:rPr>
        <w:t>包干，工程量按实计算。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项目措施费调减的特殊情况：工程实施内容减少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据实</w:t>
      </w:r>
      <w:r>
        <w:rPr>
          <w:rFonts w:hint="eastAsia" w:ascii="宋体" w:hAnsi="宋体" w:eastAsia="宋体" w:cs="宋体"/>
          <w:color w:val="auto"/>
          <w:sz w:val="24"/>
          <w:szCs w:val="24"/>
          <w:highlight w:val="none"/>
        </w:rPr>
        <w:t>调减措施项目费</w:t>
      </w:r>
      <w:r>
        <w:rPr>
          <w:rFonts w:hint="eastAsia" w:ascii="宋体" w:hAnsi="宋体" w:eastAsia="宋体" w:cs="宋体"/>
          <w:color w:val="auto"/>
          <w:sz w:val="24"/>
          <w:szCs w:val="24"/>
          <w:highlight w:val="none"/>
          <w:lang w:val="en-US" w:eastAsia="zh-CN"/>
        </w:rPr>
        <w:t>)</w:t>
      </w:r>
    </w:p>
    <w:p w14:paraId="3B5755FF">
      <w:pPr>
        <w:spacing w:line="360" w:lineRule="auto"/>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施工图预算编制须按</w:t>
      </w:r>
      <w:r>
        <w:rPr>
          <w:rFonts w:hint="eastAsia" w:ascii="宋体" w:hAnsi="宋体" w:eastAsia="宋体" w:cs="宋体"/>
          <w:bCs w:val="0"/>
          <w:color w:val="auto"/>
          <w:sz w:val="24"/>
          <w:szCs w:val="24"/>
          <w:highlight w:val="none"/>
          <w:lang w:val="en-US" w:eastAsia="zh-CN"/>
        </w:rPr>
        <w:t>本</w:t>
      </w:r>
      <w:r>
        <w:rPr>
          <w:rFonts w:hint="eastAsia" w:ascii="宋体" w:hAnsi="宋体" w:eastAsia="宋体" w:cs="宋体"/>
          <w:bCs w:val="0"/>
          <w:color w:val="auto"/>
          <w:sz w:val="24"/>
          <w:szCs w:val="24"/>
          <w:highlight w:val="none"/>
        </w:rPr>
        <w:t>合同的相关规定</w:t>
      </w:r>
      <w:r>
        <w:rPr>
          <w:rFonts w:hint="eastAsia" w:ascii="宋体" w:hAnsi="宋体" w:eastAsia="宋体" w:cs="宋体"/>
          <w:bCs w:val="0"/>
          <w:color w:val="auto"/>
          <w:sz w:val="24"/>
          <w:szCs w:val="24"/>
          <w:highlight w:val="none"/>
          <w:lang w:val="en-US" w:eastAsia="zh-CN"/>
        </w:rPr>
        <w:t>并结合</w:t>
      </w:r>
      <w:r>
        <w:rPr>
          <w:rFonts w:hint="eastAsia" w:ascii="宋体" w:hAnsi="宋体" w:eastAsia="宋体" w:cs="宋体"/>
          <w:bCs w:val="0"/>
          <w:color w:val="auto"/>
          <w:sz w:val="24"/>
          <w:szCs w:val="24"/>
          <w:highlight w:val="none"/>
        </w:rPr>
        <w:t>中标下浮率编制</w:t>
      </w:r>
      <w:r>
        <w:rPr>
          <w:rFonts w:hint="eastAsia" w:ascii="宋体" w:hAnsi="宋体" w:eastAsia="宋体" w:cs="宋体"/>
          <w:bCs w:val="0"/>
          <w:color w:val="auto"/>
          <w:sz w:val="24"/>
          <w:szCs w:val="24"/>
          <w:highlight w:val="none"/>
          <w:lang w:eastAsia="zh-CN"/>
        </w:rPr>
        <w:t>。</w:t>
      </w:r>
      <w:r>
        <w:rPr>
          <w:rFonts w:hint="eastAsia" w:ascii="宋体" w:hAnsi="宋体" w:eastAsia="宋体" w:cs="宋体"/>
          <w:bCs w:val="0"/>
          <w:color w:val="auto"/>
          <w:sz w:val="24"/>
          <w:szCs w:val="24"/>
          <w:highlight w:val="none"/>
        </w:rPr>
        <w:t>施工费结算价不得超过</w:t>
      </w:r>
      <w:r>
        <w:rPr>
          <w:rFonts w:hint="eastAsia" w:ascii="宋体" w:hAnsi="宋体" w:eastAsia="宋体" w:cs="宋体"/>
          <w:bCs w:val="0"/>
          <w:color w:val="auto"/>
          <w:sz w:val="24"/>
          <w:szCs w:val="24"/>
          <w:highlight w:val="none"/>
          <w:lang w:val="en-US" w:eastAsia="zh-CN"/>
        </w:rPr>
        <w:t>甲方确认的</w:t>
      </w:r>
      <w:r>
        <w:rPr>
          <w:rFonts w:hint="eastAsia" w:ascii="宋体" w:hAnsi="宋体" w:eastAsia="宋体" w:cs="宋体"/>
          <w:bCs w:val="0"/>
          <w:color w:val="auto"/>
          <w:sz w:val="24"/>
          <w:szCs w:val="24"/>
          <w:highlight w:val="none"/>
        </w:rPr>
        <w:t>施工图预算价（</w:t>
      </w:r>
      <w:r>
        <w:rPr>
          <w:rFonts w:hint="eastAsia" w:ascii="宋体" w:hAnsi="宋体" w:eastAsia="宋体" w:cs="宋体"/>
          <w:bCs w:val="0"/>
          <w:color w:val="auto"/>
          <w:sz w:val="24"/>
          <w:szCs w:val="24"/>
          <w:highlight w:val="none"/>
          <w:lang w:val="en-US" w:eastAsia="zh-CN"/>
        </w:rPr>
        <w:t>甲方</w:t>
      </w:r>
      <w:r>
        <w:rPr>
          <w:rFonts w:hint="eastAsia" w:ascii="宋体" w:hAnsi="宋体" w:eastAsia="宋体" w:cs="宋体"/>
          <w:bCs w:val="0"/>
          <w:color w:val="auto"/>
          <w:sz w:val="24"/>
          <w:szCs w:val="24"/>
          <w:highlight w:val="none"/>
          <w:lang w:eastAsia="zh-CN"/>
        </w:rPr>
        <w:t>增加的指令变更除外</w:t>
      </w:r>
      <w:r>
        <w:rPr>
          <w:rFonts w:hint="eastAsia" w:ascii="宋体" w:hAnsi="宋体" w:eastAsia="宋体" w:cs="宋体"/>
          <w:bCs w:val="0"/>
          <w:color w:val="auto"/>
          <w:sz w:val="24"/>
          <w:szCs w:val="24"/>
          <w:highlight w:val="none"/>
        </w:rPr>
        <w:t>）。</w:t>
      </w:r>
    </w:p>
    <w:p w14:paraId="29B74CC2">
      <w:pPr>
        <w:autoSpaceDE w:val="0"/>
        <w:autoSpaceDN w:val="0"/>
        <w:adjustRightInd w:val="0"/>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（二）承包范围：</w:t>
      </w:r>
    </w:p>
    <w:p w14:paraId="5375A29A">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1、勘察（补勘）部分：</w:t>
      </w:r>
    </w:p>
    <w:p w14:paraId="6A45112D">
      <w:pPr>
        <w:pStyle w:val="44"/>
        <w:spacing w:line="360" w:lineRule="auto"/>
        <w:ind w:left="0" w:leftChars="0" w:firstLineChars="0"/>
        <w:rPr>
          <w:rFonts w:hint="eastAsia" w:ascii="宋体" w:hAnsi="宋体" w:eastAsia="宋体" w:cs="宋体"/>
          <w:color w:val="auto"/>
          <w:kern w:val="2"/>
          <w:sz w:val="24"/>
          <w:highlight w:val="none"/>
        </w:rPr>
      </w:pPr>
      <w:r>
        <w:rPr>
          <w:rFonts w:hint="eastAsia" w:ascii="宋体" w:hAnsi="宋体" w:eastAsia="宋体" w:cs="宋体"/>
          <w:color w:val="auto"/>
          <w:sz w:val="24"/>
          <w:szCs w:val="24"/>
          <w:highlight w:val="none"/>
        </w:rPr>
        <w:t>完成本项目规划红线图范围及周边所需的所有勘察工作</w:t>
      </w:r>
      <w:r>
        <w:rPr>
          <w:rFonts w:hint="eastAsia" w:ascii="宋体" w:hAnsi="宋体" w:cs="宋体"/>
          <w:color w:val="auto"/>
          <w:sz w:val="24"/>
          <w:szCs w:val="24"/>
          <w:highlight w:val="none"/>
          <w:lang w:eastAsia="zh-CN"/>
        </w:rPr>
        <w:t>，主要为项目后续设计或项目需要进行补勘</w:t>
      </w:r>
      <w:r>
        <w:rPr>
          <w:rFonts w:hint="eastAsia" w:ascii="宋体" w:hAnsi="宋体" w:eastAsia="宋体" w:cs="宋体"/>
          <w:color w:val="auto"/>
          <w:sz w:val="24"/>
          <w:szCs w:val="24"/>
          <w:highlight w:val="none"/>
        </w:rPr>
        <w:t>（具体详见勘察设计任务书和合同约定为准）。本合同条款约定的价格已综合考虑不同自然条件下、不同作业内容、不同复杂程度及高温勘察等一切因素下实施上述所有勘察工作内容所需要的费用。</w:t>
      </w:r>
    </w:p>
    <w:p w14:paraId="5B58CBFC">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Start w:id="5" w:name="_Hlk15368512"/>
      <w:bookmarkStart w:id="6" w:name="_Hlk13734755"/>
      <w:bookmarkStart w:id="7" w:name="_Hlk15398477"/>
      <w:r>
        <w:rPr>
          <w:rFonts w:hint="eastAsia" w:ascii="宋体" w:hAnsi="宋体" w:eastAsia="宋体" w:cs="宋体"/>
          <w:color w:val="auto"/>
          <w:sz w:val="24"/>
          <w:highlight w:val="none"/>
        </w:rPr>
        <w:t>设计部分：</w:t>
      </w:r>
    </w:p>
    <w:p w14:paraId="29BAE075">
      <w:pPr>
        <w:adjustRightInd w:val="0"/>
        <w:snapToGrid w:val="0"/>
        <w:spacing w:before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内容主要包括但不限于：</w:t>
      </w:r>
    </w:p>
    <w:p w14:paraId="56184E6F">
      <w:pPr>
        <w:adjustRightInd w:val="0"/>
        <w:snapToGrid w:val="0"/>
        <w:spacing w:line="360" w:lineRule="auto"/>
        <w:ind w:firstLine="240" w:firstLineChars="100"/>
        <w:rPr>
          <w:rFonts w:hint="eastAsia" w:ascii="宋体" w:hAnsi="宋体" w:eastAsia="宋体" w:cs="宋体"/>
          <w:color w:val="auto"/>
          <w:sz w:val="24"/>
          <w:highlight w:val="none"/>
        </w:rPr>
      </w:pPr>
      <w:r>
        <w:rPr>
          <w:rFonts w:ascii="宋体" w:hAnsi="宋体" w:eastAsia="宋体" w:cs="宋体"/>
          <w:color w:val="auto"/>
          <w:sz w:val="24"/>
          <w:highlight w:val="none"/>
        </w:rPr>
        <w:t>（1）负责编制方案设计、报建，规划阶段技术审查、修建性详细规划设计及报批（修详通</w:t>
      </w:r>
      <w:r>
        <w:rPr>
          <w:rFonts w:hint="eastAsia" w:ascii="宋体" w:hAnsi="宋体" w:eastAsia="宋体" w:cs="宋体"/>
          <w:color w:val="auto"/>
          <w:sz w:val="24"/>
          <w:highlight w:val="none"/>
        </w:rPr>
        <w:t>过</w:t>
      </w:r>
      <w:r>
        <w:rPr>
          <w:rFonts w:ascii="宋体" w:hAnsi="宋体" w:eastAsia="宋体" w:cs="宋体"/>
          <w:color w:val="auto"/>
          <w:sz w:val="24"/>
          <w:highlight w:val="none"/>
        </w:rPr>
        <w:t>完成），单体报建（报建通</w:t>
      </w:r>
      <w:r>
        <w:rPr>
          <w:rFonts w:hint="eastAsia" w:ascii="宋体" w:hAnsi="宋体" w:eastAsia="宋体" w:cs="宋体"/>
          <w:color w:val="auto"/>
          <w:sz w:val="24"/>
          <w:highlight w:val="none"/>
        </w:rPr>
        <w:t>过</w:t>
      </w:r>
      <w:r>
        <w:rPr>
          <w:rFonts w:ascii="宋体" w:hAnsi="宋体" w:eastAsia="宋体" w:cs="宋体"/>
          <w:color w:val="auto"/>
          <w:sz w:val="24"/>
          <w:highlight w:val="none"/>
        </w:rPr>
        <w:t>完成），设计成果需获得规划批复部门认可并取得修建性详细规划方案批复、配合确定工程规划许可证等一切工作。</w:t>
      </w:r>
    </w:p>
    <w:p w14:paraId="556FFD54">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）负责项目施工图设计，配合施工图审查，并取得施工图审查合格书。同时需配合后续消防、住建等部门及施工图质量抽检复核修改工作。</w:t>
      </w:r>
    </w:p>
    <w:p w14:paraId="4C736D49">
      <w:pPr>
        <w:adjustRightInd w:val="0"/>
        <w:snapToGrid w:val="0"/>
        <w:spacing w:line="456"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）负责规划用地红线范围内所有正式建筑物和市政配套工程各专业施工图设计，包括：建筑、结构、给排水、强电、弱电、通风、消防、</w:t>
      </w:r>
      <w:r>
        <w:rPr>
          <w:rFonts w:hint="eastAsia" w:ascii="宋体" w:hAnsi="宋体" w:eastAsia="宋体" w:cs="宋体"/>
          <w:color w:val="auto"/>
          <w:sz w:val="24"/>
          <w:highlight w:val="none"/>
          <w:u w:val="none"/>
          <w:lang w:val="en-US" w:eastAsia="zh-CN"/>
        </w:rPr>
        <w:t>基坑支护</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施工图设计。</w:t>
      </w:r>
    </w:p>
    <w:p w14:paraId="02A8FA74">
      <w:pPr>
        <w:adjustRightInd w:val="0"/>
        <w:snapToGrid w:val="0"/>
        <w:spacing w:line="456"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室外配套工程、道路（含规划市政道路接驳及厂区道路）、园林景观、室外给排水、电气管线、室外广场</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施工图设计。</w:t>
      </w:r>
    </w:p>
    <w:p w14:paraId="4025566B">
      <w:pPr>
        <w:adjustRightInd w:val="0"/>
        <w:snapToGrid w:val="0"/>
        <w:spacing w:line="456" w:lineRule="exact"/>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负责建筑节能、绿色建筑设计</w:t>
      </w:r>
      <w:r>
        <w:rPr>
          <w:rFonts w:hint="eastAsia" w:ascii="宋体" w:hAnsi="宋体" w:eastAsia="宋体" w:cs="宋体"/>
          <w:color w:val="auto"/>
          <w:sz w:val="24"/>
          <w:highlight w:val="none"/>
          <w:lang w:eastAsia="zh-CN"/>
        </w:rPr>
        <w:t>（如有）</w:t>
      </w:r>
      <w:r>
        <w:rPr>
          <w:rFonts w:hint="eastAsia" w:ascii="宋体" w:hAnsi="宋体" w:eastAsia="宋体" w:cs="宋体"/>
          <w:color w:val="auto"/>
          <w:sz w:val="24"/>
          <w:highlight w:val="none"/>
        </w:rPr>
        <w:t>。</w:t>
      </w:r>
    </w:p>
    <w:p w14:paraId="3EEB7C5A">
      <w:pPr>
        <w:adjustRightInd w:val="0"/>
        <w:snapToGrid w:val="0"/>
        <w:spacing w:line="456" w:lineRule="exact"/>
        <w:ind w:firstLine="240" w:firstLineChars="100"/>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lang w:val="en-US" w:eastAsia="zh-CN"/>
        </w:rPr>
        <w:t>（6）</w:t>
      </w:r>
      <w:r>
        <w:rPr>
          <w:rFonts w:hint="eastAsia" w:ascii="宋体" w:hAnsi="宋体" w:eastAsia="宋体" w:cs="宋体"/>
          <w:strike w:val="0"/>
          <w:dstrike w:val="0"/>
          <w:color w:val="auto"/>
          <w:sz w:val="24"/>
          <w:highlight w:val="none"/>
        </w:rPr>
        <w:t>外电（从供电部门批复的接取电源处开始，至本项目高低压配电房的电力设施装置及土建），满足规范及相关部门申报要求。</w:t>
      </w:r>
    </w:p>
    <w:p w14:paraId="49D32DE9">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配合发包人办理项目建设工程规划许可证等规划报批、施工图报建和验收工作。</w:t>
      </w:r>
    </w:p>
    <w:p w14:paraId="539095E5">
      <w:pPr>
        <w:adjustRightInd w:val="0"/>
        <w:snapToGrid w:val="0"/>
        <w:spacing w:line="456" w:lineRule="exact"/>
        <w:ind w:firstLine="240" w:firstLineChars="100"/>
        <w:rPr>
          <w:rFonts w:hint="eastAsia" w:ascii="宋体" w:hAnsi="宋体" w:eastAsia="宋体" w:cs="宋体"/>
          <w:strike/>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负责工程施工过程直至竣工验收前的设计服务等工作，保证设计变更满足施工进度要求，并按施工总乙方及发包人要求准备汇报材料。</w:t>
      </w:r>
    </w:p>
    <w:p w14:paraId="6586B3B5">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负责项目竣工图审核工作。</w:t>
      </w:r>
    </w:p>
    <w:p w14:paraId="30361266">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各阶段设计深度需达到住建部《建设工程设计文件编制深度规定（2016年版）》设计深度的有关规定。</w:t>
      </w:r>
    </w:p>
    <w:p w14:paraId="7F47A27D">
      <w:pPr>
        <w:adjustRightInd w:val="0"/>
        <w:snapToGrid w:val="0"/>
        <w:spacing w:line="456"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全过程设计服务及协调工作，设计阶段根据</w:t>
      </w:r>
      <w:r>
        <w:rPr>
          <w:rFonts w:hint="eastAsia" w:ascii="宋体" w:hAnsi="宋体" w:eastAsia="宋体" w:cs="宋体"/>
          <w:color w:val="auto"/>
          <w:sz w:val="24"/>
          <w:highlight w:val="none"/>
          <w:lang w:val="en-US" w:eastAsia="zh-CN"/>
        </w:rPr>
        <w:t>甲方要求及</w:t>
      </w:r>
      <w:r>
        <w:rPr>
          <w:rFonts w:hint="eastAsia" w:ascii="宋体" w:hAnsi="宋体" w:eastAsia="宋体" w:cs="宋体"/>
          <w:color w:val="auto"/>
          <w:sz w:val="24"/>
          <w:highlight w:val="none"/>
        </w:rPr>
        <w:t>工程建设需要，乙方应安排相关人员到</w:t>
      </w:r>
      <w:r>
        <w:rPr>
          <w:rFonts w:hint="eastAsia" w:ascii="宋体" w:hAnsi="宋体" w:eastAsia="宋体" w:cs="宋体"/>
          <w:color w:val="auto"/>
          <w:sz w:val="24"/>
          <w:highlight w:val="none"/>
          <w:lang w:val="en-US" w:eastAsia="zh-CN"/>
        </w:rPr>
        <w:t>甲</w:t>
      </w:r>
      <w:r>
        <w:rPr>
          <w:rFonts w:hint="eastAsia" w:ascii="宋体" w:hAnsi="宋体" w:eastAsia="宋体" w:cs="宋体"/>
          <w:color w:val="auto"/>
          <w:sz w:val="24"/>
          <w:highlight w:val="none"/>
        </w:rPr>
        <w:t>方指定场所开展设计服务及协调工作，</w:t>
      </w:r>
      <w:r>
        <w:rPr>
          <w:rFonts w:ascii="宋体" w:hAnsi="宋体" w:eastAsia="宋体" w:cs="宋体"/>
          <w:color w:val="auto"/>
          <w:sz w:val="24"/>
          <w:highlight w:val="none"/>
        </w:rPr>
        <w:t>相关费用包含在设计费中。</w:t>
      </w:r>
    </w:p>
    <w:p w14:paraId="69830915">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bookmarkEnd w:id="5"/>
      <w:bookmarkEnd w:id="6"/>
      <w:bookmarkEnd w:id="7"/>
      <w:r>
        <w:rPr>
          <w:rFonts w:hint="eastAsia" w:ascii="宋体" w:hAnsi="宋体" w:eastAsia="宋体" w:cs="宋体"/>
          <w:color w:val="auto"/>
          <w:sz w:val="24"/>
          <w:highlight w:val="none"/>
        </w:rPr>
        <w:t>施工部分：</w:t>
      </w:r>
    </w:p>
    <w:p w14:paraId="0E6941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包括但不限于完成本项目所需的所有的施工工作（含竣工图编制）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包工、包料、包设备、包质量、包安全生产、包文明施工、包工期、包承包范围内工程</w:t>
      </w:r>
      <w:r>
        <w:rPr>
          <w:rFonts w:hint="eastAsia" w:ascii="宋体" w:hAnsi="宋体" w:eastAsia="宋体" w:cs="宋体"/>
          <w:color w:val="auto"/>
          <w:sz w:val="24"/>
          <w:szCs w:val="24"/>
          <w:highlight w:val="none"/>
          <w:u w:val="none"/>
          <w:lang w:val="en-US" w:eastAsia="zh-CN"/>
        </w:rPr>
        <w:t>联合</w:t>
      </w:r>
      <w:r>
        <w:rPr>
          <w:rFonts w:hint="eastAsia" w:ascii="宋体" w:hAnsi="宋体" w:eastAsia="宋体" w:cs="宋体"/>
          <w:color w:val="auto"/>
          <w:sz w:val="24"/>
          <w:szCs w:val="24"/>
          <w:highlight w:val="none"/>
          <w:u w:val="none"/>
        </w:rPr>
        <w:t>验收通过、包移交、包结算、包资料整理、包施工总承包管理和现场整体组织、包专业协调及配合、包保修等。包括桩基础工程、土方工程、建筑工程、装配式建筑工程、装饰装修工程</w:t>
      </w:r>
      <w:r>
        <w:rPr>
          <w:rFonts w:hint="eastAsia" w:ascii="宋体" w:hAnsi="宋体" w:eastAsia="宋体" w:cs="宋体"/>
          <w:color w:val="auto"/>
          <w:sz w:val="24"/>
          <w:szCs w:val="24"/>
          <w:highlight w:val="none"/>
          <w:u w:val="single"/>
          <w:lang w:val="en-US" w:eastAsia="zh-CN"/>
        </w:rPr>
        <w:t>（含通讯线网）</w:t>
      </w:r>
      <w:r>
        <w:rPr>
          <w:rFonts w:hint="eastAsia" w:ascii="宋体" w:hAnsi="宋体" w:eastAsia="宋体" w:cs="宋体"/>
          <w:color w:val="auto"/>
          <w:sz w:val="24"/>
          <w:szCs w:val="24"/>
          <w:highlight w:val="none"/>
          <w:u w:val="none"/>
        </w:rPr>
        <w:t>、电气工程、智能化工程、暖通工程、给排水工程、消防工程、电梯工程、人防工程、燃气工程、临时用水、临时用电、永久用水、室外工程（包括绿化、室外管网、室外园建、临时道路等）及配套设施工程等。</w:t>
      </w:r>
      <w:r>
        <w:rPr>
          <w:rFonts w:hint="eastAsia" w:ascii="宋体" w:hAnsi="宋体" w:eastAsia="宋体" w:cs="宋体"/>
          <w:color w:val="auto"/>
          <w:sz w:val="24"/>
          <w:szCs w:val="24"/>
          <w:highlight w:val="none"/>
        </w:rPr>
        <w:t>配合</w:t>
      </w:r>
      <w:r>
        <w:rPr>
          <w:rFonts w:hint="eastAsia" w:ascii="宋体" w:hAnsi="宋体" w:eastAsia="宋体" w:cs="宋体"/>
          <w:color w:val="auto"/>
          <w:sz w:val="24"/>
          <w:szCs w:val="24"/>
          <w:highlight w:val="none"/>
          <w:lang w:val="en-US" w:eastAsia="zh-CN"/>
        </w:rPr>
        <w:t>甲方结</w:t>
      </w:r>
      <w:r>
        <w:rPr>
          <w:rFonts w:hint="eastAsia" w:ascii="宋体" w:hAnsi="宋体" w:eastAsia="宋体" w:cs="宋体"/>
          <w:color w:val="auto"/>
          <w:sz w:val="24"/>
          <w:szCs w:val="24"/>
          <w:highlight w:val="none"/>
        </w:rPr>
        <w:t>算审核、工程保修等工作，组织本项目的验收备案和工程资料汇总及整理归档工作、</w:t>
      </w:r>
      <w:r>
        <w:rPr>
          <w:rFonts w:hint="eastAsia" w:ascii="宋体" w:hAnsi="宋体" w:eastAsia="宋体" w:cs="宋体"/>
          <w:color w:val="auto"/>
          <w:sz w:val="24"/>
          <w:szCs w:val="24"/>
          <w:highlight w:val="none"/>
          <w:lang w:val="en-US" w:eastAsia="zh-CN"/>
        </w:rPr>
        <w:t>配合</w:t>
      </w:r>
      <w:r>
        <w:rPr>
          <w:rFonts w:hint="eastAsia" w:ascii="宋体" w:hAnsi="宋体" w:eastAsia="宋体" w:cs="宋体"/>
          <w:color w:val="auto"/>
          <w:sz w:val="24"/>
          <w:szCs w:val="24"/>
          <w:highlight w:val="none"/>
        </w:rPr>
        <w:t>办理工程开工及验收所需的各项手续、完成施工其它相关工作、负责施工管理配合服务，对由发包人另行发包的其他工程无条件提供配合服务工作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总承包服务费依据</w:t>
      </w:r>
      <w:r>
        <w:rPr>
          <w:rFonts w:hint="eastAsia" w:ascii="宋体" w:hAnsi="宋体" w:eastAsia="宋体" w:cs="宋体"/>
          <w:color w:val="auto"/>
          <w:sz w:val="24"/>
          <w:szCs w:val="24"/>
          <w:highlight w:val="none"/>
        </w:rPr>
        <w:t>《广东省建设工程计价依据（2018）》及《广东省房屋建筑与装饰工程综合定额（2018）》</w:t>
      </w:r>
      <w:r>
        <w:rPr>
          <w:rFonts w:hint="eastAsia" w:ascii="宋体" w:hAnsi="宋体" w:eastAsia="宋体" w:cs="宋体"/>
          <w:color w:val="auto"/>
          <w:sz w:val="24"/>
          <w:szCs w:val="24"/>
          <w:highlight w:val="none"/>
          <w:lang w:val="en-US" w:eastAsia="zh-CN"/>
        </w:rPr>
        <w:t>执行</w:t>
      </w:r>
      <w:r>
        <w:rPr>
          <w:rFonts w:hint="eastAsia" w:ascii="宋体" w:hAnsi="宋体" w:eastAsia="宋体" w:cs="宋体"/>
          <w:color w:val="auto"/>
          <w:sz w:val="24"/>
          <w:szCs w:val="24"/>
          <w:highlight w:val="none"/>
        </w:rPr>
        <w:t>，包括但不限于第三方检测等提供场地和使用临时设施的配合工作。</w:t>
      </w:r>
      <w:r>
        <w:rPr>
          <w:rFonts w:hint="eastAsia" w:ascii="宋体" w:hAnsi="宋体" w:eastAsia="宋体" w:cs="宋体"/>
          <w:color w:val="auto"/>
          <w:sz w:val="24"/>
          <w:szCs w:val="24"/>
          <w:highlight w:val="none"/>
          <w:lang w:val="en-US" w:eastAsia="zh-CN"/>
        </w:rPr>
        <w:t>包办理不动产权证，</w:t>
      </w:r>
      <w:r>
        <w:rPr>
          <w:rFonts w:hint="eastAsia" w:ascii="宋体" w:hAnsi="宋体" w:eastAsia="宋体" w:cs="宋体"/>
          <w:color w:val="auto"/>
          <w:sz w:val="24"/>
          <w:szCs w:val="24"/>
          <w:highlight w:val="none"/>
        </w:rPr>
        <w:t>负责协调施工过程中的相关职能部门及周边居民、施工期交通疏解等。</w:t>
      </w:r>
    </w:p>
    <w:p w14:paraId="5F3B0A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作为联合体牵头方负责勘察、设计、施工及运营及其它工程协调工作</w:t>
      </w:r>
    </w:p>
    <w:p w14:paraId="254CA67C">
      <w:pPr>
        <w:pStyle w:val="92"/>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特殊说明（旧厂房拆除</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甲方需完成三通一平，旧厂房拆除工程等工作。</w:t>
      </w:r>
    </w:p>
    <w:p w14:paraId="07918D72">
      <w:pPr>
        <w:pStyle w:val="92"/>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、运营部分：</w:t>
      </w:r>
    </w:p>
    <w:p w14:paraId="7096D144">
      <w:pPr>
        <w:spacing w:line="360" w:lineRule="auto"/>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本次招标范围内的更新改造的工业区在竣工验收后，负责组织招商及推广工作，通过项目经营定位、园区产业定位，规划园区产业发展方向，确定引入产业类别。实施产业招商策划，组织招商推广活动。整合国内外资源，围绕所规划产业，引入具有发展潜力的企业。实现工业上楼，推进新型工业化。通过招商引进的所有入驻企业，需优先为专精特新及高新技术企业，其主营业务必须符合广州市番禺区国民经济和社会发展规划。</w:t>
      </w:r>
    </w:p>
    <w:p w14:paraId="68C6CFA8">
      <w:pPr>
        <w:pStyle w:val="92"/>
        <w:snapToGri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对本次招标范围内的更新改造的工业区在招商企业入驻后，负责组织园区运营与管理工作，制定园区经营发展策略，为入驻企业提供服务。并且针对园区停车场、园区空地及相关资源，积极拓展园区增值服务收入。针对园区物业组织并提供长效管养服务</w:t>
      </w:r>
      <w:r>
        <w:rPr>
          <w:rFonts w:hint="eastAsia" w:ascii="宋体" w:hAnsi="宋体" w:eastAsia="宋体" w:cs="宋体"/>
          <w:color w:val="auto"/>
          <w:sz w:val="24"/>
          <w:szCs w:val="24"/>
          <w:highlight w:val="none"/>
        </w:rPr>
        <w:t>。</w:t>
      </w:r>
    </w:p>
    <w:p w14:paraId="1548DA7D">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内容主要包括但不限于：</w:t>
      </w:r>
    </w:p>
    <w:p w14:paraId="0C263EBC">
      <w:pPr>
        <w:pStyle w:val="92"/>
        <w:snapToGrid w:val="0"/>
        <w:spacing w:line="360" w:lineRule="auto"/>
        <w:ind w:firstLine="240" w:firstLineChars="1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（1）产业规划与定位，根据番禺区发展战略规划及经济发展形势，规划产业园区发展方向，明确园区产业定位，规划园区引入产业的类别，策划《招商规划方案》</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并执行。</w:t>
      </w:r>
    </w:p>
    <w:p w14:paraId="756EF44E">
      <w:pPr>
        <w:pStyle w:val="92"/>
        <w:snapToGrid w:val="0"/>
        <w:spacing w:line="360" w:lineRule="auto"/>
        <w:ind w:firstLine="240" w:firstLineChars="1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（2）产品策划设计，根据产业</w:t>
      </w:r>
      <w:r>
        <w:rPr>
          <w:rFonts w:hint="eastAsia" w:ascii="宋体" w:hAnsi="宋体" w:eastAsia="宋体" w:cs="宋体"/>
          <w:color w:val="auto"/>
          <w:sz w:val="24"/>
          <w:szCs w:val="24"/>
          <w:highlight w:val="none"/>
        </w:rPr>
        <w:t>园</w:t>
      </w:r>
      <w:r>
        <w:rPr>
          <w:rFonts w:ascii="宋体" w:hAnsi="宋体" w:eastAsia="宋体" w:cs="宋体"/>
          <w:color w:val="auto"/>
          <w:sz w:val="24"/>
          <w:szCs w:val="24"/>
          <w:highlight w:val="none"/>
        </w:rPr>
        <w:t>定位与市场需求来规划设计</w:t>
      </w:r>
      <w:r>
        <w:rPr>
          <w:rFonts w:hint="eastAsia" w:ascii="宋体" w:hAnsi="宋体" w:eastAsia="宋体" w:cs="宋体"/>
          <w:color w:val="auto"/>
          <w:sz w:val="24"/>
          <w:szCs w:val="24"/>
          <w:highlight w:val="none"/>
        </w:rPr>
        <w:t>项目</w:t>
      </w:r>
      <w:r>
        <w:rPr>
          <w:rFonts w:ascii="宋体" w:hAnsi="宋体" w:eastAsia="宋体" w:cs="宋体"/>
          <w:color w:val="auto"/>
          <w:sz w:val="24"/>
          <w:szCs w:val="24"/>
          <w:highlight w:val="none"/>
        </w:rPr>
        <w:t>。</w:t>
      </w:r>
    </w:p>
    <w:p w14:paraId="501EF6A4">
      <w:pPr>
        <w:pStyle w:val="92"/>
        <w:snapToGrid w:val="0"/>
        <w:spacing w:line="360" w:lineRule="auto"/>
        <w:ind w:firstLine="240" w:firstLineChars="1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（3）品牌宣传推广</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根据园区引入产业定位，策划产业园品牌推广思路，策划《品牌定位与发展战略规划》</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为园区发展提供推广与宣传方向，并按方案执行。</w:t>
      </w:r>
    </w:p>
    <w:p w14:paraId="37347B35">
      <w:pPr>
        <w:pStyle w:val="92"/>
        <w:snapToGrid w:val="0"/>
        <w:spacing w:line="360" w:lineRule="auto"/>
        <w:ind w:firstLine="240" w:firstLineChars="1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（4）产业招商推广</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围绕产业园区定位及产业规划，需要制定《招商推广方案》</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同时结合乙方国内外优势及上下游相关产业资源，自行组织入驻企业招商活动，</w:t>
      </w:r>
    </w:p>
    <w:p w14:paraId="6B99763A">
      <w:pPr>
        <w:pStyle w:val="92"/>
        <w:snapToGrid w:val="0"/>
        <w:spacing w:line="360" w:lineRule="auto"/>
        <w:ind w:firstLine="240" w:firstLineChars="1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（5）入驻企业管理，根据园区工业上楼规划，针对</w:t>
      </w:r>
      <w:r>
        <w:rPr>
          <w:rFonts w:hint="eastAsia" w:ascii="宋体" w:hAnsi="宋体" w:eastAsia="宋体" w:cs="宋体"/>
          <w:color w:val="auto"/>
          <w:sz w:val="24"/>
          <w:szCs w:val="24"/>
          <w:highlight w:val="none"/>
        </w:rPr>
        <w:t>战略性</w:t>
      </w:r>
      <w:r>
        <w:rPr>
          <w:rFonts w:ascii="宋体" w:hAnsi="宋体" w:eastAsia="宋体" w:cs="宋体"/>
          <w:color w:val="auto"/>
          <w:sz w:val="24"/>
          <w:szCs w:val="24"/>
          <w:highlight w:val="none"/>
        </w:rPr>
        <w:t>新兴产业类别，引入具有发展潜力的实体企业，实现新兴产业上楼，推进新型工业化。</w:t>
      </w:r>
    </w:p>
    <w:p w14:paraId="0430509E">
      <w:pPr>
        <w:pStyle w:val="92"/>
        <w:snapToGrid w:val="0"/>
        <w:spacing w:line="360" w:lineRule="auto"/>
        <w:ind w:firstLine="240" w:firstLineChars="1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（6）园区运营服务。针对入园企业及商事主体，围绕地下停车场、园区空地等有效空间，为入驻租户提供各项服务便利。</w:t>
      </w:r>
    </w:p>
    <w:p w14:paraId="0B32AE44">
      <w:pPr>
        <w:pStyle w:val="24"/>
        <w:spacing w:line="360" w:lineRule="auto"/>
        <w:ind w:firstLine="240" w:firstLineChars="100"/>
        <w:jc w:val="left"/>
        <w:rPr>
          <w:color w:val="auto"/>
          <w:highlight w:val="none"/>
        </w:rPr>
      </w:pP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园区物业管理。针对园区组织运营管理体系，建立运营管理机制，提供管理服务。</w:t>
      </w:r>
    </w:p>
    <w:p w14:paraId="7C9208D1">
      <w:pPr>
        <w:pStyle w:val="92"/>
        <w:snapToGrid w:val="0"/>
        <w:spacing w:line="360" w:lineRule="auto"/>
        <w:ind w:firstLine="49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（三）限额及标准</w:t>
      </w:r>
    </w:p>
    <w:p w14:paraId="3819787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1、本工程建筑安装工程费用总限额约为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人民币（含税），具体限额以甲方另行发出的文件为准。应按照甲方的要求，并结合全要素标准的各项内容、要求，遵循功能适用、标准合理、经济合理的原则开展设计。在投资限额目标的基础上，按工程设计内容进一步分解投资，根据投资控制主要指标，在编制设计概、预算时逐步细化落实。</w:t>
      </w:r>
    </w:p>
    <w:p w14:paraId="6B708175">
      <w:pPr>
        <w:pStyle w:val="92"/>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乙方按基本建设流程依次进行方案设计、施工图设计、施工图预算编制。预算需报送甲方选定的造价咨询单位评审，施工图预算编制以甲方意见为准</w:t>
      </w:r>
      <w:r>
        <w:rPr>
          <w:rFonts w:hint="eastAsia" w:ascii="宋体" w:hAnsi="宋体" w:eastAsia="宋体" w:cs="宋体"/>
          <w:bCs w:val="0"/>
          <w:color w:val="auto"/>
          <w:sz w:val="24"/>
          <w:szCs w:val="24"/>
          <w:highlight w:val="none"/>
          <w:lang w:val="en-US" w:eastAsia="zh-CN"/>
        </w:rPr>
        <w:t>。</w:t>
      </w:r>
    </w:p>
    <w:p w14:paraId="5CF8C2AB">
      <w:pPr>
        <w:pStyle w:val="92"/>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暂定工程施工造价</w:t>
      </w:r>
      <w:r>
        <w:rPr>
          <w:rFonts w:hint="eastAsia" w:ascii="宋体" w:hAnsi="宋体" w:eastAsia="宋体" w:cs="宋体"/>
          <w:color w:val="auto"/>
          <w:sz w:val="24"/>
          <w:szCs w:val="24"/>
          <w:highlight w:val="none"/>
          <w:lang w:val="en-US" w:eastAsia="zh-CN"/>
        </w:rPr>
        <w:t>仅作为预付款支付的依据，不作为支付进度款及结决算等的依据。</w:t>
      </w:r>
      <w:r>
        <w:rPr>
          <w:rFonts w:hint="eastAsia" w:ascii="宋体" w:hAnsi="宋体" w:eastAsia="宋体" w:cs="宋体"/>
          <w:bCs w:val="0"/>
          <w:color w:val="auto"/>
          <w:sz w:val="24"/>
          <w:szCs w:val="24"/>
          <w:highlight w:val="none"/>
        </w:rPr>
        <w:t>施工图预算编制须</w:t>
      </w:r>
      <w:r>
        <w:rPr>
          <w:rFonts w:hint="eastAsia" w:ascii="宋体" w:hAnsi="宋体" w:eastAsia="宋体" w:cs="宋体"/>
          <w:bCs w:val="0"/>
          <w:color w:val="auto"/>
          <w:sz w:val="24"/>
          <w:szCs w:val="24"/>
          <w:highlight w:val="none"/>
          <w:lang w:val="en-US" w:eastAsia="zh-CN"/>
        </w:rPr>
        <w:t>结合</w:t>
      </w:r>
      <w:r>
        <w:rPr>
          <w:rFonts w:hint="eastAsia" w:ascii="宋体" w:hAnsi="宋体" w:eastAsia="宋体" w:cs="宋体"/>
          <w:bCs w:val="0"/>
          <w:color w:val="auto"/>
          <w:sz w:val="24"/>
          <w:szCs w:val="24"/>
          <w:highlight w:val="none"/>
        </w:rPr>
        <w:t>中标下浮率进行下浮编制。本工程实行全过程限额设计施工。</w:t>
      </w:r>
      <w:r>
        <w:rPr>
          <w:rFonts w:hint="eastAsia" w:ascii="宋体" w:hAnsi="宋体" w:eastAsia="宋体" w:cs="宋体"/>
          <w:bCs w:val="0"/>
          <w:color w:val="auto"/>
          <w:sz w:val="24"/>
          <w:szCs w:val="24"/>
          <w:highlight w:val="none"/>
          <w:lang w:eastAsia="zh-CN"/>
        </w:rPr>
        <w:t>甲方</w:t>
      </w:r>
      <w:r>
        <w:rPr>
          <w:rFonts w:hint="eastAsia" w:ascii="宋体" w:hAnsi="宋体" w:eastAsia="宋体" w:cs="宋体"/>
          <w:bCs w:val="0"/>
          <w:color w:val="auto"/>
          <w:sz w:val="24"/>
          <w:szCs w:val="24"/>
          <w:highlight w:val="none"/>
        </w:rPr>
        <w:t>有独立决定最终实施方案的权利，如果</w:t>
      </w:r>
      <w:r>
        <w:rPr>
          <w:rFonts w:hint="eastAsia" w:ascii="宋体" w:hAnsi="宋体" w:eastAsia="宋体" w:cs="宋体"/>
          <w:bCs w:val="0"/>
          <w:color w:val="auto"/>
          <w:sz w:val="24"/>
          <w:szCs w:val="24"/>
          <w:highlight w:val="none"/>
          <w:lang w:eastAsia="zh-CN"/>
        </w:rPr>
        <w:t>甲方</w:t>
      </w:r>
      <w:r>
        <w:rPr>
          <w:rFonts w:hint="eastAsia" w:ascii="宋体" w:hAnsi="宋体" w:eastAsia="宋体" w:cs="宋体"/>
          <w:bCs w:val="0"/>
          <w:color w:val="auto"/>
          <w:sz w:val="24"/>
          <w:szCs w:val="24"/>
          <w:highlight w:val="none"/>
        </w:rPr>
        <w:t>决定某项内容不实施或进行实施方案调整的，不视为</w:t>
      </w:r>
      <w:r>
        <w:rPr>
          <w:rFonts w:hint="eastAsia" w:ascii="宋体" w:hAnsi="宋体" w:eastAsia="宋体" w:cs="宋体"/>
          <w:bCs w:val="0"/>
          <w:color w:val="auto"/>
          <w:sz w:val="24"/>
          <w:szCs w:val="24"/>
          <w:highlight w:val="none"/>
          <w:lang w:eastAsia="zh-CN"/>
        </w:rPr>
        <w:t>甲方</w:t>
      </w:r>
      <w:r>
        <w:rPr>
          <w:rFonts w:hint="eastAsia" w:ascii="宋体" w:hAnsi="宋体" w:eastAsia="宋体" w:cs="宋体"/>
          <w:bCs w:val="0"/>
          <w:color w:val="auto"/>
          <w:sz w:val="24"/>
          <w:szCs w:val="24"/>
          <w:highlight w:val="none"/>
        </w:rPr>
        <w:t>违约，</w:t>
      </w:r>
      <w:r>
        <w:rPr>
          <w:rFonts w:hint="eastAsia" w:ascii="宋体" w:hAnsi="宋体" w:eastAsia="宋体" w:cs="宋体"/>
          <w:bCs w:val="0"/>
          <w:color w:val="auto"/>
          <w:sz w:val="24"/>
          <w:szCs w:val="24"/>
          <w:highlight w:val="none"/>
          <w:lang w:eastAsia="zh-CN"/>
        </w:rPr>
        <w:t>乙方</w:t>
      </w:r>
      <w:r>
        <w:rPr>
          <w:rFonts w:hint="eastAsia" w:ascii="宋体" w:hAnsi="宋体" w:eastAsia="宋体" w:cs="宋体"/>
          <w:bCs w:val="0"/>
          <w:color w:val="auto"/>
          <w:sz w:val="24"/>
          <w:szCs w:val="24"/>
          <w:highlight w:val="none"/>
        </w:rPr>
        <w:t>应予以配合，</w:t>
      </w:r>
      <w:r>
        <w:rPr>
          <w:rFonts w:hint="eastAsia" w:ascii="宋体" w:hAnsi="宋体" w:eastAsia="宋体" w:cs="宋体"/>
          <w:bCs w:val="0"/>
          <w:color w:val="auto"/>
          <w:sz w:val="24"/>
          <w:szCs w:val="24"/>
          <w:highlight w:val="none"/>
          <w:lang w:eastAsia="zh-CN"/>
        </w:rPr>
        <w:t>乙方</w:t>
      </w:r>
      <w:r>
        <w:rPr>
          <w:rFonts w:hint="eastAsia" w:ascii="宋体" w:hAnsi="宋体" w:eastAsia="宋体" w:cs="宋体"/>
          <w:bCs w:val="0"/>
          <w:color w:val="auto"/>
          <w:sz w:val="24"/>
          <w:szCs w:val="24"/>
          <w:highlight w:val="none"/>
        </w:rPr>
        <w:t>不得以此为理由向</w:t>
      </w:r>
      <w:r>
        <w:rPr>
          <w:rFonts w:hint="eastAsia" w:ascii="宋体" w:hAnsi="宋体" w:eastAsia="宋体" w:cs="宋体"/>
          <w:bCs w:val="0"/>
          <w:color w:val="auto"/>
          <w:sz w:val="24"/>
          <w:szCs w:val="24"/>
          <w:highlight w:val="none"/>
          <w:lang w:eastAsia="zh-CN"/>
        </w:rPr>
        <w:t>甲方</w:t>
      </w:r>
      <w:r>
        <w:rPr>
          <w:rFonts w:hint="eastAsia" w:ascii="宋体" w:hAnsi="宋体" w:eastAsia="宋体" w:cs="宋体"/>
          <w:bCs w:val="0"/>
          <w:color w:val="auto"/>
          <w:sz w:val="24"/>
          <w:szCs w:val="24"/>
          <w:highlight w:val="none"/>
        </w:rPr>
        <w:t>进行索赔；所有工程变更需经过</w:t>
      </w:r>
      <w:r>
        <w:rPr>
          <w:rFonts w:hint="eastAsia" w:ascii="宋体" w:hAnsi="宋体" w:eastAsia="宋体" w:cs="宋体"/>
          <w:bCs w:val="0"/>
          <w:color w:val="auto"/>
          <w:sz w:val="24"/>
          <w:szCs w:val="24"/>
          <w:highlight w:val="none"/>
          <w:lang w:eastAsia="zh-CN"/>
        </w:rPr>
        <w:t>甲方</w:t>
      </w:r>
      <w:r>
        <w:rPr>
          <w:rFonts w:hint="eastAsia" w:ascii="宋体" w:hAnsi="宋体" w:eastAsia="宋体" w:cs="宋体"/>
          <w:bCs w:val="0"/>
          <w:color w:val="auto"/>
          <w:sz w:val="24"/>
          <w:szCs w:val="24"/>
          <w:highlight w:val="none"/>
        </w:rPr>
        <w:t>审定后方可实施；项目在施工阶段，因</w:t>
      </w:r>
      <w:r>
        <w:rPr>
          <w:rFonts w:hint="eastAsia" w:ascii="宋体" w:hAnsi="宋体" w:eastAsia="宋体" w:cs="宋体"/>
          <w:bCs w:val="0"/>
          <w:color w:val="auto"/>
          <w:sz w:val="24"/>
          <w:szCs w:val="24"/>
          <w:highlight w:val="none"/>
          <w:lang w:eastAsia="zh-CN"/>
        </w:rPr>
        <w:t>乙方</w:t>
      </w:r>
      <w:r>
        <w:rPr>
          <w:rFonts w:hint="eastAsia" w:ascii="宋体" w:hAnsi="宋体" w:eastAsia="宋体" w:cs="宋体"/>
          <w:bCs w:val="0"/>
          <w:color w:val="auto"/>
          <w:sz w:val="24"/>
          <w:szCs w:val="24"/>
          <w:highlight w:val="none"/>
        </w:rPr>
        <w:t>自身因素引起的设计及施工调整的费用由</w:t>
      </w:r>
      <w:r>
        <w:rPr>
          <w:rFonts w:hint="eastAsia" w:ascii="宋体" w:hAnsi="宋体" w:eastAsia="宋体" w:cs="宋体"/>
          <w:bCs w:val="0"/>
          <w:color w:val="auto"/>
          <w:sz w:val="24"/>
          <w:szCs w:val="24"/>
          <w:highlight w:val="none"/>
          <w:lang w:eastAsia="zh-CN"/>
        </w:rPr>
        <w:t>乙方</w:t>
      </w:r>
      <w:r>
        <w:rPr>
          <w:rFonts w:hint="eastAsia" w:ascii="宋体" w:hAnsi="宋体" w:eastAsia="宋体" w:cs="宋体"/>
          <w:bCs w:val="0"/>
          <w:color w:val="auto"/>
          <w:sz w:val="24"/>
          <w:szCs w:val="24"/>
          <w:highlight w:val="none"/>
        </w:rPr>
        <w:t>承担。</w:t>
      </w:r>
      <w:r>
        <w:rPr>
          <w:rFonts w:hint="eastAsia" w:ascii="宋体" w:hAnsi="宋体" w:eastAsia="宋体" w:cs="宋体"/>
          <w:bCs w:val="0"/>
          <w:color w:val="auto"/>
          <w:sz w:val="24"/>
          <w:szCs w:val="24"/>
          <w:highlight w:val="none"/>
          <w:lang w:val="en-US" w:eastAsia="zh-CN"/>
        </w:rPr>
        <w:t>建安费</w:t>
      </w:r>
      <w:r>
        <w:rPr>
          <w:rFonts w:hint="eastAsia" w:ascii="宋体" w:hAnsi="宋体" w:eastAsia="宋体" w:cs="宋体"/>
          <w:bCs w:val="0"/>
          <w:color w:val="auto"/>
          <w:sz w:val="24"/>
          <w:szCs w:val="24"/>
          <w:highlight w:val="none"/>
        </w:rPr>
        <w:t>结算价不得超过施工图预算价（</w:t>
      </w:r>
      <w:r>
        <w:rPr>
          <w:rFonts w:hint="eastAsia" w:ascii="宋体" w:hAnsi="宋体" w:eastAsia="宋体" w:cs="宋体"/>
          <w:bCs w:val="0"/>
          <w:color w:val="auto"/>
          <w:sz w:val="24"/>
          <w:szCs w:val="24"/>
          <w:highlight w:val="none"/>
          <w:lang w:eastAsia="zh-CN"/>
        </w:rPr>
        <w:t>甲方增加的指令变更除外</w:t>
      </w:r>
      <w:r>
        <w:rPr>
          <w:rFonts w:hint="eastAsia" w:ascii="宋体" w:hAnsi="宋体" w:eastAsia="宋体" w:cs="宋体"/>
          <w:bCs w:val="0"/>
          <w:color w:val="auto"/>
          <w:sz w:val="24"/>
          <w:szCs w:val="24"/>
          <w:highlight w:val="none"/>
        </w:rPr>
        <w:t>）。</w:t>
      </w:r>
    </w:p>
    <w:p w14:paraId="42642B90">
      <w:pPr>
        <w:pStyle w:val="92"/>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3、预算编制依据</w:t>
      </w:r>
    </w:p>
    <w:p w14:paraId="478C8403">
      <w:pPr>
        <w:autoSpaceDE w:val="0"/>
        <w:autoSpaceDN w:val="0"/>
        <w:adjustRightInd w:val="0"/>
        <w:spacing w:line="360" w:lineRule="auto"/>
        <w:ind w:left="-1" w:firstLine="480" w:firstLineChars="200"/>
        <w:jc w:val="left"/>
        <w:rPr>
          <w:rFonts w:ascii="宋体" w:hAnsi="宋体" w:cs="宋体"/>
          <w:color w:val="auto"/>
          <w:sz w:val="24"/>
          <w:highlight w:val="none"/>
        </w:rPr>
      </w:pPr>
      <w:r>
        <w:rPr>
          <w:rFonts w:hint="eastAsia" w:ascii="宋体" w:hAnsi="宋体" w:eastAsia="宋体" w:cs="宋体"/>
          <w:color w:val="auto"/>
          <w:sz w:val="24"/>
          <w:highlight w:val="none"/>
        </w:rPr>
        <w:t>3.1勘察、设计费：本合同的相关约定；《2002年勘察设计收费标准》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招标文件；投标文件，其他相关规范和标准。</w:t>
      </w:r>
    </w:p>
    <w:p w14:paraId="7EC26797">
      <w:pPr>
        <w:pStyle w:val="92"/>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3.2施工图预算</w:t>
      </w:r>
      <w:r>
        <w:rPr>
          <w:rFonts w:hint="eastAsia" w:ascii="宋体" w:hAnsi="宋体" w:eastAsia="宋体" w:cs="宋体"/>
          <w:color w:val="auto"/>
          <w:sz w:val="24"/>
          <w:highlight w:val="none"/>
          <w:lang w:val="en-US" w:eastAsia="zh-CN"/>
        </w:rPr>
        <w:t>编制及工程量计算</w:t>
      </w:r>
      <w:r>
        <w:rPr>
          <w:rFonts w:hint="eastAsia" w:ascii="宋体" w:hAnsi="宋体" w:eastAsia="宋体" w:cs="宋体"/>
          <w:color w:val="auto"/>
          <w:sz w:val="24"/>
          <w:highlight w:val="none"/>
        </w:rPr>
        <w:t>：</w:t>
      </w:r>
      <w:r>
        <w:rPr>
          <w:rFonts w:hint="eastAsia" w:ascii="宋体" w:hAnsi="宋体" w:eastAsia="宋体" w:cs="宋体"/>
          <w:color w:val="auto"/>
          <w:sz w:val="24"/>
          <w:szCs w:val="22"/>
          <w:highlight w:val="none"/>
        </w:rPr>
        <w:t>依据</w:t>
      </w:r>
      <w:r>
        <w:rPr>
          <w:rFonts w:hint="eastAsia" w:ascii="宋体" w:hAnsi="宋体" w:eastAsia="宋体" w:cs="宋体"/>
          <w:color w:val="auto"/>
          <w:sz w:val="24"/>
          <w:szCs w:val="22"/>
          <w:highlight w:val="none"/>
          <w:lang w:val="en-US" w:eastAsia="zh-CN"/>
        </w:rPr>
        <w:t>甲方</w:t>
      </w:r>
      <w:r>
        <w:rPr>
          <w:rFonts w:hint="eastAsia" w:ascii="宋体" w:hAnsi="宋体" w:eastAsia="宋体" w:cs="宋体"/>
          <w:color w:val="auto"/>
          <w:sz w:val="24"/>
          <w:szCs w:val="22"/>
          <w:highlight w:val="none"/>
        </w:rPr>
        <w:t>审核并经相关主管部门批准的施工图纸、资料和说明，及有关国家及行业标准、规范等以清单计价方式进行编制；</w:t>
      </w:r>
      <w:r>
        <w:rPr>
          <w:rFonts w:hint="eastAsia" w:ascii="宋体" w:hAnsi="宋体" w:eastAsia="宋体" w:cs="宋体"/>
          <w:color w:val="auto"/>
          <w:sz w:val="24"/>
          <w:highlight w:val="none"/>
        </w:rPr>
        <w:t>计价依据执行</w:t>
      </w:r>
      <w:r>
        <w:rPr>
          <w:rFonts w:hint="eastAsia" w:ascii="宋体" w:hAnsi="宋体" w:eastAsia="宋体" w:cs="宋体"/>
          <w:color w:val="auto"/>
          <w:sz w:val="24"/>
          <w:szCs w:val="22"/>
          <w:highlight w:val="none"/>
        </w:rPr>
        <w:t>《建设工程工程量清单计价标准》（GB/T50500-2024）、《市政工程工程量计算标准》（GB/T50857-2024）、</w:t>
      </w:r>
      <w:r>
        <w:rPr>
          <w:rFonts w:hint="eastAsia" w:ascii="宋体" w:hAnsi="宋体" w:eastAsia="宋体" w:cs="宋体"/>
          <w:color w:val="auto"/>
          <w:sz w:val="24"/>
          <w:highlight w:val="none"/>
          <w:lang w:val="en-US" w:eastAsia="zh-CN"/>
        </w:rPr>
        <w:t>《房屋建筑与装饰工程工程量计算标准》（GB/T50854-2024）</w:t>
      </w:r>
      <w:r>
        <w:rPr>
          <w:rFonts w:hint="eastAsia" w:ascii="宋体" w:hAnsi="宋体" w:eastAsia="宋体" w:cs="宋体"/>
          <w:color w:val="auto"/>
          <w:sz w:val="24"/>
          <w:szCs w:val="22"/>
          <w:highlight w:val="none"/>
        </w:rPr>
        <w:t>、</w:t>
      </w:r>
      <w:r>
        <w:rPr>
          <w:rFonts w:hint="eastAsia" w:ascii="宋体" w:hAnsi="宋体" w:eastAsia="宋体" w:cs="宋体"/>
          <w:color w:val="auto"/>
          <w:sz w:val="24"/>
          <w:highlight w:val="none"/>
          <w:lang w:val="en-US" w:eastAsia="zh-CN"/>
        </w:rPr>
        <w:t>《通用安装工程工程量计算标准》（GB/T50856-2024）</w:t>
      </w:r>
      <w:r>
        <w:rPr>
          <w:rFonts w:hint="eastAsia" w:ascii="宋体" w:hAnsi="宋体" w:eastAsia="宋体" w:cs="宋体"/>
          <w:color w:val="auto"/>
          <w:sz w:val="24"/>
          <w:szCs w:val="22"/>
          <w:highlight w:val="none"/>
        </w:rPr>
        <w:t>、</w:t>
      </w:r>
      <w:r>
        <w:rPr>
          <w:rFonts w:hint="eastAsia" w:ascii="宋体" w:hAnsi="宋体" w:eastAsia="宋体" w:cs="宋体"/>
          <w:color w:val="auto"/>
          <w:sz w:val="24"/>
          <w:highlight w:val="none"/>
          <w:lang w:val="en-US" w:eastAsia="zh-CN"/>
        </w:rPr>
        <w:t>《园林绿化工程工程量计算标准》（GB/T50858-2024）</w:t>
      </w:r>
      <w:r>
        <w:rPr>
          <w:rFonts w:hint="eastAsia" w:ascii="宋体" w:hAnsi="宋体" w:eastAsia="宋体" w:cs="宋体"/>
          <w:color w:val="auto"/>
          <w:sz w:val="24"/>
          <w:szCs w:val="22"/>
          <w:highlight w:val="none"/>
        </w:rPr>
        <w:t>、《广东省建设工程计价依据（2018）》及《广东省房屋建筑与装饰工程综合定额（2018）》《广东省通用安装工程综合定额（2018）》《广东省市政工程综合定额（2018）》《广东省园林绿化工程综合定额（2018）》以及相应配套的取费文件，取费规定中有上下限的，按</w:t>
      </w:r>
      <w:r>
        <w:rPr>
          <w:rFonts w:hint="eastAsia" w:ascii="宋体" w:hAnsi="宋体" w:eastAsia="宋体" w:cs="宋体"/>
          <w:color w:val="auto"/>
          <w:sz w:val="24"/>
          <w:szCs w:val="22"/>
          <w:highlight w:val="none"/>
          <w:lang w:val="en-US" w:eastAsia="zh-CN"/>
        </w:rPr>
        <w:t>低</w:t>
      </w:r>
      <w:r>
        <w:rPr>
          <w:rFonts w:hint="eastAsia" w:ascii="宋体" w:hAnsi="宋体" w:eastAsia="宋体" w:cs="宋体"/>
          <w:color w:val="auto"/>
          <w:sz w:val="24"/>
          <w:szCs w:val="22"/>
          <w:highlight w:val="none"/>
        </w:rPr>
        <w:t>值计算</w:t>
      </w:r>
      <w:r>
        <w:rPr>
          <w:rFonts w:hint="eastAsia" w:ascii="宋体" w:hAnsi="宋体" w:eastAsia="宋体" w:cs="宋体"/>
          <w:color w:val="auto"/>
          <w:sz w:val="24"/>
          <w:highlight w:val="none"/>
        </w:rPr>
        <w:t>。</w:t>
      </w:r>
      <w:r>
        <w:rPr>
          <w:rFonts w:hint="eastAsia" w:ascii="宋体" w:hAnsi="宋体" w:eastAsia="宋体" w:cs="宋体"/>
          <w:color w:val="auto"/>
          <w:sz w:val="24"/>
          <w:szCs w:val="22"/>
          <w:highlight w:val="none"/>
        </w:rPr>
        <w:t>如编制概算或预算时遇到政府部门有相关文件的更新替换，则按相关新文件执行</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如工程开工后遇</w:t>
      </w:r>
      <w:r>
        <w:rPr>
          <w:rFonts w:hint="eastAsia" w:ascii="宋体" w:hAnsi="宋体" w:eastAsia="宋体" w:cs="宋体"/>
          <w:color w:val="auto"/>
          <w:sz w:val="24"/>
          <w:szCs w:val="22"/>
          <w:highlight w:val="none"/>
        </w:rPr>
        <w:t>政府部门有相关文件的更新替换</w:t>
      </w:r>
      <w:r>
        <w:rPr>
          <w:rFonts w:hint="eastAsia" w:ascii="宋体" w:hAnsi="宋体" w:eastAsia="宋体" w:cs="宋体"/>
          <w:color w:val="auto"/>
          <w:sz w:val="24"/>
          <w:szCs w:val="22"/>
          <w:highlight w:val="none"/>
          <w:lang w:val="en-US" w:eastAsia="zh-CN"/>
        </w:rPr>
        <w:t>，则优先按预算编制已执行的计价依据</w:t>
      </w:r>
      <w:r>
        <w:rPr>
          <w:rFonts w:hint="eastAsia" w:ascii="宋体" w:hAnsi="宋体" w:eastAsia="宋体" w:cs="宋体"/>
          <w:color w:val="auto"/>
          <w:sz w:val="24"/>
          <w:szCs w:val="22"/>
          <w:highlight w:val="none"/>
        </w:rPr>
        <w:t>。</w:t>
      </w:r>
    </w:p>
    <w:p w14:paraId="268F7CA2">
      <w:pPr>
        <w:autoSpaceDE/>
        <w:autoSpaceDN/>
        <w:adjustRightInd/>
        <w:spacing w:line="360"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3.3</w:t>
      </w:r>
      <w:r>
        <w:rPr>
          <w:rFonts w:hint="eastAsia" w:ascii="宋体" w:hAnsi="宋体" w:eastAsia="宋体" w:cs="宋体"/>
          <w:color w:val="auto"/>
          <w:sz w:val="24"/>
          <w:highlight w:val="none"/>
        </w:rPr>
        <w:t>人工、材料、机械单价以</w:t>
      </w:r>
      <w:r>
        <w:rPr>
          <w:rFonts w:hint="eastAsia" w:ascii="宋体" w:hAnsi="宋体" w:eastAsia="宋体" w:cs="宋体"/>
          <w:color w:val="auto"/>
          <w:kern w:val="2"/>
          <w:sz w:val="24"/>
          <w:highlight w:val="none"/>
          <w:u w:val="none"/>
          <w:lang w:eastAsia="zh-CN"/>
        </w:rPr>
        <w:t>乙方申报施工图预算编制期</w:t>
      </w:r>
      <w:r>
        <w:rPr>
          <w:rFonts w:hint="eastAsia" w:ascii="宋体" w:hAnsi="宋体" w:eastAsia="宋体" w:cs="宋体"/>
          <w:color w:val="auto"/>
          <w:sz w:val="24"/>
          <w:highlight w:val="none"/>
        </w:rPr>
        <w:t>广州市建设工程造价管理站发布的最新价格信息</w:t>
      </w:r>
      <w:r>
        <w:rPr>
          <w:rFonts w:hint="eastAsia" w:ascii="宋体" w:hAnsi="宋体" w:eastAsia="宋体" w:cs="宋体"/>
          <w:color w:val="auto"/>
          <w:sz w:val="24"/>
          <w:highlight w:val="none"/>
          <w:lang w:val="en-US" w:eastAsia="zh-CN"/>
        </w:rPr>
        <w:t>《广州地区建设工程常用材料税前综合价格》及《广州地区建设工程材料(设备)厂商价格信息》</w:t>
      </w:r>
      <w:r>
        <w:rPr>
          <w:rFonts w:hint="eastAsia" w:ascii="宋体" w:hAnsi="宋体" w:eastAsia="宋体" w:cs="宋体"/>
          <w:color w:val="auto"/>
          <w:sz w:val="24"/>
          <w:highlight w:val="none"/>
        </w:rPr>
        <w:t>和有效文件为准。市造价站未发布的材料，</w:t>
      </w:r>
      <w:r>
        <w:rPr>
          <w:rFonts w:hint="eastAsia" w:ascii="宋体" w:hAnsi="宋体" w:eastAsia="宋体" w:cs="宋体"/>
          <w:color w:val="auto"/>
          <w:sz w:val="24"/>
          <w:szCs w:val="24"/>
          <w:highlight w:val="none"/>
        </w:rPr>
        <w:t>则由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申报满足设计要求和发包人</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对产品档次的要求，并符合国家（行业）产品标准的厂家和品牌后，则以市场询价方式，由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申报至少三个厂家（品牌）及报价报给监理单位、造价单位和</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审核确认。如经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市场询价发现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申报的设备材料品牌的价格偏离询价方式确认的市场实际价格，则</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有权更换设备材料品牌。如有必要，则由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、监理人、造价咨询单位共同组成询价小组，制定相应的询价办法进行询价，并提供合规的询价单。经市场询价发现所选用品牌的价格严重偏离市场实际价格，</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有权按市场实际价格调整该材料的价格或选用其他品牌。</w:t>
      </w:r>
    </w:p>
    <w:p w14:paraId="089766F8">
      <w:pPr>
        <w:autoSpaceDE/>
        <w:autoSpaceDN/>
        <w:adjustRightIn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收到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确认的设计施工图30天内报送施工图预算书（可根据施工图分批次报送）给</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，同时送</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选定的造价咨询单位进行审核，造价咨询单位审核后送</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审核，最终以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审核后的施工图预算的结果为准。以施工图预算为基数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计取</w:t>
      </w:r>
      <w:r>
        <w:rPr>
          <w:rFonts w:hint="eastAsia" w:ascii="宋体" w:hAnsi="宋体" w:eastAsia="宋体" w:cs="宋体"/>
          <w:color w:val="auto"/>
          <w:sz w:val="24"/>
          <w:szCs w:val="24"/>
          <w:highlight w:val="none"/>
        </w:rPr>
        <w:t>投标下浮率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作为进度款支付、结算等依据。编制施工图预算时，在项目主要材料表必须列明主材的品牌、规格及质量等级等内容。</w:t>
      </w:r>
    </w:p>
    <w:p w14:paraId="4A7C3AD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（四）本项目实行限额设计</w:t>
      </w:r>
    </w:p>
    <w:p w14:paraId="00A60D8E">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1、本工程实行限额设计。在保证设计质量的前提下，设计人应按投资限额进行设计，严格控制设计变更，确保工程概、预算不突破限额目标。</w:t>
      </w:r>
    </w:p>
    <w:p w14:paraId="5CA8BEE6">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2、设计人遵循功能适用、标准合理、经济合理的原则开展设计，在投资限额目标的基础上结合项目设计内容进一步分解投资，明确投资控制主要指标，在编制设计概、预算时逐步细化落实。</w:t>
      </w:r>
    </w:p>
    <w:p w14:paraId="568FD09B">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设计人在限额设计范围内应充分运用价值功能分析、多方案（不少于2个）技术经济比较等技术手段，对设计方案进行优化。必要时，应组织专家对方案进行专项论证。方案比较必须通过技术经济分析，完成单位或单项工程的估算编制，确保设计深度能够满足编制工程概算的需要。</w:t>
      </w:r>
    </w:p>
    <w:p w14:paraId="32B7AECA">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4、在保证方案的可实施和可操作性前提下，设计中凡能进行定量分析的设计内容，应通过计算，用数据说明其技术经济的合理性。同时向甲方提供技术经济分析资料，以力求设计成果能充分体现设计优化的原则。</w:t>
      </w:r>
    </w:p>
    <w:p w14:paraId="06A2B160">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5、设计人有关设计的任何修改、变动或由于修改设计所引起的工艺、技术材料、设备的变更如引起投资限额的突破均须经过甲方审批同意。</w:t>
      </w:r>
    </w:p>
    <w:p w14:paraId="2A921880">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6、乙方未经甲方同意对设计进行变更或设计人突破工程投资限额设计，视为严重违约，应承担相应责任，扣除全部设计费用作为处罚并向乙方追偿由此给甲方带来的损失，同时超出限额设计部分的投资全部由乙方承担（联合体的由施工方负责承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甲方不再支付。</w:t>
      </w:r>
    </w:p>
    <w:p w14:paraId="58F301FD">
      <w:pPr>
        <w:autoSpaceDE w:val="0"/>
        <w:autoSpaceDN w:val="0"/>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（五）甲方根据工程实施情况，有权对本工程</w:t>
      </w:r>
      <w:r>
        <w:rPr>
          <w:rFonts w:hint="eastAsia" w:ascii="宋体" w:hAnsi="宋体" w:eastAsia="宋体" w:cs="宋体"/>
          <w:color w:val="auto"/>
          <w:sz w:val="24"/>
          <w:highlight w:val="none"/>
          <w:lang w:val="en-US" w:eastAsia="zh-CN"/>
        </w:rPr>
        <w:t>的实施范围、实施内容</w:t>
      </w:r>
      <w:r>
        <w:rPr>
          <w:rFonts w:hint="eastAsia" w:ascii="宋体" w:hAnsi="宋体" w:eastAsia="宋体" w:cs="宋体"/>
          <w:color w:val="auto"/>
          <w:sz w:val="24"/>
          <w:highlight w:val="none"/>
        </w:rPr>
        <w:t>进行调整，乙方必须无条件服从。减小实施范围、减少实施内容的，甲方不补偿</w:t>
      </w:r>
      <w:r>
        <w:rPr>
          <w:rFonts w:hint="eastAsia" w:ascii="宋体" w:hAnsi="宋体" w:eastAsia="宋体" w:cs="宋体"/>
          <w:color w:val="auto"/>
          <w:sz w:val="24"/>
          <w:highlight w:val="none"/>
          <w:lang w:val="en-US" w:eastAsia="zh-CN"/>
        </w:rPr>
        <w:t>或赔偿</w:t>
      </w:r>
      <w:r>
        <w:rPr>
          <w:rFonts w:hint="eastAsia" w:ascii="宋体" w:hAnsi="宋体" w:eastAsia="宋体" w:cs="宋体"/>
          <w:color w:val="auto"/>
          <w:sz w:val="24"/>
          <w:highlight w:val="none"/>
        </w:rPr>
        <w:t>乙方任何费用，乙方无异议，甲方发出减少施工范围、减少施工内容通知前，</w:t>
      </w:r>
      <w:r>
        <w:rPr>
          <w:rFonts w:hint="eastAsia" w:ascii="宋体" w:hAnsi="宋体" w:eastAsia="宋体" w:cs="宋体"/>
          <w:color w:val="auto"/>
          <w:sz w:val="24"/>
          <w:highlight w:val="none"/>
          <w:lang w:val="en-US" w:eastAsia="zh-CN"/>
        </w:rPr>
        <w:t>乙</w:t>
      </w:r>
      <w:r>
        <w:rPr>
          <w:rFonts w:hint="eastAsia" w:ascii="宋体" w:hAnsi="宋体" w:eastAsia="宋体" w:cs="宋体"/>
          <w:color w:val="auto"/>
          <w:sz w:val="24"/>
          <w:highlight w:val="none"/>
        </w:rPr>
        <w:t>方已完成工作按实际完成情况计取费用。乙方未经甲方书面同意不得擅自变更工程实施范围和内容。</w:t>
      </w:r>
    </w:p>
    <w:p w14:paraId="312CAB7A">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六）乙方应尽一切可行办法积极完成合同约定的全部工作内容，由于乙方自身原因（包括但不限于内部管理不善、未履行限额设计等）导致合同范围内产生额外增加的费用由乙方负责，由此造成损失的（包括但不限于工期延误、工程质量问题、安全问题等），甲方有权向乙方追偿。</w:t>
      </w:r>
    </w:p>
    <w:p w14:paraId="52A5079A">
      <w:pPr>
        <w:pStyle w:val="6"/>
        <w:spacing w:line="360" w:lineRule="auto"/>
        <w:ind w:firstLine="0" w:firstLineChars="0"/>
        <w:rPr>
          <w:rFonts w:ascii="宋体" w:hAnsi="宋体" w:eastAsia="宋体" w:cs="宋体"/>
          <w:b/>
          <w:color w:val="auto"/>
          <w:kern w:val="0"/>
          <w:position w:val="-1"/>
          <w:sz w:val="24"/>
          <w:szCs w:val="30"/>
          <w:highlight w:val="none"/>
        </w:rPr>
      </w:pPr>
      <w:bookmarkStart w:id="8" w:name="_Toc287627916"/>
      <w:r>
        <w:rPr>
          <w:rFonts w:hint="eastAsia" w:ascii="宋体" w:hAnsi="宋体" w:eastAsia="宋体" w:cs="宋体"/>
          <w:b/>
          <w:color w:val="auto"/>
          <w:kern w:val="0"/>
          <w:position w:val="-1"/>
          <w:sz w:val="24"/>
          <w:szCs w:val="30"/>
          <w:highlight w:val="none"/>
        </w:rPr>
        <w:t>三、合同工期</w:t>
      </w:r>
      <w:bookmarkEnd w:id="8"/>
    </w:p>
    <w:p w14:paraId="0F5B3632">
      <w:pPr>
        <w:pStyle w:val="92"/>
        <w:snapToGrid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kern w:val="0"/>
          <w:sz w:val="24"/>
          <w:highlight w:val="none"/>
        </w:rPr>
        <w:t>本工程合同工期总日历天数：</w:t>
      </w:r>
      <w:r>
        <w:rPr>
          <w:rFonts w:hint="eastAsia" w:ascii="宋体" w:hAnsi="宋体" w:eastAsia="宋体" w:cs="宋体"/>
          <w:color w:val="auto"/>
          <w:kern w:val="0"/>
          <w:sz w:val="24"/>
          <w:highlight w:val="none"/>
          <w:u w:val="single"/>
          <w:lang w:val="en-US" w:eastAsia="zh-CN"/>
        </w:rPr>
        <w:t>730</w:t>
      </w:r>
      <w:r>
        <w:rPr>
          <w:rFonts w:hint="eastAsia" w:ascii="宋体" w:hAnsi="宋体" w:eastAsia="宋体" w:cs="宋体"/>
          <w:color w:val="auto"/>
          <w:kern w:val="0"/>
          <w:sz w:val="24"/>
          <w:highlight w:val="none"/>
          <w:u w:val="none"/>
          <w:lang w:val="en-US" w:eastAsia="zh-CN"/>
        </w:rPr>
        <w:t>个</w:t>
      </w:r>
      <w:r>
        <w:rPr>
          <w:rFonts w:hint="eastAsia" w:ascii="宋体" w:hAnsi="宋体" w:eastAsia="宋体" w:cs="宋体"/>
          <w:bCs/>
          <w:color w:val="auto"/>
          <w:sz w:val="24"/>
          <w:szCs w:val="24"/>
          <w:highlight w:val="none"/>
        </w:rPr>
        <w:t>日历天</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自本合同生效且各方签署土地移交确认书次日起算</w:t>
      </w:r>
      <w:r>
        <w:rPr>
          <w:rFonts w:hint="eastAsia" w:ascii="宋体" w:hAnsi="宋体" w:eastAsia="宋体" w:cs="宋体"/>
          <w:bCs/>
          <w:color w:val="auto"/>
          <w:sz w:val="24"/>
          <w:szCs w:val="24"/>
          <w:highlight w:val="none"/>
          <w:lang w:eastAsia="zh-CN"/>
        </w:rPr>
        <w:t>）：</w:t>
      </w:r>
    </w:p>
    <w:p w14:paraId="22EE3A1F">
      <w:pPr>
        <w:pStyle w:val="92"/>
        <w:snapToGrid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（一）工程勘察：</w:t>
      </w:r>
      <w:r>
        <w:rPr>
          <w:rFonts w:hint="eastAsia" w:ascii="宋体" w:hAnsi="宋体" w:eastAsia="宋体" w:cs="宋体"/>
          <w:color w:val="auto"/>
          <w:sz w:val="24"/>
          <w:szCs w:val="24"/>
          <w:highlight w:val="none"/>
          <w:lang w:val="en-US" w:eastAsia="zh-CN"/>
        </w:rPr>
        <w:t>本合同签订后，</w:t>
      </w:r>
      <w:r>
        <w:rPr>
          <w:rFonts w:hint="eastAsia" w:ascii="宋体" w:hAnsi="宋体" w:eastAsia="宋体" w:cs="宋体"/>
          <w:color w:val="auto"/>
          <w:sz w:val="24"/>
          <w:szCs w:val="24"/>
          <w:highlight w:val="none"/>
        </w:rPr>
        <w:t>原则</w:t>
      </w:r>
      <w:r>
        <w:rPr>
          <w:rFonts w:hint="eastAsia" w:ascii="宋体" w:hAnsi="宋体" w:eastAsia="宋体" w:cs="宋体"/>
          <w:color w:val="auto"/>
          <w:sz w:val="24"/>
          <w:szCs w:val="24"/>
          <w:highlight w:val="none"/>
          <w:lang w:val="en-US" w:eastAsia="zh-CN"/>
        </w:rPr>
        <w:t>上在</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kern w:val="0"/>
          <w:sz w:val="24"/>
          <w:highlight w:val="none"/>
          <w:u w:val="none"/>
          <w:lang w:val="en-US" w:eastAsia="zh-CN"/>
        </w:rPr>
        <w:t>个</w:t>
      </w:r>
      <w:r>
        <w:rPr>
          <w:rFonts w:hint="eastAsia" w:ascii="宋体" w:hAnsi="宋体" w:eastAsia="宋体" w:cs="宋体"/>
          <w:bCs/>
          <w:color w:val="auto"/>
          <w:sz w:val="24"/>
          <w:szCs w:val="24"/>
          <w:highlight w:val="none"/>
        </w:rPr>
        <w:t>日历天</w:t>
      </w:r>
      <w:r>
        <w:rPr>
          <w:rFonts w:hint="eastAsia" w:ascii="宋体" w:hAnsi="宋体" w:eastAsia="宋体" w:cs="宋体"/>
          <w:color w:val="auto"/>
          <w:sz w:val="24"/>
          <w:szCs w:val="24"/>
          <w:highlight w:val="none"/>
        </w:rPr>
        <w:t>内提交勘察成果资料。经甲方批准，工程勘察可以根据项目开发时序，分期分批提交勘察成果资料，但应满足项目开发时序节点的要求。</w:t>
      </w:r>
    </w:p>
    <w:p w14:paraId="74EDF1AE">
      <w:pPr>
        <w:pStyle w:val="92"/>
        <w:snapToGrid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（二）工程设计： </w:t>
      </w:r>
    </w:p>
    <w:p w14:paraId="26E73D3D">
      <w:pPr>
        <w:pStyle w:val="92"/>
        <w:snapToGrid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在本合同签订后，</w:t>
      </w:r>
      <w:r>
        <w:rPr>
          <w:rFonts w:hint="eastAsia" w:ascii="宋体" w:hAnsi="宋体" w:eastAsia="宋体" w:cs="宋体"/>
          <w:color w:val="auto"/>
          <w:sz w:val="24"/>
          <w:highlight w:val="none"/>
          <w:u w:val="single"/>
        </w:rPr>
        <w:t>按甲方要求的期限</w:t>
      </w:r>
      <w:r>
        <w:rPr>
          <w:rFonts w:hint="eastAsia" w:ascii="宋体" w:hAnsi="宋体" w:eastAsia="宋体" w:cs="宋体"/>
          <w:color w:val="auto"/>
          <w:sz w:val="24"/>
          <w:highlight w:val="none"/>
        </w:rPr>
        <w:t>完成方案设计、专业报建图纸</w:t>
      </w:r>
      <w:r>
        <w:rPr>
          <w:rFonts w:hint="eastAsia" w:ascii="宋体" w:hAnsi="宋体" w:eastAsia="宋体" w:cs="宋体"/>
          <w:color w:val="auto"/>
          <w:sz w:val="24"/>
          <w:szCs w:val="24"/>
          <w:highlight w:val="none"/>
        </w:rPr>
        <w:t>，配合报批报建等工作，满足项目建设时序要求。</w:t>
      </w:r>
    </w:p>
    <w:p w14:paraId="28485E33">
      <w:pPr>
        <w:pStyle w:val="92"/>
        <w:snapToGrid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2、设计施工图预算（施工图预算由乙方成员中的</w:t>
      </w: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rPr>
        <w:t>单位编制完成）等，可根据项目开发时序，按甲方的要求分期提交。</w:t>
      </w:r>
    </w:p>
    <w:p w14:paraId="00B27A8F">
      <w:pPr>
        <w:pStyle w:val="92"/>
        <w:snapToGrid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3、相关单位对图纸、预算等提出修改或者评审意见的，</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日内提交修改文件。修改较大的按甲方要求的时间完成。</w:t>
      </w:r>
    </w:p>
    <w:p w14:paraId="2EEDDF42">
      <w:pPr>
        <w:pStyle w:val="92"/>
        <w:snapToGrid w:val="0"/>
        <w:spacing w:line="360" w:lineRule="auto"/>
        <w:ind w:firstLine="566" w:firstLineChars="236"/>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（三）工程施工：乙方应于</w:t>
      </w:r>
      <w:r>
        <w:rPr>
          <w:rFonts w:hint="default" w:ascii="宋体" w:hAnsi="宋体" w:eastAsia="宋体" w:cs="宋体"/>
          <w:color w:val="auto"/>
          <w:sz w:val="24"/>
          <w:szCs w:val="24"/>
          <w:highlight w:val="none"/>
          <w:lang w:val="en-US"/>
        </w:rPr>
        <w:t>中标公示</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日内向甲方提交总体工程进度计划，并经监理单位、甲方审批通过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总体工程进度计划审批通过后10日内乙方应就各</w:t>
      </w:r>
      <w:r>
        <w:rPr>
          <w:rFonts w:hint="eastAsia" w:ascii="宋体" w:hAnsi="宋体" w:eastAsia="宋体" w:cs="宋体"/>
          <w:color w:val="auto"/>
          <w:sz w:val="24"/>
          <w:highlight w:val="none"/>
        </w:rPr>
        <w:t>分部分项工程</w:t>
      </w:r>
      <w:r>
        <w:rPr>
          <w:rFonts w:hint="eastAsia" w:ascii="宋体" w:hAnsi="宋体" w:eastAsia="宋体" w:cs="宋体"/>
          <w:color w:val="auto"/>
          <w:sz w:val="24"/>
          <w:highlight w:val="none"/>
          <w:lang w:val="en-US" w:eastAsia="zh-CN"/>
        </w:rPr>
        <w:t>制定详尽的工程进度计划表</w:t>
      </w:r>
      <w:r>
        <w:rPr>
          <w:rFonts w:hint="eastAsia" w:ascii="宋体" w:hAnsi="宋体" w:eastAsia="宋体" w:cs="宋体"/>
          <w:color w:val="auto"/>
          <w:sz w:val="24"/>
          <w:szCs w:val="24"/>
          <w:highlight w:val="none"/>
        </w:rPr>
        <w:t>。该计划为本合同的附件，与本合同具同等效力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乙方应严格按照工程进度计划推进工程</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施工图完成施工图审查后，经甲方确认下发图纸后，</w:t>
      </w:r>
      <w:r>
        <w:rPr>
          <w:rFonts w:hint="eastAsia" w:ascii="宋体" w:hAnsi="宋体" w:eastAsia="宋体" w:cs="宋体"/>
          <w:color w:val="auto"/>
          <w:sz w:val="24"/>
          <w:szCs w:val="24"/>
          <w:highlight w:val="none"/>
        </w:rPr>
        <w:t>乙方</w:t>
      </w:r>
      <w:r>
        <w:rPr>
          <w:rFonts w:hint="eastAsia" w:ascii="宋体" w:hAnsi="宋体" w:eastAsia="宋体" w:cs="宋体"/>
          <w:color w:val="auto"/>
          <w:kern w:val="0"/>
          <w:sz w:val="24"/>
          <w:szCs w:val="24"/>
          <w:highlight w:val="none"/>
        </w:rPr>
        <w:t>施工单位</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30</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天内必须完成工程预算编制。</w:t>
      </w:r>
    </w:p>
    <w:p w14:paraId="43007BE7">
      <w:pPr>
        <w:pStyle w:val="92"/>
        <w:snapToGrid w:val="0"/>
        <w:spacing w:line="360" w:lineRule="auto"/>
        <w:ind w:firstLine="566" w:firstLineChars="236"/>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运营期：</w:t>
      </w:r>
      <w:r>
        <w:rPr>
          <w:rFonts w:hint="eastAsia" w:ascii="宋体" w:hAnsi="宋体" w:eastAsia="宋体" w:cs="宋体"/>
          <w:color w:val="auto"/>
          <w:kern w:val="2"/>
          <w:sz w:val="24"/>
          <w:szCs w:val="24"/>
          <w:highlight w:val="none"/>
          <w:lang w:val="en-US" w:eastAsia="zh-CN"/>
        </w:rPr>
        <w:t>为20年（自领取施工许可证之日起算满 24个月后的20年，无论项目是否建成、竣工验收、投入运营等，均视为项目己进入运营期）。</w:t>
      </w:r>
    </w:p>
    <w:p w14:paraId="09DD75AF">
      <w:pPr>
        <w:pStyle w:val="118"/>
        <w:spacing w:line="360" w:lineRule="auto"/>
        <w:rPr>
          <w:rFonts w:ascii="宋体" w:hAnsi="宋体" w:eastAsia="宋体" w:cs="宋体"/>
          <w:b/>
          <w:bCs w:val="0"/>
          <w:color w:val="auto"/>
          <w:sz w:val="18"/>
          <w:szCs w:val="18"/>
          <w:highlight w:val="none"/>
        </w:rPr>
      </w:pPr>
      <w:bookmarkStart w:id="9" w:name="_Toc287627917"/>
      <w:r>
        <w:rPr>
          <w:rFonts w:hint="eastAsia" w:ascii="宋体" w:hAnsi="宋体" w:eastAsia="宋体" w:cs="宋体"/>
          <w:b/>
          <w:bCs w:val="0"/>
          <w:color w:val="auto"/>
          <w:highlight w:val="none"/>
        </w:rPr>
        <w:t>四、质量标准</w:t>
      </w:r>
      <w:bookmarkEnd w:id="9"/>
    </w:p>
    <w:p w14:paraId="7794DA3A">
      <w:pPr>
        <w:autoSpaceDE/>
        <w:autoSpaceDN/>
        <w:adjustRightInd/>
        <w:spacing w:before="0" w:line="54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u w:val="single"/>
        </w:rPr>
        <w:t>工程施工质量标准：</w:t>
      </w:r>
      <w:r>
        <w:rPr>
          <w:rFonts w:hint="eastAsia" w:ascii="宋体" w:hAnsi="宋体" w:eastAsia="宋体" w:cs="宋体"/>
          <w:color w:val="auto"/>
          <w:kern w:val="0"/>
          <w:sz w:val="24"/>
          <w:szCs w:val="24"/>
          <w:highlight w:val="none"/>
          <w:u w:val="single"/>
        </w:rPr>
        <w:t>合格，符合设计图纸要求和国家、省、市相关法律法规规定要求及行业颁发的工程质量验收标准。按照国家最新颁布《建筑工程施工质量验收统一标准》（GB 50300-2013）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highlight w:val="none"/>
          <w:u w:val="single"/>
        </w:rPr>
        <w:t>《工程施工质量验收规范》</w:t>
      </w:r>
      <w:r>
        <w:rPr>
          <w:rFonts w:hint="eastAsia" w:ascii="宋体" w:hAnsi="宋体" w:eastAsia="宋体" w:cs="宋体"/>
          <w:color w:val="auto"/>
          <w:kern w:val="0"/>
          <w:sz w:val="24"/>
          <w:szCs w:val="24"/>
          <w:highlight w:val="none"/>
          <w:u w:val="single"/>
        </w:rPr>
        <w:t>及相应配套的各专业验收规范，一次竣工验收合格。</w:t>
      </w:r>
    </w:p>
    <w:p w14:paraId="3A38E024">
      <w:pPr>
        <w:autoSpaceDE w:val="0"/>
        <w:autoSpaceDN w:val="0"/>
        <w:adjustRightInd w:val="0"/>
        <w:spacing w:before="16" w:line="360" w:lineRule="auto"/>
        <w:ind w:hanging="6"/>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运营要求标准：满足甲方对本项目的运营要求及运营合同约定。</w:t>
      </w:r>
    </w:p>
    <w:p w14:paraId="30F7F07B">
      <w:pPr>
        <w:autoSpaceDE/>
        <w:autoSpaceDN/>
        <w:adjustRightInd/>
        <w:spacing w:before="0" w:line="540" w:lineRule="exact"/>
        <w:ind w:left="0" w:leftChars="0"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lang w:val="en-US" w:eastAsia="zh-CN"/>
        </w:rPr>
        <w:t>3、</w:t>
      </w:r>
      <w:r>
        <w:rPr>
          <w:rFonts w:hint="eastAsia" w:ascii="宋体" w:hAnsi="宋体" w:eastAsia="宋体" w:cs="宋体"/>
          <w:color w:val="auto"/>
          <w:kern w:val="0"/>
          <w:sz w:val="24"/>
          <w:highlight w:val="none"/>
          <w:u w:val="single"/>
        </w:rPr>
        <w:t>勘察设计部分：勘察、设计质量标准按第二篇和第三篇相关合同条款，符合建设工程勘察设计的技术规范及本项目勘察设计任务书的要求。</w:t>
      </w:r>
    </w:p>
    <w:p w14:paraId="38BFEDF9">
      <w:pPr>
        <w:autoSpaceDE w:val="0"/>
        <w:autoSpaceDN w:val="0"/>
        <w:adjustRightInd w:val="0"/>
        <w:spacing w:before="16" w:line="360" w:lineRule="auto"/>
        <w:ind w:left="239" w:leftChars="114" w:firstLine="232" w:firstLineChars="97"/>
        <w:jc w:val="left"/>
        <w:rPr>
          <w:rFonts w:hint="eastAsia" w:ascii="宋体" w:hAnsi="宋体" w:eastAsia="宋体" w:cs="宋体"/>
          <w:b w:val="0"/>
          <w:bCs w:val="0"/>
          <w:color w:val="auto"/>
          <w:kern w:val="0"/>
          <w:sz w:val="24"/>
          <w:szCs w:val="24"/>
          <w:highlight w:val="none"/>
          <w:u w:val="single"/>
          <w:lang w:val="zh-CN"/>
        </w:rPr>
      </w:pPr>
      <w:r>
        <w:rPr>
          <w:rFonts w:hint="eastAsia" w:ascii="宋体" w:hAnsi="宋体" w:eastAsia="宋体" w:cs="宋体"/>
          <w:b w:val="0"/>
          <w:bCs w:val="0"/>
          <w:color w:val="auto"/>
          <w:kern w:val="0"/>
          <w:sz w:val="24"/>
          <w:szCs w:val="24"/>
          <w:highlight w:val="none"/>
          <w:u w:val="single"/>
          <w:lang w:val="en-US" w:eastAsia="zh-CN"/>
        </w:rPr>
        <w:t>4、</w:t>
      </w:r>
      <w:r>
        <w:rPr>
          <w:rFonts w:hint="eastAsia" w:ascii="宋体" w:hAnsi="宋体" w:eastAsia="宋体" w:cs="宋体"/>
          <w:b w:val="0"/>
          <w:bCs w:val="0"/>
          <w:color w:val="auto"/>
          <w:kern w:val="0"/>
          <w:sz w:val="24"/>
          <w:szCs w:val="24"/>
          <w:highlight w:val="none"/>
          <w:u w:val="single"/>
          <w:lang w:val="zh-CN"/>
        </w:rPr>
        <w:t>职业健康安全管理目标和环境管理目标</w:t>
      </w:r>
    </w:p>
    <w:p w14:paraId="213D6820">
      <w:pPr>
        <w:autoSpaceDE w:val="0"/>
        <w:autoSpaceDN w:val="0"/>
        <w:adjustRightInd w:val="0"/>
        <w:spacing w:before="16" w:line="360" w:lineRule="auto"/>
        <w:ind w:left="239" w:leftChars="114" w:firstLine="232" w:firstLineChars="97"/>
        <w:jc w:val="left"/>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u w:val="single"/>
          <w:lang w:val="zh-CN"/>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lang w:val="zh-CN"/>
        </w:rPr>
        <w:t>职业健康安全管理目标：</w:t>
      </w:r>
    </w:p>
    <w:p w14:paraId="007355A5">
      <w:pPr>
        <w:autoSpaceDE w:val="0"/>
        <w:autoSpaceDN w:val="0"/>
        <w:adjustRightInd w:val="0"/>
        <w:spacing w:before="16" w:line="360" w:lineRule="auto"/>
        <w:ind w:left="239" w:leftChars="114" w:firstLine="232" w:firstLineChars="97"/>
        <w:jc w:val="left"/>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u w:val="single"/>
          <w:lang w:val="zh-CN"/>
        </w:rPr>
        <w:t>零死亡、零重伤、零中毒、零火灾、零坍塌、零重大机械事故、零重大财产损失及负面影响事件、零群体事件。改善劳动条件，预防职业病，防疫，工地防尘、防毒、防噪音、通风、照明、取暖、降温、防辐射及防物理因素危害等，均符合国家和地方政府主管理部门颁布的相关规定。</w:t>
      </w:r>
    </w:p>
    <w:p w14:paraId="1EC56033">
      <w:pPr>
        <w:autoSpaceDE w:val="0"/>
        <w:autoSpaceDN w:val="0"/>
        <w:adjustRightInd w:val="0"/>
        <w:spacing w:before="16" w:line="360" w:lineRule="auto"/>
        <w:ind w:left="239" w:leftChars="114" w:firstLine="232" w:firstLineChars="97"/>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lang w:val="zh-CN"/>
        </w:rPr>
        <w:t>环境管理目标：严格执行《广州市城乡建设委员会关于印发广州市加强建筑工地环保管理工作方案的通知》(穗建质〔2014〕754号)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关于加强建设工程安全生产管理、落实建设各方主体责任的暂行规定》（穗建规字〔2017〕21号）等国家、省、市现行标准、规定和文件要求，并满足广州市政府或建设管理部门文件规定要求。（如遇到政府部门有相关文件的更新替换，则按相关新文件执行）</w:t>
      </w:r>
    </w:p>
    <w:p w14:paraId="55CF269B">
      <w:pPr>
        <w:pStyle w:val="118"/>
        <w:spacing w:line="360" w:lineRule="auto"/>
        <w:rPr>
          <w:rFonts w:ascii="宋体" w:hAnsi="宋体" w:eastAsia="宋体" w:cs="宋体"/>
          <w:b/>
          <w:bCs w:val="0"/>
          <w:color w:val="auto"/>
          <w:highlight w:val="none"/>
        </w:rPr>
      </w:pPr>
      <w:bookmarkStart w:id="10" w:name="_Toc287627918"/>
      <w:r>
        <w:rPr>
          <w:rFonts w:hint="eastAsia" w:ascii="宋体" w:hAnsi="宋体" w:eastAsia="宋体" w:cs="宋体"/>
          <w:b/>
          <w:bCs w:val="0"/>
          <w:color w:val="auto"/>
          <w:highlight w:val="none"/>
        </w:rPr>
        <w:t>五、合同价款</w:t>
      </w:r>
      <w:bookmarkEnd w:id="10"/>
    </w:p>
    <w:p w14:paraId="29007949">
      <w:pPr>
        <w:pStyle w:val="87"/>
        <w:spacing w:before="0" w:after="0" w:line="360" w:lineRule="auto"/>
        <w:ind w:left="210" w:leftChars="100" w:right="240" w:firstLine="184" w:firstLineChars="77"/>
        <w:jc w:val="both"/>
        <w:rPr>
          <w:rFonts w:ascii="宋体" w:hAnsi="宋体" w:eastAsia="宋体" w:cs="宋体"/>
          <w:color w:val="auto"/>
          <w:highlight w:val="none"/>
        </w:rPr>
      </w:pPr>
      <w:r>
        <w:rPr>
          <w:rFonts w:hint="eastAsia" w:ascii="宋体" w:hAnsi="宋体" w:eastAsia="宋体" w:cs="宋体"/>
          <w:color w:val="auto"/>
          <w:highlight w:val="none"/>
        </w:rPr>
        <w:t>（一）暂定合同价款为：（大写）人民币</w:t>
      </w:r>
      <w:r>
        <w:rPr>
          <w:rFonts w:hint="eastAsia" w:ascii="宋体" w:hAnsi="宋体" w:eastAsia="宋体" w:cs="宋体"/>
          <w:color w:val="auto"/>
          <w:highlight w:val="none"/>
          <w:u w:val="single"/>
        </w:rPr>
        <w:t xml:space="preserve">       元整</w:t>
      </w:r>
      <w:r>
        <w:rPr>
          <w:rFonts w:hint="eastAsia" w:ascii="宋体" w:hAnsi="宋体" w:eastAsia="宋体" w:cs="宋体"/>
          <w:color w:val="auto"/>
          <w:highlight w:val="none"/>
        </w:rPr>
        <w:t>（含税）（¥</w:t>
      </w:r>
      <w:r>
        <w:rPr>
          <w:rFonts w:hint="eastAsia" w:ascii="宋体" w:hAnsi="宋体" w:eastAsia="宋体" w:cs="宋体"/>
          <w:color w:val="auto"/>
          <w:highlight w:val="none"/>
          <w:u w:val="single"/>
        </w:rPr>
        <w:t xml:space="preserve">      元</w:t>
      </w:r>
      <w:r>
        <w:rPr>
          <w:rFonts w:hint="eastAsia" w:ascii="宋体" w:hAnsi="宋体" w:eastAsia="宋体" w:cs="宋体"/>
          <w:color w:val="auto"/>
          <w:highlight w:val="none"/>
        </w:rPr>
        <w:t xml:space="preserve">）。其中： </w:t>
      </w:r>
    </w:p>
    <w:p w14:paraId="20BD384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1、暂定勘察费：（大写）</w:t>
      </w:r>
      <w:r>
        <w:rPr>
          <w:rFonts w:hint="eastAsia" w:ascii="宋体" w:hAnsi="宋体" w:eastAsia="宋体" w:cs="宋体"/>
          <w:color w:val="auto"/>
          <w:kern w:val="0"/>
          <w:sz w:val="24"/>
          <w:highlight w:val="none"/>
        </w:rPr>
        <w:t>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元整（¥</w:t>
      </w:r>
      <w:r>
        <w:rPr>
          <w:rFonts w:hint="eastAsia" w:ascii="宋体" w:hAnsi="宋体" w:eastAsia="宋体" w:cs="宋体"/>
          <w:color w:val="auto"/>
          <w:kern w:val="0"/>
          <w:sz w:val="24"/>
          <w:highlight w:val="none"/>
          <w:u w:val="single"/>
        </w:rPr>
        <w:t xml:space="preserve">     元</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中标下浮率</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BC28FE4">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2、暂定设计费：（大写）</w:t>
      </w:r>
      <w:r>
        <w:rPr>
          <w:rFonts w:hint="eastAsia" w:ascii="宋体" w:hAnsi="宋体" w:eastAsia="宋体" w:cs="宋体"/>
          <w:color w:val="auto"/>
          <w:kern w:val="0"/>
          <w:sz w:val="24"/>
          <w:highlight w:val="none"/>
        </w:rPr>
        <w:t>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元整（¥</w:t>
      </w:r>
      <w:r>
        <w:rPr>
          <w:rFonts w:hint="eastAsia" w:ascii="宋体" w:hAnsi="宋体" w:eastAsia="宋体" w:cs="宋体"/>
          <w:color w:val="auto"/>
          <w:kern w:val="0"/>
          <w:sz w:val="24"/>
          <w:highlight w:val="none"/>
          <w:u w:val="single"/>
        </w:rPr>
        <w:t xml:space="preserve">    元</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，中标下浮率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%。设计费用中非竞争性费用不计取中标下浮率。</w:t>
      </w:r>
    </w:p>
    <w:p w14:paraId="163A3EEC">
      <w:pPr>
        <w:adjustRightInd/>
        <w:snapToGrid/>
        <w:spacing w:line="360" w:lineRule="auto"/>
        <w:ind w:right="0" w:righ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3、暂定工程施工造价：（</w:t>
      </w:r>
      <w:r>
        <w:rPr>
          <w:rFonts w:hint="eastAsia" w:ascii="宋体" w:hAnsi="宋体" w:eastAsia="宋体" w:cs="宋体"/>
          <w:color w:val="auto"/>
          <w:kern w:val="0"/>
          <w:sz w:val="24"/>
          <w:highlight w:val="none"/>
        </w:rPr>
        <w:t>大写）人民币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中标下浮率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ED44DCD">
      <w:pPr>
        <w:adjustRightInd/>
        <w:snapToGrid/>
        <w:spacing w:line="360" w:lineRule="auto"/>
        <w:ind w:right="0" w:rightChars="0" w:firstLine="420" w:firstLineChars="17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u w:val="none"/>
          <w:lang w:val="en-US" w:eastAsia="zh-CN"/>
        </w:rPr>
        <w:t>运营费用：</w:t>
      </w:r>
      <w:r>
        <w:rPr>
          <w:rFonts w:hint="eastAsia" w:ascii="宋体" w:hAnsi="宋体" w:eastAsia="宋体" w:cs="宋体"/>
          <w:color w:val="auto"/>
          <w:sz w:val="24"/>
          <w:highlight w:val="none"/>
          <w:u w:val="single"/>
          <w:lang w:val="en-US" w:eastAsia="zh-CN"/>
        </w:rPr>
        <w:t>运营单位按16元/平方米的标准支付建筑物租金，运营期内每三年递增5%。运营单位按4元/平方米的标准支付空地租金，运营期内不递增。运营单位按0.1元/平方米的标准支付卫生费（如垃圾处理费升价，则卫生费按相应升价的比例增加</w:t>
      </w:r>
      <w:r>
        <w:rPr>
          <w:rFonts w:hint="eastAsia" w:ascii="宋体" w:hAnsi="宋体" w:eastAsia="宋体" w:cs="宋体"/>
          <w:color w:val="auto"/>
          <w:sz w:val="24"/>
          <w:highlight w:val="none"/>
          <w:lang w:val="en-US" w:eastAsia="zh-CN"/>
        </w:rPr>
        <w:t>），以上金额均为含税金额。</w:t>
      </w:r>
    </w:p>
    <w:p w14:paraId="4B11E7E9">
      <w:pPr>
        <w:adjustRightInd/>
        <w:snapToGrid/>
        <w:spacing w:line="360" w:lineRule="auto"/>
        <w:ind w:right="0" w:rightChars="0" w:firstLine="420" w:firstLineChars="175"/>
        <w:rPr>
          <w:rFonts w:ascii="宋体" w:hAnsi="宋体" w:eastAsia="宋体" w:cs="宋体"/>
          <w:color w:val="auto"/>
          <w:sz w:val="24"/>
          <w:highlight w:val="none"/>
        </w:rPr>
      </w:pPr>
      <w:r>
        <w:rPr>
          <w:rFonts w:hint="eastAsia" w:ascii="宋体" w:hAnsi="宋体" w:eastAsia="宋体" w:cs="宋体"/>
          <w:color w:val="auto"/>
          <w:sz w:val="24"/>
          <w:highlight w:val="none"/>
        </w:rPr>
        <w:t>（二）根据审查通过的施工图为依据编制的预算，经</w:t>
      </w:r>
      <w:r>
        <w:rPr>
          <w:rFonts w:hint="eastAsia" w:ascii="宋体" w:hAnsi="宋体" w:eastAsia="宋体" w:cs="宋体"/>
          <w:color w:val="auto"/>
          <w:sz w:val="24"/>
          <w:highlight w:val="none"/>
          <w:lang w:val="en-US" w:eastAsia="zh-CN"/>
        </w:rPr>
        <w:t>甲方委托的</w:t>
      </w:r>
      <w:r>
        <w:rPr>
          <w:rFonts w:hint="eastAsia" w:ascii="宋体" w:hAnsi="宋体" w:eastAsia="宋体" w:cs="宋体"/>
          <w:color w:val="auto"/>
          <w:sz w:val="24"/>
          <w:highlight w:val="none"/>
        </w:rPr>
        <w:t>第三方审核，本合同相关主体方确认后，按照下述原则调整</w:t>
      </w:r>
      <w:r>
        <w:rPr>
          <w:rFonts w:hint="eastAsia" w:ascii="宋体" w:hAnsi="宋体" w:eastAsia="宋体" w:cs="宋体"/>
          <w:color w:val="auto"/>
          <w:sz w:val="24"/>
          <w:highlight w:val="none"/>
          <w:lang w:val="en-US" w:eastAsia="zh-CN"/>
        </w:rPr>
        <w:t>暂定</w:t>
      </w:r>
      <w:r>
        <w:rPr>
          <w:rFonts w:hint="eastAsia" w:ascii="宋体" w:hAnsi="宋体" w:eastAsia="宋体" w:cs="宋体"/>
          <w:color w:val="auto"/>
          <w:sz w:val="24"/>
          <w:highlight w:val="none"/>
        </w:rPr>
        <w:t>合同价并签订补充协议</w:t>
      </w:r>
      <w:r>
        <w:rPr>
          <w:rFonts w:hint="eastAsia" w:ascii="宋体" w:hAnsi="宋体" w:eastAsia="宋体" w:cs="宋体"/>
          <w:color w:val="auto"/>
          <w:sz w:val="24"/>
          <w:highlight w:val="none"/>
          <w:lang w:val="en-US" w:eastAsia="zh-CN"/>
        </w:rPr>
        <w:t>以作为进度款支付依据</w:t>
      </w:r>
      <w:r>
        <w:rPr>
          <w:rFonts w:hint="eastAsia" w:ascii="宋体" w:hAnsi="宋体" w:eastAsia="宋体" w:cs="宋体"/>
          <w:color w:val="auto"/>
          <w:sz w:val="24"/>
          <w:highlight w:val="none"/>
        </w:rPr>
        <w:t>，具体如下：</w:t>
      </w:r>
    </w:p>
    <w:p w14:paraId="2CD70F56">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1、工程勘察：</w:t>
      </w:r>
      <w:r>
        <w:rPr>
          <w:rFonts w:hint="eastAsia" w:ascii="宋体" w:hAnsi="宋体" w:eastAsia="宋体" w:cs="宋体"/>
          <w:color w:val="auto"/>
          <w:sz w:val="24"/>
          <w:highlight w:val="none"/>
          <w:lang w:val="en-US" w:eastAsia="zh-CN"/>
        </w:rPr>
        <w:t>按</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确认</w:t>
      </w:r>
      <w:r>
        <w:rPr>
          <w:rFonts w:hint="eastAsia" w:ascii="宋体" w:hAnsi="宋体" w:eastAsia="宋体" w:cs="宋体"/>
          <w:color w:val="auto"/>
          <w:sz w:val="24"/>
          <w:highlight w:val="none"/>
        </w:rPr>
        <w:t>的勘察工作大纲中</w:t>
      </w:r>
      <w:r>
        <w:rPr>
          <w:rFonts w:hint="eastAsia" w:ascii="宋体" w:hAnsi="宋体" w:eastAsia="宋体" w:cs="宋体"/>
          <w:color w:val="auto"/>
          <w:sz w:val="24"/>
          <w:highlight w:val="none"/>
          <w:lang w:val="en-US" w:eastAsia="zh-CN"/>
        </w:rPr>
        <w:t>实际产生的</w:t>
      </w:r>
      <w:r>
        <w:rPr>
          <w:rFonts w:hint="eastAsia" w:ascii="宋体" w:hAnsi="宋体" w:eastAsia="宋体" w:cs="宋体"/>
          <w:color w:val="auto"/>
          <w:sz w:val="24"/>
          <w:highlight w:val="none"/>
        </w:rPr>
        <w:t>工作量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根据</w:t>
      </w:r>
      <w:r>
        <w:rPr>
          <w:rFonts w:hint="eastAsia" w:ascii="宋体" w:hAnsi="宋体" w:eastAsia="宋体" w:cs="宋体"/>
          <w:color w:val="auto"/>
          <w:sz w:val="24"/>
          <w:szCs w:val="24"/>
          <w:highlight w:val="none"/>
          <w:lang w:val="zh-CN"/>
        </w:rPr>
        <w:t>《工程勘察设计收费标准》（2002年修订本）标准</w:t>
      </w:r>
      <w:r>
        <w:rPr>
          <w:rFonts w:hint="eastAsia" w:ascii="宋体" w:hAnsi="宋体" w:eastAsia="宋体" w:cs="宋体"/>
          <w:color w:val="auto"/>
          <w:sz w:val="24"/>
          <w:szCs w:val="24"/>
          <w:highlight w:val="none"/>
          <w:lang w:val="en-US" w:eastAsia="zh-CN"/>
        </w:rPr>
        <w:t>乘以</w:t>
      </w:r>
      <w:r>
        <w:rPr>
          <w:rFonts w:hint="eastAsia" w:ascii="宋体" w:hAnsi="宋体" w:eastAsia="宋体" w:cs="宋体"/>
          <w:color w:val="auto"/>
          <w:sz w:val="24"/>
          <w:szCs w:val="24"/>
          <w:highlight w:val="none"/>
          <w:u w:val="none"/>
          <w:lang w:val="zh-CN"/>
        </w:rPr>
        <w:t>（1-</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lang w:val="zh-CN"/>
        </w:rPr>
        <w:t>勘察费</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color w:val="auto"/>
          <w:sz w:val="24"/>
          <w:szCs w:val="24"/>
          <w:highlight w:val="none"/>
          <w:u w:val="none"/>
          <w:lang w:val="zh-CN"/>
        </w:rPr>
        <w:t>下浮率）计价结算。</w:t>
      </w:r>
      <w:r>
        <w:rPr>
          <w:rFonts w:hint="eastAsia" w:ascii="宋体" w:hAnsi="宋体" w:eastAsia="宋体" w:cs="宋体"/>
          <w:bCs w:val="0"/>
          <w:color w:val="auto"/>
          <w:sz w:val="24"/>
          <w:szCs w:val="24"/>
          <w:highlight w:val="none"/>
          <w:lang w:val="en-US" w:eastAsia="zh-CN"/>
        </w:rPr>
        <w:t>勘察</w:t>
      </w:r>
      <w:r>
        <w:rPr>
          <w:rFonts w:hint="eastAsia" w:ascii="宋体" w:hAnsi="宋体" w:eastAsia="宋体" w:cs="宋体"/>
          <w:bCs w:val="0"/>
          <w:color w:val="auto"/>
          <w:sz w:val="24"/>
          <w:szCs w:val="24"/>
          <w:highlight w:val="none"/>
        </w:rPr>
        <w:t>费结算价不得超过</w:t>
      </w:r>
      <w:r>
        <w:rPr>
          <w:rFonts w:hint="eastAsia" w:ascii="宋体" w:hAnsi="宋体" w:eastAsia="宋体" w:cs="宋体"/>
          <w:bCs w:val="0"/>
          <w:color w:val="auto"/>
          <w:sz w:val="24"/>
          <w:szCs w:val="24"/>
          <w:highlight w:val="none"/>
          <w:lang w:val="en-US" w:eastAsia="zh-CN"/>
        </w:rPr>
        <w:t>勘察费</w:t>
      </w:r>
      <w:r>
        <w:rPr>
          <w:rFonts w:hint="eastAsia" w:ascii="宋体" w:hAnsi="宋体" w:eastAsia="宋体" w:cs="宋体"/>
          <w:bCs w:val="0"/>
          <w:color w:val="auto"/>
          <w:sz w:val="24"/>
          <w:szCs w:val="24"/>
          <w:highlight w:val="none"/>
        </w:rPr>
        <w:t>中标价，如超</w:t>
      </w:r>
      <w:r>
        <w:rPr>
          <w:rFonts w:hint="eastAsia" w:ascii="宋体" w:hAnsi="宋体" w:eastAsia="宋体" w:cs="宋体"/>
          <w:bCs w:val="0"/>
          <w:color w:val="auto"/>
          <w:sz w:val="24"/>
          <w:szCs w:val="24"/>
          <w:highlight w:val="none"/>
          <w:lang w:val="en-US" w:eastAsia="zh-CN"/>
        </w:rPr>
        <w:t>过中标价</w:t>
      </w:r>
      <w:r>
        <w:rPr>
          <w:rFonts w:hint="eastAsia" w:ascii="宋体" w:hAnsi="宋体" w:eastAsia="宋体" w:cs="宋体"/>
          <w:bCs w:val="0"/>
          <w:color w:val="auto"/>
          <w:sz w:val="24"/>
          <w:szCs w:val="24"/>
          <w:highlight w:val="none"/>
        </w:rPr>
        <w:t>，则按中标价结算，最终结算价以</w:t>
      </w:r>
      <w:r>
        <w:rPr>
          <w:rFonts w:hint="eastAsia" w:ascii="宋体" w:hAnsi="宋体" w:eastAsia="宋体" w:cs="宋体"/>
          <w:bCs w:val="0"/>
          <w:color w:val="auto"/>
          <w:sz w:val="24"/>
          <w:szCs w:val="24"/>
          <w:highlight w:val="none"/>
          <w:lang w:val="en-US" w:eastAsia="zh-CN"/>
        </w:rPr>
        <w:t>甲方</w:t>
      </w:r>
      <w:r>
        <w:rPr>
          <w:rFonts w:hint="eastAsia" w:ascii="宋体" w:hAnsi="宋体" w:eastAsia="宋体" w:cs="宋体"/>
          <w:bCs w:val="0"/>
          <w:color w:val="auto"/>
          <w:sz w:val="24"/>
          <w:szCs w:val="24"/>
          <w:highlight w:val="none"/>
        </w:rPr>
        <w:t>审核意见为准。</w:t>
      </w:r>
    </w:p>
    <w:p w14:paraId="214488E8">
      <w:pPr>
        <w:numPr>
          <w:ilvl w:val="0"/>
          <w:numId w:val="3"/>
        </w:num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工程设计</w:t>
      </w:r>
      <w:r>
        <w:rPr>
          <w:rFonts w:hint="eastAsia" w:ascii="宋体" w:hAnsi="宋体" w:eastAsia="宋体" w:cs="宋体"/>
          <w:color w:val="auto"/>
          <w:sz w:val="24"/>
          <w:highlight w:val="none"/>
          <w:lang w:val="en-US" w:eastAsia="zh-CN"/>
        </w:rPr>
        <w:t xml:space="preserve"> </w:t>
      </w:r>
    </w:p>
    <w:p w14:paraId="3AF8DF3D">
      <w:pPr>
        <w:spacing w:line="360" w:lineRule="auto"/>
        <w:ind w:firstLine="48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w:t>
      </w:r>
      <w:r>
        <w:rPr>
          <w:rFonts w:hint="eastAsia" w:ascii="宋体" w:hAnsi="宋体" w:eastAsia="宋体" w:cs="宋体"/>
          <w:bCs w:val="0"/>
          <w:color w:val="auto"/>
          <w:sz w:val="24"/>
          <w:szCs w:val="24"/>
          <w:highlight w:val="none"/>
        </w:rPr>
        <w:t>设计费结算以经甲方最终确定的施工图预算为计费基数，按《工程勘察设计收费标准》（2002年修订本）规定计算的设计收费基价并结合各调整系数（工程复杂程度调整系数为1.0、专业调整系数为1.0、附加调整系数为1.0）乘以（1-20%-设计费中标下浮率））计价结算</w:t>
      </w:r>
      <w:r>
        <w:rPr>
          <w:rFonts w:hint="eastAsia" w:ascii="宋体" w:hAnsi="宋体" w:eastAsia="宋体" w:cs="宋体"/>
          <w:color w:val="auto"/>
          <w:sz w:val="24"/>
          <w:szCs w:val="24"/>
          <w:highlight w:val="none"/>
          <w:u w:val="none"/>
          <w:lang w:val="zh-CN"/>
        </w:rPr>
        <w:t>。</w:t>
      </w:r>
    </w:p>
    <w:p w14:paraId="7CD24D1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bCs w:val="0"/>
          <w:color w:val="auto"/>
          <w:sz w:val="24"/>
          <w:szCs w:val="24"/>
          <w:highlight w:val="none"/>
        </w:rPr>
        <w:t>设计费结算价不得超过设计费中标价，如超</w:t>
      </w:r>
      <w:r>
        <w:rPr>
          <w:rFonts w:hint="eastAsia" w:ascii="宋体" w:hAnsi="宋体" w:eastAsia="宋体" w:cs="宋体"/>
          <w:bCs w:val="0"/>
          <w:color w:val="auto"/>
          <w:sz w:val="24"/>
          <w:szCs w:val="24"/>
          <w:highlight w:val="none"/>
          <w:lang w:val="en-US" w:eastAsia="zh-CN"/>
        </w:rPr>
        <w:t>过中标价</w:t>
      </w:r>
      <w:r>
        <w:rPr>
          <w:rFonts w:hint="eastAsia" w:ascii="宋体" w:hAnsi="宋体" w:eastAsia="宋体" w:cs="宋体"/>
          <w:bCs w:val="0"/>
          <w:color w:val="auto"/>
          <w:sz w:val="24"/>
          <w:szCs w:val="24"/>
          <w:highlight w:val="none"/>
        </w:rPr>
        <w:t>，则按设计费中标价结算，最终结算价以</w:t>
      </w:r>
      <w:r>
        <w:rPr>
          <w:rFonts w:hint="eastAsia" w:ascii="宋体" w:hAnsi="宋体" w:eastAsia="宋体" w:cs="宋体"/>
          <w:bCs w:val="0"/>
          <w:color w:val="auto"/>
          <w:sz w:val="24"/>
          <w:szCs w:val="24"/>
          <w:highlight w:val="none"/>
          <w:lang w:val="en-US" w:eastAsia="zh-CN"/>
        </w:rPr>
        <w:t>甲方</w:t>
      </w:r>
      <w:r>
        <w:rPr>
          <w:rFonts w:hint="eastAsia" w:ascii="宋体" w:hAnsi="宋体" w:eastAsia="宋体" w:cs="宋体"/>
          <w:bCs w:val="0"/>
          <w:color w:val="auto"/>
          <w:sz w:val="24"/>
          <w:szCs w:val="24"/>
          <w:highlight w:val="none"/>
        </w:rPr>
        <w:t>审核意见为准。</w:t>
      </w:r>
    </w:p>
    <w:p w14:paraId="43856460">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3、施工部分</w:t>
      </w:r>
    </w:p>
    <w:p w14:paraId="00318A0E">
      <w:pPr>
        <w:pStyle w:val="6"/>
        <w:spacing w:line="360" w:lineRule="auto"/>
        <w:ind w:firstLineChars="175"/>
        <w:rPr>
          <w:rFonts w:ascii="宋体" w:hAnsi="宋体" w:eastAsia="宋体" w:cs="宋体"/>
          <w:color w:val="auto"/>
          <w:sz w:val="24"/>
          <w:highlight w:val="none"/>
        </w:rPr>
      </w:pPr>
      <w:r>
        <w:rPr>
          <w:rFonts w:hint="eastAsia" w:ascii="宋体" w:hAnsi="宋体" w:eastAsia="宋体" w:cs="宋体"/>
          <w:color w:val="auto"/>
          <w:sz w:val="24"/>
          <w:highlight w:val="none"/>
        </w:rPr>
        <w:t>3.1采用综合单价包干，项目措施费</w:t>
      </w:r>
      <w:r>
        <w:rPr>
          <w:rFonts w:hint="eastAsia" w:ascii="宋体" w:hAnsi="宋体" w:eastAsia="宋体" w:cs="宋体"/>
          <w:color w:val="auto"/>
          <w:sz w:val="24"/>
          <w:highlight w:val="none"/>
          <w:lang w:val="en-US" w:eastAsia="zh-CN"/>
        </w:rPr>
        <w:t>总价</w:t>
      </w:r>
      <w:r>
        <w:rPr>
          <w:rFonts w:hint="eastAsia" w:ascii="宋体" w:hAnsi="宋体" w:eastAsia="宋体" w:cs="宋体"/>
          <w:color w:val="auto"/>
          <w:sz w:val="24"/>
          <w:highlight w:val="none"/>
        </w:rPr>
        <w:t xml:space="preserve">包干，工程量按实计算的方式确定，具体如下： </w:t>
      </w:r>
    </w:p>
    <w:p w14:paraId="3C52F617">
      <w:pPr>
        <w:spacing w:line="360" w:lineRule="auto"/>
        <w:ind w:firstLine="420" w:firstLineChars="175"/>
        <w:rPr>
          <w:rFonts w:ascii="宋体" w:hAnsi="宋体" w:eastAsia="宋体" w:cs="宋体"/>
          <w:color w:val="auto"/>
          <w:sz w:val="24"/>
          <w:highlight w:val="none"/>
        </w:rPr>
      </w:pPr>
      <w:r>
        <w:rPr>
          <w:rFonts w:hint="eastAsia" w:ascii="宋体" w:hAnsi="宋体" w:eastAsia="宋体" w:cs="宋体"/>
          <w:color w:val="auto"/>
          <w:sz w:val="24"/>
          <w:highlight w:val="none"/>
        </w:rPr>
        <w:t>(1)分部分项工程量清单包干综合单价=</w:t>
      </w:r>
      <w:r>
        <w:rPr>
          <w:rFonts w:hint="eastAsia" w:ascii="宋体" w:hAnsi="宋体" w:eastAsia="宋体" w:cs="宋体"/>
          <w:color w:val="auto"/>
          <w:kern w:val="0"/>
          <w:sz w:val="24"/>
          <w:highlight w:val="none"/>
        </w:rPr>
        <w:t>以</w:t>
      </w:r>
      <w:r>
        <w:rPr>
          <w:rFonts w:hint="eastAsia" w:ascii="宋体" w:hAnsi="宋体" w:eastAsia="宋体" w:cs="宋体"/>
          <w:color w:val="auto"/>
          <w:sz w:val="24"/>
          <w:highlight w:val="none"/>
        </w:rPr>
        <w:t>经</w:t>
      </w:r>
      <w:r>
        <w:rPr>
          <w:rFonts w:hint="eastAsia" w:ascii="宋体" w:hAnsi="宋体" w:eastAsia="宋体" w:cs="宋体"/>
          <w:color w:val="auto"/>
          <w:sz w:val="24"/>
          <w:highlight w:val="none"/>
          <w:lang w:val="en-US" w:eastAsia="zh-CN"/>
        </w:rPr>
        <w:t>甲方确认的</w:t>
      </w:r>
      <w:r>
        <w:rPr>
          <w:rFonts w:hint="eastAsia" w:ascii="宋体" w:hAnsi="宋体" w:eastAsia="宋体" w:cs="宋体"/>
          <w:color w:val="auto"/>
          <w:sz w:val="24"/>
          <w:highlight w:val="none"/>
          <w:u w:val="none"/>
          <w:lang w:eastAsia="zh-CN"/>
        </w:rPr>
        <w:t>施工图预算</w:t>
      </w:r>
      <w:r>
        <w:rPr>
          <w:rFonts w:hint="eastAsia" w:ascii="宋体" w:hAnsi="宋体" w:eastAsia="宋体" w:cs="宋体"/>
          <w:color w:val="auto"/>
          <w:sz w:val="24"/>
          <w:highlight w:val="none"/>
        </w:rPr>
        <w:t>中的分部分项工程量清单综合单价×（1-中标下浮率），中标下浮率以投标文件为准。</w:t>
      </w:r>
    </w:p>
    <w:p w14:paraId="7EB15B5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分部分项工程费=∑（分部分项工程量清单包干综合单价×工程量），工程量暂</w:t>
      </w:r>
      <w:r>
        <w:rPr>
          <w:rFonts w:hint="eastAsia" w:ascii="宋体" w:hAnsi="宋体" w:eastAsia="宋体" w:cs="宋体"/>
          <w:color w:val="auto"/>
          <w:sz w:val="24"/>
          <w:highlight w:val="none"/>
          <w:lang w:val="en-US" w:eastAsia="zh-CN"/>
        </w:rPr>
        <w:t>按照</w:t>
      </w:r>
      <w:r>
        <w:rPr>
          <w:rFonts w:hint="eastAsia" w:ascii="宋体" w:hAnsi="宋体" w:eastAsia="宋体" w:cs="宋体"/>
          <w:color w:val="auto"/>
          <w:sz w:val="24"/>
          <w:highlight w:val="none"/>
        </w:rPr>
        <w:t>经</w:t>
      </w:r>
      <w:r>
        <w:rPr>
          <w:rFonts w:hint="eastAsia" w:ascii="宋体" w:hAnsi="宋体" w:eastAsia="宋体" w:cs="宋体"/>
          <w:color w:val="auto"/>
          <w:sz w:val="24"/>
          <w:highlight w:val="none"/>
          <w:lang w:val="en-US" w:eastAsia="zh-CN"/>
        </w:rPr>
        <w:t>甲方确认的</w:t>
      </w:r>
      <w:r>
        <w:rPr>
          <w:rFonts w:hint="eastAsia" w:ascii="宋体" w:hAnsi="宋体" w:eastAsia="宋体" w:cs="宋体"/>
          <w:color w:val="auto"/>
          <w:sz w:val="24"/>
          <w:highlight w:val="none"/>
          <w:u w:val="none"/>
          <w:lang w:eastAsia="zh-CN"/>
        </w:rPr>
        <w:t>施工图预算</w:t>
      </w:r>
      <w:r>
        <w:rPr>
          <w:rFonts w:hint="eastAsia" w:ascii="宋体" w:hAnsi="宋体" w:eastAsia="宋体" w:cs="宋体"/>
          <w:color w:val="auto"/>
          <w:sz w:val="24"/>
          <w:highlight w:val="none"/>
          <w:lang w:val="en-US" w:eastAsia="zh-CN"/>
        </w:rPr>
        <w:t>中</w:t>
      </w:r>
      <w:r>
        <w:rPr>
          <w:rFonts w:hint="eastAsia" w:ascii="宋体" w:hAnsi="宋体" w:eastAsia="宋体" w:cs="宋体"/>
          <w:color w:val="auto"/>
          <w:sz w:val="24"/>
          <w:highlight w:val="none"/>
        </w:rPr>
        <w:t>对应</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工程量计算，结算依据竣工文件按实计量。</w:t>
      </w:r>
    </w:p>
    <w:p w14:paraId="5996A27B">
      <w:pPr>
        <w:spacing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rPr>
        <w:t>（2）措施项目费：</w:t>
      </w:r>
      <w:r>
        <w:rPr>
          <w:rFonts w:hint="eastAsia" w:ascii="宋体" w:hAnsi="宋体" w:eastAsia="宋体" w:cs="宋体"/>
          <w:color w:val="auto"/>
          <w:sz w:val="24"/>
          <w:szCs w:val="24"/>
          <w:highlight w:val="none"/>
        </w:rPr>
        <w:t>本工程的项目措施费为</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包干使用，在双方确认施工图预算后，下浮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执行中标下浮率）</w:t>
      </w:r>
      <w:r>
        <w:rPr>
          <w:rFonts w:hint="eastAsia" w:ascii="宋体" w:hAnsi="宋体" w:eastAsia="宋体" w:cs="宋体"/>
          <w:color w:val="auto"/>
          <w:sz w:val="24"/>
          <w:szCs w:val="24"/>
          <w:highlight w:val="none"/>
        </w:rPr>
        <w:t>后的施工图预算中的项目措施费即为结算价，结算时不做调整。</w:t>
      </w:r>
      <w:r>
        <w:rPr>
          <w:rFonts w:hint="eastAsia" w:ascii="宋体" w:hAnsi="宋体" w:eastAsia="宋体" w:cs="宋体"/>
          <w:color w:val="auto"/>
          <w:sz w:val="24"/>
          <w:szCs w:val="24"/>
          <w:highlight w:val="none"/>
          <w:lang w:val="en-US" w:eastAsia="zh-CN"/>
        </w:rPr>
        <w:t>调减的特殊情况：</w:t>
      </w:r>
      <w:r>
        <w:rPr>
          <w:rFonts w:hint="eastAsia" w:ascii="宋体" w:hAnsi="宋体" w:eastAsia="宋体" w:cs="宋体"/>
          <w:color w:val="auto"/>
          <w:sz w:val="24"/>
          <w:highlight w:val="none"/>
        </w:rPr>
        <w:t>工程实施内容减少，</w:t>
      </w:r>
      <w:r>
        <w:rPr>
          <w:rFonts w:hint="eastAsia" w:ascii="宋体" w:hAnsi="宋体" w:eastAsia="宋体" w:cs="宋体"/>
          <w:color w:val="auto"/>
          <w:sz w:val="24"/>
          <w:highlight w:val="none"/>
          <w:lang w:val="en-US" w:eastAsia="zh-CN"/>
        </w:rPr>
        <w:t>据实</w:t>
      </w:r>
      <w:r>
        <w:rPr>
          <w:rFonts w:hint="eastAsia" w:ascii="宋体" w:hAnsi="宋体" w:eastAsia="宋体" w:cs="宋体"/>
          <w:color w:val="auto"/>
          <w:sz w:val="24"/>
          <w:highlight w:val="none"/>
        </w:rPr>
        <w:t>调减措施项目费</w:t>
      </w:r>
      <w:r>
        <w:rPr>
          <w:rFonts w:hint="eastAsia" w:ascii="宋体" w:hAnsi="宋体" w:eastAsia="宋体" w:cs="宋体"/>
          <w:color w:val="auto"/>
          <w:sz w:val="24"/>
          <w:highlight w:val="none"/>
          <w:lang w:eastAsia="zh-CN"/>
        </w:rPr>
        <w:t>。</w:t>
      </w:r>
    </w:p>
    <w:p w14:paraId="156777BD">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绿色施工安全防护措施费属非竞争性费用不下浮。</w:t>
      </w:r>
    </w:p>
    <w:p w14:paraId="58D949A3">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（3）其他项目费=</w:t>
      </w:r>
      <w:r>
        <w:rPr>
          <w:rFonts w:hint="eastAsia" w:ascii="宋体" w:hAnsi="宋体" w:eastAsia="宋体" w:cs="宋体"/>
          <w:color w:val="auto"/>
          <w:kern w:val="0"/>
          <w:sz w:val="24"/>
          <w:highlight w:val="none"/>
        </w:rPr>
        <w:t>以</w:t>
      </w:r>
      <w:r>
        <w:rPr>
          <w:rFonts w:hint="eastAsia" w:ascii="宋体" w:hAnsi="宋体" w:eastAsia="宋体" w:cs="宋体"/>
          <w:color w:val="auto"/>
          <w:sz w:val="24"/>
          <w:highlight w:val="none"/>
        </w:rPr>
        <w:t>经</w:t>
      </w:r>
      <w:r>
        <w:rPr>
          <w:rFonts w:hint="eastAsia" w:ascii="宋体" w:hAnsi="宋体" w:eastAsia="宋体" w:cs="宋体"/>
          <w:color w:val="auto"/>
          <w:sz w:val="24"/>
          <w:highlight w:val="none"/>
          <w:lang w:val="en-US" w:eastAsia="zh-CN"/>
        </w:rPr>
        <w:t>甲方确认的</w:t>
      </w:r>
      <w:r>
        <w:rPr>
          <w:rFonts w:hint="eastAsia" w:ascii="宋体" w:hAnsi="宋体" w:eastAsia="宋体" w:cs="宋体"/>
          <w:color w:val="auto"/>
          <w:sz w:val="24"/>
          <w:highlight w:val="none"/>
          <w:u w:val="none"/>
          <w:lang w:eastAsia="zh-CN"/>
        </w:rPr>
        <w:t>施工图预算</w:t>
      </w:r>
      <w:r>
        <w:rPr>
          <w:rFonts w:hint="eastAsia" w:ascii="宋体" w:hAnsi="宋体" w:eastAsia="宋体" w:cs="宋体"/>
          <w:color w:val="auto"/>
          <w:sz w:val="24"/>
          <w:highlight w:val="none"/>
        </w:rPr>
        <w:t>对应其他项目费×（1-中标下浮率）。暂列金额、暂估价按照</w:t>
      </w:r>
      <w:r>
        <w:rPr>
          <w:rFonts w:hint="eastAsia" w:ascii="宋体" w:hAnsi="宋体" w:eastAsia="宋体" w:cs="宋体"/>
          <w:color w:val="auto"/>
          <w:sz w:val="24"/>
          <w:highlight w:val="none"/>
          <w:lang w:val="en-US" w:eastAsia="zh-CN"/>
        </w:rPr>
        <w:t>甲方确定的</w:t>
      </w:r>
      <w:r>
        <w:rPr>
          <w:rFonts w:hint="eastAsia" w:ascii="宋体" w:hAnsi="宋体" w:eastAsia="宋体" w:cs="宋体"/>
          <w:color w:val="auto"/>
          <w:sz w:val="24"/>
          <w:highlight w:val="none"/>
          <w:u w:val="none"/>
          <w:lang w:eastAsia="zh-CN"/>
        </w:rPr>
        <w:t>施工图预算</w:t>
      </w:r>
      <w:r>
        <w:rPr>
          <w:rFonts w:hint="eastAsia" w:ascii="宋体" w:hAnsi="宋体" w:eastAsia="宋体" w:cs="宋体"/>
          <w:color w:val="auto"/>
          <w:sz w:val="24"/>
          <w:highlight w:val="none"/>
        </w:rPr>
        <w:t>中</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金额</w:t>
      </w:r>
      <w:r>
        <w:rPr>
          <w:rFonts w:hint="default" w:ascii="宋体" w:hAnsi="宋体" w:eastAsia="宋体" w:cs="宋体"/>
          <w:color w:val="auto"/>
          <w:sz w:val="24"/>
          <w:highlight w:val="none"/>
          <w:lang w:val="en-US"/>
        </w:rPr>
        <w:t>开列</w:t>
      </w:r>
      <w:r>
        <w:rPr>
          <w:rFonts w:hint="eastAsia" w:ascii="宋体" w:hAnsi="宋体" w:eastAsia="宋体" w:cs="宋体"/>
          <w:color w:val="auto"/>
          <w:sz w:val="24"/>
          <w:highlight w:val="none"/>
        </w:rPr>
        <w:t>。</w:t>
      </w:r>
    </w:p>
    <w:p w14:paraId="69C06EC4">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（4）规费、税金：按规定计取</w:t>
      </w:r>
      <w:r>
        <w:rPr>
          <w:rFonts w:hint="default" w:ascii="宋体" w:hAnsi="宋体" w:eastAsia="宋体" w:cs="宋体"/>
          <w:color w:val="auto"/>
          <w:sz w:val="24"/>
          <w:highlight w:val="none"/>
        </w:rPr>
        <w:t>，</w:t>
      </w:r>
      <w:r>
        <w:rPr>
          <w:rFonts w:ascii="宋体" w:hAnsi="宋体" w:eastAsia="宋体" w:cs="宋体"/>
          <w:color w:val="auto"/>
          <w:sz w:val="24"/>
          <w:szCs w:val="24"/>
          <w:highlight w:val="none"/>
        </w:rPr>
        <w:t>取费规定中有上下限的，按</w:t>
      </w:r>
      <w:r>
        <w:rPr>
          <w:rFonts w:hint="default" w:ascii="宋体" w:hAnsi="宋体" w:eastAsia="宋体" w:cs="宋体"/>
          <w:color w:val="auto"/>
          <w:sz w:val="24"/>
          <w:szCs w:val="24"/>
          <w:highlight w:val="none"/>
          <w:lang w:val="en-US" w:eastAsia="zh-CN"/>
        </w:rPr>
        <w:t>低</w:t>
      </w:r>
      <w:r>
        <w:rPr>
          <w:rFonts w:ascii="宋体" w:hAnsi="宋体" w:eastAsia="宋体" w:cs="宋体"/>
          <w:color w:val="auto"/>
          <w:sz w:val="24"/>
          <w:szCs w:val="24"/>
          <w:highlight w:val="none"/>
        </w:rPr>
        <w:t>值计算</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highlight w:val="none"/>
        </w:rPr>
        <w:t>费率</w:t>
      </w:r>
      <w:r>
        <w:rPr>
          <w:rFonts w:hint="eastAsia" w:ascii="宋体" w:hAnsi="宋体" w:eastAsia="宋体" w:cs="宋体"/>
          <w:color w:val="auto"/>
          <w:sz w:val="24"/>
          <w:highlight w:val="none"/>
        </w:rPr>
        <w:t>固定不变（市造价站文件规定可调整除外）。</w:t>
      </w:r>
    </w:p>
    <w:p w14:paraId="274E1B7C">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（5）施工部分补充协议价=分部分项工程费+措施项目费+其他项目费+规费+税金。</w:t>
      </w:r>
    </w:p>
    <w:p w14:paraId="5224B34F">
      <w:pPr>
        <w:pStyle w:val="6"/>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报送的最终版施工图纸和施工图预算经</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审核确认后，如因</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原因导致修改(增或减)图纸的，增加部分费用由</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自行承担，减少部分费用按实结算，最终结算价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执行</w:t>
      </w:r>
      <w:r>
        <w:rPr>
          <w:rFonts w:hint="eastAsia" w:ascii="宋体" w:hAnsi="宋体" w:eastAsia="宋体" w:cs="宋体"/>
          <w:color w:val="auto"/>
          <w:sz w:val="24"/>
          <w:highlight w:val="none"/>
          <w:lang w:val="en-US" w:eastAsia="zh-CN"/>
        </w:rPr>
        <w:t>中标下浮后）</w:t>
      </w:r>
      <w:r>
        <w:rPr>
          <w:rFonts w:hint="eastAsia" w:ascii="宋体" w:hAnsi="宋体" w:eastAsia="宋体" w:cs="宋体"/>
          <w:color w:val="auto"/>
          <w:sz w:val="24"/>
          <w:highlight w:val="none"/>
        </w:rPr>
        <w:t>不得超过经</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审核确认</w:t>
      </w:r>
      <w:r>
        <w:rPr>
          <w:rFonts w:hint="eastAsia" w:ascii="宋体" w:hAnsi="宋体" w:eastAsia="宋体" w:cs="宋体"/>
          <w:color w:val="auto"/>
          <w:sz w:val="24"/>
          <w:highlight w:val="none"/>
          <w:lang w:val="en-US" w:eastAsia="zh-CN"/>
        </w:rPr>
        <w:t>的施工图预算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如非</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原因发生重大方案决策调整的，调整内容经</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和监理单位批准确认并已完善变更手续的，可予以调整价款，最终结算价以</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 xml:space="preserve">审定为准。 </w:t>
      </w:r>
    </w:p>
    <w:p w14:paraId="0D734BFF">
      <w:pPr>
        <w:pStyle w:val="6"/>
        <w:spacing w:line="360" w:lineRule="auto"/>
        <w:ind w:firstLineChars="175"/>
        <w:rPr>
          <w:rFonts w:ascii="宋体" w:hAnsi="宋体" w:eastAsia="宋体" w:cs="宋体"/>
          <w:color w:val="auto"/>
          <w:sz w:val="24"/>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szCs w:val="24"/>
          <w:highlight w:val="none"/>
        </w:rPr>
        <w:t>本工程的项目措施费为</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包干使用，在双方确认施工图预算后，</w:t>
      </w:r>
      <w:r>
        <w:rPr>
          <w:rFonts w:hint="eastAsia" w:ascii="宋体" w:hAnsi="宋体" w:eastAsia="宋体" w:cs="宋体"/>
          <w:color w:val="auto"/>
          <w:sz w:val="24"/>
          <w:szCs w:val="24"/>
          <w:highlight w:val="none"/>
          <w:lang w:val="en-US" w:eastAsia="zh-CN"/>
        </w:rPr>
        <w:t>执行中标下浮率</w:t>
      </w:r>
      <w:r>
        <w:rPr>
          <w:rFonts w:hint="eastAsia" w:ascii="宋体" w:hAnsi="宋体" w:eastAsia="宋体" w:cs="宋体"/>
          <w:color w:val="auto"/>
          <w:sz w:val="24"/>
          <w:szCs w:val="24"/>
          <w:highlight w:val="none"/>
        </w:rPr>
        <w:t>的施工图预算中的项目措施费即为结算价，结算时不做调整。</w:t>
      </w:r>
      <w:r>
        <w:rPr>
          <w:rFonts w:hint="eastAsia" w:ascii="宋体" w:hAnsi="宋体" w:eastAsia="宋体" w:cs="宋体"/>
          <w:color w:val="auto"/>
          <w:sz w:val="24"/>
          <w:highlight w:val="none"/>
        </w:rPr>
        <w:t>项目措施费调减的特殊情况：工程实施内容减少，</w:t>
      </w:r>
      <w:r>
        <w:rPr>
          <w:rFonts w:hint="eastAsia" w:ascii="宋体" w:hAnsi="宋体" w:eastAsia="宋体" w:cs="宋体"/>
          <w:color w:val="auto"/>
          <w:sz w:val="24"/>
          <w:highlight w:val="none"/>
          <w:lang w:val="en-US" w:eastAsia="zh-CN"/>
        </w:rPr>
        <w:t>据实</w:t>
      </w:r>
      <w:r>
        <w:rPr>
          <w:rFonts w:hint="eastAsia" w:ascii="宋体" w:hAnsi="宋体" w:eastAsia="宋体" w:cs="宋体"/>
          <w:color w:val="auto"/>
          <w:sz w:val="24"/>
          <w:highlight w:val="none"/>
        </w:rPr>
        <w:t>调减措施项目费。施工部分补充协议</w:t>
      </w:r>
      <w:r>
        <w:rPr>
          <w:rFonts w:hint="eastAsia" w:ascii="宋体" w:hAnsi="宋体" w:eastAsia="宋体" w:cs="宋体"/>
          <w:color w:val="auto"/>
          <w:kern w:val="0"/>
          <w:sz w:val="24"/>
          <w:highlight w:val="none"/>
        </w:rPr>
        <w:t>内的</w:t>
      </w:r>
      <w:r>
        <w:rPr>
          <w:rFonts w:hint="eastAsia" w:ascii="宋体" w:hAnsi="宋体" w:eastAsia="宋体" w:cs="宋体"/>
          <w:color w:val="auto"/>
          <w:sz w:val="24"/>
          <w:highlight w:val="none"/>
        </w:rPr>
        <w:t>暂列金额根据工程实际需要开支，结算多退少补。</w:t>
      </w:r>
    </w:p>
    <w:p w14:paraId="290D0A3A">
      <w:pPr>
        <w:pStyle w:val="6"/>
        <w:spacing w:line="360" w:lineRule="auto"/>
        <w:ind w:firstLineChars="175"/>
        <w:rPr>
          <w:rFonts w:ascii="宋体" w:hAnsi="宋体" w:eastAsia="宋体" w:cs="宋体"/>
          <w:color w:val="auto"/>
          <w:sz w:val="24"/>
          <w:highlight w:val="none"/>
        </w:rPr>
      </w:pPr>
      <w:r>
        <w:rPr>
          <w:rFonts w:hint="eastAsia" w:ascii="宋体" w:hAnsi="宋体" w:eastAsia="宋体" w:cs="宋体"/>
          <w:color w:val="auto"/>
          <w:sz w:val="24"/>
          <w:highlight w:val="none"/>
        </w:rPr>
        <w:t>3.3本工程施工图预算编制费由乙方在设计费及工程施工费投标报价中综合考虑，中标后甲方不再另行支付费用。</w:t>
      </w:r>
    </w:p>
    <w:p w14:paraId="35CE9A6E">
      <w:pPr>
        <w:autoSpaceDE w:val="0"/>
        <w:autoSpaceDN w:val="0"/>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4、签订补充协议涉及工程造价的，按上述约定原则进行计价。</w:t>
      </w:r>
    </w:p>
    <w:p w14:paraId="27EBBF5D">
      <w:pPr>
        <w:pStyle w:val="118"/>
        <w:spacing w:line="360" w:lineRule="auto"/>
        <w:rPr>
          <w:rFonts w:ascii="宋体" w:hAnsi="宋体" w:eastAsia="宋体" w:cs="宋体"/>
          <w:b/>
          <w:bCs w:val="0"/>
          <w:color w:val="auto"/>
          <w:szCs w:val="24"/>
          <w:highlight w:val="none"/>
        </w:rPr>
      </w:pPr>
      <w:bookmarkStart w:id="11" w:name="_Toc287627919"/>
      <w:r>
        <w:rPr>
          <w:rFonts w:hint="eastAsia" w:ascii="宋体" w:hAnsi="宋体" w:eastAsia="宋体" w:cs="宋体"/>
          <w:b/>
          <w:bCs w:val="0"/>
          <w:color w:val="auto"/>
          <w:szCs w:val="24"/>
          <w:highlight w:val="none"/>
        </w:rPr>
        <w:t>六、组成合同的文件</w:t>
      </w:r>
      <w:bookmarkEnd w:id="11"/>
    </w:p>
    <w:p w14:paraId="49C4FD69">
      <w:pPr>
        <w:tabs>
          <w:tab w:val="left" w:pos="2268"/>
        </w:tabs>
        <w:autoSpaceDE w:val="0"/>
        <w:autoSpaceDN w:val="0"/>
        <w:adjustRightInd w:val="0"/>
        <w:spacing w:line="360" w:lineRule="auto"/>
        <w:ind w:left="101" w:right="186"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1、本协议书中所用术语的含义与下文提及的合同条款中相应术语的含义相同。</w:t>
      </w:r>
    </w:p>
    <w:p w14:paraId="735220C9">
      <w:pPr>
        <w:autoSpaceDE w:val="0"/>
        <w:autoSpaceDN w:val="0"/>
        <w:adjustRightInd w:val="0"/>
        <w:spacing w:line="360" w:lineRule="auto"/>
        <w:ind w:left="101" w:right="186"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2、下列文件应被认为是组成本协议书的一部分，并互为补充和解释,如上述各部分存在不一致之处,以先后排列次序为优先。</w:t>
      </w:r>
    </w:p>
    <w:p w14:paraId="09EFEBB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（1）本合同协议书及附件；</w:t>
      </w:r>
    </w:p>
    <w:p w14:paraId="3957CEC8">
      <w:pPr>
        <w:pStyle w:val="13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（2）履行本合同的相关补充协议（含工程洽商记录、会议纪要、工程变更、现场签证、索赔和合同价款调整报告等修正文件）；</w:t>
      </w:r>
    </w:p>
    <w:p w14:paraId="6E0B2BC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（3）中标通知书；</w:t>
      </w:r>
    </w:p>
    <w:p w14:paraId="5F5EA3D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（4）招标文件及其附件、招标答疑会议纪要等补充文件；</w:t>
      </w:r>
    </w:p>
    <w:p w14:paraId="14CAA1C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（5）本合同第二篇、第三篇、第四篇第二章专用条款（专用条款内以补充内容优先）；</w:t>
      </w:r>
    </w:p>
    <w:p w14:paraId="01E034B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（6）本合同第四篇第三章补充条款；</w:t>
      </w:r>
    </w:p>
    <w:p w14:paraId="1081431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（7）本合同第四篇第一章通用条款；</w:t>
      </w:r>
    </w:p>
    <w:p w14:paraId="6C52829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（8）标准、规范及有关技术文件；</w:t>
      </w:r>
    </w:p>
    <w:p w14:paraId="75843B0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（9）图纸；</w:t>
      </w:r>
    </w:p>
    <w:p w14:paraId="5EBCA2E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（10）投标书及其附件；</w:t>
      </w:r>
    </w:p>
    <w:p w14:paraId="79C081D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（11）工程量清单（若有）；</w:t>
      </w:r>
    </w:p>
    <w:p w14:paraId="52424DF7">
      <w:pPr>
        <w:autoSpaceDE w:val="0"/>
        <w:autoSpaceDN w:val="0"/>
        <w:adjustRightIn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（12）工程报价单或预算书（若有）。</w:t>
      </w:r>
    </w:p>
    <w:p w14:paraId="6CF01473">
      <w:pPr>
        <w:pStyle w:val="118"/>
        <w:spacing w:line="360" w:lineRule="auto"/>
        <w:rPr>
          <w:rFonts w:ascii="宋体" w:hAnsi="宋体" w:eastAsia="宋体" w:cs="宋体"/>
          <w:b/>
          <w:bCs w:val="0"/>
          <w:color w:val="auto"/>
          <w:highlight w:val="none"/>
        </w:rPr>
      </w:pPr>
      <w:r>
        <w:rPr>
          <w:rFonts w:hint="eastAsia" w:ascii="宋体" w:hAnsi="宋体" w:eastAsia="宋体" w:cs="宋体"/>
          <w:b/>
          <w:bCs w:val="0"/>
          <w:color w:val="auto"/>
          <w:highlight w:val="none"/>
        </w:rPr>
        <w:t>七、词语含义</w:t>
      </w:r>
    </w:p>
    <w:p w14:paraId="7D018CE3">
      <w:pPr>
        <w:autoSpaceDE w:val="0"/>
        <w:autoSpaceDN w:val="0"/>
        <w:adjustRightInd w:val="0"/>
        <w:spacing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本协议书中有关词语含义与本合同第二部分《通用条款》第</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1</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条赋予它们的定义相同。</w:t>
      </w:r>
    </w:p>
    <w:p w14:paraId="7DFA150D">
      <w:pPr>
        <w:pStyle w:val="118"/>
        <w:spacing w:line="360" w:lineRule="auto"/>
        <w:rPr>
          <w:rFonts w:ascii="宋体" w:hAnsi="宋体" w:eastAsia="宋体" w:cs="宋体"/>
          <w:b/>
          <w:bCs w:val="0"/>
          <w:color w:val="auto"/>
          <w:highlight w:val="none"/>
        </w:rPr>
      </w:pPr>
      <w:r>
        <w:rPr>
          <w:rFonts w:hint="eastAsia" w:ascii="宋体" w:hAnsi="宋体" w:eastAsia="宋体" w:cs="宋体"/>
          <w:b/>
          <w:bCs w:val="0"/>
          <w:color w:val="auto"/>
          <w:highlight w:val="none"/>
        </w:rPr>
        <w:t>八、甲方承诺</w:t>
      </w:r>
    </w:p>
    <w:p w14:paraId="3C4B1B5B">
      <w:pPr>
        <w:autoSpaceDE w:val="0"/>
        <w:autoSpaceDN w:val="0"/>
        <w:adjustRightInd w:val="0"/>
        <w:spacing w:line="360" w:lineRule="auto"/>
        <w:ind w:left="101" w:right="184" w:firstLine="480"/>
        <w:jc w:val="left"/>
        <w:rPr>
          <w:rFonts w:ascii="宋体" w:hAnsi="宋体" w:eastAsia="宋体" w:cs="宋体"/>
          <w:color w:val="auto"/>
          <w:highlight w:val="none"/>
        </w:rPr>
      </w:pPr>
      <w:r>
        <w:rPr>
          <w:rFonts w:hint="eastAsia" w:ascii="宋体" w:hAnsi="宋体" w:eastAsia="宋体" w:cs="宋体"/>
          <w:color w:val="auto"/>
          <w:spacing w:val="1"/>
          <w:kern w:val="0"/>
          <w:sz w:val="24"/>
          <w:highlight w:val="none"/>
        </w:rPr>
        <w:t>甲方向乙方承诺已阅读、理</w:t>
      </w:r>
      <w:r>
        <w:rPr>
          <w:rFonts w:hint="eastAsia" w:ascii="宋体" w:hAnsi="宋体" w:eastAsia="宋体" w:cs="宋体"/>
          <w:color w:val="auto"/>
          <w:kern w:val="0"/>
          <w:sz w:val="24"/>
          <w:highlight w:val="none"/>
        </w:rPr>
        <w:t>解</w:t>
      </w:r>
      <w:r>
        <w:rPr>
          <w:rFonts w:hint="eastAsia" w:ascii="宋体" w:hAnsi="宋体" w:eastAsia="宋体" w:cs="宋体"/>
          <w:color w:val="auto"/>
          <w:spacing w:val="1"/>
          <w:kern w:val="0"/>
          <w:sz w:val="24"/>
          <w:highlight w:val="none"/>
        </w:rPr>
        <w:t>并接受本合同所有条款，按</w:t>
      </w:r>
      <w:r>
        <w:rPr>
          <w:rFonts w:hint="eastAsia" w:ascii="宋体" w:hAnsi="宋体" w:eastAsia="宋体" w:cs="宋体"/>
          <w:color w:val="auto"/>
          <w:kern w:val="0"/>
          <w:sz w:val="24"/>
          <w:highlight w:val="none"/>
        </w:rPr>
        <w:t>照</w:t>
      </w:r>
      <w:r>
        <w:rPr>
          <w:rFonts w:hint="eastAsia" w:ascii="宋体" w:hAnsi="宋体" w:eastAsia="宋体" w:cs="宋体"/>
          <w:color w:val="auto"/>
          <w:spacing w:val="1"/>
          <w:kern w:val="0"/>
          <w:sz w:val="24"/>
          <w:highlight w:val="none"/>
        </w:rPr>
        <w:t>本合同约定的时限和方法</w:t>
      </w:r>
      <w:r>
        <w:rPr>
          <w:rFonts w:hint="eastAsia" w:ascii="宋体" w:hAnsi="宋体" w:eastAsia="宋体" w:cs="宋体"/>
          <w:color w:val="auto"/>
          <w:kern w:val="0"/>
          <w:sz w:val="24"/>
          <w:highlight w:val="none"/>
        </w:rPr>
        <w:t>支付工程款及其他应当支付的款项，履行本合同所约定的全部义务。</w:t>
      </w:r>
    </w:p>
    <w:p w14:paraId="63DF6323">
      <w:pPr>
        <w:pStyle w:val="118"/>
        <w:spacing w:line="360" w:lineRule="auto"/>
        <w:rPr>
          <w:rFonts w:ascii="宋体" w:hAnsi="宋体" w:eastAsia="宋体" w:cs="宋体"/>
          <w:b/>
          <w:bCs w:val="0"/>
          <w:color w:val="auto"/>
          <w:highlight w:val="none"/>
        </w:rPr>
      </w:pPr>
      <w:r>
        <w:rPr>
          <w:rFonts w:hint="eastAsia" w:ascii="宋体" w:hAnsi="宋体" w:eastAsia="宋体" w:cs="宋体"/>
          <w:b/>
          <w:bCs w:val="0"/>
          <w:color w:val="auto"/>
          <w:highlight w:val="none"/>
        </w:rPr>
        <w:t>九、乙方承诺</w:t>
      </w:r>
    </w:p>
    <w:p w14:paraId="307858D6">
      <w:pPr>
        <w:autoSpaceDE w:val="0"/>
        <w:autoSpaceDN w:val="0"/>
        <w:adjustRightInd w:val="0"/>
        <w:spacing w:line="360" w:lineRule="auto"/>
        <w:ind w:left="101" w:right="184" w:firstLine="480"/>
        <w:jc w:val="left"/>
        <w:rPr>
          <w:rFonts w:ascii="宋体" w:hAnsi="宋体" w:eastAsia="宋体" w:cs="宋体"/>
          <w:color w:val="auto"/>
          <w:highlight w:val="none"/>
        </w:rPr>
      </w:pPr>
      <w:r>
        <w:rPr>
          <w:rFonts w:hint="eastAsia" w:ascii="宋体" w:hAnsi="宋体" w:eastAsia="宋体" w:cs="宋体"/>
          <w:color w:val="auto"/>
          <w:spacing w:val="1"/>
          <w:kern w:val="0"/>
          <w:sz w:val="24"/>
          <w:highlight w:val="none"/>
        </w:rPr>
        <w:t>乙方向甲方承诺已阅读、理</w:t>
      </w:r>
      <w:r>
        <w:rPr>
          <w:rFonts w:hint="eastAsia" w:ascii="宋体" w:hAnsi="宋体" w:eastAsia="宋体" w:cs="宋体"/>
          <w:color w:val="auto"/>
          <w:kern w:val="0"/>
          <w:sz w:val="24"/>
          <w:highlight w:val="none"/>
        </w:rPr>
        <w:t>解</w:t>
      </w:r>
      <w:r>
        <w:rPr>
          <w:rFonts w:hint="eastAsia" w:ascii="宋体" w:hAnsi="宋体" w:eastAsia="宋体" w:cs="宋体"/>
          <w:color w:val="auto"/>
          <w:spacing w:val="1"/>
          <w:kern w:val="0"/>
          <w:sz w:val="24"/>
          <w:highlight w:val="none"/>
        </w:rPr>
        <w:t>并接受本合同所有条款，按</w:t>
      </w:r>
      <w:r>
        <w:rPr>
          <w:rFonts w:hint="eastAsia" w:ascii="宋体" w:hAnsi="宋体" w:eastAsia="宋体" w:cs="宋体"/>
          <w:color w:val="auto"/>
          <w:kern w:val="0"/>
          <w:sz w:val="24"/>
          <w:highlight w:val="none"/>
        </w:rPr>
        <w:t>照</w:t>
      </w:r>
      <w:r>
        <w:rPr>
          <w:rFonts w:hint="eastAsia" w:ascii="宋体" w:hAnsi="宋体" w:eastAsia="宋体" w:cs="宋体"/>
          <w:color w:val="auto"/>
          <w:spacing w:val="1"/>
          <w:kern w:val="0"/>
          <w:sz w:val="24"/>
          <w:highlight w:val="none"/>
        </w:rPr>
        <w:t>本合同约定实施、完成并</w:t>
      </w:r>
      <w:r>
        <w:rPr>
          <w:rFonts w:hint="eastAsia" w:ascii="宋体" w:hAnsi="宋体" w:eastAsia="宋体" w:cs="宋体"/>
          <w:color w:val="auto"/>
          <w:kern w:val="0"/>
          <w:sz w:val="24"/>
          <w:highlight w:val="none"/>
        </w:rPr>
        <w:t>保修合同工程，履行本合同所约定的全部义务。</w:t>
      </w:r>
    </w:p>
    <w:p w14:paraId="79AFD621">
      <w:pPr>
        <w:pStyle w:val="6"/>
        <w:numPr>
          <w:ilvl w:val="0"/>
          <w:numId w:val="4"/>
        </w:numPr>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color w:val="auto"/>
          <w:sz w:val="24"/>
          <w:highlight w:val="none"/>
        </w:rPr>
        <w:t>开户银行账号</w:t>
      </w:r>
    </w:p>
    <w:p w14:paraId="4DC88790">
      <w:pPr>
        <w:autoSpaceDE w:val="0"/>
        <w:autoSpaceDN w:val="0"/>
        <w:adjustRightInd w:val="0"/>
        <w:spacing w:line="360" w:lineRule="auto"/>
        <w:ind w:left="101" w:right="184" w:firstLine="480"/>
        <w:jc w:val="left"/>
        <w:rPr>
          <w:rFonts w:ascii="宋体" w:hAnsi="宋体" w:eastAsia="宋体" w:cs="宋体"/>
          <w:color w:val="auto"/>
          <w:spacing w:val="1"/>
          <w:kern w:val="0"/>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pacing w:val="1"/>
          <w:kern w:val="0"/>
          <w:sz w:val="24"/>
          <w:highlight w:val="none"/>
        </w:rPr>
        <w:t>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乙方承担。</w:t>
      </w:r>
    </w:p>
    <w:p w14:paraId="7EE0F76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2、甲方、乙方委托银行代收代付有关费用。</w:t>
      </w:r>
    </w:p>
    <w:p w14:paraId="0B5E227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分账支付</w:t>
      </w:r>
    </w:p>
    <w:p w14:paraId="25CB982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乙方勘察方指定的有效银行账户如下：</w:t>
      </w:r>
    </w:p>
    <w:p w14:paraId="33EC6659">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账户全称：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lang w:val="zh-CN"/>
        </w:rPr>
        <w:t xml:space="preserve"> </w:t>
      </w:r>
    </w:p>
    <w:p w14:paraId="4C885C6C">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账户账号：</w:t>
      </w:r>
      <w:r>
        <w:rPr>
          <w:rFonts w:hint="eastAsia" w:ascii="宋体" w:hAnsi="宋体" w:eastAsia="宋体" w:cs="宋体"/>
          <w:b/>
          <w:color w:val="auto"/>
          <w:sz w:val="24"/>
          <w:highlight w:val="none"/>
          <w:u w:val="single"/>
        </w:rPr>
        <w:t xml:space="preserve">                               </w:t>
      </w:r>
    </w:p>
    <w:p w14:paraId="025F97A0">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开户银行：</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w:t>
      </w:r>
    </w:p>
    <w:p w14:paraId="5DC4659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乙方设计方指定的有效银行账户如下：</w:t>
      </w:r>
    </w:p>
    <w:p w14:paraId="45068FFC">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账户全称：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lang w:val="zh-CN"/>
        </w:rPr>
        <w:t xml:space="preserve"> </w:t>
      </w:r>
    </w:p>
    <w:p w14:paraId="000D092A">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账户账号：</w:t>
      </w:r>
      <w:r>
        <w:rPr>
          <w:rFonts w:hint="eastAsia" w:ascii="宋体" w:hAnsi="宋体" w:eastAsia="宋体" w:cs="宋体"/>
          <w:b/>
          <w:color w:val="auto"/>
          <w:sz w:val="24"/>
          <w:highlight w:val="none"/>
          <w:u w:val="single"/>
        </w:rPr>
        <w:t xml:space="preserve">                               </w:t>
      </w:r>
    </w:p>
    <w:p w14:paraId="473320DA">
      <w:pPr>
        <w:adjustRightInd w:val="0"/>
        <w:snapToGrid w:val="0"/>
        <w:spacing w:line="360" w:lineRule="auto"/>
        <w:ind w:firstLine="480"/>
        <w:rPr>
          <w:rFonts w:ascii="宋体" w:hAnsi="宋体" w:eastAsia="宋体" w:cs="宋体"/>
          <w:b/>
          <w:color w:val="auto"/>
          <w:sz w:val="24"/>
          <w:highlight w:val="none"/>
        </w:rPr>
      </w:pPr>
      <w:r>
        <w:rPr>
          <w:rFonts w:hint="eastAsia" w:ascii="宋体" w:hAnsi="宋体" w:eastAsia="宋体" w:cs="宋体"/>
          <w:b/>
          <w:color w:val="auto"/>
          <w:sz w:val="24"/>
          <w:highlight w:val="none"/>
        </w:rPr>
        <w:t>开户银行：</w:t>
      </w:r>
      <w:r>
        <w:rPr>
          <w:rFonts w:hint="eastAsia" w:ascii="宋体" w:hAnsi="宋体" w:eastAsia="宋体" w:cs="宋体"/>
          <w:b/>
          <w:color w:val="auto"/>
          <w:sz w:val="24"/>
          <w:highlight w:val="none"/>
          <w:u w:val="single"/>
        </w:rPr>
        <w:t xml:space="preserve">                               </w:t>
      </w:r>
    </w:p>
    <w:p w14:paraId="101A394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乙方施工总承包方指定的有效银行账户</w:t>
      </w:r>
      <w:r>
        <w:rPr>
          <w:rFonts w:hint="eastAsia" w:ascii="宋体" w:hAnsi="宋体" w:eastAsia="宋体" w:cs="宋体"/>
          <w:color w:val="auto"/>
          <w:sz w:val="24"/>
          <w:highlight w:val="none"/>
        </w:rPr>
        <w:t>如下：</w:t>
      </w:r>
    </w:p>
    <w:p w14:paraId="2E5E39EB">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账户全称：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lang w:val="zh-CN"/>
        </w:rPr>
        <w:t xml:space="preserve"> </w:t>
      </w:r>
    </w:p>
    <w:p w14:paraId="5BD5D775">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账户账号：</w:t>
      </w:r>
      <w:r>
        <w:rPr>
          <w:rFonts w:hint="eastAsia" w:ascii="宋体" w:hAnsi="宋体" w:eastAsia="宋体" w:cs="宋体"/>
          <w:b/>
          <w:color w:val="auto"/>
          <w:sz w:val="24"/>
          <w:highlight w:val="none"/>
          <w:u w:val="single"/>
        </w:rPr>
        <w:t xml:space="preserve">                               </w:t>
      </w:r>
    </w:p>
    <w:p w14:paraId="1F911690">
      <w:pPr>
        <w:pStyle w:val="6"/>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开户银行：</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w:t>
      </w:r>
    </w:p>
    <w:p w14:paraId="35C63EFA">
      <w:pPr>
        <w:adjustRightInd w:val="0"/>
        <w:snapToGrid w:val="0"/>
        <w:spacing w:line="360" w:lineRule="auto"/>
        <w:ind w:firstLine="480" w:firstLineChars="200"/>
        <w:rPr>
          <w:rFonts w:ascii="宋体" w:hAnsi="宋体" w:eastAsia="宋体" w:cs="宋体"/>
          <w:color w:val="auto"/>
          <w:sz w:val="24"/>
          <w:highlight w:val="none"/>
        </w:rPr>
      </w:pPr>
    </w:p>
    <w:p w14:paraId="68D6A5F5">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不分账支付</w:t>
      </w:r>
    </w:p>
    <w:p w14:paraId="5A8DAE5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乙方勘察、设计、施工总承包各方统一指定的有效银行账户如下：</w:t>
      </w:r>
    </w:p>
    <w:p w14:paraId="6B345EC6">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账户全称：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lang w:val="zh-CN"/>
        </w:rPr>
        <w:t xml:space="preserve"> </w:t>
      </w:r>
    </w:p>
    <w:p w14:paraId="31A37AA3">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账户账号：</w:t>
      </w:r>
      <w:r>
        <w:rPr>
          <w:rFonts w:hint="eastAsia" w:ascii="宋体" w:hAnsi="宋体" w:eastAsia="宋体" w:cs="宋体"/>
          <w:b/>
          <w:color w:val="auto"/>
          <w:sz w:val="24"/>
          <w:highlight w:val="none"/>
          <w:u w:val="single"/>
        </w:rPr>
        <w:t xml:space="preserve">                               </w:t>
      </w:r>
    </w:p>
    <w:p w14:paraId="434FE6EB">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开户银行：</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w:t>
      </w:r>
    </w:p>
    <w:p w14:paraId="3B30499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甲方向上述账号汇出款项即视为甲方已履行付款义务，在协议履行过程中，因乙方账户原因（包括但不限于账号被注销、被冻结等）导致乙方无法收取款项的，由乙方承担相应后果。</w:t>
      </w:r>
    </w:p>
    <w:p w14:paraId="36D37EC1">
      <w:pPr>
        <w:pStyle w:val="6"/>
        <w:spacing w:line="360" w:lineRule="auto"/>
        <w:ind w:firstLine="490" w:firstLineChars="0"/>
        <w:rPr>
          <w:rFonts w:ascii="宋体" w:hAnsi="宋体" w:eastAsia="宋体" w:cs="宋体"/>
          <w:bCs/>
          <w:color w:val="auto"/>
          <w:sz w:val="24"/>
          <w:highlight w:val="none"/>
        </w:rPr>
      </w:pPr>
      <w:r>
        <w:rPr>
          <w:rFonts w:hint="eastAsia" w:ascii="宋体" w:hAnsi="宋体" w:eastAsia="宋体" w:cs="宋体"/>
          <w:color w:val="auto"/>
          <w:sz w:val="24"/>
          <w:highlight w:val="none"/>
        </w:rPr>
        <w:t>甲方凭乙方开具的等额合法有效发票付款，否则，甲方有权拒付。乙方不得因此延误工作和履行本合同约定的其他义务。</w:t>
      </w:r>
    </w:p>
    <w:p w14:paraId="0E8879AC">
      <w:pPr>
        <w:pStyle w:val="10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十一、乙方为联合体的各成员方约定</w:t>
      </w:r>
    </w:p>
    <w:p w14:paraId="46C7CC92">
      <w:pPr>
        <w:pStyle w:val="87"/>
        <w:spacing w:before="0" w:after="0" w:line="360" w:lineRule="auto"/>
        <w:ind w:left="0" w:right="0" w:firstLine="480"/>
        <w:jc w:val="both"/>
        <w:rPr>
          <w:rFonts w:ascii="宋体" w:hAnsi="宋体" w:eastAsia="宋体" w:cs="宋体"/>
          <w:color w:val="auto"/>
          <w:highlight w:val="none"/>
        </w:rPr>
      </w:pPr>
      <w:r>
        <w:rPr>
          <w:rFonts w:hint="eastAsia" w:ascii="宋体" w:hAnsi="宋体" w:eastAsia="宋体" w:cs="宋体"/>
          <w:bCs/>
          <w:color w:val="auto"/>
          <w:highlight w:val="none"/>
        </w:rPr>
        <w:t>1、</w:t>
      </w:r>
      <w:r>
        <w:rPr>
          <w:rFonts w:hint="eastAsia" w:ascii="宋体" w:hAnsi="宋体" w:eastAsia="宋体" w:cs="宋体"/>
          <w:color w:val="auto"/>
          <w:highlight w:val="none"/>
        </w:rPr>
        <w:t>如乙方为联合体的，各成员方应签署联合体合作协议，明确各自分工以及职责，联合体协议应在签署本合同前提供一份原件报甲方备案。</w:t>
      </w:r>
    </w:p>
    <w:p w14:paraId="5B6F32AB">
      <w:pPr>
        <w:pStyle w:val="87"/>
        <w:spacing w:before="0" w:after="0" w:line="360" w:lineRule="auto"/>
        <w:ind w:left="0" w:right="0" w:firstLine="480"/>
        <w:jc w:val="both"/>
        <w:rPr>
          <w:rFonts w:ascii="宋体" w:hAnsi="宋体" w:eastAsia="宋体" w:cs="宋体"/>
          <w:bCs/>
          <w:color w:val="auto"/>
          <w:highlight w:val="none"/>
        </w:rPr>
      </w:pPr>
      <w:r>
        <w:rPr>
          <w:rFonts w:hint="eastAsia" w:ascii="宋体" w:hAnsi="宋体" w:eastAsia="宋体" w:cs="宋体"/>
          <w:color w:val="auto"/>
          <w:highlight w:val="none"/>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乙方维护合同权利的合理支出，包括不限于律师费、诉讼费、误工费、交通费等由主办方承担连带责任。</w:t>
      </w:r>
    </w:p>
    <w:p w14:paraId="008352BC">
      <w:pPr>
        <w:pStyle w:val="87"/>
        <w:spacing w:before="0" w:after="0" w:line="360" w:lineRule="auto"/>
        <w:ind w:left="0" w:right="0" w:firstLine="480"/>
        <w:jc w:val="both"/>
        <w:rPr>
          <w:rFonts w:ascii="宋体" w:hAnsi="宋体" w:eastAsia="宋体" w:cs="宋体"/>
          <w:color w:val="auto"/>
          <w:highlight w:val="none"/>
        </w:rPr>
      </w:pPr>
      <w:r>
        <w:rPr>
          <w:rFonts w:hint="eastAsia" w:ascii="宋体" w:hAnsi="宋体" w:eastAsia="宋体" w:cs="宋体"/>
          <w:color w:val="auto"/>
          <w:highlight w:val="none"/>
        </w:rPr>
        <w:t>3、如乙方为联合体的，联合体的主办方有义务协助及督促勘察设计各成员方按合同约定的时间提交成果材料，否则每超过一日，处罚联合体中的勘察设计责任方并处罚金额为对应合同价的千分之五（如存在联合体内勘察设计责任不清，则所有勘察设计责任方共同承担责任并按各责任成员所对应合同价的比例进行处罚金额的分担）。</w:t>
      </w:r>
    </w:p>
    <w:p w14:paraId="27CAB967">
      <w:pPr>
        <w:pStyle w:val="87"/>
        <w:spacing w:before="0" w:after="0" w:line="360" w:lineRule="auto"/>
        <w:ind w:left="0" w:right="0" w:firstLine="480"/>
        <w:jc w:val="both"/>
        <w:rPr>
          <w:rFonts w:ascii="宋体" w:hAnsi="宋体" w:eastAsia="宋体" w:cs="宋体"/>
          <w:color w:val="auto"/>
          <w:highlight w:val="none"/>
        </w:rPr>
      </w:pPr>
      <w:r>
        <w:rPr>
          <w:rFonts w:hint="eastAsia" w:ascii="宋体" w:hAnsi="宋体" w:eastAsia="宋体" w:cs="宋体"/>
          <w:color w:val="auto"/>
          <w:highlight w:val="none"/>
        </w:rPr>
        <w:t>4、如乙方为联合体的，联合体的成员方有义务按合同约定履行职责并服从主办方为履行合同而进行的管理。若成员方无法或未能按约定履行合同要求，主办方有权向甲方提请并经甲方书面同意后更换成员方，但更换后的成员方其资质、能力不得低于原成员方。</w:t>
      </w:r>
    </w:p>
    <w:p w14:paraId="5B186BA5">
      <w:pPr>
        <w:pStyle w:val="6"/>
        <w:spacing w:line="360" w:lineRule="auto"/>
        <w:ind w:firstLine="480"/>
        <w:rPr>
          <w:rFonts w:ascii="宋体" w:hAnsi="宋体" w:eastAsia="宋体" w:cs="宋体"/>
          <w:color w:val="auto"/>
          <w:sz w:val="24"/>
          <w:highlight w:val="none"/>
        </w:rPr>
      </w:pPr>
      <w:r>
        <w:rPr>
          <w:rFonts w:hint="eastAsia" w:ascii="宋体" w:hAnsi="宋体" w:eastAsia="宋体" w:cs="宋体"/>
          <w:bCs/>
          <w:color w:val="auto"/>
          <w:sz w:val="24"/>
          <w:highlight w:val="none"/>
        </w:rPr>
        <w:t>5、如乙方为联合体的，所有支付的款项由联合体的主办方负责统一申报及收取但需分别列明勘察、设计、施工费。或</w:t>
      </w:r>
      <w:r>
        <w:rPr>
          <w:rFonts w:hint="eastAsia" w:ascii="宋体" w:hAnsi="宋体" w:eastAsia="宋体" w:cs="宋体"/>
          <w:color w:val="auto"/>
          <w:sz w:val="24"/>
          <w:highlight w:val="none"/>
        </w:rPr>
        <w:t>乙方联合体各方一致同意，并</w:t>
      </w:r>
      <w:r>
        <w:rPr>
          <w:rFonts w:hint="eastAsia" w:ascii="宋体" w:hAnsi="宋体" w:eastAsia="宋体" w:cs="宋体"/>
          <w:bCs/>
          <w:color w:val="auto"/>
          <w:sz w:val="24"/>
          <w:highlight w:val="none"/>
        </w:rPr>
        <w:t>乙方成员方</w:t>
      </w:r>
      <w:r>
        <w:rPr>
          <w:rFonts w:hint="eastAsia" w:ascii="宋体" w:hAnsi="宋体" w:eastAsia="宋体" w:cs="宋体"/>
          <w:color w:val="auto"/>
          <w:sz w:val="24"/>
          <w:highlight w:val="none"/>
        </w:rPr>
        <w:t>提出申请经甲方审批同意后，也可由乙方联合体各成员方分别请款和收取相应款项。</w:t>
      </w:r>
    </w:p>
    <w:p w14:paraId="3893ECEB">
      <w:pPr>
        <w:pStyle w:val="6"/>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十二、担保</w:t>
      </w:r>
    </w:p>
    <w:p w14:paraId="1EC07D95">
      <w:pPr>
        <w:spacing w:line="360" w:lineRule="auto"/>
        <w:ind w:right="-120" w:firstLine="480" w:firstLineChars="200"/>
        <w:rPr>
          <w:rFonts w:hint="eastAsia" w:ascii="宋体" w:hAnsi="宋体" w:eastAsia="宋体" w:cs="宋体"/>
          <w:color w:val="auto"/>
          <w:kern w:val="2"/>
          <w:sz w:val="24"/>
          <w:szCs w:val="24"/>
          <w:highlight w:val="none"/>
          <w:u w:val="single"/>
        </w:rPr>
      </w:pP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履约保函金额为</w:t>
      </w:r>
      <w:r>
        <w:rPr>
          <w:rFonts w:hint="eastAsia" w:ascii="宋体" w:hAnsi="宋体" w:eastAsia="宋体" w:cs="宋体"/>
          <w:color w:val="auto"/>
          <w:kern w:val="0"/>
          <w:sz w:val="24"/>
          <w:highlight w:val="none"/>
        </w:rPr>
        <w:t>中标金额（合同总价）</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2"/>
          <w:sz w:val="24"/>
          <w:szCs w:val="24"/>
          <w:highlight w:val="none"/>
          <w:u w:val="single"/>
          <w:lang w:val="en-US" w:eastAsia="zh-CN"/>
        </w:rPr>
        <w:t>合同正式签订前</w:t>
      </w:r>
      <w:r>
        <w:rPr>
          <w:rFonts w:hint="eastAsia" w:ascii="宋体" w:hAnsi="宋体" w:eastAsia="宋体" w:cs="宋体"/>
          <w:color w:val="auto"/>
          <w:kern w:val="2"/>
          <w:sz w:val="24"/>
          <w:szCs w:val="24"/>
          <w:highlight w:val="none"/>
          <w:u w:val="single"/>
          <w:lang w:eastAsia="zh-CN"/>
        </w:rPr>
        <w:t>乙方</w:t>
      </w:r>
      <w:r>
        <w:rPr>
          <w:rFonts w:hint="eastAsia" w:ascii="宋体" w:hAnsi="宋体" w:eastAsia="宋体" w:cs="宋体"/>
          <w:color w:val="auto"/>
          <w:kern w:val="2"/>
          <w:sz w:val="24"/>
          <w:szCs w:val="24"/>
          <w:highlight w:val="none"/>
          <w:u w:val="single"/>
        </w:rPr>
        <w:t>未</w:t>
      </w:r>
      <w:r>
        <w:rPr>
          <w:rFonts w:hint="eastAsia" w:ascii="宋体" w:hAnsi="宋体" w:eastAsia="宋体" w:cs="宋体"/>
          <w:color w:val="auto"/>
          <w:kern w:val="2"/>
          <w:sz w:val="24"/>
          <w:szCs w:val="24"/>
          <w:highlight w:val="none"/>
          <w:u w:val="single"/>
          <w:lang w:val="en-US" w:eastAsia="zh-CN"/>
        </w:rPr>
        <w:t>提供上述履约保函</w:t>
      </w:r>
      <w:r>
        <w:rPr>
          <w:rFonts w:hint="eastAsia" w:ascii="宋体" w:hAnsi="宋体" w:eastAsia="宋体" w:cs="宋体"/>
          <w:color w:val="auto"/>
          <w:kern w:val="2"/>
          <w:sz w:val="24"/>
          <w:szCs w:val="24"/>
          <w:highlight w:val="none"/>
          <w:u w:val="single"/>
        </w:rPr>
        <w:t>且未征得</w:t>
      </w:r>
      <w:r>
        <w:rPr>
          <w:rFonts w:hint="eastAsia" w:ascii="宋体" w:hAnsi="宋体" w:eastAsia="宋体" w:cs="宋体"/>
          <w:color w:val="auto"/>
          <w:kern w:val="2"/>
          <w:sz w:val="24"/>
          <w:szCs w:val="24"/>
          <w:highlight w:val="none"/>
          <w:u w:val="single"/>
          <w:lang w:val="en-US" w:eastAsia="zh-CN"/>
        </w:rPr>
        <w:t>甲方</w:t>
      </w:r>
      <w:r>
        <w:rPr>
          <w:rFonts w:hint="eastAsia" w:ascii="宋体" w:hAnsi="宋体" w:eastAsia="宋体" w:cs="宋体"/>
          <w:color w:val="auto"/>
          <w:kern w:val="2"/>
          <w:sz w:val="24"/>
          <w:szCs w:val="24"/>
          <w:highlight w:val="none"/>
          <w:u w:val="single"/>
        </w:rPr>
        <w:t>同意延期缴交的，</w:t>
      </w:r>
      <w:r>
        <w:rPr>
          <w:rFonts w:hint="eastAsia" w:ascii="宋体" w:hAnsi="宋体" w:eastAsia="宋体" w:cs="宋体"/>
          <w:color w:val="auto"/>
          <w:kern w:val="2"/>
          <w:sz w:val="24"/>
          <w:szCs w:val="24"/>
          <w:highlight w:val="none"/>
          <w:u w:val="single"/>
          <w:lang w:val="en-US" w:eastAsia="zh-CN"/>
        </w:rPr>
        <w:t>甲方</w:t>
      </w:r>
      <w:r>
        <w:rPr>
          <w:rFonts w:hint="eastAsia" w:ascii="宋体" w:hAnsi="宋体" w:eastAsia="宋体" w:cs="宋体"/>
          <w:color w:val="auto"/>
          <w:kern w:val="2"/>
          <w:sz w:val="24"/>
          <w:szCs w:val="24"/>
          <w:highlight w:val="none"/>
          <w:u w:val="single"/>
        </w:rPr>
        <w:t>有权</w:t>
      </w:r>
      <w:r>
        <w:rPr>
          <w:rFonts w:hint="eastAsia" w:ascii="宋体" w:hAnsi="宋体" w:eastAsia="宋体" w:cs="宋体"/>
          <w:color w:val="auto"/>
          <w:kern w:val="2"/>
          <w:sz w:val="24"/>
          <w:szCs w:val="24"/>
          <w:highlight w:val="none"/>
          <w:u w:val="single"/>
          <w:lang w:val="en-US" w:eastAsia="zh-CN"/>
        </w:rPr>
        <w:t>解除合同，</w:t>
      </w:r>
      <w:r>
        <w:rPr>
          <w:rFonts w:hint="eastAsia" w:ascii="宋体" w:hAnsi="宋体" w:eastAsia="宋体" w:cs="宋体"/>
          <w:color w:val="auto"/>
          <w:kern w:val="2"/>
          <w:sz w:val="24"/>
          <w:szCs w:val="24"/>
          <w:highlight w:val="none"/>
          <w:u w:val="single"/>
        </w:rPr>
        <w:t>取消中标资格并没收其投标保证金，并选取第二中标候选人替补。</w:t>
      </w:r>
    </w:p>
    <w:p w14:paraId="3BCE11CD">
      <w:pPr>
        <w:spacing w:line="360" w:lineRule="auto"/>
        <w:ind w:right="-120" w:firstLine="480" w:firstLineChars="200"/>
        <w:rPr>
          <w:rFonts w:hint="default" w:ascii="宋体" w:hAnsi="宋体" w:eastAsia="宋体" w:cs="宋体"/>
          <w:color w:val="auto"/>
          <w:kern w:val="2"/>
          <w:sz w:val="24"/>
          <w:szCs w:val="24"/>
          <w:highlight w:val="none"/>
          <w:u w:val="single"/>
          <w:lang w:val="en-US" w:eastAsia="zh-CN"/>
        </w:rPr>
      </w:pPr>
      <w:r>
        <w:rPr>
          <w:rFonts w:hint="default" w:ascii="宋体" w:hAnsi="宋体" w:eastAsia="宋体" w:cs="宋体"/>
          <w:color w:val="auto"/>
          <w:kern w:val="2"/>
          <w:sz w:val="24"/>
          <w:szCs w:val="24"/>
          <w:highlight w:val="none"/>
          <w:u w:val="single"/>
          <w:lang w:val="en-US" w:eastAsia="zh-CN"/>
        </w:rPr>
        <w:t>运营保证金的金额</w:t>
      </w:r>
      <w:r>
        <w:rPr>
          <w:rFonts w:hint="eastAsia" w:ascii="宋体" w:hAnsi="宋体" w:eastAsia="宋体" w:cs="宋体"/>
          <w:color w:val="auto"/>
          <w:kern w:val="2"/>
          <w:sz w:val="24"/>
          <w:szCs w:val="24"/>
          <w:highlight w:val="none"/>
          <w:u w:val="single"/>
          <w:lang w:val="en-US" w:eastAsia="zh-CN"/>
        </w:rPr>
        <w:t>为</w:t>
      </w:r>
      <w:r>
        <w:rPr>
          <w:rFonts w:hint="default" w:ascii="宋体" w:hAnsi="宋体" w:eastAsia="宋体" w:cs="宋体"/>
          <w:color w:val="auto"/>
          <w:kern w:val="2"/>
          <w:sz w:val="24"/>
          <w:szCs w:val="24"/>
          <w:highlight w:val="none"/>
          <w:u w:val="single"/>
          <w:lang w:val="en-US" w:eastAsia="zh-CN"/>
        </w:rPr>
        <w:t>1500万元（其中500万元作为物业运营管理合同保证金，剩余1000万元抵扣租金）。</w:t>
      </w:r>
      <w:r>
        <w:rPr>
          <w:rFonts w:hint="eastAsia" w:ascii="宋体" w:hAnsi="宋体" w:eastAsia="宋体" w:cs="宋体"/>
          <w:color w:val="auto"/>
          <w:kern w:val="2"/>
          <w:sz w:val="24"/>
          <w:szCs w:val="24"/>
          <w:highlight w:val="none"/>
          <w:u w:val="single"/>
          <w:lang w:val="en-US" w:eastAsia="zh-CN"/>
        </w:rPr>
        <w:t>合同签订后</w:t>
      </w:r>
      <w:r>
        <w:rPr>
          <w:rFonts w:hint="default" w:ascii="宋体" w:hAnsi="宋体" w:eastAsia="宋体" w:cs="宋体"/>
          <w:color w:val="auto"/>
          <w:kern w:val="2"/>
          <w:sz w:val="24"/>
          <w:szCs w:val="24"/>
          <w:highlight w:val="none"/>
          <w:u w:val="single"/>
          <w:lang w:val="en-US" w:eastAsia="zh-CN"/>
        </w:rPr>
        <w:t>30个日历日内乙方未缴纳上述运营保证金且未征得甲方同意延期缴交的，甲方有权解除合同，取消中标资格并没收其投标保证金，并选取第二中标候选人替补。</w:t>
      </w:r>
    </w:p>
    <w:p w14:paraId="0CDF13F5">
      <w:pPr>
        <w:spacing w:line="360" w:lineRule="auto"/>
        <w:ind w:right="-120"/>
        <w:rPr>
          <w:rFonts w:ascii="宋体" w:hAnsi="宋体" w:eastAsia="宋体" w:cs="宋体"/>
          <w:color w:val="auto"/>
          <w:sz w:val="24"/>
          <w:highlight w:val="none"/>
        </w:rPr>
      </w:pPr>
      <w:r>
        <w:rPr>
          <w:rFonts w:hint="eastAsia" w:ascii="宋体" w:hAnsi="宋体" w:eastAsia="宋体" w:cs="宋体"/>
          <w:b/>
          <w:color w:val="auto"/>
          <w:sz w:val="24"/>
          <w:highlight w:val="none"/>
        </w:rPr>
        <w:t>十三、</w:t>
      </w:r>
      <w:r>
        <w:rPr>
          <w:rFonts w:hint="eastAsia" w:ascii="宋体" w:hAnsi="宋体" w:eastAsia="宋体" w:cs="宋体"/>
          <w:b/>
          <w:bCs/>
          <w:color w:val="auto"/>
          <w:sz w:val="24"/>
          <w:highlight w:val="none"/>
        </w:rPr>
        <w:t>知识产权</w:t>
      </w:r>
    </w:p>
    <w:p w14:paraId="707BDC81">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双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方所有。乙方承诺，在为甲方提供服务时，不得使用任何属于他人的技术秘密和商业秘密，亦不得实施可能侵犯他人知识产权等权益的行为。若甲方因乙方的上述行为而提供的成果等进行了确认、同意、接收，乙方不得以此为由要求甲方承担任何责任，一切后果均由乙方承担。给甲方造成损失的，有权向乙方追偿。</w:t>
      </w:r>
    </w:p>
    <w:p w14:paraId="4A9A0A35">
      <w:pPr>
        <w:spacing w:line="360" w:lineRule="auto"/>
        <w:rPr>
          <w:rFonts w:ascii="宋体" w:hAnsi="宋体" w:eastAsia="宋体" w:cs="宋体"/>
          <w:color w:val="auto"/>
          <w:sz w:val="24"/>
          <w:highlight w:val="none"/>
        </w:rPr>
      </w:pPr>
      <w:r>
        <w:rPr>
          <w:rFonts w:hint="eastAsia" w:ascii="宋体" w:hAnsi="宋体" w:eastAsia="宋体" w:cs="宋体"/>
          <w:b/>
          <w:color w:val="auto"/>
          <w:sz w:val="24"/>
          <w:highlight w:val="none"/>
        </w:rPr>
        <w:t>十四、仲裁、起诉</w:t>
      </w:r>
    </w:p>
    <w:p w14:paraId="133C7259">
      <w:pPr>
        <w:spacing w:line="360" w:lineRule="auto"/>
        <w:ind w:firstLine="600" w:firstLineChars="250"/>
        <w:rPr>
          <w:rFonts w:ascii="宋体" w:hAnsi="宋体" w:eastAsia="宋体" w:cs="宋体"/>
          <w:color w:val="auto"/>
          <w:sz w:val="24"/>
          <w:highlight w:val="none"/>
        </w:rPr>
      </w:pPr>
      <w:r>
        <w:rPr>
          <w:rFonts w:hint="eastAsia" w:ascii="宋体" w:hAnsi="宋体" w:eastAsia="宋体" w:cs="宋体"/>
          <w:color w:val="auto"/>
          <w:sz w:val="24"/>
          <w:highlight w:val="none"/>
        </w:rPr>
        <w:t>本合同在履行过程中发生的争议，双方当事人协商解决，协商不成的按下列第</w:t>
      </w:r>
      <w:r>
        <w:rPr>
          <w:rFonts w:hint="eastAsia" w:ascii="宋体" w:hAnsi="宋体" w:eastAsia="宋体" w:cs="宋体"/>
          <w:color w:val="auto"/>
          <w:sz w:val="24"/>
          <w:highlight w:val="none"/>
          <w:u w:val="single"/>
        </w:rPr>
        <w:t>（二）</w:t>
      </w:r>
      <w:r>
        <w:rPr>
          <w:rFonts w:hint="eastAsia" w:ascii="宋体" w:hAnsi="宋体" w:eastAsia="宋体" w:cs="宋体"/>
          <w:color w:val="auto"/>
          <w:sz w:val="24"/>
          <w:highlight w:val="none"/>
        </w:rPr>
        <w:t>种方式解决：</w:t>
      </w:r>
    </w:p>
    <w:p w14:paraId="12706CA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（一）提交</w:t>
      </w:r>
      <w:r>
        <w:rPr>
          <w:rFonts w:hint="eastAsia" w:ascii="宋体" w:hAnsi="宋体" w:eastAsia="宋体" w:cs="宋体"/>
          <w:color w:val="auto"/>
          <w:sz w:val="24"/>
          <w:highlight w:val="none"/>
          <w:lang w:val="en-US" w:eastAsia="zh-CN"/>
        </w:rPr>
        <w:t>番禺区</w:t>
      </w:r>
      <w:r>
        <w:rPr>
          <w:rFonts w:hint="eastAsia" w:ascii="宋体" w:hAnsi="宋体" w:eastAsia="宋体" w:cs="宋体"/>
          <w:color w:val="auto"/>
          <w:sz w:val="24"/>
          <w:highlight w:val="none"/>
        </w:rPr>
        <w:t xml:space="preserve">仲裁委员会仲裁； </w:t>
      </w:r>
    </w:p>
    <w:p w14:paraId="02C12FA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（二）依法向</w:t>
      </w:r>
      <w:r>
        <w:rPr>
          <w:rFonts w:hint="eastAsia" w:ascii="宋体" w:hAnsi="宋体" w:eastAsia="宋体" w:cs="宋体"/>
          <w:color w:val="auto"/>
          <w:sz w:val="24"/>
          <w:highlight w:val="none"/>
          <w:lang w:val="en-US" w:eastAsia="zh-CN"/>
        </w:rPr>
        <w:t>广州市番禺区人民</w:t>
      </w:r>
      <w:r>
        <w:rPr>
          <w:rFonts w:hint="eastAsia" w:ascii="宋体" w:hAnsi="宋体" w:eastAsia="宋体" w:cs="宋体"/>
          <w:color w:val="auto"/>
          <w:sz w:val="24"/>
          <w:highlight w:val="none"/>
        </w:rPr>
        <w:t>法院起诉。</w:t>
      </w:r>
    </w:p>
    <w:p w14:paraId="1FADD8DB">
      <w:pPr>
        <w:tabs>
          <w:tab w:val="left" w:pos="3640"/>
          <w:tab w:val="left" w:pos="6040"/>
          <w:tab w:val="left" w:pos="7960"/>
        </w:tabs>
        <w:autoSpaceDE w:val="0"/>
        <w:autoSpaceDN w:val="0"/>
        <w:adjustRightInd w:val="0"/>
        <w:spacing w:line="360" w:lineRule="auto"/>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十五、合同</w:t>
      </w:r>
      <w:r>
        <w:rPr>
          <w:rFonts w:hint="eastAsia" w:ascii="宋体" w:hAnsi="宋体" w:eastAsia="宋体" w:cs="宋体"/>
          <w:b/>
          <w:bCs/>
          <w:color w:val="auto"/>
          <w:kern w:val="0"/>
          <w:sz w:val="24"/>
          <w:highlight w:val="none"/>
        </w:rPr>
        <w:t>正副本及效力</w:t>
      </w:r>
    </w:p>
    <w:p w14:paraId="4B0831BD">
      <w:pPr>
        <w:tabs>
          <w:tab w:val="left" w:pos="3640"/>
          <w:tab w:val="left" w:pos="6040"/>
          <w:tab w:val="left" w:pos="7960"/>
        </w:tabs>
        <w:autoSpaceDE w:val="0"/>
        <w:autoSpaceDN w:val="0"/>
        <w:adjustRightInd w:val="0"/>
        <w:spacing w:line="360" w:lineRule="auto"/>
        <w:ind w:left="581"/>
        <w:jc w:val="left"/>
        <w:rPr>
          <w:rFonts w:ascii="宋体" w:hAnsi="宋体" w:eastAsia="宋体" w:cs="宋体"/>
          <w:b/>
          <w:color w:val="auto"/>
          <w:kern w:val="0"/>
          <w:sz w:val="24"/>
          <w:highlight w:val="none"/>
        </w:rPr>
      </w:pPr>
      <w:r>
        <w:rPr>
          <w:rFonts w:hint="eastAsia" w:ascii="宋体" w:hAnsi="宋体" w:eastAsia="宋体" w:cs="宋体"/>
          <w:color w:val="auto"/>
          <w:kern w:val="0"/>
          <w:sz w:val="24"/>
          <w:highlight w:val="none"/>
        </w:rPr>
        <w:t>1、合同的份数：</w:t>
      </w:r>
      <w:r>
        <w:rPr>
          <w:rFonts w:hint="eastAsia" w:ascii="宋体" w:hAnsi="宋体" w:eastAsia="宋体" w:cs="宋体"/>
          <w:b/>
          <w:color w:val="auto"/>
          <w:kern w:val="0"/>
          <w:sz w:val="24"/>
          <w:highlight w:val="none"/>
        </w:rPr>
        <w:t>正本</w:t>
      </w: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份，副本</w:t>
      </w: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份。</w:t>
      </w:r>
    </w:p>
    <w:p w14:paraId="7521025B">
      <w:pPr>
        <w:tabs>
          <w:tab w:val="left" w:pos="3640"/>
          <w:tab w:val="left" w:pos="6040"/>
          <w:tab w:val="left" w:pos="7960"/>
        </w:tabs>
        <w:autoSpaceDE w:val="0"/>
        <w:autoSpaceDN w:val="0"/>
        <w:adjustRightInd w:val="0"/>
        <w:spacing w:line="360" w:lineRule="auto"/>
        <w:ind w:left="581" w:firstLine="693" w:firstLineChars="289"/>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其中：甲方正本</w:t>
      </w:r>
      <w:r>
        <w:rPr>
          <w:rFonts w:hint="eastAsia" w:ascii="宋体" w:hAnsi="宋体" w:eastAsia="宋体" w:cs="宋体"/>
          <w:color w:val="auto"/>
          <w:kern w:val="0"/>
          <w:sz w:val="24"/>
          <w:highlight w:val="none"/>
          <w:u w:val="single"/>
        </w:rPr>
        <w:t xml:space="preserve">    1　 </w:t>
      </w:r>
      <w:r>
        <w:rPr>
          <w:rFonts w:hint="eastAsia" w:ascii="宋体" w:hAnsi="宋体" w:eastAsia="宋体" w:cs="宋体"/>
          <w:color w:val="auto"/>
          <w:kern w:val="0"/>
          <w:sz w:val="24"/>
          <w:highlight w:val="none"/>
        </w:rPr>
        <w:t>份，副本</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份。</w:t>
      </w:r>
    </w:p>
    <w:p w14:paraId="74ECA218">
      <w:pPr>
        <w:pStyle w:val="6"/>
        <w:spacing w:line="360" w:lineRule="auto"/>
        <w:ind w:firstLine="0" w:firstLineChars="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乙方（主）正本</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份，各副本</w:t>
      </w:r>
      <w:r>
        <w:rPr>
          <w:rFonts w:hint="eastAsia" w:ascii="宋体" w:hAnsi="宋体" w:eastAsia="宋体" w:cs="宋体"/>
          <w:color w:val="auto"/>
          <w:kern w:val="0"/>
          <w:sz w:val="24"/>
          <w:highlight w:val="none"/>
          <w:u w:val="single"/>
        </w:rPr>
        <w:t xml:space="preserve">   </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w:t>
      </w:r>
    </w:p>
    <w:p w14:paraId="2172541D">
      <w:pPr>
        <w:pStyle w:val="6"/>
        <w:spacing w:line="360" w:lineRule="auto"/>
        <w:ind w:firstLine="0" w:firstLineChars="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乙方（成）正本</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份，各副本</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w:t>
      </w:r>
    </w:p>
    <w:p w14:paraId="76374F01">
      <w:pPr>
        <w:pStyle w:val="6"/>
        <w:spacing w:line="360" w:lineRule="auto"/>
        <w:ind w:firstLine="1920" w:firstLineChars="8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乙方（成）正本</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份，各副本</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w:t>
      </w:r>
    </w:p>
    <w:p w14:paraId="27DE8BCC">
      <w:pPr>
        <w:pStyle w:val="6"/>
        <w:spacing w:line="360" w:lineRule="auto"/>
        <w:ind w:firstLine="0" w:firstLineChars="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2、本合同正、副本具同等法律效律，当正、副本内容不一致时，以正本为准。</w:t>
      </w:r>
    </w:p>
    <w:p w14:paraId="42582469">
      <w:pPr>
        <w:pStyle w:val="6"/>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十六、其他事项</w:t>
      </w:r>
    </w:p>
    <w:p w14:paraId="238BEF25">
      <w:pPr>
        <w:pStyle w:val="6"/>
        <w:spacing w:line="360" w:lineRule="auto"/>
        <w:ind w:firstLine="433" w:firstLineChars="0"/>
        <w:rPr>
          <w:rFonts w:ascii="宋体" w:hAnsi="宋体" w:eastAsia="宋体" w:cs="宋体"/>
          <w:color w:val="auto"/>
          <w:sz w:val="24"/>
          <w:highlight w:val="none"/>
        </w:rPr>
      </w:pPr>
      <w:r>
        <w:rPr>
          <w:rFonts w:hint="eastAsia" w:ascii="宋体" w:hAnsi="宋体" w:eastAsia="宋体" w:cs="宋体"/>
          <w:color w:val="auto"/>
          <w:sz w:val="24"/>
          <w:highlight w:val="none"/>
        </w:rPr>
        <w:t>1、本合同未尽事宜，经双方协商一致，可签订补充协议，并与本合同具有同等效力。</w:t>
      </w:r>
    </w:p>
    <w:p w14:paraId="1526000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双方在本合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14:paraId="7CD666E5">
      <w:pPr>
        <w:pStyle w:val="6"/>
        <w:spacing w:line="360" w:lineRule="auto"/>
        <w:ind w:firstLine="487" w:firstLineChars="0"/>
        <w:rPr>
          <w:rFonts w:ascii="宋体" w:hAnsi="宋体" w:eastAsia="宋体" w:cs="宋体"/>
          <w:color w:val="auto"/>
          <w:sz w:val="24"/>
          <w:highlight w:val="none"/>
        </w:rPr>
      </w:pPr>
      <w:r>
        <w:rPr>
          <w:rFonts w:hint="eastAsia" w:ascii="宋体" w:hAnsi="宋体" w:eastAsia="宋体" w:cs="宋体"/>
          <w:color w:val="auto"/>
          <w:sz w:val="24"/>
          <w:highlight w:val="none"/>
        </w:rPr>
        <w:t>3、本合同生效后，合同当事人认为必要时，可到工商行政管理部门鉴证，鉴证费用由乙方负责。双方履行完合同规定的义务后，本合同即终止。</w:t>
      </w:r>
    </w:p>
    <w:p w14:paraId="32764138">
      <w:pPr>
        <w:adjustRightInd w:val="0"/>
        <w:snapToGrid w:val="0"/>
        <w:spacing w:line="360" w:lineRule="auto"/>
        <w:ind w:firstLine="493"/>
        <w:rPr>
          <w:rFonts w:ascii="宋体" w:hAnsi="宋体" w:eastAsia="宋体" w:cs="宋体"/>
          <w:color w:val="auto"/>
          <w:sz w:val="24"/>
          <w:highlight w:val="none"/>
        </w:rPr>
      </w:pPr>
      <w:r>
        <w:rPr>
          <w:rFonts w:hint="eastAsia" w:ascii="宋体" w:hAnsi="宋体" w:eastAsia="宋体" w:cs="宋体"/>
          <w:color w:val="auto"/>
          <w:sz w:val="24"/>
          <w:highlight w:val="none"/>
        </w:rPr>
        <w:t>4、乙方对在履行本合同过程中所接触的甲方工作秘密（包括但不限于甲方的商业秘密、任何技术性资料、以及甲方为完成本合同提供的任何其他信息资料并且在提供时未说明是公开信息的）承担保密义务。未经甲方书面许可，乙方（包括但不限于乙方雇员、代理人、顾问等）不得将从甲方获取的一切资料和信息、或其他成果用于本合同范围之外目的，否则全部收益归甲方所有，乙方支付合同总金额的5%作为违约金，并另行应赔偿甲方因此遭受的全部损失。无论本合同是否切实得到履行或因任何原因变更、解除、终止、失效等，本条款均始终有效。</w:t>
      </w:r>
    </w:p>
    <w:p w14:paraId="5F1CCF0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为推进项目建设，乙方需分别派驻设计人员和施工管理人员在建设管理单位指定地点驻场服务，协助推进项目设计和施工管理的相关工作。设计派驻人员应具备高级工程师职称，施工派驻人员应具备中级工程师或以上职称，且均为本单位正式职工（非劳务派遣），在本单位工作</w:t>
      </w:r>
      <w:r>
        <w:rPr>
          <w:rFonts w:ascii="宋体" w:hAnsi="宋体" w:eastAsia="宋体" w:cs="宋体"/>
          <w:color w:val="auto"/>
          <w:sz w:val="24"/>
          <w:highlight w:val="none"/>
        </w:rPr>
        <w:t>5年以上。派驻人员数量按以下规定：</w:t>
      </w:r>
      <w:r>
        <w:rPr>
          <w:rFonts w:hint="eastAsia" w:ascii="宋体" w:hAnsi="宋体" w:eastAsia="宋体" w:cs="宋体"/>
          <w:color w:val="auto"/>
          <w:sz w:val="24"/>
          <w:highlight w:val="none"/>
        </w:rPr>
        <w:t>以本项目估算总投资为准5亿元以上设计派驻2人、施工2人；5亿－1亿元设计派驻1人、施工1人；1亿－5000万元施工派驻1人；5000万元以下原则上不做要求，由甲方根据项目施工实际情况确定。未按上述要求派驻人员的，按每人次每天罚款10000元计算，在工程进度请款中直接扣除。本条款未详的相关事项，以本合同相关条款为准。</w:t>
      </w:r>
    </w:p>
    <w:p w14:paraId="7E760685">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为规范建设项目参建单位关键岗位管理人员的到岗履职标准，遏制转包、违法分包和挂靠资质投标等违法行为，乙方应知晓并遵守甲方《建设工程参建单位管理人员考勤管理办法》（另册），严格落实管理人员到岗考勤。</w:t>
      </w:r>
    </w:p>
    <w:p w14:paraId="1BDB9E1B">
      <w:pPr>
        <w:pStyle w:val="118"/>
        <w:spacing w:line="360" w:lineRule="auto"/>
        <w:rPr>
          <w:rFonts w:ascii="宋体" w:hAnsi="宋体" w:eastAsia="宋体" w:cs="宋体"/>
          <w:b/>
          <w:bCs w:val="0"/>
          <w:color w:val="auto"/>
          <w:szCs w:val="24"/>
          <w:highlight w:val="none"/>
        </w:rPr>
      </w:pPr>
      <w:r>
        <w:rPr>
          <w:rFonts w:hint="eastAsia" w:ascii="宋体" w:hAnsi="宋体" w:eastAsia="宋体" w:cs="宋体"/>
          <w:b/>
          <w:bCs w:val="0"/>
          <w:color w:val="auto"/>
          <w:szCs w:val="24"/>
          <w:highlight w:val="none"/>
        </w:rPr>
        <w:t>十七、合同生效</w:t>
      </w:r>
    </w:p>
    <w:p w14:paraId="0D56CE31">
      <w:pPr>
        <w:pStyle w:val="6"/>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合同各方当事人约定本合同于各方签字盖章之日起生效。</w:t>
      </w:r>
    </w:p>
    <w:p w14:paraId="744FFC91">
      <w:pPr>
        <w:pStyle w:val="6"/>
        <w:ind w:firstLine="480"/>
        <w:rPr>
          <w:rFonts w:hint="eastAsia" w:ascii="宋体" w:hAnsi="宋体" w:eastAsia="宋体" w:cs="宋体"/>
          <w:color w:val="auto"/>
          <w:kern w:val="0"/>
          <w:sz w:val="24"/>
          <w:highlight w:val="none"/>
        </w:rPr>
      </w:pPr>
    </w:p>
    <w:p w14:paraId="4A346A58">
      <w:pPr>
        <w:pStyle w:val="6"/>
        <w:ind w:firstLine="480"/>
        <w:rPr>
          <w:rFonts w:hint="eastAsia" w:ascii="宋体" w:hAnsi="宋体" w:eastAsia="宋体" w:cs="宋体"/>
          <w:color w:val="auto"/>
          <w:kern w:val="0"/>
          <w:sz w:val="24"/>
          <w:highlight w:val="none"/>
        </w:rPr>
      </w:pPr>
    </w:p>
    <w:p w14:paraId="15570748">
      <w:pPr>
        <w:pStyle w:val="6"/>
        <w:ind w:firstLine="480"/>
        <w:rPr>
          <w:rFonts w:hint="eastAsia" w:ascii="宋体" w:hAnsi="宋体" w:eastAsia="宋体" w:cs="宋体"/>
          <w:color w:val="auto"/>
          <w:kern w:val="0"/>
          <w:sz w:val="24"/>
          <w:highlight w:val="none"/>
        </w:rPr>
      </w:pPr>
    </w:p>
    <w:p w14:paraId="26300F65">
      <w:pPr>
        <w:rPr>
          <w:rFonts w:hint="eastAsia" w:ascii="宋体" w:hAnsi="宋体" w:eastAsia="宋体" w:cs="宋体"/>
          <w:color w:val="auto"/>
          <w:kern w:val="0"/>
          <w:sz w:val="24"/>
          <w:highlight w:val="none"/>
        </w:rPr>
      </w:pPr>
    </w:p>
    <w:p w14:paraId="6026E9D6">
      <w:pPr>
        <w:rPr>
          <w:rFonts w:hint="eastAsia" w:ascii="宋体" w:hAnsi="宋体" w:eastAsia="宋体" w:cs="宋体"/>
          <w:color w:val="auto"/>
          <w:kern w:val="0"/>
          <w:sz w:val="24"/>
          <w:highlight w:val="none"/>
        </w:rPr>
      </w:pPr>
    </w:p>
    <w:p w14:paraId="14B69B51">
      <w:pPr>
        <w:pStyle w:val="6"/>
        <w:ind w:firstLine="480"/>
        <w:rPr>
          <w:rFonts w:hint="eastAsia" w:ascii="宋体" w:hAnsi="宋体" w:eastAsia="宋体" w:cs="宋体"/>
          <w:color w:val="auto"/>
          <w:kern w:val="0"/>
          <w:sz w:val="24"/>
          <w:highlight w:val="none"/>
        </w:rPr>
      </w:pPr>
    </w:p>
    <w:p w14:paraId="00C6033A">
      <w:pPr>
        <w:pStyle w:val="6"/>
        <w:ind w:firstLine="480"/>
        <w:rPr>
          <w:rFonts w:hint="eastAsia" w:ascii="宋体" w:hAnsi="宋体" w:eastAsia="宋体" w:cs="宋体"/>
          <w:color w:val="auto"/>
          <w:kern w:val="0"/>
          <w:sz w:val="24"/>
          <w:highlight w:val="none"/>
        </w:rPr>
      </w:pPr>
    </w:p>
    <w:p w14:paraId="1B911437">
      <w:pPr>
        <w:pStyle w:val="6"/>
        <w:ind w:firstLine="48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（以下无正文，本页为签署页）</w:t>
      </w:r>
    </w:p>
    <w:p w14:paraId="109B8823">
      <w:pPr>
        <w:pStyle w:val="6"/>
        <w:ind w:firstLine="0" w:firstLineChars="0"/>
        <w:rPr>
          <w:rFonts w:ascii="宋体" w:hAnsi="宋体" w:eastAsia="宋体" w:cs="宋体"/>
          <w:color w:val="auto"/>
          <w:kern w:val="0"/>
          <w:sz w:val="24"/>
          <w:highlight w:val="none"/>
        </w:rPr>
      </w:pPr>
    </w:p>
    <w:p w14:paraId="5DAAF0B7">
      <w:pPr>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甲方：广州市番禺区大龙街</w:t>
      </w:r>
      <w:r>
        <w:rPr>
          <w:rFonts w:hint="eastAsia" w:ascii="宋体" w:hAnsi="宋体" w:eastAsia="宋体" w:cs="宋体"/>
          <w:color w:val="auto"/>
          <w:sz w:val="24"/>
          <w:highlight w:val="none"/>
          <w:lang w:eastAsia="zh-CN"/>
        </w:rPr>
        <w:t>傍江东村</w:t>
      </w:r>
      <w:r>
        <w:rPr>
          <w:rFonts w:hint="eastAsia" w:ascii="宋体" w:hAnsi="宋体" w:eastAsia="宋体" w:cs="宋体"/>
          <w:color w:val="auto"/>
          <w:sz w:val="24"/>
          <w:highlight w:val="none"/>
        </w:rPr>
        <w:t>股份合作经济社（盖章）</w:t>
      </w:r>
    </w:p>
    <w:p w14:paraId="4E19B50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通讯地址： </w:t>
      </w:r>
    </w:p>
    <w:p w14:paraId="2D39E789">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1B3918AC">
      <w:pPr>
        <w:adjustRightInd w:val="0"/>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 xml:space="preserve">电话：   </w:t>
      </w:r>
    </w:p>
    <w:p w14:paraId="68FE41C0">
      <w:pPr>
        <w:pStyle w:val="6"/>
        <w:adjustRightInd w:val="0"/>
        <w:snapToGrid w:val="0"/>
        <w:spacing w:line="360" w:lineRule="auto"/>
        <w:rPr>
          <w:rFonts w:ascii="宋体" w:hAnsi="宋体" w:eastAsia="宋体" w:cs="宋体"/>
          <w:color w:val="auto"/>
          <w:highlight w:val="none"/>
        </w:rPr>
      </w:pPr>
    </w:p>
    <w:p w14:paraId="5F7BDF8A">
      <w:pPr>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乙方（主）：             （盖章）  </w:t>
      </w:r>
    </w:p>
    <w:p w14:paraId="5289167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通讯地址： 　</w:t>
      </w:r>
    </w:p>
    <w:p w14:paraId="03B353A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法定代表人：　</w:t>
      </w:r>
    </w:p>
    <w:p w14:paraId="2286326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签约代表：　</w:t>
      </w:r>
    </w:p>
    <w:p w14:paraId="456D55F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电话：</w:t>
      </w:r>
    </w:p>
    <w:p w14:paraId="68D9ED4B">
      <w:pPr>
        <w:pStyle w:val="6"/>
        <w:adjustRightInd w:val="0"/>
        <w:snapToGrid w:val="0"/>
        <w:spacing w:line="360" w:lineRule="auto"/>
        <w:rPr>
          <w:rFonts w:ascii="宋体" w:hAnsi="宋体" w:eastAsia="宋体" w:cs="宋体"/>
          <w:color w:val="auto"/>
          <w:highlight w:val="none"/>
        </w:rPr>
      </w:pPr>
    </w:p>
    <w:p w14:paraId="07AADAF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乙方（成）：             （盖章）</w:t>
      </w:r>
    </w:p>
    <w:p w14:paraId="7B41EB7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通讯地址： </w:t>
      </w:r>
    </w:p>
    <w:p w14:paraId="145C982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6874D7D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签约代表：   </w:t>
      </w:r>
    </w:p>
    <w:p w14:paraId="7FAE764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电话：</w:t>
      </w:r>
    </w:p>
    <w:p w14:paraId="47030A30">
      <w:pPr>
        <w:adjustRightInd w:val="0"/>
        <w:snapToGrid w:val="0"/>
        <w:spacing w:line="360" w:lineRule="auto"/>
        <w:ind w:firstLine="420" w:firstLineChars="200"/>
        <w:rPr>
          <w:rFonts w:ascii="宋体" w:hAnsi="宋体" w:eastAsia="宋体" w:cs="宋体"/>
          <w:color w:val="auto"/>
          <w:highlight w:val="none"/>
        </w:rPr>
      </w:pPr>
    </w:p>
    <w:p w14:paraId="5CD5523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乙方（成）：               （盖章）</w:t>
      </w:r>
    </w:p>
    <w:p w14:paraId="571B8B7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通讯地址： </w:t>
      </w:r>
    </w:p>
    <w:p w14:paraId="010E1DE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7B7A90E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签约代表：   </w:t>
      </w:r>
    </w:p>
    <w:p w14:paraId="4BDDCE9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电话：</w:t>
      </w:r>
    </w:p>
    <w:p w14:paraId="07561AFB">
      <w:pPr>
        <w:pStyle w:val="6"/>
        <w:spacing w:after="120" w:afterLines="50"/>
        <w:rPr>
          <w:rFonts w:ascii="宋体" w:hAnsi="宋体" w:eastAsia="宋体" w:cs="宋体"/>
          <w:color w:val="auto"/>
          <w:highlight w:val="none"/>
        </w:rPr>
        <w:sectPr>
          <w:pgSz w:w="11920" w:h="16840"/>
          <w:pgMar w:top="1580" w:right="880" w:bottom="280" w:left="920" w:header="720" w:footer="720" w:gutter="0"/>
          <w:pgNumType w:fmt="numberInDash"/>
          <w:cols w:space="720" w:num="1"/>
          <w:titlePg/>
          <w:docGrid w:linePitch="286" w:charSpace="0"/>
        </w:sectPr>
      </w:pPr>
    </w:p>
    <w:p w14:paraId="48993A6C">
      <w:pPr>
        <w:pStyle w:val="83"/>
        <w:spacing w:after="120" w:afterLines="50"/>
        <w:rPr>
          <w:rFonts w:ascii="宋体" w:hAnsi="宋体" w:eastAsia="宋体" w:cs="宋体"/>
          <w:b/>
          <w:bCs w:val="0"/>
          <w:color w:val="auto"/>
          <w:highlight w:val="none"/>
        </w:rPr>
      </w:pPr>
      <w:bookmarkStart w:id="12" w:name="_Toc9889"/>
      <w:r>
        <w:rPr>
          <w:rFonts w:hint="eastAsia" w:ascii="宋体" w:hAnsi="宋体" w:eastAsia="宋体" w:cs="宋体"/>
          <w:b/>
          <w:bCs w:val="0"/>
          <w:color w:val="auto"/>
          <w:highlight w:val="none"/>
        </w:rPr>
        <w:t>第二篇</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t>工程勘察合同条款</w:t>
      </w:r>
      <w:bookmarkEnd w:id="12"/>
    </w:p>
    <w:p w14:paraId="2228CE28">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第一条  项目概况</w:t>
      </w:r>
    </w:p>
    <w:p w14:paraId="52B5AD68">
      <w:pPr>
        <w:snapToGrid w:val="0"/>
        <w:spacing w:line="360" w:lineRule="auto"/>
        <w:ind w:firstLine="540" w:firstLineChars="22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 xml:space="preserve"> 项目勘察任务（内容）与技术要求（包括但不限于勘察设计任务书所列内容）</w:t>
      </w:r>
    </w:p>
    <w:p w14:paraId="356385B8">
      <w:pPr>
        <w:autoSpaceDE w:val="0"/>
        <w:autoSpaceDN w:val="0"/>
        <w:adjustRightIn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负责本项目范围内，以及经甲方审批用于项目建设所需的本合同约定工程实施范围外的勘察工作，</w:t>
      </w:r>
      <w:r>
        <w:rPr>
          <w:rFonts w:hint="eastAsia" w:ascii="宋体" w:hAnsi="宋体" w:eastAsia="宋体" w:cs="宋体"/>
          <w:color w:val="auto"/>
          <w:sz w:val="24"/>
          <w:highlight w:val="none"/>
          <w:u w:val="single"/>
        </w:rPr>
        <w:t>包括但不限于完成本项目规划红线图范围及周边所需的所有勘察工作，主要为项目后续设计或项目需要进行补勘（具体详见勘察设计任务书和合同约定为准）， 包括但不限于岩土工程勘察[初步勘察、详细勘察和施工阶段勘察（超前钻）、工程物探（含管线探测）、基坑设计</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按相关要求包工、包料、包安全、包水电，包通过建设等主管部门组织的勘察报告审查及备案，包配合设计阶段和施工阶段的技术支持和服务，包验收以及其他相关的技术支持和服务等（具体详见勘察设计任务书和合同约定为准）。</w:t>
      </w:r>
    </w:p>
    <w:p w14:paraId="17268719">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.1工程物探要求</w:t>
      </w:r>
    </w:p>
    <w:p w14:paraId="6575E711">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根据广州市城乡建设委员会《关于加强地下工程施工前地下管线探测工作的通知》（穗建质[2013]845号），对本项目内的架空线路、地下管线、地下暗渠、地面线缆、水渠以及电力工程电塔、立管调查等项目范围内所有排水管线探测、综合管线探测进行物探，探测工作包括查明探测范围内各专业管线走向、位置和标高等，作为设计和施工的基础数据。探测单位应当根据《城市地下管线探测技术规程》(CJJ6  1-20</w:t>
      </w:r>
      <w:r>
        <w:rPr>
          <w:rFonts w:ascii="宋体" w:hAnsi="宋体" w:eastAsia="宋体" w:cs="宋体"/>
          <w:color w:val="auto"/>
          <w:sz w:val="24"/>
          <w:highlight w:val="none"/>
        </w:rPr>
        <w:t>17</w:t>
      </w:r>
      <w:r>
        <w:rPr>
          <w:rFonts w:hint="eastAsia" w:ascii="宋体" w:hAnsi="宋体" w:eastAsia="宋体" w:cs="宋体"/>
          <w:color w:val="auto"/>
          <w:sz w:val="24"/>
          <w:highlight w:val="none"/>
        </w:rPr>
        <w:t>)和探测合同开展工作，确保工作质量，出具的探测报告需加盖CMA章。（如遇到政府部门有相关文件的更新替换，则按相关新文件执行）</w:t>
      </w:r>
    </w:p>
    <w:p w14:paraId="38D95769">
      <w:pPr>
        <w:pStyle w:val="6"/>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其他工程勘察内容：包括但不限于甲方根据工程建设提出的勘察内容。</w:t>
      </w:r>
    </w:p>
    <w:p w14:paraId="0D6E69D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2</w:t>
      </w:r>
      <w:r>
        <w:rPr>
          <w:rFonts w:hint="eastAsia" w:ascii="宋体" w:hAnsi="宋体" w:eastAsia="宋体" w:cs="宋体"/>
          <w:color w:val="auto"/>
          <w:sz w:val="24"/>
          <w:highlight w:val="none"/>
        </w:rPr>
        <w:t xml:space="preserve"> 承接方式：综合单价包干（按第一篇相关条款约定计算），工程量按实计算。综合包干单价已包括勘察设备、仪器及重物场内中转及多次进退场费用；所有实物工作收费、技术工作收费、税金等全部费用。</w:t>
      </w:r>
    </w:p>
    <w:p w14:paraId="52779070">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第二条  甲方提供的资料</w:t>
      </w:r>
    </w:p>
    <w:p w14:paraId="49736D31">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 本项目批准文件（复印件），以及用地（附红线范围）等。</w:t>
      </w:r>
    </w:p>
    <w:p w14:paraId="1F8318B9">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 项目勘察任务、技术要求。</w:t>
      </w:r>
    </w:p>
    <w:p w14:paraId="2710B37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2.3勘察工作范围已有的技术资料。</w:t>
      </w:r>
    </w:p>
    <w:p w14:paraId="02E04394">
      <w:pPr>
        <w:pStyle w:val="6"/>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rPr>
        <w:t>甲方对其所提供的上述资料准确性、可靠性负责。</w:t>
      </w:r>
    </w:p>
    <w:p w14:paraId="08C3AA15">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第三条  勘察期限及成果</w:t>
      </w:r>
    </w:p>
    <w:p w14:paraId="36BBD099">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val="en-US" w:eastAsia="zh-CN"/>
        </w:rPr>
        <w:t>本合同签订后5日内</w:t>
      </w:r>
      <w:r>
        <w:rPr>
          <w:rFonts w:hint="eastAsia" w:ascii="宋体" w:hAnsi="宋体" w:eastAsia="宋体" w:cs="宋体"/>
          <w:color w:val="auto"/>
          <w:sz w:val="24"/>
          <w:highlight w:val="none"/>
        </w:rPr>
        <w:t>送勘察方案给甲方审核，勘察方案须经审核通过后</w:t>
      </w:r>
      <w:r>
        <w:rPr>
          <w:rFonts w:hint="eastAsia" w:ascii="宋体" w:hAnsi="宋体" w:eastAsia="宋体" w:cs="宋体"/>
          <w:color w:val="auto"/>
          <w:sz w:val="24"/>
          <w:highlight w:val="none"/>
          <w:lang w:val="en-US" w:eastAsia="zh-CN"/>
        </w:rPr>
        <w:t>次日乙方应进场开工</w:t>
      </w:r>
      <w:r>
        <w:rPr>
          <w:rFonts w:hint="eastAsia" w:ascii="宋体" w:hAnsi="宋体" w:eastAsia="宋体" w:cs="宋体"/>
          <w:color w:val="auto"/>
          <w:sz w:val="24"/>
          <w:highlight w:val="none"/>
        </w:rPr>
        <w:t>。未能按期开工，按本合同第六条规定办理。</w:t>
      </w:r>
    </w:p>
    <w:p w14:paraId="661B2F0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3.2勘察工作有效期限以合同约定为准，如遇特殊情况（设计变更、工作量大幅度增加、不可抗力影响以及甲方原因造成的停、窝工等）时，工期顺延，顺延的时间需经甲方与乙方确认，但不补偿任何费用。</w:t>
      </w:r>
    </w:p>
    <w:p w14:paraId="3BFD8E5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3.3本工程的具体勘察工作开工日期自</w:t>
      </w:r>
      <w:r>
        <w:rPr>
          <w:rFonts w:hint="eastAsia" w:ascii="宋体" w:hAnsi="宋体" w:eastAsia="宋体" w:cs="宋体"/>
          <w:color w:val="auto"/>
          <w:sz w:val="24"/>
          <w:highlight w:val="none"/>
          <w:lang w:val="en-US" w:eastAsia="zh-CN"/>
        </w:rPr>
        <w:t>双方签订合同且签署土地移交确认书</w:t>
      </w:r>
      <w:r>
        <w:rPr>
          <w:rFonts w:hint="eastAsia" w:ascii="宋体" w:hAnsi="宋体" w:eastAsia="宋体" w:cs="宋体"/>
          <w:color w:val="auto"/>
          <w:sz w:val="24"/>
          <w:highlight w:val="none"/>
        </w:rPr>
        <w:t>起</w:t>
      </w:r>
      <w:r>
        <w:rPr>
          <w:rFonts w:hint="eastAsia" w:ascii="宋体" w:hAnsi="宋体" w:eastAsia="宋体" w:cs="宋体"/>
          <w:color w:val="auto"/>
          <w:sz w:val="24"/>
          <w:highlight w:val="none"/>
          <w:lang w:val="en-US" w:eastAsia="zh-CN"/>
        </w:rPr>
        <w:t>算</w:t>
      </w:r>
      <w:r>
        <w:rPr>
          <w:rFonts w:hint="eastAsia" w:ascii="宋体" w:hAnsi="宋体" w:eastAsia="宋体" w:cs="宋体"/>
          <w:color w:val="auto"/>
          <w:sz w:val="24"/>
          <w:highlight w:val="none"/>
        </w:rPr>
        <w:t>，原则要求</w:t>
      </w:r>
      <w:r>
        <w:rPr>
          <w:rFonts w:hint="eastAsia" w:ascii="宋体" w:hAnsi="宋体" w:eastAsia="宋体" w:cs="宋体"/>
          <w:color w:val="auto"/>
          <w:sz w:val="24"/>
          <w:highlight w:val="none"/>
          <w:u w:val="single"/>
        </w:rPr>
        <w:t xml:space="preserve"> 30  </w:t>
      </w:r>
      <w:r>
        <w:rPr>
          <w:rFonts w:hint="eastAsia" w:ascii="宋体" w:hAnsi="宋体" w:eastAsia="宋体" w:cs="宋体"/>
          <w:color w:val="auto"/>
          <w:sz w:val="24"/>
          <w:highlight w:val="none"/>
        </w:rPr>
        <w:t>日内提交勘察成果资料。经甲方批准，工程勘察可以根据项目开发时序，分期分批提交勘察成果资料，但应满足项目开发时序节点的要求。未能按期提交成果资料，按本合同第六条规定办理。</w:t>
      </w:r>
    </w:p>
    <w:p w14:paraId="25192DA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3.4乙方负责向甲方提交勘察成果资料各最少</w:t>
      </w:r>
      <w:r>
        <w:rPr>
          <w:rFonts w:hint="eastAsia" w:ascii="宋体" w:hAnsi="宋体" w:eastAsia="宋体" w:cs="宋体"/>
          <w:color w:val="auto"/>
          <w:sz w:val="24"/>
          <w:highlight w:val="none"/>
          <w:u w:val="single"/>
        </w:rPr>
        <w:t>一式八份</w:t>
      </w:r>
      <w:r>
        <w:rPr>
          <w:rFonts w:hint="eastAsia" w:ascii="宋体" w:hAnsi="宋体" w:eastAsia="宋体" w:cs="宋体"/>
          <w:color w:val="auto"/>
          <w:sz w:val="24"/>
          <w:highlight w:val="none"/>
        </w:rPr>
        <w:t>（不含向广州市城市规划勘测设计研究院购买的资料）及相应非加密的电子文件贰份，具体数量根据实际需要相应再增加。</w:t>
      </w:r>
    </w:p>
    <w:p w14:paraId="58A1B780">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第四条  勘察服务费用</w:t>
      </w:r>
    </w:p>
    <w:p w14:paraId="5759670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4.1勘察服务费用暂定含税合同价：总计为¥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kern w:val="0"/>
          <w:sz w:val="24"/>
          <w:highlight w:val="none"/>
        </w:rPr>
        <w:t>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中标下浮率为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p>
    <w:p w14:paraId="1982403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4.2勘察服务计费标准</w:t>
      </w:r>
    </w:p>
    <w:p w14:paraId="31E9319C">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4.2.1</w:t>
      </w:r>
      <w:r>
        <w:rPr>
          <w:rFonts w:hint="eastAsia" w:ascii="宋体" w:hAnsi="宋体" w:eastAsia="宋体" w:cs="宋体"/>
          <w:color w:val="auto"/>
          <w:spacing w:val="0"/>
          <w:sz w:val="24"/>
          <w:szCs w:val="24"/>
          <w:highlight w:val="none"/>
          <w:lang w:val="en-US" w:eastAsia="zh-CN"/>
        </w:rPr>
        <w:t>参</w:t>
      </w:r>
      <w:r>
        <w:rPr>
          <w:rFonts w:hint="eastAsia" w:ascii="宋体" w:hAnsi="宋体" w:eastAsia="宋体" w:cs="宋体"/>
          <w:color w:val="auto"/>
          <w:spacing w:val="0"/>
          <w:sz w:val="24"/>
          <w:szCs w:val="24"/>
          <w:highlight w:val="none"/>
        </w:rPr>
        <w:t>照</w:t>
      </w:r>
      <w:r>
        <w:rPr>
          <w:rFonts w:hint="eastAsia" w:ascii="宋体" w:hAnsi="宋体" w:eastAsia="宋体" w:cs="宋体"/>
          <w:color w:val="auto"/>
          <w:sz w:val="24"/>
          <w:szCs w:val="24"/>
          <w:highlight w:val="none"/>
          <w:lang w:val="zh-CN"/>
        </w:rPr>
        <w:t>《工程勘察设计收费标准》（2002年修订本）</w:t>
      </w:r>
      <w:r>
        <w:rPr>
          <w:rFonts w:hint="eastAsia" w:ascii="宋体" w:hAnsi="宋体" w:eastAsia="宋体" w:cs="宋体"/>
          <w:color w:val="auto"/>
          <w:sz w:val="24"/>
          <w:szCs w:val="24"/>
          <w:highlight w:val="none"/>
        </w:rPr>
        <w:t>规</w:t>
      </w:r>
      <w:r>
        <w:rPr>
          <w:rFonts w:hint="default" w:ascii="宋体" w:hAnsi="宋体" w:eastAsia="宋体" w:cs="宋体"/>
          <w:color w:val="auto"/>
          <w:spacing w:val="10"/>
          <w:sz w:val="24"/>
          <w:szCs w:val="24"/>
          <w:highlight w:val="none"/>
        </w:rPr>
        <w:t>定</w:t>
      </w:r>
      <w:r>
        <w:rPr>
          <w:rFonts w:hint="eastAsia" w:ascii="宋体" w:hAnsi="宋体" w:eastAsia="宋体" w:cs="宋体"/>
          <w:color w:val="auto"/>
          <w:spacing w:val="10"/>
          <w:sz w:val="24"/>
          <w:szCs w:val="24"/>
          <w:highlight w:val="none"/>
          <w:lang w:val="en-US" w:eastAsia="zh-CN"/>
        </w:rPr>
        <w:t>的标准</w:t>
      </w:r>
      <w:r>
        <w:rPr>
          <w:rFonts w:hint="eastAsia" w:ascii="宋体" w:hAnsi="宋体" w:eastAsia="宋体" w:cs="宋体"/>
          <w:color w:val="auto"/>
          <w:sz w:val="24"/>
          <w:szCs w:val="24"/>
          <w:highlight w:val="none"/>
          <w:lang w:val="en-US" w:eastAsia="zh-CN"/>
        </w:rPr>
        <w:t>乘以</w:t>
      </w:r>
      <w:r>
        <w:rPr>
          <w:rFonts w:hint="eastAsia" w:ascii="宋体" w:hAnsi="宋体" w:eastAsia="宋体" w:cs="宋体"/>
          <w:color w:val="auto"/>
          <w:sz w:val="24"/>
          <w:szCs w:val="24"/>
          <w:highlight w:val="none"/>
          <w:u w:val="none"/>
          <w:lang w:val="zh-CN"/>
        </w:rPr>
        <w:t>（1-</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lang w:val="zh-CN"/>
        </w:rPr>
        <w:t>勘察费</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color w:val="auto"/>
          <w:sz w:val="24"/>
          <w:szCs w:val="24"/>
          <w:highlight w:val="none"/>
          <w:u w:val="none"/>
          <w:lang w:val="zh-CN"/>
        </w:rPr>
        <w:t>下浮率）</w:t>
      </w:r>
      <w:r>
        <w:rPr>
          <w:rFonts w:hint="eastAsia" w:ascii="宋体" w:hAnsi="宋体" w:eastAsia="宋体" w:cs="宋体"/>
          <w:color w:val="auto"/>
          <w:spacing w:val="10"/>
          <w:sz w:val="24"/>
          <w:szCs w:val="24"/>
          <w:highlight w:val="none"/>
          <w:lang w:val="en-US" w:eastAsia="zh-CN"/>
        </w:rPr>
        <w:t>确定</w:t>
      </w:r>
      <w:r>
        <w:rPr>
          <w:rFonts w:hint="eastAsia" w:ascii="宋体" w:hAnsi="宋体" w:eastAsia="宋体" w:cs="宋体"/>
          <w:color w:val="auto"/>
          <w:sz w:val="24"/>
          <w:highlight w:val="none"/>
        </w:rPr>
        <w:t>勘察服务</w:t>
      </w:r>
      <w:r>
        <w:rPr>
          <w:rFonts w:hint="eastAsia" w:ascii="宋体" w:hAnsi="宋体" w:eastAsia="宋体" w:cs="宋体"/>
          <w:color w:val="auto"/>
          <w:sz w:val="24"/>
          <w:highlight w:val="none"/>
          <w:lang w:val="en-US" w:eastAsia="zh-CN"/>
        </w:rPr>
        <w:t>费标准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费用</w:t>
      </w:r>
      <w:r>
        <w:rPr>
          <w:rFonts w:hint="eastAsia" w:ascii="宋体" w:hAnsi="宋体" w:eastAsia="宋体" w:cs="宋体"/>
          <w:color w:val="auto"/>
          <w:sz w:val="24"/>
          <w:highlight w:val="none"/>
        </w:rPr>
        <w:t>已包括所有实物工作收费、技术工作收费、税金及</w:t>
      </w:r>
      <w:r>
        <w:rPr>
          <w:rFonts w:hint="eastAsia" w:ascii="宋体" w:hAnsi="宋体" w:eastAsia="宋体" w:cs="宋体"/>
          <w:color w:val="auto"/>
          <w:sz w:val="24"/>
          <w:szCs w:val="24"/>
          <w:highlight w:val="none"/>
        </w:rPr>
        <w:t>以及综合考虑不同自然条件下、不同作业内容、不同复杂程度及高温勘察等一切因素下的勘探作业的费用</w:t>
      </w:r>
      <w:r>
        <w:rPr>
          <w:rFonts w:hint="eastAsia" w:ascii="宋体" w:hAnsi="宋体" w:eastAsia="宋体" w:cs="宋体"/>
          <w:color w:val="auto"/>
          <w:sz w:val="24"/>
          <w:highlight w:val="none"/>
        </w:rPr>
        <w:t>。</w:t>
      </w:r>
    </w:p>
    <w:p w14:paraId="0D04184A">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sz w:val="24"/>
          <w:szCs w:val="24"/>
          <w:highlight w:val="none"/>
          <w:lang w:eastAsia="zh-CN"/>
        </w:rPr>
        <w:t>《工程勘察设计收费标准》（2002年修订本）</w:t>
      </w:r>
      <w:r>
        <w:rPr>
          <w:rFonts w:hint="eastAsia" w:ascii="宋体" w:hAnsi="宋体" w:eastAsia="宋体" w:cs="宋体"/>
          <w:color w:val="auto"/>
          <w:sz w:val="24"/>
          <w:szCs w:val="24"/>
          <w:highlight w:val="none"/>
          <w:lang w:val="en-US" w:eastAsia="zh-CN"/>
        </w:rPr>
        <w:t>中没有项目</w:t>
      </w:r>
      <w:r>
        <w:rPr>
          <w:rFonts w:hint="eastAsia" w:ascii="宋体" w:hAnsi="宋体" w:eastAsia="宋体" w:cs="宋体"/>
          <w:color w:val="auto"/>
          <w:kern w:val="0"/>
          <w:sz w:val="24"/>
          <w:highlight w:val="none"/>
        </w:rPr>
        <w:t>，双方依据市场价格协商定价。</w:t>
      </w:r>
    </w:p>
    <w:p w14:paraId="0D2DDFA6">
      <w:pPr>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4.3</w:t>
      </w:r>
      <w:r>
        <w:rPr>
          <w:rFonts w:hint="eastAsia" w:ascii="宋体" w:hAnsi="宋体" w:eastAsia="宋体" w:cs="宋体"/>
          <w:color w:val="auto"/>
          <w:sz w:val="24"/>
          <w:highlight w:val="none"/>
        </w:rPr>
        <w:t>勘察</w:t>
      </w:r>
      <w:r>
        <w:rPr>
          <w:rFonts w:hint="eastAsia" w:ascii="宋体" w:hAnsi="宋体" w:eastAsia="宋体" w:cs="宋体"/>
          <w:color w:val="auto"/>
          <w:kern w:val="0"/>
          <w:sz w:val="24"/>
          <w:highlight w:val="none"/>
        </w:rPr>
        <w:t>服务费用结算</w:t>
      </w:r>
    </w:p>
    <w:p w14:paraId="3B3224F1">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岩土工程勘察费用，</w:t>
      </w:r>
      <w:r>
        <w:rPr>
          <w:rFonts w:hint="eastAsia" w:ascii="宋体" w:hAnsi="宋体" w:eastAsia="宋体" w:cs="宋体"/>
          <w:color w:val="auto"/>
          <w:sz w:val="24"/>
          <w:szCs w:val="24"/>
          <w:highlight w:val="none"/>
          <w:lang w:val="zh-CN"/>
        </w:rPr>
        <w:t>参照广东省工程勘察设计行业协会印发的《房屋建筑和市政基础设施工程设计收费导则》中所附的《工程勘察设计收费标准》（2002年修订本）标准</w:t>
      </w:r>
      <w:r>
        <w:rPr>
          <w:rFonts w:hint="eastAsia" w:ascii="宋体" w:hAnsi="宋体" w:eastAsia="宋体" w:cs="宋体"/>
          <w:color w:val="auto"/>
          <w:sz w:val="24"/>
          <w:szCs w:val="24"/>
          <w:highlight w:val="none"/>
          <w:lang w:val="en-US" w:eastAsia="zh-CN"/>
        </w:rPr>
        <w:t>乘以</w:t>
      </w:r>
      <w:r>
        <w:rPr>
          <w:rFonts w:hint="eastAsia" w:ascii="宋体" w:hAnsi="宋体" w:eastAsia="宋体" w:cs="宋体"/>
          <w:color w:val="auto"/>
          <w:sz w:val="24"/>
          <w:szCs w:val="24"/>
          <w:highlight w:val="none"/>
          <w:u w:val="none"/>
          <w:lang w:val="zh-CN"/>
        </w:rPr>
        <w:t>（1-</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lang w:val="zh-CN"/>
        </w:rPr>
        <w:t>勘察费</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color w:val="auto"/>
          <w:sz w:val="24"/>
          <w:szCs w:val="24"/>
          <w:highlight w:val="none"/>
          <w:u w:val="none"/>
          <w:lang w:val="zh-CN"/>
        </w:rPr>
        <w:t>下浮率）计价结算。</w:t>
      </w:r>
      <w:r>
        <w:rPr>
          <w:rFonts w:hint="eastAsia" w:ascii="宋体" w:hAnsi="宋体" w:eastAsia="宋体" w:cs="宋体"/>
          <w:color w:val="auto"/>
          <w:sz w:val="24"/>
          <w:szCs w:val="24"/>
          <w:highlight w:val="none"/>
        </w:rPr>
        <w:t>在合同实施期间岩土工程勘察费按实际完成工作量调整，但费率浮动幅度不变。</w:t>
      </w:r>
    </w:p>
    <w:p w14:paraId="545A8F06">
      <w:pPr>
        <w:pStyle w:val="6"/>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工程物探（含管线探测）费，</w:t>
      </w:r>
      <w:r>
        <w:rPr>
          <w:rFonts w:hint="eastAsia" w:ascii="宋体" w:hAnsi="宋体" w:eastAsia="宋体" w:cs="宋体"/>
          <w:color w:val="auto"/>
          <w:sz w:val="24"/>
          <w:szCs w:val="24"/>
          <w:highlight w:val="none"/>
          <w:lang w:val="zh-CN"/>
        </w:rPr>
        <w:t>参照广东省工程勘察设计行业协会印发的《房屋建筑和市政基础设施工程设计收费导则》中所附的《工程勘察设计收费标准》（2002年修订本）标准</w:t>
      </w:r>
      <w:r>
        <w:rPr>
          <w:rFonts w:hint="eastAsia" w:ascii="宋体" w:hAnsi="宋体" w:eastAsia="宋体" w:cs="宋体"/>
          <w:color w:val="auto"/>
          <w:sz w:val="24"/>
          <w:szCs w:val="24"/>
          <w:highlight w:val="none"/>
          <w:lang w:val="en-US" w:eastAsia="zh-CN"/>
        </w:rPr>
        <w:t>乘以</w:t>
      </w:r>
      <w:r>
        <w:rPr>
          <w:rFonts w:hint="eastAsia" w:ascii="宋体" w:hAnsi="宋体" w:eastAsia="宋体" w:cs="宋体"/>
          <w:color w:val="auto"/>
          <w:sz w:val="24"/>
          <w:szCs w:val="24"/>
          <w:highlight w:val="none"/>
          <w:u w:val="none"/>
          <w:lang w:val="zh-CN"/>
        </w:rPr>
        <w:t>（1-</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lang w:val="zh-CN"/>
        </w:rPr>
        <w:t>勘察费</w:t>
      </w:r>
      <w:r>
        <w:rPr>
          <w:rFonts w:hint="eastAsia" w:ascii="宋体" w:hAnsi="宋体" w:eastAsia="宋体" w:cs="宋体"/>
          <w:color w:val="auto"/>
          <w:sz w:val="24"/>
          <w:szCs w:val="24"/>
          <w:highlight w:val="none"/>
          <w:u w:val="none"/>
          <w:lang w:val="en-US" w:eastAsia="zh-CN"/>
        </w:rPr>
        <w:t>中标</w:t>
      </w:r>
      <w:r>
        <w:rPr>
          <w:rFonts w:hint="eastAsia" w:ascii="宋体" w:hAnsi="宋体" w:eastAsia="宋体" w:cs="宋体"/>
          <w:color w:val="auto"/>
          <w:sz w:val="24"/>
          <w:szCs w:val="24"/>
          <w:highlight w:val="none"/>
          <w:u w:val="none"/>
          <w:lang w:val="zh-CN"/>
        </w:rPr>
        <w:t>下浮率）计价结算</w:t>
      </w:r>
      <w:r>
        <w:rPr>
          <w:rFonts w:hint="eastAsia" w:ascii="宋体" w:hAnsi="宋体" w:eastAsia="宋体" w:cs="宋体"/>
          <w:color w:val="auto"/>
          <w:sz w:val="24"/>
          <w:szCs w:val="24"/>
          <w:highlight w:val="none"/>
        </w:rPr>
        <w:t>。同一管沟，相同种类的管线只按延长公里计费一次；同一管沟，不同种类的管线，可分别计费。在合同实施期间工程物探费按实际完成工作量调整，但费率浮动幅度不变。</w:t>
      </w:r>
    </w:p>
    <w:p w14:paraId="1BD644E6">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以上费用均已包括所有实物工作收费、技术工作收费、税金、临时占用土地、交通工具费用、修筑钻机通行简易道路及影响勘察施工正常进行发生的有关费用等全部费用。</w:t>
      </w:r>
    </w:p>
    <w:p w14:paraId="494E993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按本合同第4.2款</w:t>
      </w:r>
      <w:r>
        <w:rPr>
          <w:rFonts w:hint="eastAsia" w:ascii="宋体" w:hAnsi="宋体" w:eastAsia="宋体" w:cs="宋体"/>
          <w:color w:val="auto"/>
          <w:sz w:val="24"/>
          <w:highlight w:val="none"/>
        </w:rPr>
        <w:t>勘察服务计费标准办理结算，</w:t>
      </w:r>
      <w:r>
        <w:rPr>
          <w:rFonts w:hint="eastAsia" w:ascii="宋体" w:hAnsi="宋体" w:eastAsia="宋体" w:cs="宋体"/>
          <w:color w:val="auto"/>
          <w:sz w:val="24"/>
          <w:highlight w:val="none"/>
          <w:u w:val="single"/>
        </w:rPr>
        <w:t>勘察费最终结算总金额不得超过</w:t>
      </w:r>
      <w:r>
        <w:rPr>
          <w:rFonts w:hint="eastAsia" w:ascii="宋体" w:hAnsi="宋体" w:eastAsia="宋体" w:cs="宋体"/>
          <w:color w:val="auto"/>
          <w:sz w:val="24"/>
          <w:highlight w:val="none"/>
          <w:u w:val="single"/>
          <w:lang w:val="en-US" w:eastAsia="zh-CN"/>
        </w:rPr>
        <w:t>勘察费的中标价；如超过中标价，则按中标价结算</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rPr>
        <w:t>未经</w:t>
      </w:r>
      <w:r>
        <w:rPr>
          <w:rFonts w:hint="eastAsia" w:ascii="宋体" w:hAnsi="宋体" w:eastAsia="宋体" w:cs="宋体"/>
          <w:color w:val="auto"/>
          <w:kern w:val="0"/>
          <w:sz w:val="24"/>
          <w:highlight w:val="none"/>
          <w:lang w:val="en-US" w:eastAsia="zh-CN"/>
        </w:rPr>
        <w:t>甲方确认</w:t>
      </w:r>
      <w:r>
        <w:rPr>
          <w:rFonts w:hint="eastAsia" w:ascii="宋体" w:hAnsi="宋体" w:eastAsia="宋体" w:cs="宋体"/>
          <w:color w:val="auto"/>
          <w:kern w:val="0"/>
          <w:sz w:val="24"/>
          <w:highlight w:val="none"/>
        </w:rPr>
        <w:t>和超出合同约定范围的工程量均不计入结算工程量。</w:t>
      </w:r>
    </w:p>
    <w:p w14:paraId="74C2B0A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4.4勘察服务费用支付方式</w:t>
      </w:r>
    </w:p>
    <w:p w14:paraId="4159BD88">
      <w:pPr>
        <w:pStyle w:val="6"/>
        <w:spacing w:line="360" w:lineRule="auto"/>
        <w:ind w:firstLine="480"/>
        <w:rPr>
          <w:rFonts w:hint="eastAsia" w:hAnsi="宋体" w:eastAsia="宋体" w:cs="宋体"/>
          <w:color w:val="auto"/>
          <w:sz w:val="24"/>
          <w:highlight w:val="none"/>
        </w:rPr>
      </w:pPr>
      <w:r>
        <w:rPr>
          <w:rFonts w:hint="eastAsia" w:ascii="宋体" w:hAnsi="宋体" w:eastAsia="宋体" w:cs="宋体"/>
          <w:color w:val="auto"/>
          <w:sz w:val="24"/>
          <w:highlight w:val="none"/>
        </w:rPr>
        <w:t>4.4.1提交正式勘察成果资料，并经审图单位审查合格后，甲方应一次性支付全部勘察费用，乙方应先提供与支付金额一致的正规发票给甲方，否则甲方有权延期支付。如因甲方原因导致延期支付的，不视为甲方违约，乙方不得以此为由暂停相关工作，仍应按项目开发时序按甲方要求分期分批提交勘察成果，否则属于乙方违约，按本合同有关条款处理。</w:t>
      </w:r>
    </w:p>
    <w:p w14:paraId="5773FFD1">
      <w:pPr>
        <w:rPr>
          <w:rFonts w:hint="eastAsia"/>
          <w:color w:val="auto"/>
          <w:highlight w:val="none"/>
        </w:rPr>
      </w:pPr>
    </w:p>
    <w:p w14:paraId="563E8409">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第五条  甲方和乙方责任</w:t>
      </w:r>
    </w:p>
    <w:p w14:paraId="387A203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5.1甲方责任</w:t>
      </w:r>
    </w:p>
    <w:p w14:paraId="56E9B57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5.1.1甲方委托任务时，必须以书面形式向乙方明确勘察任务及技术要求，审定乙方的勘察方案并按第二条规定提供文件资料。</w:t>
      </w:r>
    </w:p>
    <w:p w14:paraId="4007BFD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5.1.2若勘察现场需要看守，特别是在有毒、有害等危险现场作业时，甲方应协助安全保卫工作，乙方按有关规定对从事危险作业的现场人员进行保健防护，发生的人身损害等责任由乙方承担，甲方不承担任何责任。</w:t>
      </w:r>
    </w:p>
    <w:p w14:paraId="5DCF730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5.1.3工程勘察现场作业所需一切材料、人员配合等均由乙方负责，所需费用已包含在投标报价中。若甲方负责提供施工用材料的，应根据乙方提出的工程用料计划，按时提供各种材料及其产品合格证明。</w:t>
      </w:r>
    </w:p>
    <w:p w14:paraId="2D6C0B2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5.1.4勘察过程中乙方提出的变更，经办理正式变更手续后，甲方应支付增加工程量的费用。工程量减少的，按实际工程量计算费用，甲方不补偿乙方任何费用。</w:t>
      </w:r>
    </w:p>
    <w:p w14:paraId="43D3A8B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5.1.5由于甲方原因造成乙方停、窝工，工期顺延，顺延的时间应经双方确认，但不补偿乙方任何费用。</w:t>
      </w:r>
    </w:p>
    <w:p w14:paraId="5EBFA4A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5.2乙方责任</w:t>
      </w:r>
    </w:p>
    <w:p w14:paraId="74251F7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5.2.1乙方应按国家技术规范、标准、规程、本合同的约定和任务委托书、技术要求及经甲方审定的勘察方案进行工程勘察，按本合同规定的时间提交质量合格的勘察成果，并对其负责。</w:t>
      </w:r>
    </w:p>
    <w:p w14:paraId="168903E1">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5.2.2所有岩样均应放入统一规格的岩样盒内，岩样盒上应注明钻孔编号，各岩性变化处均应标明相应深度，并现场拍照，上述图片均应附在勘察报告中。</w:t>
      </w:r>
    </w:p>
    <w:p w14:paraId="6B387C6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5.2.3乙方应加强钻探现场岩样的保护工作，未经甲方或甲方指定人员现场查验，不得自行处理。</w:t>
      </w:r>
    </w:p>
    <w:p w14:paraId="3F0DA94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5.2.4乙方自行解决勘察现场的工作条件和存在问题，产生的费用、责任由乙方自行承担。</w:t>
      </w:r>
    </w:p>
    <w:p w14:paraId="61571BF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5.2.5由于乙方提供的勘察成果资料质量不合格，乙方应负责无偿给予补充完善，按甲方要求期限使其达到质量合格标准；若乙方无力补充完善，需另委托其他单位时，乙方应承担委托其他单位的全部勘察费用；或因勘察质量造成重大经济损失或工程事故时，乙方除应负法律责任和扣除直接受损失部分的勘察费外，赔偿金为实际损失的100％,且不低于10万元。</w:t>
      </w:r>
    </w:p>
    <w:p w14:paraId="5EBDB777">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5.2.6在工程勘察前，乙方与甲方一起验收甲方提供的资料。</w:t>
      </w:r>
    </w:p>
    <w:p w14:paraId="22898887">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5.2.7勘察过程中，根据工程的岩土工程条件（或工作现场地形地貌、水文地质条件）及技术规范要求，向甲方提出增减工作量或修改勘察工作的意见，经批准后办理正式变更手续。</w:t>
      </w:r>
    </w:p>
    <w:p w14:paraId="761D6B3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5.2.8完成勘察范围内地下已有埋藏物（如电力、电讯电缆、各种管道、人防设施、洞室等）以及架空线路、水渠以及电力工程电塔的相关资料和具体位置分布图。</w:t>
      </w:r>
    </w:p>
    <w:p w14:paraId="7EB500F1">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5.2.9在现场工作的乙方的人员应遵守甲方的安全保卫及其有关的规章制度，承担有关资料保密义务。</w:t>
      </w:r>
    </w:p>
    <w:p w14:paraId="4004C8D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5.2.10勘察费用中已包括临时占用土地、青苗、树木赔偿费、交通工具费用及影响勘察施工正常进行发生的其他一切费用，甲方无需再支付费用。</w:t>
      </w:r>
    </w:p>
    <w:p w14:paraId="16451619">
      <w:pPr>
        <w:pStyle w:val="16"/>
        <w:spacing w:line="360" w:lineRule="auto"/>
        <w:ind w:firstLine="420"/>
        <w:jc w:val="both"/>
        <w:rPr>
          <w:rFonts w:ascii="宋体" w:hAnsi="宋体" w:eastAsia="宋体" w:cs="宋体"/>
          <w:color w:val="auto"/>
          <w:sz w:val="24"/>
          <w:highlight w:val="none"/>
        </w:rPr>
      </w:pPr>
      <w:r>
        <w:rPr>
          <w:rFonts w:hint="eastAsia" w:ascii="宋体" w:hAnsi="宋体" w:eastAsia="宋体" w:cs="宋体"/>
          <w:color w:val="auto"/>
          <w:sz w:val="24"/>
          <w:highlight w:val="none"/>
        </w:rPr>
        <w:t>5.2.11在工程实施过程中，若遇特殊情况需要补充勘察的，乙方应根据设计要求进行补充勘察，计费标准按本合同约定，但设备进退场费不予计算。</w:t>
      </w:r>
    </w:p>
    <w:p w14:paraId="45FB8D5A">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5.2.12工程勘察和主体工程施工过程中，根据需要参加现场协调会、专家论证会、单项或分项验收，乙方应派项目主要负责人按时参加，并提出专业技术意见。</w:t>
      </w:r>
    </w:p>
    <w:p w14:paraId="4C25C24A">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5.2.13本合同有关条款规定乙方应负的责任。</w:t>
      </w:r>
    </w:p>
    <w:p w14:paraId="0203A18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5.2.14乙方自行负责相关人员的安全保障工作，并承担全部责任。如乙方及乙方人员造成甲方或其他第三方人身财产损失的，乙方承担全部责任，与甲方无关。</w:t>
      </w:r>
    </w:p>
    <w:p w14:paraId="1F59294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5.2.15乙方应具备相应勘察资质，不得擅自转包或分包勘察任务。乙方勘察人员必须与本合同附件3.1本项目人员架构表一致，更换人员或人员不到位，未经乙方批准的，按每人</w:t>
      </w:r>
      <w:r>
        <w:rPr>
          <w:rFonts w:hint="eastAsia" w:ascii="宋体" w:hAnsi="宋体" w:eastAsia="宋体" w:cs="宋体"/>
          <w:color w:val="auto"/>
          <w:sz w:val="24"/>
          <w:highlight w:val="none"/>
          <w:u w:val="single"/>
        </w:rPr>
        <w:t>2万元</w:t>
      </w:r>
      <w:r>
        <w:rPr>
          <w:rFonts w:hint="eastAsia" w:ascii="宋体" w:hAnsi="宋体" w:eastAsia="宋体" w:cs="宋体"/>
          <w:color w:val="auto"/>
          <w:sz w:val="24"/>
          <w:highlight w:val="none"/>
        </w:rPr>
        <w:t>由甲方收取违约金，在请款中直接扣除。甲方认为乙方不称职的人员，在甲方通知的次日无条件更换。</w:t>
      </w:r>
    </w:p>
    <w:p w14:paraId="11575C7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5.2.16乙方自行负责勘察工具及相关施工用料，费用由乙方承担。</w:t>
      </w:r>
    </w:p>
    <w:p w14:paraId="6B74C64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5.2.17乙方应根据《关于加强地铁控制保护区内工程勘探及地下工程管理的通知》(穗建技〔2012〕1433号)规定，在开展勘察工作前到市地铁设施保护办公室办理相关手续。　</w:t>
      </w:r>
    </w:p>
    <w:p w14:paraId="6B7E829D">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第六条  违约责任</w:t>
      </w:r>
    </w:p>
    <w:p w14:paraId="1F089BE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6.1由于甲方的原因造成停、窝工，甲方应将工期按实际受影响的时间顺延。</w:t>
      </w:r>
    </w:p>
    <w:p w14:paraId="0A4D70C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6.2由于乙方原因造成勘察成果资料质量不合格或该勘察成果不能满足技术要求及现场施工要求的，其返工勘察费用及连带责任由乙方承担。</w:t>
      </w:r>
    </w:p>
    <w:p w14:paraId="60FA938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6.3乙方未按时按质提供勘察成果资料的，每延误一天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甲方有权按暂定</w:t>
      </w:r>
      <w:r>
        <w:rPr>
          <w:rFonts w:hint="eastAsia" w:ascii="宋体" w:hAnsi="宋体" w:eastAsia="宋体" w:cs="宋体"/>
          <w:color w:val="auto"/>
          <w:sz w:val="24"/>
          <w:highlight w:val="none"/>
        </w:rPr>
        <w:t>勘察合同价格的</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收取逾期违约金，</w:t>
      </w:r>
      <w:r>
        <w:rPr>
          <w:rFonts w:hint="eastAsia" w:ascii="宋体" w:hAnsi="宋体" w:eastAsia="宋体" w:cs="宋体"/>
          <w:color w:val="auto"/>
          <w:sz w:val="24"/>
          <w:highlight w:val="none"/>
        </w:rPr>
        <w:t>甲方有权从应付款项中直接扣减</w:t>
      </w:r>
      <w:r>
        <w:rPr>
          <w:rFonts w:hint="eastAsia" w:ascii="宋体" w:hAnsi="宋体" w:eastAsia="宋体" w:cs="宋体"/>
          <w:color w:val="auto"/>
          <w:sz w:val="24"/>
          <w:highlight w:val="none"/>
          <w:lang w:val="en-US" w:eastAsia="zh-CN"/>
        </w:rPr>
        <w:t>逾期违约金</w:t>
      </w:r>
      <w:r>
        <w:rPr>
          <w:rFonts w:hint="eastAsia" w:ascii="宋体" w:hAnsi="宋体" w:eastAsia="宋体" w:cs="宋体"/>
          <w:color w:val="auto"/>
          <w:sz w:val="24"/>
          <w:highlight w:val="none"/>
        </w:rPr>
        <w:t>，不足部分由乙方另行支付。</w:t>
      </w:r>
    </w:p>
    <w:p w14:paraId="442D6AD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w:t>
      </w:r>
      <w:r>
        <w:rPr>
          <w:rFonts w:hint="eastAsia" w:ascii="宋体" w:hAnsi="宋体" w:eastAsia="宋体" w:cs="宋体"/>
          <w:color w:val="auto"/>
          <w:sz w:val="24"/>
          <w:szCs w:val="24"/>
          <w:highlight w:val="none"/>
        </w:rPr>
        <w:t>本合同履行期间，</w:t>
      </w:r>
      <w:r>
        <w:rPr>
          <w:rFonts w:hint="eastAsia" w:ascii="宋体" w:hAnsi="宋体" w:eastAsia="宋体" w:cs="宋体"/>
          <w:color w:val="auto"/>
          <w:sz w:val="24"/>
          <w:highlight w:val="none"/>
        </w:rPr>
        <w:t>乙方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勘察成果</w:t>
      </w:r>
      <w:r>
        <w:rPr>
          <w:rFonts w:hint="eastAsia" w:ascii="宋体" w:hAnsi="宋体" w:eastAsia="宋体" w:cs="宋体"/>
          <w:color w:val="auto"/>
          <w:sz w:val="24"/>
          <w:szCs w:val="24"/>
          <w:highlight w:val="none"/>
        </w:rPr>
        <w:t>质量不符合合同约定或</w:t>
      </w:r>
      <w:r>
        <w:rPr>
          <w:rFonts w:hint="eastAsia" w:ascii="宋体" w:hAnsi="宋体" w:eastAsia="宋体" w:cs="宋体"/>
          <w:color w:val="auto"/>
          <w:sz w:val="24"/>
          <w:szCs w:val="24"/>
          <w:highlight w:val="none"/>
          <w:lang w:val="en-US" w:eastAsia="zh-CN"/>
        </w:rPr>
        <w:t>勘察</w:t>
      </w:r>
      <w:r>
        <w:rPr>
          <w:rFonts w:hint="eastAsia" w:ascii="宋体" w:hAnsi="宋体" w:eastAsia="宋体" w:cs="宋体"/>
          <w:color w:val="auto"/>
          <w:sz w:val="24"/>
          <w:szCs w:val="24"/>
          <w:highlight w:val="none"/>
        </w:rPr>
        <w:t>成果文件出现遗漏、错误的，</w:t>
      </w:r>
      <w:r>
        <w:rPr>
          <w:rFonts w:hint="eastAsia" w:ascii="宋体" w:hAnsi="宋体" w:eastAsia="宋体" w:cs="宋体"/>
          <w:color w:val="auto"/>
          <w:sz w:val="24"/>
          <w:highlight w:val="none"/>
        </w:rPr>
        <w:t>乙方</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规定的限期内对成果文件及时进行补充、修改、完善；因此造成成果文件逾期交付的，按本条第</w:t>
      </w:r>
      <w:r>
        <w:rPr>
          <w:rFonts w:hint="eastAsia" w:ascii="宋体" w:hAnsi="宋体" w:eastAsia="宋体" w:cs="宋体"/>
          <w:color w:val="auto"/>
          <w:sz w:val="24"/>
          <w:szCs w:val="24"/>
          <w:highlight w:val="none"/>
          <w:lang w:val="en-US" w:eastAsia="zh-CN"/>
        </w:rPr>
        <w:t>6.3</w:t>
      </w:r>
      <w:r>
        <w:rPr>
          <w:rFonts w:hint="eastAsia" w:ascii="宋体" w:hAnsi="宋体" w:eastAsia="宋体" w:cs="宋体"/>
          <w:color w:val="auto"/>
          <w:sz w:val="24"/>
          <w:szCs w:val="24"/>
          <w:highlight w:val="none"/>
        </w:rPr>
        <w:t>款的约定处理。除误期损失外，造成</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材料、设备等其他损失的，</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应继续赔偿。</w:t>
      </w:r>
    </w:p>
    <w:p w14:paraId="30CFCA0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6.5合同履行期间，由于工程停建而终止合同或甲方要求解除合同时，乙方未进行勘察工作的，甲方不支付任何补偿费用。已进行勘察工作的，按实际完成的工作量向乙方支付勘察费。</w:t>
      </w:r>
    </w:p>
    <w:p w14:paraId="5384730F">
      <w:pPr>
        <w:pStyle w:val="6"/>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6.6 本合同签订后，甲方无正当理由不履行合同时，无权要求返还已支付的勘察费用；乙方不履行合同时，须支付</w:t>
      </w:r>
      <w:r>
        <w:rPr>
          <w:rFonts w:hint="eastAsia" w:ascii="宋体" w:hAnsi="宋体" w:eastAsia="宋体" w:cs="宋体"/>
          <w:color w:val="auto"/>
          <w:sz w:val="24"/>
          <w:highlight w:val="none"/>
          <w:lang w:val="en-US" w:eastAsia="zh-CN"/>
        </w:rPr>
        <w:t>暂定</w:t>
      </w:r>
      <w:r>
        <w:rPr>
          <w:rFonts w:hint="eastAsia" w:ascii="宋体" w:hAnsi="宋体" w:eastAsia="宋体" w:cs="宋体"/>
          <w:color w:val="auto"/>
          <w:sz w:val="24"/>
          <w:highlight w:val="none"/>
        </w:rPr>
        <w:t>勘察合同总价20%的违约金给甲方。</w:t>
      </w:r>
    </w:p>
    <w:p w14:paraId="3160A9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提交的设计成果文件如有违反国家相关强制性规定的，经政府有关部门确认，每发生1例，</w:t>
      </w:r>
      <w:r>
        <w:rPr>
          <w:rFonts w:hint="eastAsia" w:ascii="宋体" w:hAnsi="宋体" w:eastAsia="宋体" w:cs="宋体"/>
          <w:color w:val="auto"/>
          <w:sz w:val="24"/>
          <w:highlight w:val="none"/>
        </w:rPr>
        <w:t>须支付</w:t>
      </w:r>
      <w:r>
        <w:rPr>
          <w:rFonts w:hint="eastAsia" w:ascii="宋体" w:hAnsi="宋体" w:eastAsia="宋体" w:cs="宋体"/>
          <w:color w:val="auto"/>
          <w:sz w:val="24"/>
          <w:highlight w:val="none"/>
          <w:lang w:val="en-US" w:eastAsia="zh-CN"/>
        </w:rPr>
        <w:t>暂定</w:t>
      </w:r>
      <w:r>
        <w:rPr>
          <w:rFonts w:hint="eastAsia" w:ascii="宋体" w:hAnsi="宋体" w:eastAsia="宋体" w:cs="宋体"/>
          <w:color w:val="auto"/>
          <w:sz w:val="24"/>
          <w:highlight w:val="none"/>
        </w:rPr>
        <w:t>勘察合同总价</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%的违约金给甲方</w:t>
      </w:r>
      <w:r>
        <w:rPr>
          <w:rFonts w:hint="eastAsia" w:ascii="宋体" w:hAnsi="宋体" w:eastAsia="宋体" w:cs="宋体"/>
          <w:color w:val="auto"/>
          <w:sz w:val="24"/>
          <w:szCs w:val="24"/>
          <w:highlight w:val="none"/>
        </w:rPr>
        <w:t>。</w:t>
      </w:r>
    </w:p>
    <w:p w14:paraId="1085B0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6.8</w:t>
      </w:r>
      <w:r>
        <w:rPr>
          <w:rFonts w:hint="eastAsia" w:ascii="宋体" w:hAnsi="宋体" w:eastAsia="宋体" w:cs="宋体"/>
          <w:color w:val="auto"/>
          <w:sz w:val="24"/>
          <w:szCs w:val="24"/>
          <w:highlight w:val="none"/>
        </w:rPr>
        <w:t>如经过</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、施工图审查单位或</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委托的第三方对设计变更的审核，发现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违反合同约定对设计变更随意进行合并、分拆的，每发生1例，</w:t>
      </w:r>
      <w:r>
        <w:rPr>
          <w:rFonts w:hint="eastAsia" w:ascii="宋体" w:hAnsi="宋体" w:eastAsia="宋体" w:cs="宋体"/>
          <w:color w:val="auto"/>
          <w:sz w:val="24"/>
          <w:highlight w:val="none"/>
        </w:rPr>
        <w:t>须支付</w:t>
      </w:r>
      <w:r>
        <w:rPr>
          <w:rFonts w:hint="eastAsia" w:ascii="宋体" w:hAnsi="宋体" w:eastAsia="宋体" w:cs="宋体"/>
          <w:color w:val="auto"/>
          <w:sz w:val="24"/>
          <w:highlight w:val="none"/>
          <w:lang w:val="en-US" w:eastAsia="zh-CN"/>
        </w:rPr>
        <w:t>暂定</w:t>
      </w:r>
      <w:r>
        <w:rPr>
          <w:rFonts w:hint="eastAsia" w:ascii="宋体" w:hAnsi="宋体" w:eastAsia="宋体" w:cs="宋体"/>
          <w:color w:val="auto"/>
          <w:sz w:val="24"/>
          <w:highlight w:val="none"/>
        </w:rPr>
        <w:t>勘察合同总价</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%的违约金给甲方</w:t>
      </w:r>
      <w:r>
        <w:rPr>
          <w:rFonts w:hint="eastAsia" w:ascii="宋体" w:hAnsi="宋体" w:eastAsia="宋体" w:cs="宋体"/>
          <w:color w:val="auto"/>
          <w:sz w:val="24"/>
          <w:szCs w:val="24"/>
          <w:highlight w:val="none"/>
        </w:rPr>
        <w:t>。</w:t>
      </w:r>
    </w:p>
    <w:p w14:paraId="26FB16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6.9</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勘察</w:t>
      </w:r>
      <w:r>
        <w:rPr>
          <w:rFonts w:hint="eastAsia" w:ascii="宋体" w:hAnsi="宋体" w:eastAsia="宋体" w:cs="宋体"/>
          <w:color w:val="auto"/>
          <w:sz w:val="24"/>
          <w:szCs w:val="24"/>
          <w:highlight w:val="none"/>
        </w:rPr>
        <w:t>成果文件中含有明显倾向于某一专门厂商生产的设备、材料的描述，或在其成果文件中选用了具有专一性、排他性的材料、设备而又未事先向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书面报告并详细说明理由的，每违反一次，</w:t>
      </w: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val="en-US" w:eastAsia="zh-CN"/>
        </w:rPr>
        <w:t>暂定</w:t>
      </w:r>
      <w:r>
        <w:rPr>
          <w:rFonts w:hint="eastAsia" w:ascii="宋体" w:hAnsi="宋体" w:eastAsia="宋体" w:cs="宋体"/>
          <w:color w:val="auto"/>
          <w:sz w:val="24"/>
          <w:highlight w:val="none"/>
        </w:rPr>
        <w:t>勘察合同总价</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%的违约金给甲方</w:t>
      </w:r>
      <w:r>
        <w:rPr>
          <w:rFonts w:hint="eastAsia" w:ascii="宋体" w:hAnsi="宋体" w:eastAsia="宋体" w:cs="宋体"/>
          <w:color w:val="auto"/>
          <w:sz w:val="24"/>
          <w:szCs w:val="24"/>
          <w:highlight w:val="none"/>
        </w:rPr>
        <w:t>。</w:t>
      </w:r>
    </w:p>
    <w:p w14:paraId="6BE99D1C">
      <w:pPr>
        <w:spacing w:line="360" w:lineRule="auto"/>
        <w:ind w:firstLine="480" w:firstLineChars="200"/>
        <w:rPr>
          <w:rFonts w:hint="eastAsia" w:ascii="宋体" w:hAnsi="宋体" w:eastAsia="宋体" w:cs="宋体"/>
          <w:color w:val="auto"/>
          <w:sz w:val="24"/>
          <w:szCs w:val="24"/>
          <w:highlight w:val="none"/>
        </w:rPr>
      </w:pPr>
      <w:bookmarkStart w:id="13" w:name="_Hlk48574668"/>
      <w:r>
        <w:rPr>
          <w:rFonts w:hint="eastAsia" w:ascii="宋体" w:hAnsi="宋体" w:eastAsia="宋体" w:cs="宋体"/>
          <w:color w:val="auto"/>
          <w:sz w:val="24"/>
          <w:szCs w:val="24"/>
          <w:highlight w:val="none"/>
          <w:lang w:val="en-US" w:eastAsia="zh-CN"/>
        </w:rPr>
        <w:t>6.10</w:t>
      </w:r>
      <w:r>
        <w:rPr>
          <w:rFonts w:hint="eastAsia" w:ascii="宋体" w:hAnsi="宋体" w:eastAsia="宋体" w:cs="宋体"/>
          <w:color w:val="auto"/>
          <w:sz w:val="24"/>
          <w:szCs w:val="24"/>
          <w:highlight w:val="none"/>
        </w:rPr>
        <w:t>如果由于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原因造成</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在测量、测绘及后续工作中产生损失，则</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对此承担全部责任及连带责任，如需复测等相关费用及连带责任损失均由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承担赔偿。</w:t>
      </w:r>
      <w:bookmarkEnd w:id="13"/>
    </w:p>
    <w:p w14:paraId="38582069">
      <w:pPr>
        <w:tabs>
          <w:tab w:val="left" w:pos="1947"/>
          <w:tab w:val="left" w:pos="4318"/>
          <w:tab w:val="left" w:pos="6042"/>
        </w:tabs>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第七条</w:t>
      </w:r>
      <w:r>
        <w:rPr>
          <w:rFonts w:hint="eastAsia" w:ascii="宋体" w:hAnsi="宋体" w:eastAsia="宋体" w:cs="宋体"/>
          <w:b w:val="0"/>
          <w:bCs w:val="0"/>
          <w:color w:val="auto"/>
          <w:sz w:val="24"/>
          <w:highlight w:val="none"/>
        </w:rPr>
        <w:t>、争议的解决</w:t>
      </w:r>
      <w:r>
        <w:rPr>
          <w:rFonts w:hint="default" w:ascii="宋体" w:hAnsi="宋体" w:eastAsia="宋体" w:cs="宋体"/>
          <w:b w:val="0"/>
          <w:bCs w:val="0"/>
          <w:color w:val="auto"/>
          <w:sz w:val="24"/>
          <w:highlight w:val="none"/>
          <w:lang w:val="en-US"/>
        </w:rPr>
        <w:t>和其他约定</w:t>
      </w:r>
    </w:p>
    <w:p w14:paraId="03AB12A1">
      <w:pPr>
        <w:tabs>
          <w:tab w:val="left" w:pos="1947"/>
          <w:tab w:val="left" w:pos="4318"/>
          <w:tab w:val="left" w:pos="6042"/>
        </w:tabs>
        <w:spacing w:line="360" w:lineRule="auto"/>
        <w:ind w:firstLine="480" w:firstLineChars="200"/>
        <w:rPr>
          <w:rFonts w:hint="default" w:ascii="宋体" w:hAnsi="宋体" w:eastAsia="宋体" w:cs="宋体"/>
          <w:color w:val="auto"/>
          <w:sz w:val="24"/>
          <w:highlight w:val="none"/>
          <w:lang w:val="en-US"/>
        </w:rPr>
      </w:pPr>
      <w:r>
        <w:rPr>
          <w:rFonts w:hint="default" w:ascii="宋体" w:hAnsi="宋体" w:eastAsia="宋体" w:cs="宋体"/>
          <w:color w:val="auto"/>
          <w:sz w:val="24"/>
          <w:highlight w:val="none"/>
          <w:lang w:val="en-US"/>
        </w:rPr>
        <w:t>1 、</w:t>
      </w:r>
      <w:r>
        <w:rPr>
          <w:rFonts w:hint="eastAsia" w:ascii="宋体" w:hAnsi="宋体" w:eastAsia="宋体" w:cs="宋体"/>
          <w:color w:val="auto"/>
          <w:sz w:val="24"/>
          <w:highlight w:val="none"/>
        </w:rPr>
        <w:t>合同执行过程中双方如有争议，应友好协商解决，协商不成，</w:t>
      </w:r>
      <w:r>
        <w:rPr>
          <w:rFonts w:hint="default" w:ascii="宋体" w:hAnsi="宋体" w:eastAsia="宋体" w:cs="宋体"/>
          <w:color w:val="auto"/>
          <w:sz w:val="24"/>
          <w:highlight w:val="none"/>
          <w:lang w:val="en-US"/>
        </w:rPr>
        <w:t>应向广州市番禺区人民法院提起诉讼解决。</w:t>
      </w:r>
    </w:p>
    <w:p w14:paraId="176A1BBE">
      <w:pPr>
        <w:tabs>
          <w:tab w:val="left" w:pos="1947"/>
          <w:tab w:val="left" w:pos="4318"/>
          <w:tab w:val="left" w:pos="6042"/>
        </w:tabs>
        <w:spacing w:line="360" w:lineRule="auto"/>
        <w:ind w:firstLine="480" w:firstLineChars="200"/>
        <w:rPr>
          <w:rFonts w:hint="eastAsia" w:ascii="宋体" w:hAnsi="宋体" w:eastAsia="宋体" w:cs="宋体"/>
          <w:color w:val="auto"/>
          <w:sz w:val="24"/>
          <w:highlight w:val="none"/>
        </w:rPr>
      </w:pPr>
      <w:r>
        <w:rPr>
          <w:rFonts w:hint="default" w:ascii="宋体" w:hAnsi="宋体" w:eastAsia="宋体" w:cs="宋体"/>
          <w:color w:val="auto"/>
          <w:sz w:val="24"/>
          <w:highlight w:val="none"/>
          <w:lang w:val="en-US"/>
        </w:rPr>
        <w:t xml:space="preserve">2、本勘察部分合同自项目缺陷通知期届满且期间未出现任何缺陷时终止。 </w:t>
      </w:r>
    </w:p>
    <w:p w14:paraId="2A3713EB">
      <w:pPr>
        <w:keepNext w:val="0"/>
        <w:keepLines w:val="0"/>
        <w:spacing w:before="0" w:after="0" w:line="360" w:lineRule="auto"/>
        <w:ind w:firstLine="420" w:firstLineChars="200"/>
        <w:outlineLvl w:val="9"/>
        <w:rPr>
          <w:color w:val="auto"/>
          <w:highlight w:val="none"/>
        </w:rPr>
      </w:pPr>
    </w:p>
    <w:p w14:paraId="40533512">
      <w:pPr>
        <w:keepNext w:val="0"/>
        <w:keepLines w:val="0"/>
        <w:spacing w:before="242" w:beforeLines="84" w:after="288" w:afterLines="100"/>
        <w:jc w:val="center"/>
        <w:outlineLvl w:val="9"/>
        <w:rPr>
          <w:rFonts w:hint="eastAsia" w:ascii="宋体" w:hAnsi="宋体" w:eastAsia="宋体" w:cs="宋体"/>
          <w:b/>
          <w:bCs w:val="0"/>
          <w:color w:val="auto"/>
          <w:highlight w:val="none"/>
        </w:rPr>
      </w:pPr>
      <w:r>
        <w:rPr>
          <w:rFonts w:hint="eastAsia" w:ascii="宋体" w:hAnsi="宋体" w:eastAsia="宋体" w:cs="宋体"/>
          <w:b/>
          <w:bCs w:val="0"/>
          <w:color w:val="auto"/>
          <w:highlight w:val="none"/>
        </w:rPr>
        <w:br w:type="page"/>
      </w:r>
    </w:p>
    <w:p w14:paraId="5628DAEB">
      <w:pPr>
        <w:pStyle w:val="83"/>
        <w:spacing w:before="242" w:beforeLines="84" w:after="288" w:afterLines="100"/>
        <w:jc w:val="center"/>
        <w:rPr>
          <w:rFonts w:ascii="宋体" w:hAnsi="宋体" w:eastAsia="宋体" w:cs="宋体"/>
          <w:b/>
          <w:bCs w:val="0"/>
          <w:color w:val="auto"/>
          <w:highlight w:val="none"/>
        </w:rPr>
      </w:pPr>
      <w:bookmarkStart w:id="14" w:name="_Toc20822"/>
      <w:r>
        <w:rPr>
          <w:rFonts w:hint="eastAsia" w:ascii="宋体" w:hAnsi="宋体" w:eastAsia="宋体" w:cs="宋体"/>
          <w:b/>
          <w:bCs w:val="0"/>
          <w:color w:val="auto"/>
          <w:highlight w:val="none"/>
        </w:rPr>
        <w:t>第三篇</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t>工程设计合同条款</w:t>
      </w:r>
      <w:bookmarkEnd w:id="14"/>
    </w:p>
    <w:p w14:paraId="2CB926BA">
      <w:pPr>
        <w:spacing w:line="360" w:lineRule="auto"/>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第一条　签订依据</w:t>
      </w:r>
    </w:p>
    <w:p w14:paraId="1E3D2F4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 《中华人民共和国民法典》、《中华人民共和国建筑法》、《建设工程勘察设计管理条例》、《建设工程质量管理条例》和《工程勘察设计收费标准（2002年修订本）》。</w:t>
      </w:r>
    </w:p>
    <w:p w14:paraId="6A2E03C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 国家及地方有关建设工程勘察设计管理法规和规章。</w:t>
      </w:r>
    </w:p>
    <w:p w14:paraId="1273D5A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 建设工程批准文件。</w:t>
      </w:r>
    </w:p>
    <w:p w14:paraId="17C783EC">
      <w:pPr>
        <w:spacing w:line="360" w:lineRule="auto"/>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第二条　设计依据</w:t>
      </w:r>
    </w:p>
    <w:p w14:paraId="2D14F30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 甲方给乙方的委托书或设计中标文件。</w:t>
      </w:r>
    </w:p>
    <w:p w14:paraId="7E8FD58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 甲方提交的基础资料及工程技术要求。</w:t>
      </w:r>
    </w:p>
    <w:p w14:paraId="34551A5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2.3 国家现行的有关技术规范及标准要求。</w:t>
      </w:r>
    </w:p>
    <w:p w14:paraId="2D9B8AC8">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第三条</w:t>
      </w: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合同文件的优先次序</w:t>
      </w:r>
    </w:p>
    <w:p w14:paraId="6DBBBB5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u w:val="single"/>
        </w:rPr>
        <w:t>详见第一篇合同协议书</w:t>
      </w:r>
      <w:r>
        <w:rPr>
          <w:rFonts w:hint="eastAsia" w:ascii="宋体" w:hAnsi="宋体" w:eastAsia="宋体" w:cs="宋体"/>
          <w:color w:val="auto"/>
          <w:sz w:val="24"/>
          <w:highlight w:val="none"/>
        </w:rPr>
        <w:t>。</w:t>
      </w:r>
    </w:p>
    <w:p w14:paraId="59E6ACEF">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bCs/>
          <w:color w:val="auto"/>
          <w:sz w:val="24"/>
          <w:highlight w:val="none"/>
        </w:rPr>
        <w:t>第四条</w:t>
      </w: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项目概况、设计工作范围及设计内容</w:t>
      </w:r>
    </w:p>
    <w:p w14:paraId="0E1F34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包括但不限于</w:t>
      </w:r>
      <w:r>
        <w:rPr>
          <w:rFonts w:hint="eastAsia" w:ascii="宋体" w:hAnsi="宋体" w:eastAsia="宋体" w:cs="宋体"/>
          <w:b/>
          <w:color w:val="auto"/>
          <w:sz w:val="24"/>
          <w:highlight w:val="none"/>
          <w:u w:val="single"/>
        </w:rPr>
        <w:t>附件十 勘察设计任务书</w:t>
      </w:r>
      <w:r>
        <w:rPr>
          <w:rFonts w:hint="eastAsia" w:ascii="宋体" w:hAnsi="宋体" w:eastAsia="宋体" w:cs="宋体"/>
          <w:color w:val="auto"/>
          <w:sz w:val="24"/>
          <w:highlight w:val="none"/>
        </w:rPr>
        <w:t>要求设计工作范围和内容。</w:t>
      </w:r>
    </w:p>
    <w:p w14:paraId="1905838C">
      <w:pPr>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 xml:space="preserve">    4.1项目概况：</w:t>
      </w:r>
      <w:r>
        <w:rPr>
          <w:rFonts w:hint="eastAsia" w:ascii="宋体" w:hAnsi="宋体" w:eastAsia="宋体" w:cs="宋体"/>
          <w:color w:val="auto"/>
          <w:sz w:val="24"/>
          <w:highlight w:val="none"/>
          <w:u w:val="single"/>
        </w:rPr>
        <w:t>详见第一篇合同协议书</w:t>
      </w:r>
      <w:r>
        <w:rPr>
          <w:rFonts w:hint="eastAsia" w:ascii="宋体" w:hAnsi="宋体" w:eastAsia="宋体" w:cs="宋体"/>
          <w:color w:val="auto"/>
          <w:sz w:val="24"/>
          <w:highlight w:val="none"/>
        </w:rPr>
        <w:t>。</w:t>
      </w:r>
    </w:p>
    <w:p w14:paraId="7480979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4.2本项目实行设计总承包，乙方的设计范围包括但不限于：</w:t>
      </w:r>
    </w:p>
    <w:p w14:paraId="4B25E2C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4.2.1负责以下工作并提交相关文件：方案、施工图预算编制（要达到施工图预算深度）、施工图设计、出具设计变更图并附变更清单（如有）等。</w:t>
      </w:r>
    </w:p>
    <w:p w14:paraId="5B33710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4.2.2负责配合甲方开展报建报批并提交相关文件，根据需要，提交包括但不限于以下文件：总平面规划、</w:t>
      </w:r>
      <w:r>
        <w:rPr>
          <w:rFonts w:hint="eastAsia" w:ascii="宋体" w:hAnsi="宋体" w:eastAsia="宋体" w:cs="宋体"/>
          <w:color w:val="auto"/>
          <w:sz w:val="24"/>
          <w:highlight w:val="none"/>
          <w:lang w:eastAsia="zh-CN"/>
        </w:rPr>
        <w:t>室外水电管线</w:t>
      </w:r>
      <w:r>
        <w:rPr>
          <w:rFonts w:hint="eastAsia" w:ascii="宋体" w:hAnsi="宋体" w:eastAsia="宋体" w:cs="宋体"/>
          <w:color w:val="auto"/>
          <w:sz w:val="24"/>
          <w:highlight w:val="none"/>
        </w:rPr>
        <w:t>规划、专业报建、施工图审查及备案（含节能）。</w:t>
      </w:r>
    </w:p>
    <w:p w14:paraId="6D0DD6E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4.2.3负责专业设计，具体按甲方要求。</w:t>
      </w:r>
    </w:p>
    <w:p w14:paraId="3EC9356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4.2.4配合工程各项验收；设计图修改、工程变更设计应办理的手续；需要深化设计的内容应审核并确认。由施工分包方完成深化设计，乙方成员方设计单位最终审核并确认。</w:t>
      </w:r>
    </w:p>
    <w:p w14:paraId="3EC027C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4.2.5负责本项目施工设计方面的配合工作。按</w:t>
      </w:r>
      <w:r>
        <w:rPr>
          <w:rFonts w:hint="eastAsia" w:ascii="宋体" w:hAnsi="宋体" w:eastAsia="宋体" w:cs="宋体"/>
          <w:color w:val="auto"/>
          <w:sz w:val="24"/>
          <w:highlight w:val="none"/>
          <w:lang w:eastAsia="zh-CN"/>
        </w:rPr>
        <w:t>项目需求情况</w:t>
      </w:r>
      <w:r>
        <w:rPr>
          <w:rFonts w:hint="eastAsia" w:ascii="宋体" w:hAnsi="宋体" w:eastAsia="宋体" w:cs="宋体"/>
          <w:color w:val="auto"/>
          <w:sz w:val="24"/>
          <w:highlight w:val="none"/>
        </w:rPr>
        <w:t>提供现场服务，现场工作的劳务、管理、住宿、临时办公、材料、保险、利润、税金、政策性文件规定及合同包含内的所有风险、责任等各项费用，不论其在招标文件中是否提及均由乙方自行承担。</w:t>
      </w:r>
    </w:p>
    <w:p w14:paraId="1B368D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4.2.6设计至竣工验收期间所发生的甲方要求的本工程的设计图纸、资料加晒等费用。</w:t>
      </w:r>
    </w:p>
    <w:p w14:paraId="0ADA6A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本项目设计阶段划分如下：</w:t>
      </w:r>
      <w:r>
        <w:rPr>
          <w:rFonts w:hint="eastAsia" w:ascii="宋体" w:hAnsi="宋体" w:eastAsia="宋体" w:cs="宋体"/>
          <w:color w:val="auto"/>
          <w:sz w:val="24"/>
          <w:highlight w:val="none"/>
          <w:lang w:eastAsia="zh-CN"/>
        </w:rPr>
        <w:t>方案设计</w:t>
      </w:r>
      <w:r>
        <w:rPr>
          <w:rFonts w:hint="eastAsia" w:ascii="宋体" w:hAnsi="宋体" w:eastAsia="宋体" w:cs="宋体"/>
          <w:color w:val="auto"/>
          <w:sz w:val="24"/>
          <w:highlight w:val="none"/>
        </w:rPr>
        <w:t>、施工图设计、</w:t>
      </w:r>
      <w:r>
        <w:rPr>
          <w:rFonts w:hint="eastAsia" w:ascii="宋体" w:hAnsi="宋体" w:eastAsia="宋体" w:cs="宋体"/>
          <w:color w:val="auto"/>
          <w:sz w:val="24"/>
          <w:highlight w:val="none"/>
          <w:lang w:eastAsia="zh-CN"/>
        </w:rPr>
        <w:t>施工图预算编制、</w:t>
      </w:r>
      <w:r>
        <w:rPr>
          <w:rFonts w:hint="eastAsia" w:ascii="宋体" w:hAnsi="宋体" w:eastAsia="宋体" w:cs="宋体"/>
          <w:color w:val="auto"/>
          <w:sz w:val="24"/>
          <w:highlight w:val="none"/>
        </w:rPr>
        <w:t>施工现场服务、竣工验收配合（包括规划验收）等。</w:t>
      </w:r>
    </w:p>
    <w:p w14:paraId="50B5CB73">
      <w:pPr>
        <w:spacing w:line="360" w:lineRule="auto"/>
        <w:ind w:firstLine="359" w:firstLineChars="149"/>
        <w:rPr>
          <w:rFonts w:ascii="宋体" w:hAnsi="宋体" w:eastAsia="宋体" w:cs="宋体"/>
          <w:b/>
          <w:bCs/>
          <w:color w:val="auto"/>
          <w:sz w:val="24"/>
          <w:highlight w:val="none"/>
        </w:rPr>
      </w:pPr>
      <w:r>
        <w:rPr>
          <w:rFonts w:hint="eastAsia" w:ascii="宋体" w:hAnsi="宋体" w:eastAsia="宋体" w:cs="宋体"/>
          <w:b/>
          <w:bCs/>
          <w:color w:val="auto"/>
          <w:sz w:val="24"/>
          <w:highlight w:val="none"/>
        </w:rPr>
        <w:t>第五条  甲方向乙方提交的有关资料、文件及时间　</w:t>
      </w:r>
    </w:p>
    <w:tbl>
      <w:tblPr>
        <w:tblStyle w:val="45"/>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3686"/>
        <w:gridCol w:w="850"/>
        <w:gridCol w:w="1348"/>
        <w:gridCol w:w="2138"/>
      </w:tblGrid>
      <w:tr w14:paraId="0BC3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blHeader/>
          <w:jc w:val="center"/>
        </w:trPr>
        <w:tc>
          <w:tcPr>
            <w:tcW w:w="844" w:type="dxa"/>
            <w:vAlign w:val="center"/>
          </w:tcPr>
          <w:p w14:paraId="3351C1E8">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686" w:type="dxa"/>
            <w:vAlign w:val="center"/>
          </w:tcPr>
          <w:p w14:paraId="261F16DF">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资料及文件名称</w:t>
            </w:r>
          </w:p>
        </w:tc>
        <w:tc>
          <w:tcPr>
            <w:tcW w:w="850" w:type="dxa"/>
            <w:vAlign w:val="center"/>
          </w:tcPr>
          <w:p w14:paraId="3F480A4C">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份数</w:t>
            </w:r>
          </w:p>
        </w:tc>
        <w:tc>
          <w:tcPr>
            <w:tcW w:w="1348" w:type="dxa"/>
            <w:vAlign w:val="center"/>
          </w:tcPr>
          <w:p w14:paraId="471FCF0D">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内容要求</w:t>
            </w:r>
          </w:p>
        </w:tc>
        <w:tc>
          <w:tcPr>
            <w:tcW w:w="2138" w:type="dxa"/>
            <w:vAlign w:val="center"/>
          </w:tcPr>
          <w:p w14:paraId="114C1F51">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提交时间</w:t>
            </w:r>
          </w:p>
        </w:tc>
      </w:tr>
      <w:tr w14:paraId="1B30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844" w:type="dxa"/>
            <w:vAlign w:val="center"/>
          </w:tcPr>
          <w:p w14:paraId="33BB78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6" w:type="dxa"/>
            <w:vAlign w:val="center"/>
          </w:tcPr>
          <w:p w14:paraId="644CDD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中标通知书或委托书</w:t>
            </w:r>
          </w:p>
        </w:tc>
        <w:tc>
          <w:tcPr>
            <w:tcW w:w="850" w:type="dxa"/>
            <w:vAlign w:val="center"/>
          </w:tcPr>
          <w:p w14:paraId="587484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48" w:type="dxa"/>
            <w:vAlign w:val="center"/>
          </w:tcPr>
          <w:p w14:paraId="5DDBD3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原件</w:t>
            </w:r>
          </w:p>
        </w:tc>
        <w:tc>
          <w:tcPr>
            <w:tcW w:w="2138" w:type="dxa"/>
            <w:vAlign w:val="center"/>
          </w:tcPr>
          <w:p w14:paraId="5A5BAB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合同签订前</w:t>
            </w:r>
          </w:p>
        </w:tc>
      </w:tr>
      <w:tr w14:paraId="71E3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844" w:type="dxa"/>
            <w:vAlign w:val="center"/>
          </w:tcPr>
          <w:p w14:paraId="4CE5F8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686" w:type="dxa"/>
            <w:vAlign w:val="center"/>
          </w:tcPr>
          <w:p w14:paraId="243C0A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1：500实测地形图</w:t>
            </w:r>
          </w:p>
        </w:tc>
        <w:tc>
          <w:tcPr>
            <w:tcW w:w="850" w:type="dxa"/>
            <w:vAlign w:val="center"/>
          </w:tcPr>
          <w:p w14:paraId="3328F9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48" w:type="dxa"/>
            <w:vAlign w:val="center"/>
          </w:tcPr>
          <w:p w14:paraId="0ADA88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CAD版</w:t>
            </w:r>
          </w:p>
        </w:tc>
        <w:tc>
          <w:tcPr>
            <w:tcW w:w="2138" w:type="dxa"/>
            <w:vAlign w:val="center"/>
          </w:tcPr>
          <w:p w14:paraId="1EAC93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合同签订前</w:t>
            </w:r>
          </w:p>
        </w:tc>
      </w:tr>
      <w:tr w14:paraId="2D6C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14:paraId="2EABD7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686" w:type="dxa"/>
            <w:vAlign w:val="center"/>
          </w:tcPr>
          <w:p w14:paraId="439F3E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各阶段有关建设主管部门审批文件</w:t>
            </w:r>
          </w:p>
        </w:tc>
        <w:tc>
          <w:tcPr>
            <w:tcW w:w="850" w:type="dxa"/>
            <w:vAlign w:val="center"/>
          </w:tcPr>
          <w:p w14:paraId="2D76BE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48" w:type="dxa"/>
            <w:vAlign w:val="center"/>
          </w:tcPr>
          <w:p w14:paraId="240DA8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复印件</w:t>
            </w:r>
          </w:p>
        </w:tc>
        <w:tc>
          <w:tcPr>
            <w:tcW w:w="2138" w:type="dxa"/>
            <w:vAlign w:val="center"/>
          </w:tcPr>
          <w:p w14:paraId="4C77F99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文件审批后根据设计需要及时提供</w:t>
            </w:r>
          </w:p>
        </w:tc>
      </w:tr>
      <w:tr w14:paraId="5DE9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14:paraId="53B258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686" w:type="dxa"/>
            <w:vAlign w:val="center"/>
          </w:tcPr>
          <w:p w14:paraId="43E1E39E">
            <w:pPr>
              <w:pStyle w:val="29"/>
              <w:keepNext w:val="0"/>
              <w:keepLines w:val="0"/>
              <w:suppressLineNumbers w:val="0"/>
              <w:spacing w:before="0" w:beforeAutospacing="0" w:after="0" w:afterAutospacing="0" w:line="360" w:lineRule="auto"/>
              <w:ind w:left="0" w:right="0" w:firstLine="48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设计任务书</w:t>
            </w:r>
          </w:p>
        </w:tc>
        <w:tc>
          <w:tcPr>
            <w:tcW w:w="850" w:type="dxa"/>
            <w:vAlign w:val="center"/>
          </w:tcPr>
          <w:p w14:paraId="6DC3034D">
            <w:pPr>
              <w:pStyle w:val="29"/>
              <w:keepNext w:val="0"/>
              <w:keepLines w:val="0"/>
              <w:suppressLineNumbers w:val="0"/>
              <w:spacing w:before="0" w:beforeAutospacing="0" w:after="0" w:afterAutospacing="0" w:line="360" w:lineRule="auto"/>
              <w:ind w:left="0" w:right="0"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48" w:type="dxa"/>
            <w:vAlign w:val="center"/>
          </w:tcPr>
          <w:p w14:paraId="122235D8">
            <w:pPr>
              <w:pStyle w:val="29"/>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原件</w:t>
            </w:r>
          </w:p>
        </w:tc>
        <w:tc>
          <w:tcPr>
            <w:tcW w:w="2138" w:type="dxa"/>
            <w:vAlign w:val="center"/>
          </w:tcPr>
          <w:p w14:paraId="54FCEB3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w:t>
            </w:r>
          </w:p>
        </w:tc>
      </w:tr>
      <w:tr w14:paraId="3B87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14:paraId="06D1BB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686" w:type="dxa"/>
            <w:vAlign w:val="center"/>
          </w:tcPr>
          <w:p w14:paraId="62BE455E">
            <w:pPr>
              <w:pStyle w:val="29"/>
              <w:keepNext w:val="0"/>
              <w:keepLines w:val="0"/>
              <w:suppressLineNumbers w:val="0"/>
              <w:spacing w:before="0" w:beforeAutospacing="0" w:after="0" w:afterAutospacing="0" w:line="360" w:lineRule="auto"/>
              <w:ind w:left="0" w:right="0" w:firstLine="48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用地红线图（CAD）、规划设计条件</w:t>
            </w:r>
          </w:p>
        </w:tc>
        <w:tc>
          <w:tcPr>
            <w:tcW w:w="850" w:type="dxa"/>
            <w:vAlign w:val="center"/>
          </w:tcPr>
          <w:p w14:paraId="2DB0BFAF">
            <w:pPr>
              <w:pStyle w:val="29"/>
              <w:keepNext w:val="0"/>
              <w:keepLines w:val="0"/>
              <w:suppressLineNumbers w:val="0"/>
              <w:spacing w:before="0" w:beforeAutospacing="0" w:after="0" w:afterAutospacing="0" w:line="360" w:lineRule="auto"/>
              <w:ind w:left="0" w:right="0"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48" w:type="dxa"/>
            <w:vAlign w:val="center"/>
          </w:tcPr>
          <w:p w14:paraId="3250C2DC">
            <w:pPr>
              <w:pStyle w:val="29"/>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复印件</w:t>
            </w:r>
          </w:p>
        </w:tc>
        <w:tc>
          <w:tcPr>
            <w:tcW w:w="2138" w:type="dxa"/>
            <w:vAlign w:val="center"/>
          </w:tcPr>
          <w:p w14:paraId="31E4A5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w:t>
            </w:r>
          </w:p>
        </w:tc>
      </w:tr>
      <w:tr w14:paraId="7914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14:paraId="3386869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686" w:type="dxa"/>
            <w:vAlign w:val="center"/>
          </w:tcPr>
          <w:p w14:paraId="06BE8DB1">
            <w:pPr>
              <w:pStyle w:val="29"/>
              <w:keepNext w:val="0"/>
              <w:keepLines w:val="0"/>
              <w:suppressLineNumbers w:val="0"/>
              <w:spacing w:before="0" w:beforeAutospacing="0" w:after="0" w:afterAutospacing="0" w:line="360" w:lineRule="auto"/>
              <w:ind w:left="0" w:right="0" w:firstLine="48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可研报告及批复文件（含可研估算）</w:t>
            </w:r>
          </w:p>
        </w:tc>
        <w:tc>
          <w:tcPr>
            <w:tcW w:w="850" w:type="dxa"/>
            <w:vAlign w:val="center"/>
          </w:tcPr>
          <w:p w14:paraId="0D809121">
            <w:pPr>
              <w:pStyle w:val="29"/>
              <w:keepNext w:val="0"/>
              <w:keepLines w:val="0"/>
              <w:suppressLineNumbers w:val="0"/>
              <w:spacing w:before="0" w:beforeAutospacing="0" w:after="0" w:afterAutospacing="0" w:line="360" w:lineRule="auto"/>
              <w:ind w:left="0" w:right="0"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48" w:type="dxa"/>
            <w:vAlign w:val="center"/>
          </w:tcPr>
          <w:p w14:paraId="20B4656A">
            <w:pPr>
              <w:pStyle w:val="29"/>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原件</w:t>
            </w:r>
          </w:p>
        </w:tc>
        <w:tc>
          <w:tcPr>
            <w:tcW w:w="2138" w:type="dxa"/>
            <w:vAlign w:val="center"/>
          </w:tcPr>
          <w:p w14:paraId="44A6FA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w:t>
            </w:r>
          </w:p>
        </w:tc>
      </w:tr>
      <w:tr w14:paraId="0D75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14:paraId="4D9CAA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686" w:type="dxa"/>
            <w:vAlign w:val="center"/>
          </w:tcPr>
          <w:p w14:paraId="3C8FD486">
            <w:pPr>
              <w:pStyle w:val="29"/>
              <w:keepNext w:val="0"/>
              <w:keepLines w:val="0"/>
              <w:suppressLineNumbers w:val="0"/>
              <w:spacing w:before="0" w:beforeAutospacing="0" w:after="0" w:afterAutospacing="0" w:line="360" w:lineRule="auto"/>
              <w:ind w:left="0" w:right="0" w:firstLine="48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其他资料</w:t>
            </w:r>
          </w:p>
        </w:tc>
        <w:tc>
          <w:tcPr>
            <w:tcW w:w="850" w:type="dxa"/>
            <w:vAlign w:val="center"/>
          </w:tcPr>
          <w:p w14:paraId="6B423E32">
            <w:pPr>
              <w:pStyle w:val="29"/>
              <w:keepNext w:val="0"/>
              <w:keepLines w:val="0"/>
              <w:suppressLineNumbers w:val="0"/>
              <w:spacing w:before="0" w:beforeAutospacing="0" w:after="0" w:afterAutospacing="0" w:line="360" w:lineRule="auto"/>
              <w:ind w:left="0" w:right="0"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48" w:type="dxa"/>
            <w:vAlign w:val="center"/>
          </w:tcPr>
          <w:p w14:paraId="71363F28">
            <w:pPr>
              <w:pStyle w:val="29"/>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原件</w:t>
            </w:r>
          </w:p>
        </w:tc>
        <w:tc>
          <w:tcPr>
            <w:tcW w:w="2138" w:type="dxa"/>
            <w:vAlign w:val="center"/>
          </w:tcPr>
          <w:p w14:paraId="760A1C3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w:t>
            </w:r>
          </w:p>
        </w:tc>
      </w:tr>
    </w:tbl>
    <w:p w14:paraId="279F689A">
      <w:pPr>
        <w:pStyle w:val="24"/>
        <w:spacing w:line="360" w:lineRule="auto"/>
        <w:rPr>
          <w:rFonts w:hAnsi="宋体" w:eastAsia="宋体" w:cs="宋体"/>
          <w:color w:val="auto"/>
          <w:sz w:val="24"/>
          <w:szCs w:val="24"/>
          <w:highlight w:val="none"/>
        </w:rPr>
      </w:pPr>
    </w:p>
    <w:p w14:paraId="7BD8184B">
      <w:pPr>
        <w:spacing w:line="360" w:lineRule="auto"/>
        <w:ind w:firstLine="359" w:firstLineChars="149"/>
        <w:rPr>
          <w:rFonts w:ascii="宋体" w:hAnsi="宋体" w:eastAsia="宋体" w:cs="宋体"/>
          <w:b/>
          <w:bCs/>
          <w:color w:val="auto"/>
          <w:sz w:val="24"/>
          <w:highlight w:val="none"/>
        </w:rPr>
      </w:pPr>
      <w:r>
        <w:rPr>
          <w:rFonts w:hint="eastAsia" w:ascii="宋体" w:hAnsi="宋体" w:eastAsia="宋体" w:cs="宋体"/>
          <w:b/>
          <w:bCs/>
          <w:color w:val="auto"/>
          <w:sz w:val="24"/>
          <w:highlight w:val="none"/>
        </w:rPr>
        <w:t>第六条  设计工期、设计文件提交的约定</w:t>
      </w:r>
    </w:p>
    <w:p w14:paraId="3CEF2961">
      <w:pPr>
        <w:spacing w:line="540" w:lineRule="exact"/>
        <w:ind w:firstLine="480" w:firstLineChars="200"/>
        <w:jc w:val="left"/>
        <w:rPr>
          <w:rFonts w:hAnsi="宋体" w:eastAsia="宋体" w:cs="宋体"/>
          <w:color w:val="auto"/>
          <w:sz w:val="24"/>
          <w:szCs w:val="24"/>
          <w:highlight w:val="none"/>
        </w:rPr>
      </w:pPr>
      <w:r>
        <w:rPr>
          <w:rFonts w:hint="eastAsia" w:hAnsi="宋体" w:eastAsia="宋体" w:cs="宋体"/>
          <w:color w:val="auto"/>
          <w:sz w:val="24"/>
          <w:szCs w:val="24"/>
          <w:highlight w:val="none"/>
        </w:rPr>
        <w:t>6.1</w:t>
      </w:r>
      <w:r>
        <w:rPr>
          <w:rFonts w:hint="eastAsia" w:hAnsi="宋体" w:eastAsia="宋体" w:cs="宋体"/>
          <w:color w:val="auto"/>
          <w:sz w:val="24"/>
          <w:highlight w:val="none"/>
        </w:rPr>
        <w:t>设计工期：</w:t>
      </w:r>
      <w:r>
        <w:rPr>
          <w:rFonts w:hint="eastAsia" w:hAnsi="宋体" w:eastAsia="宋体" w:cs="宋体"/>
          <w:color w:val="auto"/>
          <w:sz w:val="24"/>
          <w:highlight w:val="none"/>
          <w:u w:val="single"/>
          <w:lang w:val="en-US" w:eastAsia="zh-CN"/>
        </w:rPr>
        <w:t>乙方应根据工程需要，按照本条第6.2款中约定的时间节点提交相应设计成果</w:t>
      </w:r>
      <w:r>
        <w:rPr>
          <w:rFonts w:hint="eastAsia" w:hAnsi="宋体" w:eastAsia="宋体" w:cs="宋体"/>
          <w:color w:val="auto"/>
          <w:sz w:val="24"/>
          <w:highlight w:val="none"/>
        </w:rPr>
        <w:t>。</w:t>
      </w:r>
      <w:r>
        <w:rPr>
          <w:rFonts w:hint="eastAsia" w:hAnsi="宋体" w:eastAsia="宋体" w:cs="宋体"/>
          <w:color w:val="auto"/>
          <w:sz w:val="24"/>
          <w:highlight w:val="none"/>
          <w:u w:val="single"/>
        </w:rPr>
        <w:t>各设计阶段启动前3天内</w:t>
      </w:r>
      <w:r>
        <w:rPr>
          <w:rFonts w:hint="eastAsia" w:hAnsi="宋体" w:eastAsia="宋体" w:cs="宋体"/>
          <w:color w:val="auto"/>
          <w:sz w:val="24"/>
          <w:highlight w:val="none"/>
          <w:u w:val="single"/>
          <w:lang w:val="en-US" w:eastAsia="zh-CN"/>
        </w:rPr>
        <w:t>乙方</w:t>
      </w:r>
      <w:r>
        <w:rPr>
          <w:rFonts w:hint="eastAsia" w:hAnsi="宋体" w:eastAsia="宋体" w:cs="宋体"/>
          <w:color w:val="auto"/>
          <w:sz w:val="24"/>
          <w:highlight w:val="none"/>
          <w:u w:val="single"/>
        </w:rPr>
        <w:t>需提交详细设计进度计划，并明确计划内</w:t>
      </w:r>
      <w:r>
        <w:rPr>
          <w:rFonts w:hint="eastAsia" w:hAnsi="宋体" w:eastAsia="宋体" w:cs="宋体"/>
          <w:color w:val="auto"/>
          <w:sz w:val="24"/>
          <w:highlight w:val="none"/>
          <w:u w:val="single"/>
          <w:lang w:val="en-US" w:eastAsia="zh-CN"/>
        </w:rPr>
        <w:t>乙方</w:t>
      </w:r>
      <w:r>
        <w:rPr>
          <w:rFonts w:hint="eastAsia" w:hAnsi="宋体" w:eastAsia="宋体" w:cs="宋体"/>
          <w:color w:val="auto"/>
          <w:sz w:val="24"/>
          <w:highlight w:val="none"/>
          <w:u w:val="single"/>
        </w:rPr>
        <w:t>需</w:t>
      </w:r>
      <w:r>
        <w:rPr>
          <w:rFonts w:hint="eastAsia" w:hAnsi="宋体" w:eastAsia="宋体" w:cs="宋体"/>
          <w:color w:val="auto"/>
          <w:sz w:val="24"/>
          <w:highlight w:val="none"/>
          <w:u w:val="single"/>
          <w:lang w:val="en-US" w:eastAsia="zh-CN"/>
        </w:rPr>
        <w:t>甲方</w:t>
      </w:r>
      <w:r>
        <w:rPr>
          <w:rFonts w:hint="eastAsia" w:hAnsi="宋体" w:eastAsia="宋体" w:cs="宋体"/>
          <w:color w:val="auto"/>
          <w:sz w:val="24"/>
          <w:highlight w:val="none"/>
          <w:u w:val="single"/>
        </w:rPr>
        <w:t>配合确认或提供的内容。</w:t>
      </w:r>
    </w:p>
    <w:p w14:paraId="4D978A86">
      <w:pPr>
        <w:pStyle w:val="24"/>
        <w:spacing w:line="360" w:lineRule="auto"/>
        <w:ind w:firstLine="470" w:firstLineChars="196"/>
        <w:rPr>
          <w:rFonts w:hint="eastAsia" w:hAnsi="宋体" w:eastAsia="宋体" w:cs="宋体"/>
          <w:color w:val="auto"/>
          <w:sz w:val="24"/>
          <w:szCs w:val="24"/>
          <w:highlight w:val="none"/>
        </w:rPr>
      </w:pPr>
      <w:r>
        <w:rPr>
          <w:rFonts w:hint="eastAsia" w:hAnsi="宋体" w:eastAsia="宋体" w:cs="宋体"/>
          <w:color w:val="auto"/>
          <w:sz w:val="24"/>
          <w:szCs w:val="24"/>
          <w:highlight w:val="none"/>
        </w:rPr>
        <w:t>6.2乙方应向甲方交付的设计资料及文件：</w:t>
      </w:r>
    </w:p>
    <w:tbl>
      <w:tblPr>
        <w:tblStyle w:val="4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538"/>
        <w:gridCol w:w="918"/>
        <w:gridCol w:w="2572"/>
        <w:gridCol w:w="3157"/>
      </w:tblGrid>
      <w:tr w14:paraId="368E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33" w:type="dxa"/>
            <w:vAlign w:val="center"/>
          </w:tcPr>
          <w:p w14:paraId="26967949">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538" w:type="dxa"/>
            <w:vAlign w:val="center"/>
          </w:tcPr>
          <w:p w14:paraId="3A93766A">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资料及文件名称</w:t>
            </w:r>
          </w:p>
        </w:tc>
        <w:tc>
          <w:tcPr>
            <w:tcW w:w="918" w:type="dxa"/>
            <w:vAlign w:val="center"/>
          </w:tcPr>
          <w:p w14:paraId="6FD50E33">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份数</w:t>
            </w:r>
          </w:p>
        </w:tc>
        <w:tc>
          <w:tcPr>
            <w:tcW w:w="2572" w:type="dxa"/>
            <w:vAlign w:val="center"/>
          </w:tcPr>
          <w:p w14:paraId="330FBA26">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提交日期</w:t>
            </w:r>
          </w:p>
        </w:tc>
        <w:tc>
          <w:tcPr>
            <w:tcW w:w="3157" w:type="dxa"/>
            <w:vAlign w:val="center"/>
          </w:tcPr>
          <w:p w14:paraId="7A56674F">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有关事宜</w:t>
            </w:r>
          </w:p>
        </w:tc>
      </w:tr>
      <w:tr w14:paraId="4913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3" w:type="dxa"/>
            <w:vAlign w:val="center"/>
          </w:tcPr>
          <w:p w14:paraId="76AFC29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w:t>
            </w:r>
          </w:p>
        </w:tc>
        <w:tc>
          <w:tcPr>
            <w:tcW w:w="2538" w:type="dxa"/>
            <w:vAlign w:val="center"/>
          </w:tcPr>
          <w:p w14:paraId="12FA9DF3">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Cs w:val="21"/>
                <w:highlight w:val="none"/>
              </w:rPr>
            </w:pPr>
            <w:r>
              <w:rPr>
                <w:rFonts w:hint="eastAsia" w:ascii="宋体" w:hAnsi="宋体" w:eastAsia="宋体" w:cs="宋体"/>
                <w:bCs/>
                <w:color w:val="auto"/>
                <w:szCs w:val="21"/>
                <w:highlight w:val="none"/>
              </w:rPr>
              <w:t>方案设计</w:t>
            </w:r>
          </w:p>
        </w:tc>
        <w:tc>
          <w:tcPr>
            <w:tcW w:w="918" w:type="dxa"/>
            <w:vAlign w:val="center"/>
          </w:tcPr>
          <w:p w14:paraId="4B0EAB5A">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套</w:t>
            </w:r>
          </w:p>
        </w:tc>
        <w:tc>
          <w:tcPr>
            <w:tcW w:w="2572" w:type="dxa"/>
            <w:vAlign w:val="center"/>
          </w:tcPr>
          <w:p w14:paraId="2F047623">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中标通知书发出后15</w:t>
            </w:r>
            <w:r>
              <w:rPr>
                <w:rFonts w:hint="eastAsia" w:ascii="宋体" w:hAnsi="宋体" w:eastAsia="宋体" w:cs="宋体"/>
                <w:bCs/>
                <w:color w:val="auto"/>
                <w:szCs w:val="21"/>
                <w:highlight w:val="none"/>
                <w:lang w:val="en-US" w:eastAsia="zh-CN"/>
              </w:rPr>
              <w:t>个</w:t>
            </w:r>
            <w:r>
              <w:rPr>
                <w:rFonts w:hint="eastAsia" w:ascii="宋体" w:hAnsi="宋体" w:eastAsia="宋体" w:cs="宋体"/>
                <w:bCs/>
                <w:color w:val="auto"/>
                <w:szCs w:val="21"/>
                <w:highlight w:val="none"/>
                <w:lang w:eastAsia="zh-CN"/>
              </w:rPr>
              <w:t>日历日</w:t>
            </w:r>
            <w:r>
              <w:rPr>
                <w:rFonts w:hint="eastAsia" w:ascii="宋体" w:hAnsi="宋体" w:eastAsia="宋体" w:cs="宋体"/>
                <w:bCs/>
                <w:color w:val="auto"/>
                <w:szCs w:val="21"/>
                <w:highlight w:val="none"/>
              </w:rPr>
              <w:t>内</w:t>
            </w:r>
          </w:p>
        </w:tc>
        <w:tc>
          <w:tcPr>
            <w:tcW w:w="3157" w:type="dxa"/>
            <w:vAlign w:val="center"/>
          </w:tcPr>
          <w:p w14:paraId="33063740">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按</w:t>
            </w:r>
            <w:r>
              <w:rPr>
                <w:rFonts w:hint="eastAsia" w:ascii="宋体" w:hAnsi="宋体" w:eastAsia="宋体" w:cs="宋体"/>
                <w:bCs/>
                <w:color w:val="auto"/>
                <w:szCs w:val="21"/>
                <w:highlight w:val="none"/>
                <w:lang w:eastAsia="zh-CN"/>
              </w:rPr>
              <w:t>甲方</w:t>
            </w:r>
            <w:r>
              <w:rPr>
                <w:rFonts w:hint="eastAsia" w:ascii="宋体" w:hAnsi="宋体" w:eastAsia="宋体" w:cs="宋体"/>
                <w:bCs/>
                <w:color w:val="auto"/>
                <w:szCs w:val="21"/>
                <w:highlight w:val="none"/>
              </w:rPr>
              <w:t>要求</w:t>
            </w:r>
          </w:p>
        </w:tc>
      </w:tr>
      <w:tr w14:paraId="07A4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3" w:type="dxa"/>
            <w:vAlign w:val="center"/>
          </w:tcPr>
          <w:p w14:paraId="4E75F349">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w:t>
            </w:r>
          </w:p>
        </w:tc>
        <w:tc>
          <w:tcPr>
            <w:tcW w:w="2538" w:type="dxa"/>
            <w:vAlign w:val="center"/>
          </w:tcPr>
          <w:p w14:paraId="7A8784D7">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修建性详细规划编制</w:t>
            </w:r>
          </w:p>
        </w:tc>
        <w:tc>
          <w:tcPr>
            <w:tcW w:w="918" w:type="dxa"/>
            <w:vAlign w:val="center"/>
          </w:tcPr>
          <w:p w14:paraId="3C3EB857">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3套</w:t>
            </w:r>
          </w:p>
        </w:tc>
        <w:tc>
          <w:tcPr>
            <w:tcW w:w="2572" w:type="dxa"/>
            <w:vAlign w:val="center"/>
          </w:tcPr>
          <w:p w14:paraId="5569232C">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甲方</w:t>
            </w:r>
            <w:r>
              <w:rPr>
                <w:rFonts w:hint="eastAsia" w:ascii="宋体" w:hAnsi="宋体" w:eastAsia="宋体" w:cs="宋体"/>
                <w:bCs/>
                <w:color w:val="auto"/>
                <w:szCs w:val="21"/>
                <w:highlight w:val="none"/>
              </w:rPr>
              <w:t>确定方案后</w:t>
            </w:r>
            <w:r>
              <w:rPr>
                <w:rFonts w:hint="eastAsia" w:ascii="宋体" w:hAnsi="宋体" w:eastAsia="宋体" w:cs="宋体"/>
                <w:bCs/>
                <w:color w:val="auto"/>
                <w:szCs w:val="21"/>
                <w:highlight w:val="none"/>
                <w:lang w:val="en-US" w:eastAsia="zh-CN"/>
              </w:rPr>
              <w:t>10个</w:t>
            </w:r>
            <w:r>
              <w:rPr>
                <w:rFonts w:hint="eastAsia" w:ascii="宋体" w:hAnsi="宋体" w:eastAsia="宋体" w:cs="宋体"/>
                <w:bCs/>
                <w:color w:val="auto"/>
                <w:szCs w:val="21"/>
                <w:highlight w:val="none"/>
                <w:lang w:eastAsia="zh-CN"/>
              </w:rPr>
              <w:t>日历日</w:t>
            </w:r>
          </w:p>
        </w:tc>
        <w:tc>
          <w:tcPr>
            <w:tcW w:w="3157" w:type="dxa"/>
            <w:vAlign w:val="center"/>
          </w:tcPr>
          <w:p w14:paraId="4710C028">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按主管部门要求</w:t>
            </w:r>
          </w:p>
        </w:tc>
      </w:tr>
      <w:tr w14:paraId="2B46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3" w:type="dxa"/>
            <w:vAlign w:val="center"/>
          </w:tcPr>
          <w:p w14:paraId="35AD4D7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w:t>
            </w:r>
          </w:p>
        </w:tc>
        <w:tc>
          <w:tcPr>
            <w:tcW w:w="2538" w:type="dxa"/>
            <w:vAlign w:val="center"/>
          </w:tcPr>
          <w:p w14:paraId="117C85FA">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单体报建图设计</w:t>
            </w:r>
          </w:p>
        </w:tc>
        <w:tc>
          <w:tcPr>
            <w:tcW w:w="918" w:type="dxa"/>
            <w:vAlign w:val="center"/>
          </w:tcPr>
          <w:p w14:paraId="503E54D7">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3套</w:t>
            </w:r>
          </w:p>
        </w:tc>
        <w:tc>
          <w:tcPr>
            <w:tcW w:w="2572" w:type="dxa"/>
            <w:vAlign w:val="center"/>
          </w:tcPr>
          <w:p w14:paraId="6BEAFFB5">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甲方确定设计方案</w:t>
            </w:r>
            <w:r>
              <w:rPr>
                <w:rFonts w:hint="eastAsia" w:ascii="宋体" w:hAnsi="宋体" w:eastAsia="宋体" w:cs="宋体"/>
                <w:bCs/>
                <w:color w:val="auto"/>
                <w:szCs w:val="21"/>
                <w:highlight w:val="none"/>
              </w:rPr>
              <w:t>后</w:t>
            </w:r>
            <w:r>
              <w:rPr>
                <w:rFonts w:hint="eastAsia" w:ascii="宋体" w:hAnsi="宋体" w:eastAsia="宋体" w:cs="宋体"/>
                <w:bCs/>
                <w:color w:val="auto"/>
                <w:szCs w:val="21"/>
                <w:highlight w:val="none"/>
                <w:lang w:val="en-US" w:eastAsia="zh-CN"/>
              </w:rPr>
              <w:t>10个</w:t>
            </w:r>
            <w:r>
              <w:rPr>
                <w:rFonts w:hint="eastAsia" w:ascii="宋体" w:hAnsi="宋体" w:eastAsia="宋体" w:cs="宋体"/>
                <w:bCs/>
                <w:color w:val="auto"/>
                <w:szCs w:val="21"/>
                <w:highlight w:val="none"/>
                <w:lang w:eastAsia="zh-CN"/>
              </w:rPr>
              <w:t>日历日</w:t>
            </w:r>
            <w:r>
              <w:rPr>
                <w:rFonts w:hint="eastAsia" w:ascii="宋体" w:hAnsi="宋体" w:eastAsia="宋体" w:cs="宋体"/>
                <w:bCs/>
                <w:color w:val="auto"/>
                <w:szCs w:val="21"/>
                <w:highlight w:val="none"/>
              </w:rPr>
              <w:t>内</w:t>
            </w:r>
          </w:p>
        </w:tc>
        <w:tc>
          <w:tcPr>
            <w:tcW w:w="3157" w:type="dxa"/>
            <w:vAlign w:val="center"/>
          </w:tcPr>
          <w:p w14:paraId="68498F56">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按主管部门要求</w:t>
            </w:r>
          </w:p>
        </w:tc>
      </w:tr>
      <w:tr w14:paraId="1FC0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3" w:type="dxa"/>
            <w:vAlign w:val="center"/>
          </w:tcPr>
          <w:p w14:paraId="4B2B8823">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4</w:t>
            </w:r>
          </w:p>
        </w:tc>
        <w:tc>
          <w:tcPr>
            <w:tcW w:w="2538" w:type="dxa"/>
            <w:vAlign w:val="center"/>
          </w:tcPr>
          <w:p w14:paraId="426E180D">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基坑部分施工图</w:t>
            </w:r>
          </w:p>
        </w:tc>
        <w:tc>
          <w:tcPr>
            <w:tcW w:w="918" w:type="dxa"/>
            <w:vAlign w:val="center"/>
          </w:tcPr>
          <w:p w14:paraId="4B15356A">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8套</w:t>
            </w:r>
          </w:p>
        </w:tc>
        <w:tc>
          <w:tcPr>
            <w:tcW w:w="2572" w:type="dxa"/>
            <w:vAlign w:val="center"/>
          </w:tcPr>
          <w:p w14:paraId="2D1E0291">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单体报建</w:t>
            </w:r>
            <w:r>
              <w:rPr>
                <w:rFonts w:hint="eastAsia" w:ascii="宋体" w:hAnsi="宋体" w:eastAsia="宋体" w:cs="宋体"/>
                <w:bCs/>
                <w:color w:val="auto"/>
                <w:szCs w:val="21"/>
                <w:highlight w:val="none"/>
                <w:lang w:val="en-US" w:eastAsia="zh-CN"/>
              </w:rPr>
              <w:t>取得</w:t>
            </w:r>
            <w:r>
              <w:rPr>
                <w:rFonts w:hint="eastAsia" w:ascii="宋体" w:hAnsi="宋体" w:eastAsia="宋体" w:cs="宋体"/>
                <w:bCs/>
                <w:color w:val="auto"/>
                <w:szCs w:val="21"/>
                <w:highlight w:val="none"/>
              </w:rPr>
              <w:t>批复</w:t>
            </w:r>
            <w:r>
              <w:rPr>
                <w:rFonts w:hint="eastAsia" w:ascii="宋体" w:hAnsi="宋体" w:eastAsia="宋体" w:cs="宋体"/>
                <w:bCs/>
                <w:color w:val="auto"/>
                <w:szCs w:val="21"/>
                <w:highlight w:val="none"/>
                <w:lang w:val="en-US" w:eastAsia="zh-CN"/>
              </w:rPr>
              <w:t>后7个</w:t>
            </w:r>
            <w:r>
              <w:rPr>
                <w:rFonts w:hint="eastAsia" w:ascii="宋体" w:hAnsi="宋体" w:eastAsia="宋体" w:cs="宋体"/>
                <w:bCs/>
                <w:color w:val="auto"/>
                <w:szCs w:val="21"/>
                <w:highlight w:val="none"/>
                <w:lang w:eastAsia="zh-CN"/>
              </w:rPr>
              <w:t>日历日</w:t>
            </w:r>
            <w:r>
              <w:rPr>
                <w:rFonts w:hint="eastAsia" w:ascii="宋体" w:hAnsi="宋体" w:eastAsia="宋体" w:cs="宋体"/>
                <w:bCs/>
                <w:color w:val="auto"/>
                <w:szCs w:val="21"/>
                <w:highlight w:val="none"/>
              </w:rPr>
              <w:t>内</w:t>
            </w:r>
          </w:p>
        </w:tc>
        <w:tc>
          <w:tcPr>
            <w:tcW w:w="3157" w:type="dxa"/>
            <w:vAlign w:val="center"/>
          </w:tcPr>
          <w:p w14:paraId="6E1DC869">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达到施工图深度要求</w:t>
            </w:r>
          </w:p>
        </w:tc>
      </w:tr>
      <w:tr w14:paraId="334F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3" w:type="dxa"/>
            <w:vAlign w:val="center"/>
          </w:tcPr>
          <w:p w14:paraId="3B4EA93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5</w:t>
            </w:r>
          </w:p>
        </w:tc>
        <w:tc>
          <w:tcPr>
            <w:tcW w:w="2538" w:type="dxa"/>
            <w:vAlign w:val="center"/>
          </w:tcPr>
          <w:p w14:paraId="3B641AA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施工图设计文件（含电子版）</w:t>
            </w:r>
          </w:p>
        </w:tc>
        <w:tc>
          <w:tcPr>
            <w:tcW w:w="918" w:type="dxa"/>
            <w:vAlign w:val="center"/>
          </w:tcPr>
          <w:p w14:paraId="7D3CDA98">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8套</w:t>
            </w:r>
          </w:p>
        </w:tc>
        <w:tc>
          <w:tcPr>
            <w:tcW w:w="2572" w:type="dxa"/>
            <w:vAlign w:val="center"/>
          </w:tcPr>
          <w:p w14:paraId="359C137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规划报建通过后40个日历日内提供，后续</w:t>
            </w:r>
            <w:r>
              <w:rPr>
                <w:rFonts w:hint="eastAsia" w:ascii="宋体" w:hAnsi="宋体" w:eastAsia="宋体" w:cs="宋体"/>
                <w:bCs/>
                <w:color w:val="auto"/>
                <w:szCs w:val="21"/>
                <w:highlight w:val="none"/>
              </w:rPr>
              <w:t>根据项目开发时序，按甲方要求分期分批提交</w:t>
            </w:r>
          </w:p>
        </w:tc>
        <w:tc>
          <w:tcPr>
            <w:tcW w:w="3157" w:type="dxa"/>
            <w:vMerge w:val="restart"/>
            <w:vAlign w:val="center"/>
          </w:tcPr>
          <w:p w14:paraId="5DC8EBB3">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Cs w:val="21"/>
                <w:highlight w:val="none"/>
              </w:rPr>
              <w:t>施工图设计文件经审查发现问题后</w:t>
            </w:r>
            <w:r>
              <w:rPr>
                <w:rFonts w:hint="eastAsia" w:ascii="宋体" w:hAnsi="宋体" w:eastAsia="宋体" w:cs="宋体"/>
                <w:bCs/>
                <w:color w:val="auto"/>
                <w:szCs w:val="21"/>
                <w:highlight w:val="none"/>
                <w:u w:val="none"/>
              </w:rPr>
              <w:t>3</w:t>
            </w:r>
            <w:r>
              <w:rPr>
                <w:rFonts w:hint="eastAsia" w:ascii="宋体" w:hAnsi="宋体" w:eastAsia="宋体" w:cs="宋体"/>
                <w:bCs/>
                <w:color w:val="auto"/>
                <w:szCs w:val="21"/>
                <w:highlight w:val="none"/>
              </w:rPr>
              <w:t>日内完成补充、修改。修改率较大的按甲方要求的时间完成。</w:t>
            </w:r>
          </w:p>
          <w:p w14:paraId="2788E873">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r w14:paraId="0E89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33" w:type="dxa"/>
            <w:vAlign w:val="center"/>
          </w:tcPr>
          <w:p w14:paraId="29D5A43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6</w:t>
            </w:r>
          </w:p>
        </w:tc>
        <w:tc>
          <w:tcPr>
            <w:tcW w:w="2538" w:type="dxa"/>
            <w:vAlign w:val="center"/>
          </w:tcPr>
          <w:p w14:paraId="557E803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设计电子文件（包括但不限于非加密且可编辑AutoCAD的版本及不可编辑的PDF版本）</w:t>
            </w:r>
          </w:p>
        </w:tc>
        <w:tc>
          <w:tcPr>
            <w:tcW w:w="918" w:type="dxa"/>
            <w:vAlign w:val="center"/>
          </w:tcPr>
          <w:p w14:paraId="13B53AD5">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2套（U盘）</w:t>
            </w:r>
          </w:p>
        </w:tc>
        <w:tc>
          <w:tcPr>
            <w:tcW w:w="2572" w:type="dxa"/>
            <w:vAlign w:val="center"/>
          </w:tcPr>
          <w:p w14:paraId="1FF1A76A">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随设计文件一起提交</w:t>
            </w:r>
          </w:p>
        </w:tc>
        <w:tc>
          <w:tcPr>
            <w:tcW w:w="3157" w:type="dxa"/>
            <w:vMerge w:val="continue"/>
            <w:vAlign w:val="center"/>
          </w:tcPr>
          <w:p w14:paraId="591CC207">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r w14:paraId="17BF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743B056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c>
          <w:tcPr>
            <w:tcW w:w="9185" w:type="dxa"/>
            <w:gridSpan w:val="4"/>
            <w:vAlign w:val="center"/>
          </w:tcPr>
          <w:p w14:paraId="3D06B12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评审过程中需要的图纸（属乙方工作范围内的）由乙方按需要提供。</w:t>
            </w:r>
          </w:p>
        </w:tc>
      </w:tr>
    </w:tbl>
    <w:p w14:paraId="460C4C67">
      <w:pPr>
        <w:rPr>
          <w:color w:val="auto"/>
          <w:highlight w:val="none"/>
        </w:rPr>
      </w:pPr>
    </w:p>
    <w:p w14:paraId="626AB9CF">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第七条  设计服务费用</w:t>
      </w:r>
    </w:p>
    <w:p w14:paraId="1B0EDF5A">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kern w:val="0"/>
          <w:sz w:val="24"/>
          <w:highlight w:val="none"/>
        </w:rPr>
        <w:t>7.1本项目设计费暂定合同含税价为人民币(大写）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中标下浮率为   %，</w:t>
      </w:r>
      <w:r>
        <w:rPr>
          <w:rFonts w:hint="eastAsia" w:ascii="宋体" w:hAnsi="宋体" w:eastAsia="宋体" w:cs="宋体"/>
          <w:color w:val="auto"/>
          <w:kern w:val="0"/>
          <w:sz w:val="24"/>
          <w:highlight w:val="none"/>
        </w:rPr>
        <w:t>（详见下表）</w:t>
      </w:r>
      <w:r>
        <w:rPr>
          <w:rFonts w:hint="eastAsia" w:ascii="宋体" w:hAnsi="宋体" w:eastAsia="宋体" w:cs="宋体"/>
          <w:color w:val="auto"/>
          <w:kern w:val="0"/>
          <w:highlight w:val="none"/>
        </w:rPr>
        <w:t>。</w:t>
      </w:r>
    </w:p>
    <w:tbl>
      <w:tblPr>
        <w:tblStyle w:val="45"/>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1912"/>
        <w:gridCol w:w="1343"/>
        <w:gridCol w:w="1332"/>
        <w:gridCol w:w="3567"/>
      </w:tblGrid>
      <w:tr w14:paraId="40E3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blHeader/>
          <w:jc w:val="center"/>
        </w:trPr>
        <w:tc>
          <w:tcPr>
            <w:tcW w:w="768" w:type="dxa"/>
            <w:vAlign w:val="center"/>
          </w:tcPr>
          <w:p w14:paraId="424E9CD1">
            <w:pPr>
              <w:pStyle w:val="6"/>
              <w:keepNext w:val="0"/>
              <w:keepLines w:val="0"/>
              <w:suppressLineNumbers w:val="0"/>
              <w:spacing w:before="0" w:beforeAutospacing="0" w:after="0" w:afterAutospacing="0"/>
              <w:ind w:left="0" w:right="0" w:firstLine="0" w:firstLineChars="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912" w:type="dxa"/>
            <w:vAlign w:val="center"/>
          </w:tcPr>
          <w:p w14:paraId="131848ED">
            <w:pPr>
              <w:pStyle w:val="6"/>
              <w:keepNext w:val="0"/>
              <w:keepLines w:val="0"/>
              <w:suppressLineNumbers w:val="0"/>
              <w:spacing w:before="0" w:beforeAutospacing="0" w:after="0" w:afterAutospacing="0"/>
              <w:ind w:left="0" w:right="0" w:firstLine="630" w:firstLineChars="30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内容</w:t>
            </w:r>
          </w:p>
        </w:tc>
        <w:tc>
          <w:tcPr>
            <w:tcW w:w="1343" w:type="dxa"/>
            <w:vAlign w:val="center"/>
          </w:tcPr>
          <w:p w14:paraId="4F229E36">
            <w:pPr>
              <w:pStyle w:val="6"/>
              <w:keepNext w:val="0"/>
              <w:keepLines w:val="0"/>
              <w:suppressLineNumbers w:val="0"/>
              <w:spacing w:before="0" w:beforeAutospacing="0" w:after="0" w:afterAutospacing="0"/>
              <w:ind w:left="0" w:right="0" w:firstLine="0" w:firstLineChars="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暂定计费额（万元）</w:t>
            </w:r>
          </w:p>
        </w:tc>
        <w:tc>
          <w:tcPr>
            <w:tcW w:w="1332" w:type="dxa"/>
            <w:vAlign w:val="center"/>
          </w:tcPr>
          <w:p w14:paraId="4001AC70">
            <w:pPr>
              <w:pStyle w:val="6"/>
              <w:keepNext w:val="0"/>
              <w:keepLines w:val="0"/>
              <w:suppressLineNumbers w:val="0"/>
              <w:spacing w:before="0" w:beforeAutospacing="0" w:after="0" w:afterAutospacing="0"/>
              <w:ind w:left="0" w:right="0" w:firstLine="0" w:firstLineChars="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金额（万元）</w:t>
            </w:r>
          </w:p>
        </w:tc>
        <w:tc>
          <w:tcPr>
            <w:tcW w:w="3567" w:type="dxa"/>
            <w:vAlign w:val="center"/>
          </w:tcPr>
          <w:p w14:paraId="74EB7B33">
            <w:pPr>
              <w:pStyle w:val="6"/>
              <w:keepNext w:val="0"/>
              <w:keepLines w:val="0"/>
              <w:suppressLineNumbers w:val="0"/>
              <w:spacing w:before="0" w:beforeAutospacing="0" w:after="0" w:afterAutospacing="0"/>
              <w:ind w:left="0" w:right="0" w:firstLine="1680" w:firstLineChars="80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51AA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768" w:type="dxa"/>
            <w:vAlign w:val="center"/>
          </w:tcPr>
          <w:p w14:paraId="4F7F548A">
            <w:pPr>
              <w:pStyle w:val="6"/>
              <w:keepNext w:val="0"/>
              <w:keepLines w:val="0"/>
              <w:suppressLineNumbers w:val="0"/>
              <w:spacing w:before="0" w:beforeAutospacing="0" w:after="0" w:afterAutospacing="0"/>
              <w:ind w:left="0" w:right="0" w:firstLine="210" w:firstLineChars="10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912" w:type="dxa"/>
            <w:vAlign w:val="center"/>
          </w:tcPr>
          <w:p w14:paraId="5FA8DB7E">
            <w:pPr>
              <w:pStyle w:val="6"/>
              <w:keepNext w:val="0"/>
              <w:keepLines w:val="0"/>
              <w:suppressLineNumbers w:val="0"/>
              <w:spacing w:before="0" w:beforeAutospacing="0" w:after="0" w:afterAutospacing="0"/>
              <w:ind w:left="0" w:right="0" w:firstLine="0" w:firstLineChars="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工程设计费</w:t>
            </w:r>
          </w:p>
        </w:tc>
        <w:tc>
          <w:tcPr>
            <w:tcW w:w="1343" w:type="dxa"/>
            <w:vAlign w:val="center"/>
          </w:tcPr>
          <w:p w14:paraId="217612C9">
            <w:pPr>
              <w:pStyle w:val="6"/>
              <w:keepNext w:val="0"/>
              <w:keepLines w:val="0"/>
              <w:suppressLineNumbers w:val="0"/>
              <w:spacing w:before="0" w:beforeAutospacing="0" w:after="0" w:afterAutospacing="0"/>
              <w:ind w:left="0" w:right="0" w:firstLine="0" w:firstLineChars="0"/>
              <w:jc w:val="center"/>
              <w:rPr>
                <w:rFonts w:hint="default" w:ascii="宋体" w:hAnsi="宋体" w:eastAsia="宋体" w:cs="宋体"/>
                <w:bCs/>
                <w:color w:val="auto"/>
                <w:szCs w:val="21"/>
                <w:highlight w:val="none"/>
              </w:rPr>
            </w:pPr>
          </w:p>
        </w:tc>
        <w:tc>
          <w:tcPr>
            <w:tcW w:w="1332" w:type="dxa"/>
            <w:vAlign w:val="center"/>
          </w:tcPr>
          <w:p w14:paraId="65F74DB3">
            <w:pPr>
              <w:pStyle w:val="6"/>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3567" w:type="dxa"/>
            <w:vAlign w:val="center"/>
          </w:tcPr>
          <w:p w14:paraId="7850C3E1">
            <w:pPr>
              <w:pStyle w:val="6"/>
              <w:keepNext w:val="0"/>
              <w:keepLines w:val="0"/>
              <w:suppressLineNumbers w:val="0"/>
              <w:spacing w:before="0" w:beforeAutospacing="0" w:after="0" w:afterAutospacing="0"/>
              <w:ind w:left="0" w:right="0" w:firstLine="0" w:firstLineChars="0"/>
              <w:rPr>
                <w:rFonts w:hint="default" w:ascii="宋体" w:hAnsi="宋体" w:eastAsia="宋体" w:cs="宋体"/>
                <w:bCs/>
                <w:color w:val="auto"/>
                <w:szCs w:val="21"/>
                <w:highlight w:val="none"/>
              </w:rPr>
            </w:pPr>
          </w:p>
        </w:tc>
      </w:tr>
      <w:tr w14:paraId="64D1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023" w:type="dxa"/>
            <w:gridSpan w:val="3"/>
            <w:vAlign w:val="center"/>
          </w:tcPr>
          <w:p w14:paraId="106C6AD5">
            <w:pPr>
              <w:pStyle w:val="6"/>
              <w:keepNext w:val="0"/>
              <w:keepLines w:val="0"/>
              <w:suppressLineNumbers w:val="0"/>
              <w:spacing w:before="0" w:beforeAutospacing="0" w:after="0" w:afterAutospacing="0"/>
              <w:ind w:left="0" w:right="0" w:firstLine="843" w:firstLineChars="40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工程设计费合计</w:t>
            </w:r>
          </w:p>
        </w:tc>
        <w:tc>
          <w:tcPr>
            <w:tcW w:w="1332" w:type="dxa"/>
            <w:vAlign w:val="center"/>
          </w:tcPr>
          <w:p w14:paraId="3624DE03">
            <w:pPr>
              <w:pStyle w:val="6"/>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3567" w:type="dxa"/>
            <w:vAlign w:val="center"/>
          </w:tcPr>
          <w:p w14:paraId="51758A49">
            <w:pPr>
              <w:pStyle w:val="6"/>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r>
    </w:tbl>
    <w:p w14:paraId="06910878">
      <w:pPr>
        <w:pStyle w:val="40"/>
        <w:spacing w:before="0" w:beforeAutospacing="0" w:after="0" w:afterAutospacing="0" w:line="360" w:lineRule="auto"/>
        <w:ind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 工程设计费包含税金、方案设计、规划报建设计、施工图设计、施工图预算编制、施工过程技术服务以及配合验收服务等全过程所产生的费用。</w:t>
      </w:r>
    </w:p>
    <w:p w14:paraId="3F75BF36">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7.3设计费结算</w:t>
      </w:r>
    </w:p>
    <w:p w14:paraId="5A4A0B53">
      <w:pPr>
        <w:spacing w:line="360" w:lineRule="auto"/>
        <w:ind w:firstLine="63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工程中标设计费仅作为签约暂定合同价。设计费结算以经甲方最终确定的施工图预算为计费基数，按《工程勘察设计收费标准》（2002年修订本）规定计算的设计收费基价并结合各调整系数（工程复杂程度调整系数为1.0、专业调整系数为1.0、附加调整系数为1.0）再乘以</w:t>
      </w:r>
      <w:r>
        <w:rPr>
          <w:rFonts w:hint="eastAsia" w:ascii="宋体" w:hAnsi="宋体" w:eastAsia="宋体" w:cs="宋体"/>
          <w:color w:val="auto"/>
          <w:kern w:val="2"/>
          <w:sz w:val="24"/>
          <w:szCs w:val="24"/>
          <w:highlight w:val="none"/>
          <w:lang w:val="zh-CN" w:eastAsia="zh-CN" w:bidi="ar-SA"/>
        </w:rPr>
        <w:t>（1-</w:t>
      </w:r>
      <w:r>
        <w:rPr>
          <w:rFonts w:hint="eastAsia" w:ascii="宋体" w:hAnsi="宋体" w:eastAsia="宋体" w:cs="宋体"/>
          <w:color w:val="auto"/>
          <w:kern w:val="2"/>
          <w:sz w:val="24"/>
          <w:szCs w:val="24"/>
          <w:highlight w:val="none"/>
          <w:lang w:val="en-US" w:eastAsia="zh-CN" w:bidi="ar-SA"/>
        </w:rPr>
        <w:t>20%-设计</w:t>
      </w:r>
      <w:r>
        <w:rPr>
          <w:rFonts w:hint="eastAsia" w:ascii="宋体" w:hAnsi="宋体" w:eastAsia="宋体" w:cs="宋体"/>
          <w:color w:val="auto"/>
          <w:kern w:val="2"/>
          <w:sz w:val="24"/>
          <w:szCs w:val="24"/>
          <w:highlight w:val="none"/>
          <w:lang w:val="zh-CN" w:eastAsia="zh-CN" w:bidi="ar-SA"/>
        </w:rPr>
        <w:t>费</w:t>
      </w:r>
      <w:r>
        <w:rPr>
          <w:rFonts w:hint="eastAsia" w:ascii="宋体" w:hAnsi="宋体" w:eastAsia="宋体" w:cs="宋体"/>
          <w:color w:val="auto"/>
          <w:kern w:val="2"/>
          <w:sz w:val="24"/>
          <w:szCs w:val="24"/>
          <w:highlight w:val="none"/>
          <w:lang w:val="en-US" w:eastAsia="zh-CN" w:bidi="ar-SA"/>
        </w:rPr>
        <w:t>中标</w:t>
      </w:r>
      <w:r>
        <w:rPr>
          <w:rFonts w:hint="eastAsia" w:ascii="宋体" w:hAnsi="宋体" w:eastAsia="宋体" w:cs="宋体"/>
          <w:color w:val="auto"/>
          <w:kern w:val="2"/>
          <w:sz w:val="24"/>
          <w:szCs w:val="24"/>
          <w:highlight w:val="none"/>
          <w:lang w:val="zh-CN" w:eastAsia="zh-CN" w:bidi="ar-SA"/>
        </w:rPr>
        <w:t>下浮率）</w:t>
      </w:r>
      <w:r>
        <w:rPr>
          <w:rFonts w:hint="eastAsia" w:ascii="宋体" w:hAnsi="宋体" w:eastAsia="宋体" w:cs="宋体"/>
          <w:color w:val="auto"/>
          <w:kern w:val="2"/>
          <w:sz w:val="24"/>
          <w:szCs w:val="24"/>
          <w:highlight w:val="none"/>
          <w:lang w:val="en-US" w:eastAsia="zh-CN" w:bidi="ar-SA"/>
        </w:rPr>
        <w:t>计算。</w:t>
      </w:r>
    </w:p>
    <w:p w14:paraId="1A787AAD">
      <w:pPr>
        <w:spacing w:line="360" w:lineRule="auto"/>
        <w:ind w:firstLine="63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设计费结算价不得超过设计费中标价，如超过中标价，则按设计费中标价结算，最终结算价以甲方审核意见为准。</w:t>
      </w:r>
    </w:p>
    <w:p w14:paraId="6CB7A286">
      <w:pPr>
        <w:spacing w:line="360" w:lineRule="auto"/>
        <w:ind w:firstLine="63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乙方应根据甲方要求及工程建设需要，安排相关设计人员到甲方指定场所开展设计服务及协调工作，费用包含在设计费中。</w:t>
      </w:r>
    </w:p>
    <w:p w14:paraId="61FFFCFE">
      <w:pPr>
        <w:spacing w:line="360" w:lineRule="auto"/>
        <w:ind w:firstLine="63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第八条　支付方式</w:t>
      </w:r>
    </w:p>
    <w:p w14:paraId="66238303">
      <w:pPr>
        <w:pStyle w:val="4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8.1支付进度</w:t>
      </w:r>
    </w:p>
    <w:p w14:paraId="0CBE887F">
      <w:pPr>
        <w:pStyle w:val="4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8.1.1 合同生效，乙方提交请款手续后</w:t>
      </w:r>
      <w:r>
        <w:rPr>
          <w:rFonts w:hint="eastAsia"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lang w:val="en-US" w:eastAsia="zh-CN"/>
        </w:rPr>
        <w:t>个工作日内，甲方支付设计费暂定合同价15%。</w:t>
      </w:r>
    </w:p>
    <w:p w14:paraId="3E8A8463">
      <w:pPr>
        <w:pStyle w:val="4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8.1.2 方案设计完成并经甲方确认之日起，</w:t>
      </w:r>
      <w:r>
        <w:rPr>
          <w:rFonts w:hint="eastAsia"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lang w:val="en-US" w:eastAsia="zh-CN"/>
        </w:rPr>
        <w:t>个工作日内，甲方累计支付至设计费暂定合同价的30%。</w:t>
      </w:r>
    </w:p>
    <w:p w14:paraId="2A7E4570">
      <w:pPr>
        <w:pStyle w:val="4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8.1.3 规划报建设计完成并经相关政府部门审批通过之日起，</w:t>
      </w:r>
      <w:r>
        <w:rPr>
          <w:rFonts w:hint="eastAsia"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lang w:val="en-US" w:eastAsia="zh-CN"/>
        </w:rPr>
        <w:t>个工作日内，甲方累计支付至设计费暂定合同价的50%。</w:t>
      </w:r>
    </w:p>
    <w:p w14:paraId="1F944E4C">
      <w:pPr>
        <w:pStyle w:val="4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8.1.4 施工图设计文件完成并审查通过之日起，</w:t>
      </w:r>
      <w:r>
        <w:rPr>
          <w:rFonts w:hint="eastAsia"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lang w:val="en-US" w:eastAsia="zh-CN"/>
        </w:rPr>
        <w:t>个工作日内，甲方累计支付至设计费暂定合同价的90%。</w:t>
      </w:r>
    </w:p>
    <w:p w14:paraId="571E9C97">
      <w:pPr>
        <w:pStyle w:val="4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8.1.5土建工程竣工验收合格之日起，</w:t>
      </w:r>
      <w:r>
        <w:rPr>
          <w:rFonts w:hint="eastAsia"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lang w:val="en-US" w:eastAsia="zh-CN"/>
        </w:rPr>
        <w:t>个工作日内，甲方按本合同第7.3条计算所得的最终设计费结算价支付尾款。</w:t>
      </w:r>
    </w:p>
    <w:p w14:paraId="6D685A26">
      <w:pPr>
        <w:pStyle w:val="4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工程缓建或分期建设的，则按实际完成工作量占总工作量的比例计算对应比例的设计费进行分期支付。</w:t>
      </w:r>
    </w:p>
    <w:p w14:paraId="2531B8B3">
      <w:pPr>
        <w:pStyle w:val="40"/>
        <w:spacing w:before="0" w:beforeAutospacing="0" w:after="0" w:afterAutospacing="0"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每次款项支付前，乙方应先提供与待支付金额一致的正规发票给</w:t>
      </w:r>
      <w:r>
        <w:rPr>
          <w:rFonts w:hint="eastAsia"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，否则</w:t>
      </w:r>
      <w:r>
        <w:rPr>
          <w:rFonts w:hint="eastAsia"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有权延期支付。未</w:t>
      </w:r>
      <w:r>
        <w:rPr>
          <w:rFonts w:hint="eastAsia" w:ascii="宋体" w:hAnsi="宋体" w:eastAsia="宋体" w:cs="宋体"/>
          <w:color w:val="auto"/>
          <w:kern w:val="2"/>
          <w:sz w:val="24"/>
          <w:szCs w:val="24"/>
          <w:highlight w:val="none"/>
          <w:lang w:val="en-US" w:eastAsia="zh-CN"/>
        </w:rPr>
        <w:t>因甲方原因</w:t>
      </w:r>
      <w:r>
        <w:rPr>
          <w:rFonts w:hint="eastAsia" w:ascii="宋体" w:hAnsi="宋体" w:eastAsia="宋体" w:cs="宋体"/>
          <w:color w:val="auto"/>
          <w:kern w:val="2"/>
          <w:sz w:val="24"/>
          <w:szCs w:val="24"/>
          <w:highlight w:val="none"/>
        </w:rPr>
        <w:t>导致延期支付的，不视为甲方违约，乙方不得延误设计工作，并不得向甲方索要任何赔偿或追究违约责任。</w:t>
      </w:r>
    </w:p>
    <w:p w14:paraId="3DCFCF7D">
      <w:pPr>
        <w:spacing w:line="360" w:lineRule="auto"/>
        <w:ind w:firstLine="359" w:firstLineChars="149"/>
        <w:rPr>
          <w:rFonts w:ascii="宋体" w:hAnsi="宋体" w:eastAsia="宋体" w:cs="宋体"/>
          <w:b/>
          <w:bCs/>
          <w:color w:val="auto"/>
          <w:sz w:val="24"/>
          <w:highlight w:val="none"/>
        </w:rPr>
      </w:pPr>
      <w:r>
        <w:rPr>
          <w:rFonts w:hint="eastAsia" w:ascii="宋体" w:hAnsi="宋体" w:eastAsia="宋体" w:cs="宋体"/>
          <w:b/>
          <w:bCs/>
          <w:color w:val="auto"/>
          <w:sz w:val="24"/>
          <w:highlight w:val="none"/>
        </w:rPr>
        <w:t>第九条　甲方和乙方责任</w:t>
      </w:r>
    </w:p>
    <w:p w14:paraId="6D537F4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9.1甲方责任：</w:t>
      </w:r>
    </w:p>
    <w:p w14:paraId="6EB875D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9.1.1甲方按本合同第五条规定的内容，在规定的时问内向乙方提交基础资料及文件，并对其完整性、正确性及时限负责，甲方不得要求乙方违反国家有关标准进行设计。</w:t>
      </w:r>
    </w:p>
    <w:p w14:paraId="50FA777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9.1.2非乙方原因，变更委托设计项目、规模、条件，或提交的资料错误，或对所提交资料作较大修改，以致造成乙方设计返工时，双方另行协商签订补充协议、重新明确有关条款外，甲方应按经双方确认的乙方实际所耗工作量向乙方支付返工费。</w:t>
      </w:r>
    </w:p>
    <w:p w14:paraId="62FD780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9.1.3在合同履行期间，甲方要求解除合同，若乙方已开始设计工作的，甲方应在解除本合同之日起十五个工作日内根据乙方已进行的实际工作量向乙方计付设计费。</w:t>
      </w:r>
    </w:p>
    <w:p w14:paraId="6AB143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9.1.4甲方要求乙方比合同规定时间提前交付设计资料及文件时，须征得乙方同意，不得严重背离合理设计周期。</w:t>
      </w:r>
    </w:p>
    <w:p w14:paraId="752970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9.1.5 </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应按本合同第</w:t>
      </w:r>
      <w:r>
        <w:rPr>
          <w:rFonts w:hint="eastAsia" w:ascii="宋体" w:hAnsi="宋体" w:eastAsia="宋体" w:cs="宋体"/>
          <w:color w:val="auto"/>
          <w:sz w:val="24"/>
          <w:highlight w:val="none"/>
          <w:lang w:eastAsia="zh-CN"/>
        </w:rPr>
        <w:t>八</w:t>
      </w:r>
      <w:r>
        <w:rPr>
          <w:rFonts w:hint="eastAsia" w:ascii="宋体" w:hAnsi="宋体" w:eastAsia="宋体" w:cs="宋体"/>
          <w:color w:val="auto"/>
          <w:sz w:val="24"/>
          <w:highlight w:val="none"/>
        </w:rPr>
        <w:t>条规定的金额和时间向</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支付设计费，若</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逾期付款的，从逾期第十五工作日起，每逾期支付一天，应承担支付金额1‰的逾期违约金。逾期超过30日以上时，设计人有权暂停履行下阶段工作，并书面通知发包人。</w:t>
      </w:r>
    </w:p>
    <w:p w14:paraId="2BA26ED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w:t>
      </w:r>
      <w:r>
        <w:rPr>
          <w:rFonts w:hint="eastAsia" w:ascii="宋体" w:hAnsi="宋体" w:eastAsia="宋体" w:cs="宋体"/>
          <w:color w:val="auto"/>
          <w:sz w:val="24"/>
          <w:highlight w:val="none"/>
          <w:lang w:val="en-US" w:eastAsia="zh-CN"/>
        </w:rPr>
        <w:t>6非乙方原因，</w:t>
      </w:r>
      <w:r>
        <w:rPr>
          <w:rFonts w:hint="eastAsia" w:ascii="宋体" w:hAnsi="宋体" w:eastAsia="宋体" w:cs="宋体"/>
          <w:color w:val="auto"/>
          <w:sz w:val="24"/>
          <w:highlight w:val="none"/>
        </w:rPr>
        <w:t>本合同项目停建或缓建超过六个月的，甲方按乙方实际已完成工作量按比例支付对应的设计费。</w:t>
      </w:r>
    </w:p>
    <w:p w14:paraId="7B46B4E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甲方为乙方派</w:t>
      </w:r>
      <w:r>
        <w:rPr>
          <w:rFonts w:hint="eastAsia" w:ascii="宋体" w:hAnsi="宋体" w:eastAsia="宋体" w:cs="宋体"/>
          <w:color w:val="auto"/>
          <w:sz w:val="24"/>
          <w:highlight w:val="none"/>
          <w:lang w:val="en-US" w:eastAsia="zh-CN"/>
        </w:rPr>
        <w:t>出</w:t>
      </w:r>
      <w:r>
        <w:rPr>
          <w:rFonts w:hint="eastAsia" w:ascii="宋体" w:hAnsi="宋体" w:eastAsia="宋体" w:cs="宋体"/>
          <w:color w:val="auto"/>
          <w:sz w:val="24"/>
          <w:highlight w:val="none"/>
        </w:rPr>
        <w:t>场的工作人员提供必要的协助，费用由乙方负责。</w:t>
      </w:r>
    </w:p>
    <w:p w14:paraId="257646B6">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9.1.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按本合同约定向乙方提供因设计工作需要的资料。</w:t>
      </w:r>
    </w:p>
    <w:p w14:paraId="7403DECD">
      <w:pPr>
        <w:pStyle w:val="6"/>
        <w:ind w:firstLine="0" w:firstLineChars="0"/>
        <w:rPr>
          <w:rFonts w:ascii="宋体" w:hAnsi="宋体" w:eastAsia="宋体" w:cs="宋体"/>
          <w:color w:val="auto"/>
          <w:highlight w:val="none"/>
        </w:rPr>
      </w:pPr>
    </w:p>
    <w:p w14:paraId="5438E57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9.2 乙方责任：</w:t>
      </w:r>
    </w:p>
    <w:p w14:paraId="13E97943">
      <w:pPr>
        <w:spacing w:line="360" w:lineRule="auto"/>
        <w:ind w:firstLine="480" w:firstLineChars="200"/>
        <w:outlineLvl w:val="0"/>
        <w:rPr>
          <w:rFonts w:ascii="宋体" w:hAnsi="宋体" w:eastAsia="宋体" w:cs="宋体"/>
          <w:color w:val="auto"/>
          <w:sz w:val="24"/>
          <w:highlight w:val="none"/>
        </w:rPr>
      </w:pPr>
      <w:bookmarkStart w:id="15" w:name="_Toc8426"/>
      <w:r>
        <w:rPr>
          <w:rFonts w:hint="eastAsia" w:ascii="宋体" w:hAnsi="宋体" w:eastAsia="宋体" w:cs="宋体"/>
          <w:color w:val="auto"/>
          <w:sz w:val="24"/>
          <w:highlight w:val="none"/>
        </w:rPr>
        <w:t>9.2.1 乙方应按国家技术规范、标准、甲方设计要求及中标通知书和该项目审查审批部门的批准文件开展设计工作。</w:t>
      </w:r>
      <w:bookmarkEnd w:id="15"/>
    </w:p>
    <w:p w14:paraId="0E47EDA4">
      <w:pPr>
        <w:spacing w:line="360" w:lineRule="auto"/>
        <w:ind w:firstLine="480" w:firstLineChars="200"/>
        <w:outlineLvl w:val="0"/>
        <w:rPr>
          <w:rFonts w:ascii="宋体" w:hAnsi="宋体" w:eastAsia="宋体" w:cs="宋体"/>
          <w:color w:val="auto"/>
          <w:sz w:val="24"/>
          <w:highlight w:val="none"/>
        </w:rPr>
      </w:pPr>
      <w:bookmarkStart w:id="16" w:name="_Toc22274"/>
      <w:r>
        <w:rPr>
          <w:rFonts w:hint="eastAsia" w:ascii="宋体" w:hAnsi="宋体" w:eastAsia="宋体" w:cs="宋体"/>
          <w:color w:val="auto"/>
          <w:sz w:val="24"/>
          <w:highlight w:val="none"/>
        </w:rPr>
        <w:t>9.2.2按本合同第六条规定的内容、时间及份数向甲方交付设计文件，并对其质量负责。</w:t>
      </w:r>
      <w:bookmarkEnd w:id="16"/>
    </w:p>
    <w:p w14:paraId="6D933815">
      <w:pPr>
        <w:spacing w:line="360" w:lineRule="auto"/>
        <w:ind w:firstLine="480" w:firstLineChars="200"/>
        <w:outlineLvl w:val="0"/>
        <w:rPr>
          <w:rFonts w:ascii="宋体" w:hAnsi="宋体" w:eastAsia="宋体" w:cs="宋体"/>
          <w:color w:val="auto"/>
          <w:sz w:val="24"/>
          <w:highlight w:val="none"/>
        </w:rPr>
      </w:pPr>
      <w:bookmarkStart w:id="17" w:name="_Toc19055"/>
      <w:r>
        <w:rPr>
          <w:rFonts w:hint="eastAsia" w:ascii="宋体" w:hAnsi="宋体" w:eastAsia="宋体" w:cs="宋体"/>
          <w:color w:val="auto"/>
          <w:sz w:val="24"/>
          <w:highlight w:val="none"/>
        </w:rPr>
        <w:t>9.2.3设计文件确保满足设计任务书提出的有关要求。否则，乙方应当返工重做，造成设计文件迟延交付的，按本条第9.2.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款处理。</w:t>
      </w:r>
      <w:bookmarkEnd w:id="17"/>
    </w:p>
    <w:p w14:paraId="118E654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设计合理使用年限按国家规定执行。</w:t>
      </w:r>
    </w:p>
    <w:p w14:paraId="21B8E59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乙方应按照约定的时间交付设计文件（包括设计变更文件）。由于乙方原因延期交付设计文件，每延误一天</w:t>
      </w:r>
      <w:r>
        <w:rPr>
          <w:rFonts w:hint="eastAsia" w:ascii="宋体" w:hAnsi="宋体" w:eastAsia="宋体" w:cs="宋体"/>
          <w:color w:val="auto"/>
          <w:sz w:val="24"/>
          <w:highlight w:val="none"/>
          <w:lang w:eastAsia="zh-CN"/>
        </w:rPr>
        <w:t>，应减收该设计资料及设计文件所涉项目所属阶段当期应收设计费金额的</w:t>
      </w:r>
      <w:r>
        <w:rPr>
          <w:rFonts w:hint="eastAsia" w:ascii="宋体" w:hAnsi="宋体" w:eastAsia="宋体" w:cs="宋体"/>
          <w:color w:val="auto"/>
          <w:sz w:val="24"/>
          <w:highlight w:val="none"/>
        </w:rPr>
        <w:t>1‰。</w:t>
      </w:r>
    </w:p>
    <w:p w14:paraId="4A7FD2E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合同生效后，乙方要求终止或解除合同，乙方应双倍返还甲方已支付的款项。</w:t>
      </w:r>
    </w:p>
    <w:p w14:paraId="57E09DD7">
      <w:pPr>
        <w:pStyle w:val="24"/>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9.2.</w:t>
      </w:r>
      <w:r>
        <w:rPr>
          <w:rFonts w:hint="eastAsia" w:hAnsi="宋体" w:eastAsia="宋体" w:cs="宋体"/>
          <w:color w:val="auto"/>
          <w:sz w:val="24"/>
          <w:szCs w:val="24"/>
          <w:highlight w:val="none"/>
          <w:lang w:val="en-US" w:eastAsia="zh-CN"/>
        </w:rPr>
        <w:t>7</w:t>
      </w:r>
      <w:r>
        <w:rPr>
          <w:rFonts w:hint="eastAsia" w:hAnsi="宋体" w:eastAsia="宋体" w:cs="宋体"/>
          <w:color w:val="auto"/>
          <w:sz w:val="24"/>
          <w:szCs w:val="24"/>
          <w:highlight w:val="none"/>
        </w:rPr>
        <w:t>乙方交付合格设计文件后应参加设计审查，并根据审查结论修改。乙方负责施工图设计交底、处理有关设计问题，在施工阶段按甲方通知的时间完成须修改的设计文件，按要求参加工程的检查验收。</w:t>
      </w:r>
    </w:p>
    <w:p w14:paraId="6CE6A46D">
      <w:pPr>
        <w:spacing w:line="360" w:lineRule="auto"/>
        <w:ind w:firstLine="359" w:firstLineChars="149"/>
        <w:rPr>
          <w:rFonts w:ascii="宋体" w:hAnsi="宋体" w:eastAsia="宋体" w:cs="宋体"/>
          <w:b/>
          <w:bCs/>
          <w:color w:val="auto"/>
          <w:sz w:val="24"/>
          <w:highlight w:val="none"/>
        </w:rPr>
      </w:pPr>
      <w:r>
        <w:rPr>
          <w:rFonts w:hint="eastAsia" w:ascii="宋体" w:hAnsi="宋体" w:eastAsia="宋体" w:cs="宋体"/>
          <w:b/>
          <w:bCs/>
          <w:color w:val="auto"/>
          <w:sz w:val="24"/>
          <w:highlight w:val="none"/>
        </w:rPr>
        <w:t>第十条　其它约定事项</w:t>
      </w:r>
    </w:p>
    <w:p w14:paraId="1647F4AC">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10.1 乙方应根据项目需求情况安排相关设计人员到达施工现场进行配合与解决有关问题。</w:t>
      </w:r>
    </w:p>
    <w:p w14:paraId="32F259CA">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10.2 乙方为本合同项目的服务至土建工程竣工验收合格为止。</w:t>
      </w:r>
    </w:p>
    <w:p w14:paraId="417AAE7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10.3甲方委托乙方承担本合同内容以外的工作服务，另行签订协议并支付费用。</w:t>
      </w:r>
    </w:p>
    <w:p w14:paraId="007D19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10.4由于不可抗力因素致使合同无法履行时，双方应及时协商解决。</w:t>
      </w:r>
    </w:p>
    <w:p w14:paraId="4931F2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10.5</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未经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同意突破合同约定的投资控制要求的，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无偿</w:t>
      </w:r>
      <w:r>
        <w:rPr>
          <w:rFonts w:hint="eastAsia" w:ascii="宋体" w:hAnsi="宋体" w:eastAsia="宋体" w:cs="宋体"/>
          <w:color w:val="auto"/>
          <w:sz w:val="24"/>
          <w:szCs w:val="24"/>
          <w:highlight w:val="none"/>
        </w:rPr>
        <w:t>负责修改设计，保证工程总投资控制在合同约定的投资控制要求内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交付设计文件时间不予顺延</w:t>
      </w:r>
      <w:r>
        <w:rPr>
          <w:rFonts w:hint="eastAsia" w:ascii="宋体" w:hAnsi="宋体" w:eastAsia="宋体" w:cs="宋体"/>
          <w:color w:val="auto"/>
          <w:sz w:val="24"/>
          <w:highlight w:val="none"/>
          <w:lang w:eastAsia="zh-CN"/>
        </w:rPr>
        <w:t>。</w:t>
      </w:r>
    </w:p>
    <w:p w14:paraId="2104F6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10.6本合同价已包含施工阶段一般性设计变更、修改、补充的设计费用以及配合甲方进行设计报建等工作的费用。</w:t>
      </w:r>
    </w:p>
    <w:p w14:paraId="1400CCB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本合同设计成果的发表权、展览权、使用权归甲方所有。</w:t>
      </w:r>
    </w:p>
    <w:p w14:paraId="69D865F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各方认可的来往传真、会议纪要等，均为本合同组成部分，与本合同具有同等效力。</w:t>
      </w:r>
    </w:p>
    <w:p w14:paraId="570D6D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9</w:t>
      </w:r>
      <w:r>
        <w:rPr>
          <w:rFonts w:hint="eastAsia" w:ascii="宋体" w:hAnsi="宋体" w:eastAsia="宋体" w:cs="宋体"/>
          <w:color w:val="auto"/>
          <w:kern w:val="0"/>
          <w:sz w:val="24"/>
          <w:highlight w:val="none"/>
        </w:rPr>
        <w:t>乙方提交的设计工作人员分工表，其设计参与人员必须具备设计资质，乙方不得无故更换投标文件内的设计参与人员，若要更换必须取得经</w:t>
      </w:r>
      <w:r>
        <w:rPr>
          <w:rFonts w:hint="eastAsia" w:ascii="宋体" w:hAnsi="宋体" w:eastAsia="宋体" w:cs="宋体"/>
          <w:color w:val="auto"/>
          <w:sz w:val="24"/>
          <w:highlight w:val="none"/>
        </w:rPr>
        <w:t>甲方</w:t>
      </w:r>
      <w:r>
        <w:rPr>
          <w:rFonts w:hint="eastAsia" w:ascii="宋体" w:hAnsi="宋体" w:eastAsia="宋体" w:cs="宋体"/>
          <w:color w:val="auto"/>
          <w:kern w:val="0"/>
          <w:sz w:val="24"/>
          <w:highlight w:val="none"/>
        </w:rPr>
        <w:t>书面同意</w:t>
      </w:r>
      <w:r>
        <w:rPr>
          <w:rFonts w:hint="eastAsia" w:ascii="宋体" w:hAnsi="宋体" w:eastAsia="宋体" w:cs="宋体"/>
          <w:color w:val="auto"/>
          <w:sz w:val="24"/>
          <w:highlight w:val="none"/>
        </w:rPr>
        <w:t>。</w:t>
      </w:r>
    </w:p>
    <w:p w14:paraId="4EDACAED">
      <w:pPr>
        <w:spacing w:line="360" w:lineRule="auto"/>
        <w:ind w:firstLine="480" w:firstLineChars="200"/>
        <w:rPr>
          <w:rFonts w:hint="eastAsia" w:ascii="宋体" w:hAnsi="宋体" w:eastAsia="宋体" w:cs="宋体"/>
          <w:color w:val="auto"/>
          <w:sz w:val="24"/>
          <w:highlight w:val="none"/>
        </w:rPr>
      </w:pPr>
      <w:r>
        <w:rPr>
          <w:rFonts w:hint="default" w:ascii="宋体" w:hAnsi="宋体" w:eastAsia="宋体" w:cs="宋体"/>
          <w:color w:val="auto"/>
          <w:sz w:val="24"/>
          <w:highlight w:val="none"/>
          <w:lang w:val="en-US"/>
        </w:rPr>
        <w:t>10.1</w:t>
      </w:r>
      <w:r>
        <w:rPr>
          <w:rFonts w:hint="eastAsia" w:ascii="宋体" w:hAnsi="宋体" w:eastAsia="宋体" w:cs="宋体"/>
          <w:color w:val="auto"/>
          <w:sz w:val="24"/>
          <w:highlight w:val="none"/>
          <w:lang w:val="en-US" w:eastAsia="zh-CN"/>
        </w:rPr>
        <w:t>0</w:t>
      </w:r>
      <w:r>
        <w:rPr>
          <w:rFonts w:hint="default" w:ascii="宋体" w:hAnsi="宋体" w:eastAsia="宋体" w:cs="宋体"/>
          <w:color w:val="auto"/>
          <w:sz w:val="24"/>
          <w:highlight w:val="none"/>
          <w:lang w:val="en-US"/>
        </w:rPr>
        <w:t xml:space="preserve"> 本设计合同部分自</w:t>
      </w:r>
      <w:r>
        <w:rPr>
          <w:rFonts w:hint="eastAsia" w:ascii="宋体" w:hAnsi="宋体" w:eastAsia="宋体" w:cs="宋体"/>
          <w:color w:val="auto"/>
          <w:sz w:val="24"/>
          <w:highlight w:val="none"/>
          <w:lang w:val="en-US" w:eastAsia="zh-CN"/>
        </w:rPr>
        <w:t>甲方、乙方各自</w:t>
      </w:r>
      <w:r>
        <w:rPr>
          <w:rFonts w:hint="default" w:ascii="宋体" w:hAnsi="宋体" w:eastAsia="宋体" w:cs="宋体"/>
          <w:color w:val="auto"/>
          <w:sz w:val="24"/>
          <w:highlight w:val="none"/>
          <w:lang w:val="en-US"/>
        </w:rPr>
        <w:t>履行完合同约定的义务后，本合同终止。</w:t>
      </w:r>
    </w:p>
    <w:p w14:paraId="10858F7F">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 xml:space="preserve">第十一条  </w:t>
      </w:r>
      <w:r>
        <w:rPr>
          <w:rFonts w:hint="eastAsia" w:ascii="宋体" w:hAnsi="宋体" w:eastAsia="宋体" w:cs="宋体"/>
          <w:b w:val="0"/>
          <w:bCs w:val="0"/>
          <w:color w:val="auto"/>
          <w:sz w:val="24"/>
          <w:highlight w:val="none"/>
        </w:rPr>
        <w:t>争议的解决</w:t>
      </w:r>
    </w:p>
    <w:p w14:paraId="2D2669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合同执行过程中双方如有争议，应友好协商解决，协商不成，双方同意选择以下第（</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）项方式解决：</w:t>
      </w:r>
    </w:p>
    <w:p w14:paraId="084FAD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提交中国广州仲裁委员会仲裁；</w:t>
      </w:r>
    </w:p>
    <w:p w14:paraId="56A7BD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lang w:val="en-US" w:eastAsia="zh-CN"/>
        </w:rPr>
        <w:t>广州市番禺区</w:t>
      </w:r>
      <w:r>
        <w:rPr>
          <w:rFonts w:hint="eastAsia" w:ascii="宋体" w:hAnsi="宋体" w:eastAsia="宋体" w:cs="宋体"/>
          <w:color w:val="auto"/>
          <w:sz w:val="24"/>
          <w:highlight w:val="none"/>
        </w:rPr>
        <w:t>人民法院提出诉讼。</w:t>
      </w:r>
    </w:p>
    <w:p w14:paraId="6DB4A3D7">
      <w:pPr>
        <w:spacing w:line="360" w:lineRule="auto"/>
        <w:ind w:firstLine="480" w:firstLineChars="200"/>
        <w:rPr>
          <w:rFonts w:hint="eastAsia" w:ascii="宋体" w:hAnsi="宋体" w:eastAsia="宋体" w:cs="宋体"/>
          <w:color w:val="auto"/>
          <w:sz w:val="24"/>
          <w:highlight w:val="none"/>
        </w:rPr>
      </w:pPr>
    </w:p>
    <w:p w14:paraId="0961757A">
      <w:pPr>
        <w:keepNext w:val="0"/>
        <w:keepLines w:val="0"/>
        <w:jc w:val="both"/>
        <w:outlineLvl w:val="9"/>
        <w:rPr>
          <w:color w:val="auto"/>
          <w:highlight w:val="none"/>
        </w:rPr>
      </w:pPr>
      <w:bookmarkStart w:id="18" w:name="_Toc287627924"/>
    </w:p>
    <w:p w14:paraId="102D8EBD">
      <w:pPr>
        <w:spacing w:line="360" w:lineRule="auto"/>
        <w:ind w:firstLine="420" w:firstLineChars="200"/>
        <w:rPr>
          <w:rFonts w:ascii="宋体" w:hAnsi="宋体" w:eastAsia="宋体" w:cs="宋体"/>
          <w:color w:val="auto"/>
          <w:highlight w:val="none"/>
        </w:rPr>
        <w:sectPr>
          <w:pgSz w:w="11920" w:h="16840"/>
          <w:pgMar w:top="1580" w:right="880" w:bottom="280" w:left="920" w:header="720" w:footer="720" w:gutter="0"/>
          <w:pgNumType w:fmt="numberInDash"/>
          <w:cols w:space="720" w:num="1"/>
          <w:titlePg/>
          <w:docGrid w:linePitch="286" w:charSpace="0"/>
        </w:sectPr>
      </w:pPr>
    </w:p>
    <w:p w14:paraId="1D2656DE">
      <w:pPr>
        <w:pStyle w:val="83"/>
        <w:rPr>
          <w:rFonts w:ascii="宋体" w:hAnsi="宋体" w:eastAsia="宋体" w:cs="宋体"/>
          <w:b/>
          <w:bCs w:val="0"/>
          <w:color w:val="auto"/>
          <w:highlight w:val="none"/>
        </w:rPr>
      </w:pPr>
      <w:bookmarkStart w:id="19" w:name="_Toc25206"/>
      <w:bookmarkStart w:id="20" w:name="_Toc6250"/>
      <w:r>
        <w:rPr>
          <w:rFonts w:hint="eastAsia" w:ascii="宋体" w:hAnsi="宋体" w:eastAsia="宋体" w:cs="宋体"/>
          <w:b/>
          <w:bCs w:val="0"/>
          <w:color w:val="auto"/>
          <w:highlight w:val="none"/>
        </w:rPr>
        <w:t>第四篇  工程施工总承包合同条款</w:t>
      </w:r>
      <w:bookmarkEnd w:id="19"/>
      <w:bookmarkEnd w:id="20"/>
    </w:p>
    <w:p w14:paraId="788D04C0">
      <w:pPr>
        <w:keepNext w:val="0"/>
        <w:keepLines w:val="0"/>
        <w:jc w:val="both"/>
        <w:outlineLvl w:val="9"/>
        <w:rPr>
          <w:color w:val="auto"/>
          <w:highlight w:val="none"/>
        </w:rPr>
      </w:pPr>
    </w:p>
    <w:p w14:paraId="0FD89597">
      <w:pPr>
        <w:pStyle w:val="83"/>
        <w:rPr>
          <w:rFonts w:ascii="宋体" w:hAnsi="宋体" w:eastAsia="宋体" w:cs="宋体"/>
          <w:color w:val="auto"/>
          <w:highlight w:val="none"/>
        </w:rPr>
      </w:pPr>
      <w:bookmarkStart w:id="21" w:name="_Toc26921"/>
      <w:bookmarkStart w:id="22" w:name="_Toc25433"/>
      <w:r>
        <w:rPr>
          <w:rFonts w:hint="eastAsia" w:ascii="宋体" w:hAnsi="宋体" w:eastAsia="宋体" w:cs="宋体"/>
          <w:color w:val="auto"/>
          <w:highlight w:val="none"/>
        </w:rPr>
        <w:t>第一章　通用条款</w:t>
      </w:r>
      <w:bookmarkEnd w:id="18"/>
      <w:bookmarkEnd w:id="21"/>
      <w:bookmarkEnd w:id="22"/>
    </w:p>
    <w:p w14:paraId="3F87DAE0">
      <w:pPr>
        <w:autoSpaceDE w:val="0"/>
        <w:autoSpaceDN w:val="0"/>
        <w:adjustRightInd w:val="0"/>
        <w:spacing w:line="600" w:lineRule="exact"/>
        <w:jc w:val="center"/>
        <w:rPr>
          <w:rFonts w:ascii="宋体" w:hAnsi="宋体" w:eastAsia="宋体" w:cs="宋体"/>
          <w:b/>
          <w:bCs/>
          <w:color w:val="auto"/>
          <w:kern w:val="0"/>
          <w:sz w:val="32"/>
          <w:szCs w:val="32"/>
          <w:highlight w:val="none"/>
        </w:rPr>
      </w:pPr>
    </w:p>
    <w:p w14:paraId="7A149F7D">
      <w:pPr>
        <w:autoSpaceDE w:val="0"/>
        <w:autoSpaceDN w:val="0"/>
        <w:adjustRightInd w:val="0"/>
        <w:spacing w:line="600" w:lineRule="exact"/>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一、总  则</w:t>
      </w:r>
    </w:p>
    <w:p w14:paraId="7DA78978">
      <w:pPr>
        <w:pStyle w:val="24"/>
        <w:tabs>
          <w:tab w:val="left" w:pos="900"/>
          <w:tab w:val="left" w:pos="1080"/>
        </w:tabs>
        <w:spacing w:before="120" w:beforeLines="50" w:after="120" w:afterLines="50" w:line="300" w:lineRule="auto"/>
        <w:outlineLvl w:val="2"/>
        <w:rPr>
          <w:rFonts w:hAnsi="宋体" w:eastAsia="宋体" w:cs="宋体"/>
          <w:b/>
          <w:bCs/>
          <w:color w:val="auto"/>
          <w:sz w:val="24"/>
          <w:szCs w:val="24"/>
          <w:highlight w:val="none"/>
        </w:rPr>
      </w:pPr>
      <w:bookmarkStart w:id="23" w:name="_Toc469383980"/>
      <w:bookmarkStart w:id="24" w:name="_Toc46860801"/>
      <w:r>
        <w:rPr>
          <w:rFonts w:hint="eastAsia" w:hAnsi="宋体" w:eastAsia="宋体" w:cs="宋体"/>
          <w:b/>
          <w:bCs/>
          <w:color w:val="auto"/>
          <w:sz w:val="24"/>
          <w:szCs w:val="24"/>
          <w:highlight w:val="none"/>
        </w:rPr>
        <w:t>1  定义</w:t>
      </w:r>
      <w:bookmarkEnd w:id="23"/>
      <w:bookmarkEnd w:id="24"/>
    </w:p>
    <w:p w14:paraId="3969187B">
      <w:pPr>
        <w:pStyle w:val="24"/>
        <w:tabs>
          <w:tab w:val="left" w:pos="900"/>
          <w:tab w:val="left" w:pos="1980"/>
        </w:tabs>
        <w:adjustRightInd w:val="0"/>
        <w:spacing w:line="300" w:lineRule="auto"/>
        <w:ind w:left="1446" w:hanging="1446" w:hangingChars="600"/>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           </w:t>
      </w:r>
      <w:r>
        <w:rPr>
          <w:rFonts w:hint="eastAsia" w:hAnsi="宋体" w:eastAsia="宋体" w:cs="宋体"/>
          <w:color w:val="auto"/>
          <w:sz w:val="24"/>
          <w:szCs w:val="24"/>
          <w:highlight w:val="none"/>
        </w:rPr>
        <w:t>下列词语或措辞，除非特别说明，在本合同中均具有以下赋予的含义：</w:t>
      </w:r>
    </w:p>
    <w:p w14:paraId="25216401">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1.1  合同：</w:t>
      </w:r>
      <w:r>
        <w:rPr>
          <w:rFonts w:hint="eastAsia" w:hAnsi="宋体" w:eastAsia="宋体" w:cs="宋体"/>
          <w:color w:val="auto"/>
          <w:sz w:val="24"/>
          <w:szCs w:val="24"/>
          <w:highlight w:val="none"/>
        </w:rPr>
        <w:t>指合同双方当事人为实施、完成并保修合同工程所订立的合同文件。合同文件由第2.2款所列的文件组成。</w:t>
      </w:r>
    </w:p>
    <w:p w14:paraId="79F7DBC1">
      <w:pPr>
        <w:pStyle w:val="24"/>
        <w:tabs>
          <w:tab w:val="left" w:pos="2160"/>
          <w:tab w:val="left" w:pos="2520"/>
        </w:tabs>
        <w:adjustRightInd w:val="0"/>
        <w:spacing w:before="192" w:beforeLines="80" w:line="300" w:lineRule="auto"/>
        <w:ind w:left="1469" w:leftChars="685" w:hanging="31" w:hangingChars="13"/>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1.2  协议书：</w:t>
      </w:r>
      <w:r>
        <w:rPr>
          <w:rFonts w:hint="eastAsia" w:hAnsi="宋体" w:eastAsia="宋体" w:cs="宋体"/>
          <w:color w:val="auto"/>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14:paraId="54AFE0C2">
      <w:pPr>
        <w:pStyle w:val="24"/>
        <w:tabs>
          <w:tab w:val="left" w:pos="2160"/>
        </w:tabs>
        <w:adjustRightInd w:val="0"/>
        <w:spacing w:before="192" w:beforeLines="80" w:line="300" w:lineRule="auto"/>
        <w:ind w:left="1468" w:leftChars="699"/>
        <w:rPr>
          <w:rFonts w:hAnsi="宋体" w:eastAsia="宋体" w:cs="宋体"/>
          <w:color w:val="auto"/>
          <w:sz w:val="24"/>
          <w:szCs w:val="24"/>
          <w:highlight w:val="none"/>
        </w:rPr>
      </w:pPr>
      <w:r>
        <w:rPr>
          <w:rFonts w:hint="eastAsia" w:hAnsi="宋体" w:eastAsia="宋体" w:cs="宋体"/>
          <w:b/>
          <w:bCs/>
          <w:color w:val="auto"/>
          <w:sz w:val="24"/>
          <w:szCs w:val="24"/>
          <w:highlight w:val="none"/>
        </w:rPr>
        <w:t>1.3  通用条款：</w:t>
      </w:r>
      <w:r>
        <w:rPr>
          <w:rFonts w:hint="eastAsia" w:hAnsi="宋体" w:eastAsia="宋体" w:cs="宋体"/>
          <w:color w:val="auto"/>
          <w:sz w:val="24"/>
          <w:szCs w:val="24"/>
          <w:highlight w:val="none"/>
        </w:rPr>
        <w:t>指根据法律、法规和规章的规定以及建设工程施工的需要所订立的，通用于建设工程施工的条款。</w:t>
      </w:r>
    </w:p>
    <w:p w14:paraId="72DEB381">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1.4  专用条款：</w:t>
      </w:r>
      <w:r>
        <w:rPr>
          <w:rFonts w:hint="eastAsia" w:hAnsi="宋体" w:eastAsia="宋体" w:cs="宋体"/>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14142BD3">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1.5  中标通知书：</w:t>
      </w:r>
      <w:r>
        <w:rPr>
          <w:rFonts w:hint="eastAsia" w:hAnsi="宋体" w:eastAsia="宋体" w:cs="宋体"/>
          <w:color w:val="auto"/>
          <w:sz w:val="24"/>
          <w:szCs w:val="24"/>
          <w:highlight w:val="none"/>
        </w:rPr>
        <w:t>指发包人正式接受中标人投标文件的书面文件。</w:t>
      </w:r>
    </w:p>
    <w:p w14:paraId="71FE31E3">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1.6  承包人投标文件：</w:t>
      </w:r>
      <w:r>
        <w:rPr>
          <w:rFonts w:hint="eastAsia" w:hAnsi="宋体" w:eastAsia="宋体" w:cs="宋体"/>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14:paraId="0885E3AF">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1.7  标准、规范及有关技术文件：</w:t>
      </w:r>
      <w:r>
        <w:rPr>
          <w:rFonts w:hint="eastAsia" w:hAnsi="宋体" w:eastAsia="宋体" w:cs="宋体"/>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14:paraId="4B23CF2A">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1.8  施工设计图纸：</w:t>
      </w:r>
      <w:r>
        <w:rPr>
          <w:rFonts w:hint="eastAsia" w:hAnsi="宋体" w:eastAsia="宋体" w:cs="宋体"/>
          <w:color w:val="auto"/>
          <w:sz w:val="24"/>
          <w:szCs w:val="24"/>
          <w:highlight w:val="none"/>
        </w:rPr>
        <w:t>指构成合同文件组成部分的，按规定审批的由发包人提供或经发包人批准由承包人提供，满足承包人施工需要的所有设计文件</w:t>
      </w:r>
      <w:r>
        <w:rPr>
          <w:rFonts w:hint="eastAsia" w:hAnsi="宋体" w:eastAsia="宋体" w:cs="宋体"/>
          <w:color w:val="auto"/>
          <w:kern w:val="0"/>
          <w:sz w:val="24"/>
          <w:szCs w:val="24"/>
          <w:highlight w:val="none"/>
        </w:rPr>
        <w:t>、</w:t>
      </w:r>
      <w:r>
        <w:rPr>
          <w:rFonts w:hint="eastAsia" w:hAnsi="宋体" w:eastAsia="宋体" w:cs="宋体"/>
          <w:color w:val="auto"/>
          <w:sz w:val="24"/>
          <w:szCs w:val="24"/>
          <w:highlight w:val="none"/>
        </w:rPr>
        <w:t>施工图纸、模型（包括任何补充和修改的施工图纸、配套说明和有关资料）。图纸应当按照法律规定审查合格。</w:t>
      </w:r>
    </w:p>
    <w:p w14:paraId="16F9AD2C">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1.9  工程量清单：</w:t>
      </w:r>
      <w:r>
        <w:rPr>
          <w:rFonts w:hint="eastAsia" w:hAnsi="宋体" w:eastAsia="宋体" w:cs="宋体"/>
          <w:color w:val="auto"/>
          <w:sz w:val="24"/>
          <w:szCs w:val="24"/>
          <w:highlight w:val="none"/>
        </w:rPr>
        <w:t>指构成合同文件组成部分的,由发包人在招标文件中提供的,合同工程分部分项工程项目、措施项目、其他项目、规费项目和税金项目的名称和相应数量等的明细清单。</w:t>
      </w:r>
    </w:p>
    <w:p w14:paraId="2781E141">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1.10  发包人：</w:t>
      </w:r>
      <w:r>
        <w:rPr>
          <w:rFonts w:hint="eastAsia" w:hAnsi="宋体" w:eastAsia="宋体" w:cs="宋体"/>
          <w:color w:val="auto"/>
          <w:sz w:val="24"/>
          <w:szCs w:val="24"/>
          <w:highlight w:val="none"/>
        </w:rPr>
        <w:t>指在协议书中约定，具有工程发包主体资格和支付工程款能力的当事人，以及取得该当事人资格的合法继承人。</w:t>
      </w:r>
    </w:p>
    <w:p w14:paraId="0360FD97">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1.11  承包人：</w:t>
      </w:r>
      <w:r>
        <w:rPr>
          <w:rFonts w:hint="eastAsia" w:hAnsi="宋体" w:eastAsia="宋体" w:cs="宋体"/>
          <w:color w:val="auto"/>
          <w:sz w:val="24"/>
          <w:szCs w:val="24"/>
          <w:highlight w:val="none"/>
        </w:rPr>
        <w:t>指在协议书中约定，被发包人接受且具有工程施工承包主体资格的当事人，以及取得该当事人资格的合法继承人。</w:t>
      </w:r>
    </w:p>
    <w:p w14:paraId="4C5148EF">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1.12  分包人：</w:t>
      </w:r>
      <w:r>
        <w:rPr>
          <w:rFonts w:hint="eastAsia" w:hAnsi="宋体" w:eastAsia="宋体" w:cs="宋体"/>
          <w:color w:val="auto"/>
          <w:sz w:val="24"/>
          <w:szCs w:val="24"/>
          <w:highlight w:val="none"/>
        </w:rPr>
        <w:t>指被发包人接受且具有相应资格，并与承包人签订了分包合同，依法分包合同工程某一部分的当事人，以及取得该当事人资格的合法继承人。</w:t>
      </w:r>
    </w:p>
    <w:p w14:paraId="1298DCDF">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1.13  第三方：</w:t>
      </w:r>
      <w:r>
        <w:rPr>
          <w:rFonts w:hint="eastAsia" w:hAnsi="宋体" w:eastAsia="宋体" w:cs="宋体"/>
          <w:color w:val="auto"/>
          <w:sz w:val="24"/>
          <w:szCs w:val="24"/>
          <w:highlight w:val="none"/>
        </w:rPr>
        <w:t>除合同双方当事人(含双方雇员及代表其工作的人员)以外的任何他人或组织。</w:t>
      </w:r>
    </w:p>
    <w:p w14:paraId="5699C631">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1.14  设计人：</w:t>
      </w:r>
      <w:r>
        <w:rPr>
          <w:rFonts w:hint="eastAsia" w:hAnsi="宋体" w:eastAsia="宋体" w:cs="宋体"/>
          <w:color w:val="auto"/>
          <w:sz w:val="24"/>
          <w:szCs w:val="24"/>
          <w:highlight w:val="none"/>
        </w:rPr>
        <w:t>指受发包人委托的，负责合同工程的工程设计专业技术且具有相应工程设计资质的当事人，以及取得该当事人资格的合法继承人。</w:t>
      </w:r>
    </w:p>
    <w:p w14:paraId="0109C920">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1.15  监理人：</w:t>
      </w:r>
      <w:r>
        <w:rPr>
          <w:rFonts w:hint="eastAsia" w:hAnsi="宋体" w:eastAsia="宋体" w:cs="宋体"/>
          <w:color w:val="auto"/>
          <w:sz w:val="24"/>
          <w:szCs w:val="24"/>
          <w:highlight w:val="none"/>
        </w:rPr>
        <w:t>指受发包人委托的，负责合同工程的工程监理专业技术且具有相应工程监理资质的当事人，以及取得该当事人资格的合法继承人。</w:t>
      </w:r>
    </w:p>
    <w:p w14:paraId="26180857">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1.16  工程造价咨询人：</w:t>
      </w:r>
      <w:r>
        <w:rPr>
          <w:rFonts w:hint="eastAsia" w:hAnsi="宋体" w:eastAsia="宋体" w:cs="宋体"/>
          <w:color w:val="auto"/>
          <w:sz w:val="24"/>
          <w:szCs w:val="24"/>
          <w:highlight w:val="none"/>
        </w:rPr>
        <w:t>指受发包人委托的，负责合同工程的工程造价专业技术且具有相应工程造价咨询资质的当事人，以及取得该当事人资格的合法继承人。</w:t>
      </w:r>
    </w:p>
    <w:p w14:paraId="6D3CDA49">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1.17  工程造价管理机构：指国务院有关部门、县级以上人民政府建设行政主管部</w:t>
      </w:r>
      <w:r>
        <w:rPr>
          <w:rFonts w:hint="eastAsia" w:hAnsi="宋体" w:eastAsia="宋体" w:cs="宋体"/>
          <w:color w:val="auto"/>
          <w:sz w:val="24"/>
          <w:szCs w:val="24"/>
          <w:highlight w:val="none"/>
        </w:rPr>
        <w:t>门或受其委托的工程造价管理机构。</w:t>
      </w:r>
    </w:p>
    <w:p w14:paraId="274C9BCF">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1.18  发包人代表：</w:t>
      </w:r>
      <w:r>
        <w:rPr>
          <w:rFonts w:hint="eastAsia" w:hAnsi="宋体" w:eastAsia="宋体" w:cs="宋体"/>
          <w:color w:val="auto"/>
          <w:sz w:val="24"/>
          <w:szCs w:val="24"/>
          <w:highlight w:val="none"/>
        </w:rPr>
        <w:t>指发包人指定的，履行本合同的全权代表。发包人代表由发包人依据第22.1款规定任命并书面通知承包人。</w:t>
      </w:r>
    </w:p>
    <w:p w14:paraId="18CF2ADD">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1.19  监理工程师：</w:t>
      </w:r>
      <w:r>
        <w:rPr>
          <w:rFonts w:hint="eastAsia" w:hAnsi="宋体" w:eastAsia="宋体" w:cs="宋体"/>
          <w:color w:val="auto"/>
          <w:sz w:val="24"/>
          <w:szCs w:val="24"/>
          <w:highlight w:val="none"/>
        </w:rPr>
        <w:t>指监理人委派常驻施工现场负责合同工程的工程监理专业技术的专业人员。监理工程师由监理人提名，经发包人依据第23.1款规定任命并书面通知承包人。</w:t>
      </w:r>
    </w:p>
    <w:p w14:paraId="5B5B7876">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1.20  造价工程师：</w:t>
      </w:r>
      <w:r>
        <w:rPr>
          <w:rFonts w:hint="eastAsia" w:hAnsi="宋体" w:eastAsia="宋体" w:cs="宋体"/>
          <w:color w:val="auto"/>
          <w:sz w:val="24"/>
          <w:szCs w:val="24"/>
          <w:highlight w:val="none"/>
        </w:rPr>
        <w:t>指工程造价咨询人或监理人委派常驻施工现场负责合同工程的工程造价专业技术的专业人员。造价工程师由工程造价咨询人或监理人提名，经发包人依据第24.1款规定任命并书面通知承包人。</w:t>
      </w:r>
    </w:p>
    <w:p w14:paraId="558CF351">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1.21  承包人代表：指承包人指定的，履行本合同和负责合同工程施工现场管理的</w:t>
      </w:r>
      <w:r>
        <w:rPr>
          <w:rFonts w:hint="eastAsia" w:hAnsi="宋体" w:eastAsia="宋体" w:cs="宋体"/>
          <w:color w:val="auto"/>
          <w:sz w:val="24"/>
          <w:szCs w:val="24"/>
          <w:highlight w:val="none"/>
        </w:rPr>
        <w:t>全权代表。承包人代表由承包人依据第25.1款规定任命并书面通知发包人。</w:t>
      </w:r>
    </w:p>
    <w:p w14:paraId="74FB1643">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1.22  合同工期：</w:t>
      </w:r>
      <w:r>
        <w:rPr>
          <w:rFonts w:hint="eastAsia" w:hAnsi="宋体" w:eastAsia="宋体" w:cs="宋体"/>
          <w:color w:val="auto"/>
          <w:sz w:val="24"/>
          <w:szCs w:val="24"/>
          <w:highlight w:val="none"/>
        </w:rPr>
        <w:t>指合同双方当事人在协议书中约定，按照总日历天数（包括法定节假日）计算的从开始实施到完成合同工程的天数。</w:t>
      </w:r>
    </w:p>
    <w:p w14:paraId="29F7ECEA">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1.23  开工日期：</w:t>
      </w:r>
      <w:r>
        <w:rPr>
          <w:rFonts w:hint="eastAsia" w:hAnsi="宋体" w:eastAsia="宋体" w:cs="宋体"/>
          <w:color w:val="auto"/>
          <w:sz w:val="24"/>
          <w:szCs w:val="24"/>
          <w:highlight w:val="none"/>
        </w:rPr>
        <w:t>指根据第34条规定，监理工程师在开工令中写明的、承包人按照合同约定最迟在该日期开工的日期。</w:t>
      </w:r>
    </w:p>
    <w:p w14:paraId="33DA5D21">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1.24  计划竣工日期：</w:t>
      </w:r>
      <w:r>
        <w:rPr>
          <w:rFonts w:hint="eastAsia" w:hAnsi="宋体" w:eastAsia="宋体" w:cs="宋体"/>
          <w:color w:val="auto"/>
          <w:sz w:val="24"/>
          <w:szCs w:val="24"/>
          <w:highlight w:val="none"/>
        </w:rPr>
        <w:t>指自开工日期起根据合同约定要求承包人完成合同工程并竣工的全部时间（包括根据第36条和第37.2款规定所做的调整）。</w:t>
      </w:r>
    </w:p>
    <w:p w14:paraId="16420BEE">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1.25  实际竣工日期：</w:t>
      </w:r>
      <w:r>
        <w:rPr>
          <w:rFonts w:hint="eastAsia" w:hAnsi="宋体" w:eastAsia="宋体" w:cs="宋体"/>
          <w:color w:val="auto"/>
          <w:sz w:val="24"/>
          <w:szCs w:val="24"/>
          <w:highlight w:val="none"/>
        </w:rPr>
        <w:t>指承包人实际完成合同工程或某单位工程后，由发包人按照第58条规定组织竣工验收、接收工程并颁发工程接收证书的日期。实际竣工日期，按照第38.2款规定确定。</w:t>
      </w:r>
    </w:p>
    <w:p w14:paraId="16E6CC02">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1.26  缺陷责任期：</w:t>
      </w:r>
      <w:r>
        <w:rPr>
          <w:rFonts w:hint="eastAsia" w:hAnsi="宋体" w:eastAsia="宋体" w:cs="宋体"/>
          <w:color w:val="auto"/>
          <w:sz w:val="24"/>
          <w:szCs w:val="24"/>
          <w:highlight w:val="none"/>
        </w:rPr>
        <w:t>指履行第59.3款规定的缺陷责任的期限。具体期限在专用条款中约定，包括第59.2款规定的延长期限。</w:t>
      </w:r>
    </w:p>
    <w:p w14:paraId="405518FF">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1.27  基准日期：</w:t>
      </w:r>
      <w:r>
        <w:rPr>
          <w:rFonts w:hint="eastAsia" w:hAnsi="宋体" w:eastAsia="宋体" w:cs="宋体"/>
          <w:color w:val="auto"/>
          <w:sz w:val="24"/>
          <w:szCs w:val="24"/>
          <w:highlight w:val="none"/>
        </w:rPr>
        <w:t>指招标工程递交投标文件截止日期前28天的日期；非招标工程订立合同前28天的日期。</w:t>
      </w:r>
    </w:p>
    <w:p w14:paraId="65DAF606">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1.28  小时或天：</w:t>
      </w:r>
      <w:r>
        <w:rPr>
          <w:rFonts w:hint="eastAsia" w:hAnsi="宋体" w:eastAsia="宋体" w:cs="宋体"/>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14:paraId="1C96A6CD">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1.29  中标价格：</w:t>
      </w:r>
      <w:r>
        <w:rPr>
          <w:rFonts w:hint="eastAsia" w:hAnsi="宋体" w:eastAsia="宋体" w:cs="宋体"/>
          <w:color w:val="auto"/>
          <w:sz w:val="24"/>
          <w:szCs w:val="24"/>
          <w:highlight w:val="none"/>
        </w:rPr>
        <w:t>指中标通知书中列明的，发包人接受中标人（承包人）实施、完成并保修合同工程的价格。</w:t>
      </w:r>
    </w:p>
    <w:p w14:paraId="6B76C067">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1.30  合同价款：</w:t>
      </w:r>
      <w:r>
        <w:rPr>
          <w:rFonts w:hint="eastAsia" w:hAnsi="宋体" w:eastAsia="宋体" w:cs="宋体"/>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14:paraId="2D624857">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1.31  费用：</w:t>
      </w:r>
      <w:r>
        <w:rPr>
          <w:rFonts w:hint="eastAsia" w:hAnsi="宋体" w:eastAsia="宋体" w:cs="宋体"/>
          <w:color w:val="auto"/>
          <w:sz w:val="24"/>
          <w:szCs w:val="24"/>
          <w:highlight w:val="none"/>
        </w:rPr>
        <w:t>指为履行合同所发生或将发生的所有合理开支，包括管理费和其他合理分摊的开支，但不包括利润。</w:t>
      </w:r>
    </w:p>
    <w:p w14:paraId="3337D75F">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1.32  分部分项工程费：</w:t>
      </w:r>
      <w:r>
        <w:rPr>
          <w:rFonts w:hint="eastAsia" w:hAnsi="宋体" w:eastAsia="宋体" w:cs="宋体"/>
          <w:color w:val="auto"/>
          <w:sz w:val="24"/>
          <w:szCs w:val="24"/>
          <w:highlight w:val="none"/>
        </w:rPr>
        <w:t>指为实施、完成并保修永久工程，发生于工程实体项目所需的人工费、材料费、机械使用费、管理费、利润和风险费用。</w:t>
      </w:r>
    </w:p>
    <w:p w14:paraId="14F3E2C6">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1.33  措施项目费：</w:t>
      </w:r>
      <w:r>
        <w:rPr>
          <w:rFonts w:hint="eastAsia" w:hAnsi="宋体" w:eastAsia="宋体" w:cs="宋体"/>
          <w:color w:val="auto"/>
          <w:sz w:val="24"/>
          <w:szCs w:val="24"/>
          <w:highlight w:val="none"/>
        </w:rPr>
        <w:t>指为实施、完成并保修合同工程，发生于合同工程施工准备和施工过程中的技术、生活、安全、环境保护等方面的非工程实体项目费用。</w:t>
      </w:r>
    </w:p>
    <w:p w14:paraId="2BCA27D7">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1.34  工程款：</w:t>
      </w:r>
      <w:r>
        <w:rPr>
          <w:rFonts w:hint="eastAsia" w:hAnsi="宋体" w:eastAsia="宋体" w:cs="宋体"/>
          <w:color w:val="auto"/>
          <w:sz w:val="24"/>
          <w:szCs w:val="24"/>
          <w:highlight w:val="none"/>
        </w:rPr>
        <w:t>指为实施、完成并保修合同工程，发包人支付或应当支付给承包人的各种价款，包括进度款、结算款等。</w:t>
      </w:r>
    </w:p>
    <w:p w14:paraId="219BFD12">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1.35  暂列金额：</w:t>
      </w:r>
      <w:r>
        <w:rPr>
          <w:rFonts w:hint="eastAsia" w:hAnsi="宋体" w:eastAsia="宋体" w:cs="宋体"/>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7BCE50EB">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1.36  暂估价：</w:t>
      </w:r>
      <w:r>
        <w:rPr>
          <w:rFonts w:hint="eastAsia" w:hAnsi="宋体" w:eastAsia="宋体" w:cs="宋体"/>
          <w:color w:val="auto"/>
          <w:sz w:val="24"/>
          <w:szCs w:val="24"/>
          <w:highlight w:val="none"/>
        </w:rPr>
        <w:t>指发包人在工程量清单中提供的用于支付必然发生但暂时不能确定价格的材料、工程设备以及专业工程的金额。</w:t>
      </w:r>
    </w:p>
    <w:p w14:paraId="13ACC9AD">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1.37  计日工：</w:t>
      </w:r>
      <w:r>
        <w:rPr>
          <w:rFonts w:hint="eastAsia" w:hAnsi="宋体" w:eastAsia="宋体" w:cs="宋体"/>
          <w:color w:val="auto"/>
          <w:sz w:val="24"/>
          <w:szCs w:val="24"/>
          <w:highlight w:val="none"/>
        </w:rPr>
        <w:t>指在施工过程中，承包人完成发包人提出的施工设计图纸以外的零星项目或工作，按照合同中约定计价付款的一种计价方式。</w:t>
      </w:r>
    </w:p>
    <w:p w14:paraId="4719ABDD">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1.38  质量保证金：</w:t>
      </w:r>
      <w:r>
        <w:rPr>
          <w:rFonts w:hint="eastAsia" w:hAnsi="宋体" w:eastAsia="宋体" w:cs="宋体"/>
          <w:color w:val="auto"/>
          <w:sz w:val="24"/>
          <w:szCs w:val="24"/>
          <w:highlight w:val="none"/>
        </w:rPr>
        <w:t>指按照第84条约定用于保证在缺陷责任期内履行缺陷修复义务的金额。</w:t>
      </w:r>
    </w:p>
    <w:p w14:paraId="5E702641">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1.39  合同工程：</w:t>
      </w:r>
      <w:r>
        <w:rPr>
          <w:rFonts w:hint="eastAsia" w:hAnsi="宋体" w:eastAsia="宋体" w:cs="宋体"/>
          <w:color w:val="auto"/>
          <w:sz w:val="24"/>
          <w:szCs w:val="24"/>
          <w:highlight w:val="none"/>
        </w:rPr>
        <w:t>指合同双方当事人在协议书中约定的承包范围内的工程，包括永久工程和（或）临时工程。</w:t>
      </w:r>
    </w:p>
    <w:p w14:paraId="2C0673A4">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1.40  永久工程：</w:t>
      </w:r>
      <w:r>
        <w:rPr>
          <w:rFonts w:hint="eastAsia" w:hAnsi="宋体" w:eastAsia="宋体" w:cs="宋体"/>
          <w:color w:val="auto"/>
          <w:sz w:val="24"/>
          <w:szCs w:val="24"/>
          <w:highlight w:val="none"/>
        </w:rPr>
        <w:t>指按照合同约定承包人应当实施、完成并移交给发包人的永久性工程，包括工程设备。</w:t>
      </w:r>
    </w:p>
    <w:p w14:paraId="5E9FBFA8">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1.41  临时工程：</w:t>
      </w:r>
      <w:r>
        <w:rPr>
          <w:rFonts w:hint="eastAsia" w:hAnsi="宋体" w:eastAsia="宋体" w:cs="宋体"/>
          <w:color w:val="auto"/>
          <w:sz w:val="24"/>
          <w:szCs w:val="24"/>
          <w:highlight w:val="none"/>
        </w:rPr>
        <w:t>指实施、完成并保修永久工程过程中所需要的各类临时性工程，不包括施工设备。</w:t>
      </w:r>
    </w:p>
    <w:p w14:paraId="72F2B5D6">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1.42  分包工程：</w:t>
      </w:r>
      <w:r>
        <w:rPr>
          <w:rFonts w:hint="eastAsia" w:hAnsi="宋体" w:eastAsia="宋体" w:cs="宋体"/>
          <w:color w:val="auto"/>
          <w:sz w:val="24"/>
          <w:szCs w:val="24"/>
          <w:highlight w:val="none"/>
        </w:rPr>
        <w:t>指合同工程中，由具有相应分包资质的分包人实施、完成的非主体结构（除钢结构外）的专业性工程。</w:t>
      </w:r>
    </w:p>
    <w:p w14:paraId="26FAC7DE">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1.43  单位工程：</w:t>
      </w:r>
      <w:r>
        <w:rPr>
          <w:rFonts w:hint="eastAsia" w:hAnsi="宋体" w:eastAsia="宋体" w:cs="宋体"/>
          <w:color w:val="auto"/>
          <w:sz w:val="24"/>
          <w:szCs w:val="24"/>
          <w:highlight w:val="none"/>
        </w:rPr>
        <w:t>指具有独立的设计文件，竣工后可以独立发挥生产能力和效益的永久工程。组成合同工程的单位工程名称、内容和范围等应在专用条款中明确。</w:t>
      </w:r>
    </w:p>
    <w:p w14:paraId="491F4F46">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1.44  施工场地（或工地 、现场）：</w:t>
      </w:r>
      <w:r>
        <w:rPr>
          <w:rFonts w:hint="eastAsia" w:hAnsi="宋体" w:eastAsia="宋体" w:cs="宋体"/>
          <w:color w:val="auto"/>
          <w:sz w:val="24"/>
          <w:szCs w:val="24"/>
          <w:highlight w:val="none"/>
        </w:rPr>
        <w:t>指由发包人提供的用于合同工程施工的场所，以及发包人在合同中具体指定的供施工使用的其他任何场所。</w:t>
      </w:r>
    </w:p>
    <w:p w14:paraId="2144D79B">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1.45  工程设备：</w:t>
      </w:r>
      <w:r>
        <w:rPr>
          <w:rFonts w:hint="eastAsia" w:hAnsi="宋体" w:eastAsia="宋体" w:cs="宋体"/>
          <w:color w:val="auto"/>
          <w:sz w:val="24"/>
          <w:szCs w:val="24"/>
          <w:highlight w:val="none"/>
        </w:rPr>
        <w:t>指构成或计划构成永久工程一部分的机电设备、金属结构设备、仪器装置及其他类似的设备和装置。</w:t>
      </w:r>
    </w:p>
    <w:p w14:paraId="34FA22DE">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1.46  施工设备：</w:t>
      </w:r>
      <w:r>
        <w:rPr>
          <w:rFonts w:hint="eastAsia" w:hAnsi="宋体" w:eastAsia="宋体" w:cs="宋体"/>
          <w:color w:val="auto"/>
          <w:sz w:val="24"/>
          <w:szCs w:val="24"/>
          <w:highlight w:val="none"/>
        </w:rPr>
        <w:t>指承包人临时带入现场用于合同工程施工的仪器、机械、运输工具或其他物品，但不包括用于或安装在合同工程中的工程设备。</w:t>
      </w:r>
    </w:p>
    <w:p w14:paraId="705C680F">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1.47  工程变更：</w:t>
      </w:r>
      <w:r>
        <w:rPr>
          <w:rFonts w:hint="eastAsia" w:hAnsi="宋体" w:eastAsia="宋体" w:cs="宋体"/>
          <w:color w:val="auto"/>
          <w:sz w:val="24"/>
          <w:szCs w:val="24"/>
          <w:highlight w:val="none"/>
        </w:rPr>
        <w:t>指经发包人批准的，由监理工程师根据第56条规定发出指令的工程任何变更。</w:t>
      </w:r>
    </w:p>
    <w:p w14:paraId="45072D7F">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1.48  索赔：</w:t>
      </w:r>
      <w:r>
        <w:rPr>
          <w:rFonts w:hint="eastAsia" w:hAnsi="宋体" w:eastAsia="宋体" w:cs="宋体"/>
          <w:color w:val="auto"/>
          <w:sz w:val="24"/>
          <w:szCs w:val="24"/>
          <w:highlight w:val="none"/>
        </w:rPr>
        <w:t>指合同履行期间，对于非自己的过错而应由对方当事人承担责任的情况所造成的损失，并根据第36条和第74条规定向对方当事人提出费用补偿和（或）工期顺延的要求。</w:t>
      </w:r>
    </w:p>
    <w:p w14:paraId="14B83F29">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1.49  现场签证：</w:t>
      </w:r>
      <w:r>
        <w:rPr>
          <w:rFonts w:hint="eastAsia" w:hAnsi="宋体" w:eastAsia="宋体" w:cs="宋体"/>
          <w:color w:val="auto"/>
          <w:sz w:val="24"/>
          <w:szCs w:val="24"/>
          <w:highlight w:val="none"/>
        </w:rPr>
        <w:t>指合同双方当事人按照第14.2款约定的指定人选根据第75条规定就施工过程中涉及的责任事件所作的签认证明。</w:t>
      </w:r>
    </w:p>
    <w:p w14:paraId="7C2A9762">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1.50  不可抗力：</w:t>
      </w:r>
      <w:r>
        <w:rPr>
          <w:rFonts w:hint="eastAsia" w:hAnsi="宋体" w:eastAsia="宋体" w:cs="宋体"/>
          <w:color w:val="auto"/>
          <w:sz w:val="24"/>
          <w:szCs w:val="24"/>
          <w:highlight w:val="none"/>
        </w:rPr>
        <w:t>指不能预见、不能避免并不能克服的客观情况。</w:t>
      </w:r>
    </w:p>
    <w:p w14:paraId="21A679F1">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1.51  竣工验收：</w:t>
      </w:r>
      <w:r>
        <w:rPr>
          <w:rFonts w:hint="eastAsia" w:hAnsi="宋体" w:eastAsia="宋体" w:cs="宋体"/>
          <w:color w:val="auto"/>
          <w:sz w:val="24"/>
          <w:szCs w:val="24"/>
          <w:highlight w:val="none"/>
        </w:rPr>
        <w:t>指承包人完成了全部合同工作后，发包人按照合同要求进行的验收。</w:t>
      </w:r>
    </w:p>
    <w:p w14:paraId="7077F70C">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1.52  国家验收：</w:t>
      </w:r>
      <w:r>
        <w:rPr>
          <w:rFonts w:hint="eastAsia" w:hAnsi="宋体" w:eastAsia="宋体" w:cs="宋体"/>
          <w:color w:val="auto"/>
          <w:sz w:val="24"/>
          <w:szCs w:val="24"/>
          <w:highlight w:val="none"/>
        </w:rPr>
        <w:t>指政府部门根据法律和政策等有关规定，针对发包人全面组织实施的整个工程正式交付投运前的验收。</w:t>
      </w:r>
    </w:p>
    <w:p w14:paraId="047581BC">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1.53  书面形式：</w:t>
      </w:r>
      <w:r>
        <w:rPr>
          <w:rFonts w:hint="eastAsia" w:hAnsi="宋体" w:eastAsia="宋体" w:cs="宋体"/>
          <w:color w:val="auto"/>
          <w:sz w:val="24"/>
          <w:szCs w:val="24"/>
          <w:highlight w:val="none"/>
        </w:rPr>
        <w:t>指合同文件、信函、电报、电传、传真、电子数据交换文件、电子邮件等可以有形地表现所载内容的形式。合同双方当事人可在专用条款中注明所采用的书面形式。</w:t>
      </w:r>
    </w:p>
    <w:p w14:paraId="2E95CE19">
      <w:pPr>
        <w:pStyle w:val="24"/>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1.54  国家：</w:t>
      </w:r>
      <w:r>
        <w:rPr>
          <w:rFonts w:hint="eastAsia" w:hAnsi="宋体" w:eastAsia="宋体" w:cs="宋体"/>
          <w:color w:val="auto"/>
          <w:sz w:val="24"/>
          <w:szCs w:val="24"/>
          <w:highlight w:val="none"/>
        </w:rPr>
        <w:t>指中华人民共和国。</w:t>
      </w:r>
    </w:p>
    <w:p w14:paraId="671125ED">
      <w:pPr>
        <w:tabs>
          <w:tab w:val="left" w:pos="162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2207BFE0">
      <w:pPr>
        <w:pStyle w:val="4"/>
        <w:tabs>
          <w:tab w:val="left" w:pos="420"/>
        </w:tabs>
        <w:spacing w:line="300" w:lineRule="auto"/>
        <w:ind w:left="720" w:hanging="720"/>
        <w:rPr>
          <w:rFonts w:ascii="宋体" w:hAnsi="宋体" w:eastAsia="宋体" w:cs="宋体"/>
          <w:bCs w:val="0"/>
          <w:color w:val="auto"/>
          <w:sz w:val="24"/>
          <w:szCs w:val="24"/>
          <w:highlight w:val="none"/>
        </w:rPr>
      </w:pPr>
      <w:bookmarkStart w:id="25" w:name="_Toc46860802"/>
      <w:bookmarkStart w:id="26" w:name="_Toc469383981"/>
      <w:r>
        <w:rPr>
          <w:rFonts w:hint="eastAsia" w:ascii="宋体" w:hAnsi="宋体" w:eastAsia="宋体" w:cs="宋体"/>
          <w:bCs w:val="0"/>
          <w:color w:val="auto"/>
          <w:sz w:val="24"/>
          <w:szCs w:val="24"/>
          <w:highlight w:val="none"/>
        </w:rPr>
        <w:t>2  合同文件及解释</w:t>
      </w:r>
      <w:bookmarkEnd w:id="25"/>
      <w:bookmarkEnd w:id="26"/>
    </w:p>
    <w:p w14:paraId="07FF0E52">
      <w:pPr>
        <w:pStyle w:val="24"/>
        <w:tabs>
          <w:tab w:val="left" w:pos="1202"/>
        </w:tabs>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2.1                                                                                 </w:t>
      </w:r>
    </w:p>
    <w:p w14:paraId="06AC3807">
      <w:pPr>
        <w:pStyle w:val="24"/>
        <w:tabs>
          <w:tab w:val="left" w:pos="1202"/>
          <w:tab w:val="left" w:pos="1620"/>
          <w:tab w:val="left" w:pos="1800"/>
          <w:tab w:val="left" w:pos="2160"/>
        </w:tabs>
        <w:spacing w:line="300" w:lineRule="auto"/>
        <w:ind w:firstLine="1668" w:firstLineChars="695"/>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026" name="0000d5"/>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a:noFill/>
                        </a:ln>
                      </wps:spPr>
                      <wps:txbx>
                        <w:txbxContent>
                          <w:p w14:paraId="7487A8FE">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wrap="square"/>
                    </wps:wsp>
                  </a:graphicData>
                </a:graphic>
              </wp:anchor>
            </w:drawing>
          </mc:Choice>
          <mc:Fallback>
            <w:pict>
              <v:rect id="0000d5" o:spid="_x0000_s1026" o:spt="1" style="position:absolute;left:0pt;margin-left:-9pt;margin-top:1.65pt;height:23.4pt;width:63pt;z-index:251659264;mso-width-relative:page;mso-height-relative:page;" fillcolor="#FFFFFF" filled="t" stroked="f" coordsize="21600,21600" o:gfxdata="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N8MaI1QAAAAgB&#10;AAAPAAAAAAAAAAEAIAAAACIAAABkcnMvZG93bnJldi54bWxQSwECFAAUAAAACACHTuJA4Sr3yKwB&#10;AABsAwAADgAAAAAAAAABACAAAAAkAQAAZHJzL2Uyb0RvYy54bWxQSwUGAAAAAAYABgBZAQAAQgUA&#10;AAAA&#10;">
                <v:fill on="t" focussize="0,0"/>
                <v:stroke on="f"/>
                <v:imagedata o:title=""/>
                <o:lock v:ext="edit" aspectratio="f"/>
                <v:textbox>
                  <w:txbxContent>
                    <w:p w14:paraId="7487A8FE">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rect>
            </w:pict>
          </mc:Fallback>
        </mc:AlternateContent>
      </w:r>
      <w:r>
        <w:rPr>
          <w:rFonts w:hint="eastAsia" w:hAnsi="宋体" w:eastAsia="宋体" w:cs="宋体"/>
          <w:b/>
          <w:bCs/>
          <w:color w:val="auto"/>
          <w:sz w:val="24"/>
          <w:szCs w:val="24"/>
          <w:highlight w:val="none"/>
        </w:rPr>
        <w:t xml:space="preserve">   </w:t>
      </w:r>
      <w:r>
        <w:rPr>
          <w:rFonts w:hint="eastAsia" w:hAnsi="宋体" w:eastAsia="宋体" w:cs="宋体"/>
          <w:color w:val="auto"/>
          <w:sz w:val="24"/>
          <w:szCs w:val="24"/>
          <w:highlight w:val="none"/>
        </w:rPr>
        <w:t>本合同条款的标题和旁注不构成合同的组成部分。</w:t>
      </w:r>
    </w:p>
    <w:p w14:paraId="7E088138">
      <w:pPr>
        <w:pStyle w:val="24"/>
        <w:tabs>
          <w:tab w:val="left" w:pos="1202"/>
        </w:tabs>
        <w:spacing w:line="36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★2.2  </w:t>
      </w:r>
      <w:r>
        <w:rPr>
          <w:rFonts w:hint="eastAsia" w:hAnsi="宋体" w:eastAsia="宋体" w:cs="宋体"/>
          <w:b/>
          <w:bCs/>
          <w:color w:val="auto"/>
          <w:sz w:val="24"/>
          <w:szCs w:val="24"/>
          <w:highlight w:val="none"/>
          <w:u w:val="dotted"/>
        </w:rPr>
        <w:t xml:space="preserve">                                                                             </w:t>
      </w:r>
    </w:p>
    <w:p w14:paraId="4BC8BB5A">
      <w:pPr>
        <w:pStyle w:val="24"/>
        <w:tabs>
          <w:tab w:val="left" w:pos="1320"/>
        </w:tabs>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1027" name="0000d6"/>
                <wp:cNvGraphicFramePr/>
                <a:graphic xmlns:a="http://schemas.openxmlformats.org/drawingml/2006/main">
                  <a:graphicData uri="http://schemas.microsoft.com/office/word/2010/wordprocessingShape">
                    <wps:wsp>
                      <wps:cNvSpPr/>
                      <wps:spPr>
                        <a:xfrm>
                          <a:off x="0" y="0"/>
                          <a:ext cx="914400" cy="527050"/>
                        </a:xfrm>
                        <a:prstGeom prst="rect">
                          <a:avLst/>
                        </a:prstGeom>
                        <a:ln>
                          <a:noFill/>
                        </a:ln>
                      </wps:spPr>
                      <wps:txbx>
                        <w:txbxContent>
                          <w:p w14:paraId="17153AA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wps:wsp>
                  </a:graphicData>
                </a:graphic>
              </wp:anchor>
            </w:drawing>
          </mc:Choice>
          <mc:Fallback>
            <w:pict>
              <v:rect id="0000d6" o:spid="_x0000_s1026" o:spt="1" style="position:absolute;left:0pt;margin-left:-9pt;margin-top:5.3pt;height:41.5pt;width:72pt;z-index:251659264;mso-width-relative:page;mso-height-relative:page;" filled="f" stroked="f" coordsize="21600,21600" o:gfxdata="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z9/qrZAAAACQEAAA8AAAAAAAAAAQAgAAAAIgAA&#10;AGRycy9kb3ducmV2LnhtbFBLAQIUABQAAAAIAIdO4kABn5j7lQEAADgDAAAOAAAAAAAAAAEAIAAA&#10;ACgBAABkcnMvZTJvRG9jLnhtbFBLBQYAAAAABgAGAFkBAAAvBQAAAAA=&#10;">
                <v:fill on="f" focussize="0,0"/>
                <v:stroke on="f"/>
                <v:imagedata o:title=""/>
                <o:lock v:ext="edit" aspectratio="f"/>
                <v:textbox>
                  <w:txbxContent>
                    <w:p w14:paraId="17153AA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rect>
            </w:pict>
          </mc:Fallback>
        </mc:AlternateContent>
      </w:r>
      <w:r>
        <w:rPr>
          <w:rFonts w:hint="eastAsia" w:hAnsi="宋体" w:eastAsia="宋体" w:cs="宋体"/>
          <w:color w:val="auto"/>
          <w:sz w:val="24"/>
          <w:szCs w:val="24"/>
          <w:highlight w:val="none"/>
        </w:rPr>
        <w:t>下列组成本合同的文件是一个合同整体，彼此应当能相互解释，互为说明。当出现相互矛盾时，组成本合同文件的优先解释顺序如下：</w:t>
      </w:r>
    </w:p>
    <w:p w14:paraId="3755D38F">
      <w:pPr>
        <w:pStyle w:val="24"/>
        <w:numPr>
          <w:ilvl w:val="0"/>
          <w:numId w:val="5"/>
        </w:numPr>
        <w:spacing w:line="300" w:lineRule="auto"/>
        <w:ind w:firstLine="540"/>
        <w:jc w:val="left"/>
        <w:rPr>
          <w:rFonts w:hAnsi="宋体" w:eastAsia="宋体" w:cs="宋体"/>
          <w:color w:val="auto"/>
          <w:sz w:val="24"/>
          <w:szCs w:val="24"/>
          <w:highlight w:val="none"/>
        </w:rPr>
      </w:pPr>
      <w:r>
        <w:rPr>
          <w:rFonts w:hint="eastAsia" w:hAnsi="宋体" w:eastAsia="宋体" w:cs="宋体"/>
          <w:color w:val="auto"/>
          <w:sz w:val="24"/>
          <w:szCs w:val="24"/>
          <w:highlight w:val="none"/>
        </w:rPr>
        <w:t xml:space="preserve">履行本合同的相关补充协议（含工程洽商记录、会议纪  </w:t>
      </w:r>
    </w:p>
    <w:p w14:paraId="03C62710">
      <w:pPr>
        <w:pStyle w:val="24"/>
        <w:spacing w:line="300" w:lineRule="auto"/>
        <w:ind w:left="1080" w:firstLine="960" w:firstLineChars="400"/>
        <w:jc w:val="left"/>
        <w:rPr>
          <w:rFonts w:hAnsi="宋体" w:eastAsia="宋体" w:cs="宋体"/>
          <w:color w:val="auto"/>
          <w:sz w:val="24"/>
          <w:szCs w:val="24"/>
          <w:highlight w:val="none"/>
        </w:rPr>
      </w:pPr>
      <w:r>
        <w:rPr>
          <w:rFonts w:hint="eastAsia" w:hAnsi="宋体" w:eastAsia="宋体" w:cs="宋体"/>
          <w:color w:val="auto"/>
          <w:sz w:val="24"/>
          <w:szCs w:val="24"/>
          <w:highlight w:val="none"/>
        </w:rPr>
        <w:t>要、工程变更、现场签证、等修正文件）；</w:t>
      </w:r>
    </w:p>
    <w:p w14:paraId="7DB1AC1E">
      <w:pPr>
        <w:pStyle w:val="24"/>
        <w:numPr>
          <w:ilvl w:val="0"/>
          <w:numId w:val="5"/>
        </w:numPr>
        <w:tabs>
          <w:tab w:val="clear" w:pos="1080"/>
        </w:tabs>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协议书；</w:t>
      </w:r>
    </w:p>
    <w:p w14:paraId="0569D7DD">
      <w:pPr>
        <w:pStyle w:val="24"/>
        <w:numPr>
          <w:ilvl w:val="0"/>
          <w:numId w:val="5"/>
        </w:numPr>
        <w:spacing w:line="300" w:lineRule="auto"/>
        <w:ind w:firstLine="540"/>
        <w:rPr>
          <w:rFonts w:hAnsi="宋体" w:eastAsia="宋体" w:cs="宋体"/>
          <w:color w:val="auto"/>
          <w:sz w:val="24"/>
          <w:szCs w:val="24"/>
          <w:highlight w:val="none"/>
        </w:rPr>
      </w:pPr>
      <w:r>
        <w:rPr>
          <w:rFonts w:hint="eastAsia" w:hAnsi="宋体" w:eastAsia="宋体" w:cs="宋体"/>
          <w:color w:val="auto"/>
          <w:sz w:val="24"/>
          <w:szCs w:val="24"/>
          <w:highlight w:val="none"/>
        </w:rPr>
        <w:t>中标通知书（适用于招标工程）；</w:t>
      </w:r>
    </w:p>
    <w:p w14:paraId="02FA0E1B">
      <w:pPr>
        <w:pStyle w:val="24"/>
        <w:numPr>
          <w:ilvl w:val="0"/>
          <w:numId w:val="5"/>
        </w:numPr>
        <w:tabs>
          <w:tab w:val="left" w:pos="1620"/>
        </w:tabs>
        <w:spacing w:line="300" w:lineRule="auto"/>
        <w:ind w:left="1620" w:leftChars="771" w:hanging="1"/>
        <w:rPr>
          <w:rFonts w:hAnsi="宋体" w:eastAsia="宋体" w:cs="宋体"/>
          <w:color w:val="auto"/>
          <w:sz w:val="24"/>
          <w:szCs w:val="24"/>
          <w:highlight w:val="none"/>
        </w:rPr>
      </w:pPr>
      <w:r>
        <w:rPr>
          <w:rFonts w:hint="eastAsia" w:hAnsi="宋体" w:eastAsia="宋体" w:cs="宋体"/>
          <w:color w:val="auto"/>
          <w:sz w:val="24"/>
          <w:szCs w:val="24"/>
          <w:highlight w:val="none"/>
        </w:rPr>
        <w:t>承包人投标文件及其附件（含评标期间的澄清文件和补充资料）（适用于招标工程）；确认的工程量清单报价单或施工图预算书（适用于非招标工程）；</w:t>
      </w:r>
    </w:p>
    <w:p w14:paraId="5EA9CADA">
      <w:pPr>
        <w:pStyle w:val="24"/>
        <w:numPr>
          <w:ilvl w:val="0"/>
          <w:numId w:val="5"/>
        </w:numPr>
        <w:spacing w:line="300" w:lineRule="auto"/>
        <w:ind w:firstLine="540"/>
        <w:rPr>
          <w:rFonts w:hAnsi="宋体" w:eastAsia="宋体" w:cs="宋体"/>
          <w:color w:val="auto"/>
          <w:sz w:val="24"/>
          <w:szCs w:val="24"/>
          <w:highlight w:val="none"/>
        </w:rPr>
      </w:pPr>
      <w:r>
        <w:rPr>
          <w:rFonts w:hint="eastAsia" w:hAnsi="宋体" w:eastAsia="宋体" w:cs="宋体"/>
          <w:color w:val="auto"/>
          <w:sz w:val="24"/>
          <w:szCs w:val="24"/>
          <w:highlight w:val="none"/>
        </w:rPr>
        <w:t>专用条款；</w:t>
      </w:r>
    </w:p>
    <w:p w14:paraId="13A45142">
      <w:pPr>
        <w:pStyle w:val="24"/>
        <w:numPr>
          <w:ilvl w:val="0"/>
          <w:numId w:val="5"/>
        </w:numPr>
        <w:spacing w:line="300" w:lineRule="auto"/>
        <w:ind w:firstLine="540"/>
        <w:rPr>
          <w:rFonts w:hAnsi="宋体" w:eastAsia="宋体" w:cs="宋体"/>
          <w:color w:val="auto"/>
          <w:sz w:val="24"/>
          <w:szCs w:val="24"/>
          <w:highlight w:val="none"/>
        </w:rPr>
      </w:pPr>
      <w:r>
        <w:rPr>
          <w:rFonts w:hint="eastAsia" w:hAnsi="宋体" w:eastAsia="宋体" w:cs="宋体"/>
          <w:color w:val="auto"/>
          <w:sz w:val="24"/>
          <w:szCs w:val="24"/>
          <w:highlight w:val="none"/>
        </w:rPr>
        <w:t>通用条款；</w:t>
      </w:r>
    </w:p>
    <w:p w14:paraId="7579EEE7">
      <w:pPr>
        <w:pStyle w:val="24"/>
        <w:numPr>
          <w:ilvl w:val="0"/>
          <w:numId w:val="5"/>
        </w:numPr>
        <w:spacing w:line="300" w:lineRule="auto"/>
        <w:ind w:firstLine="540"/>
        <w:rPr>
          <w:rFonts w:hAnsi="宋体" w:eastAsia="宋体" w:cs="宋体"/>
          <w:color w:val="auto"/>
          <w:sz w:val="24"/>
          <w:szCs w:val="24"/>
          <w:highlight w:val="none"/>
        </w:rPr>
      </w:pPr>
      <w:r>
        <w:rPr>
          <w:rFonts w:hint="eastAsia" w:hAnsi="宋体" w:eastAsia="宋体" w:cs="宋体"/>
          <w:color w:val="auto"/>
          <w:sz w:val="24"/>
          <w:szCs w:val="24"/>
          <w:highlight w:val="none"/>
        </w:rPr>
        <w:t>标准、规范及有关技术文件；</w:t>
      </w:r>
    </w:p>
    <w:p w14:paraId="24D86929">
      <w:pPr>
        <w:pStyle w:val="24"/>
        <w:numPr>
          <w:ilvl w:val="0"/>
          <w:numId w:val="5"/>
        </w:numPr>
        <w:spacing w:line="300" w:lineRule="auto"/>
        <w:ind w:left="1077" w:firstLine="540"/>
        <w:rPr>
          <w:rFonts w:hAnsi="宋体" w:eastAsia="宋体" w:cs="宋体"/>
          <w:color w:val="auto"/>
          <w:sz w:val="24"/>
          <w:szCs w:val="24"/>
          <w:highlight w:val="none"/>
        </w:rPr>
      </w:pPr>
      <w:r>
        <w:rPr>
          <w:rFonts w:hint="eastAsia" w:hAnsi="宋体" w:eastAsia="宋体" w:cs="宋体"/>
          <w:color w:val="auto"/>
          <w:sz w:val="24"/>
          <w:szCs w:val="24"/>
          <w:highlight w:val="none"/>
        </w:rPr>
        <w:t>施工设计图纸；</w:t>
      </w:r>
    </w:p>
    <w:p w14:paraId="21F2C3D3">
      <w:pPr>
        <w:pStyle w:val="24"/>
        <w:numPr>
          <w:ilvl w:val="0"/>
          <w:numId w:val="5"/>
        </w:numPr>
        <w:spacing w:line="300" w:lineRule="auto"/>
        <w:ind w:left="1077" w:firstLine="540"/>
        <w:rPr>
          <w:rFonts w:hAnsi="宋体" w:eastAsia="宋体" w:cs="宋体"/>
          <w:color w:val="auto"/>
          <w:sz w:val="24"/>
          <w:szCs w:val="24"/>
          <w:highlight w:val="none"/>
        </w:rPr>
      </w:pPr>
      <w:r>
        <w:rPr>
          <w:rFonts w:hint="eastAsia" w:hAnsi="宋体" w:eastAsia="宋体" w:cs="宋体"/>
          <w:color w:val="auto"/>
          <w:sz w:val="24"/>
          <w:szCs w:val="24"/>
          <w:highlight w:val="none"/>
        </w:rPr>
        <w:t>招标文件（包括补充、修改、澄清的文件、招标图纸、答</w:t>
      </w:r>
    </w:p>
    <w:p w14:paraId="0003D83F">
      <w:pPr>
        <w:pStyle w:val="24"/>
        <w:spacing w:line="300" w:lineRule="auto"/>
        <w:ind w:left="1077"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 疑纪要、工程量清单及总说明等）；</w:t>
      </w:r>
    </w:p>
    <w:p w14:paraId="4A5B86C4">
      <w:pPr>
        <w:pStyle w:val="24"/>
        <w:numPr>
          <w:ilvl w:val="0"/>
          <w:numId w:val="5"/>
        </w:numPr>
        <w:spacing w:line="300" w:lineRule="auto"/>
        <w:ind w:left="1077" w:firstLine="540"/>
        <w:rPr>
          <w:rFonts w:hAnsi="宋体" w:eastAsia="宋体" w:cs="宋体"/>
          <w:color w:val="auto"/>
          <w:sz w:val="24"/>
          <w:szCs w:val="24"/>
          <w:highlight w:val="none"/>
        </w:rPr>
      </w:pPr>
      <w:r>
        <w:rPr>
          <w:rFonts w:hint="eastAsia" w:hAnsi="宋体" w:eastAsia="宋体" w:cs="宋体"/>
          <w:color w:val="auto"/>
          <w:sz w:val="24"/>
          <w:szCs w:val="24"/>
          <w:highlight w:val="none"/>
        </w:rPr>
        <w:t>专用条款约定的其他文件。</w:t>
      </w:r>
    </w:p>
    <w:p w14:paraId="55286753">
      <w:pPr>
        <w:spacing w:line="300" w:lineRule="auto"/>
        <w:ind w:left="1407" w:leftChars="670"/>
        <w:rPr>
          <w:rFonts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w:t>
      </w:r>
    </w:p>
    <w:p w14:paraId="7EC11E3A">
      <w:pPr>
        <w:pStyle w:val="24"/>
        <w:tabs>
          <w:tab w:val="left" w:pos="540"/>
          <w:tab w:val="left" w:pos="1202"/>
        </w:tabs>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2.3  </w:t>
      </w:r>
      <w:r>
        <w:rPr>
          <w:rFonts w:hint="eastAsia" w:hAnsi="宋体" w:eastAsia="宋体" w:cs="宋体"/>
          <w:b/>
          <w:bCs/>
          <w:color w:val="auto"/>
          <w:sz w:val="24"/>
          <w:szCs w:val="24"/>
          <w:highlight w:val="none"/>
          <w:u w:val="dotted"/>
        </w:rPr>
        <w:t xml:space="preserve">                                                                                                        </w:t>
      </w:r>
    </w:p>
    <w:p w14:paraId="1008CB46">
      <w:pPr>
        <w:pStyle w:val="24"/>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1028" name="0000d7"/>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418D35C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wps:wsp>
                  </a:graphicData>
                </a:graphic>
              </wp:anchor>
            </w:drawing>
          </mc:Choice>
          <mc:Fallback>
            <w:pict>
              <v:rect id="0000d7" o:spid="_x0000_s1026" o:spt="1" style="position:absolute;left:0pt;margin-left:-9pt;margin-top:0pt;height:62.4pt;width:72pt;z-index:251659264;mso-width-relative:page;mso-height-relative:page;" filled="f" stroked="f" coordsize="21600,21600" o:gfxdata="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kdBST1wAAAAgBAAAPAAAAAAAAAAEAIAAAACIAAABk&#10;cnMvZG93bnJldi54bWxQSwECFAAUAAAACACHTuJAuy5kYJUBAAA4AwAADgAAAAAAAAABACAAAAAm&#10;AQAAZHJzL2Uyb0RvYy54bWxQSwUGAAAAAAYABgBZAQAALQUAAAAA&#10;">
                <v:fill on="f" focussize="0,0"/>
                <v:stroke on="f"/>
                <v:imagedata o:title=""/>
                <o:lock v:ext="edit" aspectratio="f"/>
                <v:textbox>
                  <w:txbxContent>
                    <w:p w14:paraId="418D35C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rect>
            </w:pict>
          </mc:Fallback>
        </mc:AlternateContent>
      </w:r>
      <w:r>
        <w:rPr>
          <w:rFonts w:hint="eastAsia" w:hAnsi="宋体" w:eastAsia="宋体" w:cs="宋体"/>
          <w:color w:val="auto"/>
          <w:sz w:val="24"/>
          <w:szCs w:val="24"/>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14:paraId="4885734A">
      <w:pPr>
        <w:spacing w:line="300" w:lineRule="auto"/>
        <w:jc w:val="left"/>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714D599D">
      <w:pPr>
        <w:pStyle w:val="4"/>
        <w:tabs>
          <w:tab w:val="left" w:pos="420"/>
        </w:tabs>
        <w:spacing w:line="300" w:lineRule="auto"/>
        <w:ind w:left="720"/>
        <w:rPr>
          <w:rFonts w:ascii="宋体" w:hAnsi="宋体" w:eastAsia="宋体" w:cs="宋体"/>
          <w:bCs w:val="0"/>
          <w:color w:val="auto"/>
          <w:sz w:val="24"/>
          <w:szCs w:val="24"/>
          <w:highlight w:val="none"/>
        </w:rPr>
      </w:pPr>
      <w:bookmarkStart w:id="27" w:name="_Toc46860803"/>
      <w:bookmarkStart w:id="28" w:name="_Toc469383982"/>
      <w:r>
        <w:rPr>
          <w:rFonts w:hint="eastAsia" w:ascii="宋体" w:hAnsi="宋体" w:eastAsia="宋体" w:cs="宋体"/>
          <w:bCs w:val="0"/>
          <w:color w:val="auto"/>
          <w:sz w:val="24"/>
          <w:szCs w:val="24"/>
          <w:highlight w:val="none"/>
        </w:rPr>
        <w:t>3  阅读、理解与接受</w:t>
      </w:r>
      <w:bookmarkEnd w:id="27"/>
      <w:bookmarkEnd w:id="28"/>
    </w:p>
    <w:p w14:paraId="2A07C191">
      <w:pPr>
        <w:tabs>
          <w:tab w:val="left" w:pos="1260"/>
        </w:tabs>
        <w:spacing w:before="240" w:beforeLines="100"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3.1 </w:t>
      </w:r>
    </w:p>
    <w:p w14:paraId="0620C621">
      <w:pPr>
        <w:pStyle w:val="24"/>
        <w:tabs>
          <w:tab w:val="left" w:pos="540"/>
          <w:tab w:val="left" w:pos="1202"/>
        </w:tabs>
        <w:spacing w:line="300" w:lineRule="auto"/>
        <w:ind w:left="1440" w:leftChars="685" w:hanging="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1029" name="0000d8"/>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025BE23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wps:wsp>
                  </a:graphicData>
                </a:graphic>
              </wp:anchor>
            </w:drawing>
          </mc:Choice>
          <mc:Fallback>
            <w:pict>
              <v:rect id="0000d8" o:spid="_x0000_s1026" o:spt="1" style="position:absolute;left:0pt;margin-left:-9pt;margin-top:0pt;height:62.4pt;width:72pt;z-index:251659264;mso-width-relative:page;mso-height-relative:page;" filled="f" stroked="f" coordsize="21600,21600" o:gfxdata="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&#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kdBST1wAAAAgBAAAPAAAAAAAAAAEAIAAAACIAAABk&#10;cnMvZG93bnJldi54bWxQSwECFAAUAAAACACHTuJALQ2YrpUBAAA4AwAADgAAAAAAAAABACAAAAAm&#10;AQAAZHJzL2Uyb0RvYy54bWxQSwUGAAAAAAYABgBZAQAALQUAAAAA&#10;">
                <v:fill on="f" focussize="0,0"/>
                <v:stroke on="f"/>
                <v:imagedata o:title=""/>
                <o:lock v:ext="edit" aspectratio="f"/>
                <v:textbox>
                  <w:txbxContent>
                    <w:p w14:paraId="025BE23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rect>
            </w:pict>
          </mc:Fallback>
        </mc:AlternateContent>
      </w:r>
      <w:r>
        <w:rPr>
          <w:rFonts w:hint="eastAsia" w:hAnsi="宋体" w:eastAsia="宋体" w:cs="宋体"/>
          <w:color w:val="auto"/>
          <w:sz w:val="24"/>
          <w:szCs w:val="24"/>
          <w:highlight w:val="none"/>
        </w:rPr>
        <w:t>合同双方当事人应认真阅读和理解本合同的全部内容。除合同双方当事人同意修改外，本合同一旦订立，视为合同双方当事人已全面接受本合同的所有条款。</w:t>
      </w:r>
    </w:p>
    <w:p w14:paraId="3DCC3B0F">
      <w:pPr>
        <w:pStyle w:val="24"/>
        <w:tabs>
          <w:tab w:val="left" w:pos="2160"/>
        </w:tabs>
        <w:spacing w:before="192" w:beforeLines="80" w:line="300" w:lineRule="auto"/>
        <w:ind w:left="1620" w:hanging="1620" w:hangingChars="675"/>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1030" name="0000d9"/>
                <wp:cNvGraphicFramePr/>
                <a:graphic xmlns:a="http://schemas.openxmlformats.org/drawingml/2006/main">
                  <a:graphicData uri="http://schemas.microsoft.com/office/word/2010/wordprocessingShape">
                    <wps:wsp>
                      <wps:cNvSpPr/>
                      <wps:spPr>
                        <a:xfrm>
                          <a:off x="0" y="0"/>
                          <a:ext cx="952499" cy="792480"/>
                        </a:xfrm>
                        <a:prstGeom prst="rect">
                          <a:avLst/>
                        </a:prstGeom>
                        <a:ln>
                          <a:noFill/>
                        </a:ln>
                      </wps:spPr>
                      <wps:txbx>
                        <w:txbxContent>
                          <w:p w14:paraId="582A8C16">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wps:wsp>
                  </a:graphicData>
                </a:graphic>
              </wp:anchor>
            </w:drawing>
          </mc:Choice>
          <mc:Fallback>
            <w:pict>
              <v:rect id="0000d9" o:spid="_x0000_s1026" o:spt="1" style="position:absolute;left:0pt;margin-left:-9pt;margin-top:31.2pt;height:62.4pt;width:75pt;z-index:251659264;mso-width-relative:page;mso-height-relative:page;" filled="f" stroked="f" coordsize="21600,21600" o:gfxdata="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tyaj/bAAAACgEAAA8AAAAAAAAAAQAgAAAA&#10;IgAAAGRycy9kb3ducmV2LnhtbFBLAQIUABQAAAAIAIdO4kBBC7eDlgEAADgDAAAOAAAAAAAAAAEA&#10;IAAAACoBAABkcnMvZTJvRG9jLnhtbFBLBQYAAAAABgAGAFkBAAAyBQAAAAA=&#10;">
                <v:fill on="f" focussize="0,0"/>
                <v:stroke on="f"/>
                <v:imagedata o:title=""/>
                <o:lock v:ext="edit" aspectratio="f"/>
                <v:textbox>
                  <w:txbxContent>
                    <w:p w14:paraId="582A8C16">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rect>
            </w:pict>
          </mc:Fallback>
        </mc:AlternateContent>
      </w:r>
      <w:r>
        <w:rPr>
          <w:rFonts w:hint="eastAsia" w:hAnsi="宋体" w:eastAsia="宋体" w:cs="宋体"/>
          <w:b/>
          <w:bCs/>
          <w:color w:val="auto"/>
          <w:sz w:val="24"/>
          <w:szCs w:val="24"/>
          <w:highlight w:val="none"/>
        </w:rPr>
        <w:t xml:space="preserve">3.2  </w:t>
      </w:r>
      <w:r>
        <w:rPr>
          <w:rFonts w:hint="eastAsia" w:hAnsi="宋体" w:eastAsia="宋体" w:cs="宋体"/>
          <w:b/>
          <w:bCs/>
          <w:color w:val="auto"/>
          <w:sz w:val="24"/>
          <w:szCs w:val="24"/>
          <w:highlight w:val="none"/>
          <w:u w:val="dotted"/>
        </w:rPr>
        <w:t xml:space="preserve">                                                                               </w:t>
      </w:r>
    </w:p>
    <w:p w14:paraId="280C9084">
      <w:pPr>
        <w:pStyle w:val="24"/>
        <w:tabs>
          <w:tab w:val="left" w:pos="2160"/>
        </w:tabs>
        <w:spacing w:before="192" w:beforeLines="80" w:line="300" w:lineRule="auto"/>
        <w:ind w:left="1618" w:leftChars="741" w:hanging="62" w:hangingChars="26"/>
        <w:rPr>
          <w:rFonts w:hAnsi="宋体" w:eastAsia="宋体" w:cs="宋体"/>
          <w:color w:val="auto"/>
          <w:sz w:val="24"/>
          <w:szCs w:val="24"/>
          <w:highlight w:val="none"/>
        </w:rPr>
      </w:pPr>
      <w:r>
        <w:rPr>
          <w:rFonts w:hint="eastAsia" w:hAnsi="宋体" w:eastAsia="宋体" w:cs="宋体"/>
          <w:color w:val="auto"/>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180E9933">
      <w:pPr>
        <w:pStyle w:val="24"/>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FEF0EA4">
      <w:pPr>
        <w:pStyle w:val="4"/>
        <w:tabs>
          <w:tab w:val="left" w:pos="420"/>
        </w:tabs>
        <w:spacing w:line="300" w:lineRule="auto"/>
        <w:ind w:left="720"/>
        <w:rPr>
          <w:rFonts w:ascii="宋体" w:hAnsi="宋体" w:eastAsia="宋体" w:cs="宋体"/>
          <w:bCs w:val="0"/>
          <w:color w:val="auto"/>
          <w:sz w:val="24"/>
          <w:szCs w:val="24"/>
          <w:highlight w:val="none"/>
        </w:rPr>
      </w:pPr>
      <w:bookmarkStart w:id="29" w:name="_Toc46860804"/>
      <w:bookmarkStart w:id="30" w:name="_Toc469383983"/>
      <w:r>
        <w:rPr>
          <w:rFonts w:hint="eastAsia" w:ascii="宋体" w:hAnsi="宋体" w:eastAsia="宋体" w:cs="宋体"/>
          <w:bCs w:val="0"/>
          <w:color w:val="auto"/>
          <w:sz w:val="24"/>
          <w:szCs w:val="24"/>
          <w:highlight w:val="none"/>
        </w:rPr>
        <w:t>4  语言及适用的法律、标准与规范</w:t>
      </w:r>
      <w:bookmarkEnd w:id="29"/>
      <w:bookmarkEnd w:id="30"/>
    </w:p>
    <w:p w14:paraId="288BA9E0">
      <w:pPr>
        <w:tabs>
          <w:tab w:val="left" w:pos="1320"/>
        </w:tabs>
        <w:spacing w:line="300" w:lineRule="auto"/>
        <w:ind w:right="-15" w:rightChars="-7"/>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                         </w:t>
      </w:r>
    </w:p>
    <w:p w14:paraId="78C500E5">
      <w:pPr>
        <w:tabs>
          <w:tab w:val="left" w:pos="1620"/>
        </w:tabs>
        <w:spacing w:line="300" w:lineRule="auto"/>
        <w:ind w:left="2156" w:right="-7" w:hanging="2156" w:hangingChars="895"/>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语言文字  </w:t>
      </w:r>
      <w:r>
        <w:rPr>
          <w:rFonts w:hint="eastAsia" w:ascii="宋体" w:hAnsi="宋体" w:eastAsia="宋体" w:cs="宋体"/>
          <w:color w:val="auto"/>
          <w:sz w:val="24"/>
          <w:highlight w:val="none"/>
        </w:rPr>
        <w:t xml:space="preserve">    本合同所使用的语言文字为中文（汉语）。</w:t>
      </w:r>
    </w:p>
    <w:p w14:paraId="66A694F2">
      <w:pPr>
        <w:tabs>
          <w:tab w:val="left" w:pos="1620"/>
        </w:tabs>
        <w:spacing w:line="300" w:lineRule="auto"/>
        <w:ind w:left="1579" w:leftChars="752" w:firstLine="117" w:firstLineChars="49"/>
        <w:rPr>
          <w:rFonts w:ascii="宋体" w:hAnsi="宋体" w:eastAsia="宋体" w:cs="宋体"/>
          <w:color w:val="auto"/>
          <w:sz w:val="24"/>
          <w:highlight w:val="none"/>
        </w:rPr>
      </w:pPr>
      <w:r>
        <w:rPr>
          <w:rFonts w:hint="eastAsia" w:ascii="宋体" w:hAnsi="宋体" w:eastAsia="宋体" w:cs="宋体"/>
          <w:color w:val="auto"/>
          <w:sz w:val="24"/>
          <w:highlight w:val="none"/>
        </w:rPr>
        <w:t>对于必须使用外文表达的专用术语等，应附有中文注释。合同当事人在合同中使用两种以上语言时，汉语为优先解释和说明合同的语言。</w:t>
      </w:r>
    </w:p>
    <w:p w14:paraId="66C0C888">
      <w:pPr>
        <w:tabs>
          <w:tab w:val="left" w:pos="1320"/>
        </w:tabs>
        <w:spacing w:line="300" w:lineRule="auto"/>
        <w:ind w:right="-7"/>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4.2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12D4B4E8">
      <w:pPr>
        <w:pStyle w:val="35"/>
        <w:spacing w:line="300" w:lineRule="auto"/>
        <w:ind w:left="1617" w:leftChars="770" w:firstLine="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1031" name="0000da"/>
                <wp:cNvGraphicFramePr/>
                <a:graphic xmlns:a="http://schemas.openxmlformats.org/drawingml/2006/main">
                  <a:graphicData uri="http://schemas.microsoft.com/office/word/2010/wordprocessingShape">
                    <wps:wsp>
                      <wps:cNvSpPr/>
                      <wps:spPr>
                        <a:xfrm>
                          <a:off x="0" y="0"/>
                          <a:ext cx="1028700" cy="457200"/>
                        </a:xfrm>
                        <a:prstGeom prst="rect">
                          <a:avLst/>
                        </a:prstGeom>
                        <a:ln>
                          <a:noFill/>
                        </a:ln>
                      </wps:spPr>
                      <wps:txbx>
                        <w:txbxContent>
                          <w:p w14:paraId="1CEB6901">
                            <w:pPr>
                              <w:rPr>
                                <w:rFonts w:ascii="楷体_GB2312" w:eastAsia="楷体_GB2312"/>
                                <w:sz w:val="18"/>
                                <w:szCs w:val="18"/>
                              </w:rPr>
                            </w:pPr>
                            <w:r>
                              <w:rPr>
                                <w:rFonts w:hint="eastAsia" w:ascii="楷体_GB2312" w:eastAsia="楷体_GB2312" w:cs="楷体_GB2312"/>
                                <w:b/>
                                <w:bCs/>
                                <w:color w:val="000000"/>
                                <w:sz w:val="18"/>
                                <w:szCs w:val="18"/>
                              </w:rPr>
                              <w:t>适用法律</w:t>
                            </w:r>
                          </w:p>
                        </w:txbxContent>
                      </wps:txbx>
                      <wps:bodyPr wrap="square"/>
                    </wps:wsp>
                  </a:graphicData>
                </a:graphic>
              </wp:anchor>
            </w:drawing>
          </mc:Choice>
          <mc:Fallback>
            <w:pict>
              <v:rect id="0000da" o:spid="_x0000_s1026" o:spt="1" style="position:absolute;left:0pt;margin-left:-9pt;margin-top:3pt;height:36pt;width:81pt;z-index:251659264;mso-width-relative:page;mso-height-relative:page;" filled="f" stroked="f" coordsize="21600,21600" o:gfxdata="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3Jac82AAAAAgBAAAPAAAAAAAAAAEAIAAAACIAAABk&#10;cnMvZG93bnJldi54bWxQSwECFAAUAAAACACHTuJALJ/c6ZQBAAA5AwAADgAAAAAAAAABACAAAAAn&#10;AQAAZHJzL2Uyb0RvYy54bWxQSwUGAAAAAAYABgBZAQAALQUAAAAA&#10;">
                <v:fill on="f" focussize="0,0"/>
                <v:stroke on="f"/>
                <v:imagedata o:title=""/>
                <o:lock v:ext="edit" aspectratio="f"/>
                <v:textbox>
                  <w:txbxContent>
                    <w:p w14:paraId="1CEB6901">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rect>
            </w:pict>
          </mc:Fallback>
        </mc:AlternateContent>
      </w:r>
      <w:r>
        <w:rPr>
          <w:rFonts w:hint="eastAsia" w:ascii="宋体" w:eastAsia="宋体" w:cs="宋体"/>
          <w:color w:val="auto"/>
          <w:highlight w:val="none"/>
        </w:rPr>
        <w:t>本合同适用的法律为中华人民共和国的现行法律、行政法规、部门规章和合同工程所在地的地方性法规、地方政府规章、行政规范性文件。</w:t>
      </w:r>
    </w:p>
    <w:p w14:paraId="2B5B5079">
      <w:pPr>
        <w:tabs>
          <w:tab w:val="left" w:pos="1320"/>
        </w:tabs>
        <w:spacing w:line="300" w:lineRule="auto"/>
        <w:ind w:right="-7"/>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4.3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046DE4A0">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1032" name="0000db"/>
                <wp:cNvGraphicFramePr/>
                <a:graphic xmlns:a="http://schemas.openxmlformats.org/drawingml/2006/main">
                  <a:graphicData uri="http://schemas.microsoft.com/office/word/2010/wordprocessingShape">
                    <wps:wsp>
                      <wps:cNvSpPr/>
                      <wps:spPr>
                        <a:xfrm>
                          <a:off x="0" y="0"/>
                          <a:ext cx="1028700" cy="441960"/>
                        </a:xfrm>
                        <a:prstGeom prst="rect">
                          <a:avLst/>
                        </a:prstGeom>
                        <a:ln>
                          <a:noFill/>
                        </a:ln>
                      </wps:spPr>
                      <wps:txbx>
                        <w:txbxContent>
                          <w:p w14:paraId="6C5F86E1">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14:paraId="3FE939F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wrap="square"/>
                    </wps:wsp>
                  </a:graphicData>
                </a:graphic>
              </wp:anchor>
            </w:drawing>
          </mc:Choice>
          <mc:Fallback>
            <w:pict>
              <v:rect id="0000db" o:spid="_x0000_s1026" o:spt="1" style="position:absolute;left:0pt;margin-left:-9pt;margin-top:0pt;height:34.8pt;width:81pt;z-index:251659264;mso-width-relative:page;mso-height-relative:page;" filled="f" stroked="f" coordsize="21600,21600" o:gfxdata="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STRF/YAAAABwEAAA8AAAAAAAAAAQAgAAAAIgAA&#10;AGRycy9kb3ducmV2LnhtbFBLAQIUABQAAAAIAIdO4kA+4DsPlgEAADkDAAAOAAAAAAAAAAEAIAAA&#10;ACcBAABkcnMvZTJvRG9jLnhtbFBLBQYAAAAABgAGAFkBAAAvBQAAAAA=&#10;">
                <v:fill on="f" focussize="0,0"/>
                <v:stroke on="f"/>
                <v:imagedata o:title=""/>
                <o:lock v:ext="edit" aspectratio="f"/>
                <v:textbox>
                  <w:txbxContent>
                    <w:p w14:paraId="6C5F86E1">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14:paraId="3FE939F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rect>
            </w:pict>
          </mc:Fallback>
        </mc:AlternateContent>
      </w:r>
      <w:r>
        <w:rPr>
          <w:rFonts w:hint="eastAsia" w:ascii="宋体" w:hAnsi="宋体" w:eastAsia="宋体" w:cs="宋体"/>
          <w:color w:val="auto"/>
          <w:sz w:val="24"/>
          <w:highlight w:val="none"/>
        </w:rPr>
        <w:t>本合同适用的标准与规范为国家、行业和广东省的标准与规范或规程，以及发包人在合同中要求使用的标准与规范。</w:t>
      </w:r>
    </w:p>
    <w:p w14:paraId="597EC9C1">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14:paraId="0B8565E0">
      <w:p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1D3703D8">
      <w:pPr>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4F64EC0C">
      <w:pPr>
        <w:pStyle w:val="4"/>
        <w:tabs>
          <w:tab w:val="left" w:pos="420"/>
        </w:tabs>
        <w:spacing w:line="300" w:lineRule="auto"/>
        <w:ind w:left="720"/>
        <w:rPr>
          <w:rFonts w:ascii="宋体" w:hAnsi="宋体" w:eastAsia="宋体" w:cs="宋体"/>
          <w:bCs w:val="0"/>
          <w:color w:val="auto"/>
          <w:sz w:val="24"/>
          <w:szCs w:val="24"/>
          <w:highlight w:val="none"/>
        </w:rPr>
      </w:pPr>
      <w:bookmarkStart w:id="31" w:name="_Toc469383984"/>
      <w:bookmarkStart w:id="32" w:name="_Toc46860805"/>
      <w:r>
        <w:rPr>
          <w:rFonts w:hint="eastAsia" w:ascii="宋体" w:hAnsi="宋体" w:eastAsia="宋体" w:cs="宋体"/>
          <w:bCs w:val="0"/>
          <w:color w:val="auto"/>
          <w:sz w:val="24"/>
          <w:szCs w:val="24"/>
          <w:highlight w:val="none"/>
        </w:rPr>
        <w:t>5  施工设计图纸</w:t>
      </w:r>
      <w:bookmarkEnd w:id="31"/>
      <w:bookmarkEnd w:id="32"/>
    </w:p>
    <w:p w14:paraId="3C507A9E">
      <w:pPr>
        <w:pStyle w:val="24"/>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5.1 </w:t>
      </w:r>
    </w:p>
    <w:p w14:paraId="51232ADB">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1033" name="0000dc"/>
                <wp:cNvGraphicFramePr/>
                <a:graphic xmlns:a="http://schemas.openxmlformats.org/drawingml/2006/main">
                  <a:graphicData uri="http://schemas.microsoft.com/office/word/2010/wordprocessingShape">
                    <wps:wsp>
                      <wps:cNvSpPr/>
                      <wps:spPr>
                        <a:xfrm>
                          <a:off x="0" y="0"/>
                          <a:ext cx="800100" cy="911860"/>
                        </a:xfrm>
                        <a:prstGeom prst="rect">
                          <a:avLst/>
                        </a:prstGeom>
                        <a:ln>
                          <a:noFill/>
                        </a:ln>
                      </wps:spPr>
                      <wps:txbx>
                        <w:txbxContent>
                          <w:p w14:paraId="2614709C">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wps:wsp>
                  </a:graphicData>
                </a:graphic>
              </wp:anchor>
            </w:drawing>
          </mc:Choice>
          <mc:Fallback>
            <w:pict>
              <v:rect id="0000dc" o:spid="_x0000_s1026" o:spt="1" style="position:absolute;left:0pt;margin-left:-9pt;margin-top:1.6pt;height:71.8pt;width:63pt;z-index:251659264;mso-width-relative:page;mso-height-relative:page;" filled="f" stroked="f" coordsize="21600,21600" o:gfxdata="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&#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IDmWvfYAAAACQEAAA8AAAAAAAAAAQAgAAAAIgAAAGRy&#10;cy9kb3ducmV2LnhtbFBLAQIUABQAAAAIAIdO4kBDKbZJkwEAADgDAAAOAAAAAAAAAAEAIAAAACcB&#10;AABkcnMvZTJvRG9jLnhtbFBLBQYAAAAABgAGAFkBAAAsBQAAAAA=&#10;">
                <v:fill on="f" focussize="0,0"/>
                <v:stroke on="f"/>
                <v:imagedata o:title=""/>
                <o:lock v:ext="edit" aspectratio="f"/>
                <v:textbox>
                  <w:txbxContent>
                    <w:p w14:paraId="2614709C">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rect>
            </w:pict>
          </mc:Fallback>
        </mc:AlternateContent>
      </w:r>
      <w:r>
        <w:rPr>
          <w:rFonts w:hint="eastAsia" w:ascii="宋体" w:hAnsi="宋体" w:eastAsia="宋体" w:cs="宋体"/>
          <w:color w:val="auto"/>
          <w:sz w:val="24"/>
          <w:highlight w:val="none"/>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14:paraId="4BB74A3C">
      <w:pPr>
        <w:pStyle w:val="24"/>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5.2  </w:t>
      </w:r>
      <w:r>
        <w:rPr>
          <w:rFonts w:hint="eastAsia" w:hAnsi="宋体" w:eastAsia="宋体" w:cs="宋体"/>
          <w:b/>
          <w:bCs/>
          <w:color w:val="auto"/>
          <w:sz w:val="24"/>
          <w:szCs w:val="24"/>
          <w:highlight w:val="none"/>
          <w:u w:val="dotted"/>
        </w:rPr>
        <w:t xml:space="preserve">                                                                              </w:t>
      </w:r>
    </w:p>
    <w:p w14:paraId="3F094058">
      <w:pPr>
        <w:pStyle w:val="35"/>
        <w:tabs>
          <w:tab w:val="left" w:pos="4970"/>
        </w:tabs>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1034" name="0000dd"/>
                <wp:cNvGraphicFramePr/>
                <a:graphic xmlns:a="http://schemas.openxmlformats.org/drawingml/2006/main">
                  <a:graphicData uri="http://schemas.microsoft.com/office/word/2010/wordprocessingShape">
                    <wps:wsp>
                      <wps:cNvSpPr/>
                      <wps:spPr>
                        <a:xfrm>
                          <a:off x="0" y="0"/>
                          <a:ext cx="800100" cy="911860"/>
                        </a:xfrm>
                        <a:prstGeom prst="rect">
                          <a:avLst/>
                        </a:prstGeom>
                        <a:ln>
                          <a:noFill/>
                        </a:ln>
                      </wps:spPr>
                      <wps:txbx>
                        <w:txbxContent>
                          <w:p w14:paraId="4776CCF6">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wps:wsp>
                  </a:graphicData>
                </a:graphic>
              </wp:anchor>
            </w:drawing>
          </mc:Choice>
          <mc:Fallback>
            <w:pict>
              <v:rect id="0000dd" o:spid="_x0000_s1026" o:spt="1" style="position:absolute;left:0pt;margin-left:-9pt;margin-top:0pt;height:71.8pt;width:63pt;z-index:251659264;mso-width-relative:page;mso-height-relative:page;" filled="f" stroked="f" coordsize="21600,21600" o:gfxdata="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IwSbFfXAAAACAEAAA8AAAAAAAAAAQAgAAAAIgAAAGRy&#10;cy9kb3ducmV2LnhtbFBLAQIUABQAAAAIAIdO4kAbv/WHlAEAADgDAAAOAAAAAAAAAAEAIAAAACYB&#10;AABkcnMvZTJvRG9jLnhtbFBLBQYAAAAABgAGAFkBAAAsBQAAAAA=&#10;">
                <v:fill on="f" focussize="0,0"/>
                <v:stroke on="f"/>
                <v:imagedata o:title=""/>
                <o:lock v:ext="edit" aspectratio="f"/>
                <v:textbox>
                  <w:txbxContent>
                    <w:p w14:paraId="4776CCF6">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v:textbox>
              </v:rect>
            </w:pict>
          </mc:Fallback>
        </mc:AlternateContent>
      </w:r>
      <w:r>
        <w:rPr>
          <w:rFonts w:hint="eastAsia" w:ascii="宋体" w:eastAsia="宋体" w:cs="宋体"/>
          <w:color w:val="auto"/>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68146AB8">
      <w:pPr>
        <w:tabs>
          <w:tab w:val="left" w:pos="4970"/>
        </w:tabs>
        <w:spacing w:line="300" w:lineRule="auto"/>
        <w:rPr>
          <w:rFonts w:ascii="宋体" w:hAnsi="宋体" w:eastAsia="宋体" w:cs="宋体"/>
          <w:b/>
          <w:bCs/>
          <w:color w:val="auto"/>
          <w:sz w:val="24"/>
          <w:highlight w:val="none"/>
        </w:rPr>
      </w:pPr>
    </w:p>
    <w:p w14:paraId="0A51555C">
      <w:pPr>
        <w:tabs>
          <w:tab w:val="left" w:pos="497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5.3  </w:t>
      </w:r>
      <w:r>
        <w:rPr>
          <w:rFonts w:hint="eastAsia" w:ascii="宋体" w:hAnsi="宋体" w:eastAsia="宋体" w:cs="宋体"/>
          <w:b/>
          <w:bCs/>
          <w:color w:val="auto"/>
          <w:sz w:val="24"/>
          <w:highlight w:val="none"/>
          <w:u w:val="dotted"/>
        </w:rPr>
        <w:t xml:space="preserve">                                                                                                       </w:t>
      </w:r>
    </w:p>
    <w:p w14:paraId="10A560A6">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35" name="0000de"/>
                <wp:cNvGraphicFramePr/>
                <a:graphic xmlns:a="http://schemas.openxmlformats.org/drawingml/2006/main">
                  <a:graphicData uri="http://schemas.microsoft.com/office/word/2010/wordprocessingShape">
                    <wps:wsp>
                      <wps:cNvSpPr/>
                      <wps:spPr>
                        <a:xfrm>
                          <a:off x="0" y="0"/>
                          <a:ext cx="914400" cy="648970"/>
                        </a:xfrm>
                        <a:prstGeom prst="rect">
                          <a:avLst/>
                        </a:prstGeom>
                        <a:ln>
                          <a:noFill/>
                        </a:ln>
                      </wps:spPr>
                      <wps:txbx>
                        <w:txbxContent>
                          <w:p w14:paraId="1EA53445">
                            <w:pPr>
                              <w:rPr>
                                <w:rFonts w:ascii="宋体"/>
                                <w:sz w:val="18"/>
                                <w:szCs w:val="18"/>
                              </w:rPr>
                            </w:pPr>
                            <w:r>
                              <w:rPr>
                                <w:rFonts w:hint="eastAsia" w:ascii="楷体_GB2312" w:hAnsi="宋体" w:eastAsia="楷体_GB2312" w:cs="楷体_GB2312"/>
                                <w:b/>
                                <w:bCs/>
                                <w:color w:val="000000"/>
                                <w:sz w:val="18"/>
                                <w:szCs w:val="18"/>
                              </w:rPr>
                              <w:t>图纸的修改</w:t>
                            </w:r>
                          </w:p>
                        </w:txbxContent>
                      </wps:txbx>
                      <wps:bodyPr wrap="square"/>
                    </wps:wsp>
                  </a:graphicData>
                </a:graphic>
              </wp:anchor>
            </w:drawing>
          </mc:Choice>
          <mc:Fallback>
            <w:pict>
              <v:rect id="0000de" o:spid="_x0000_s1026" o:spt="1" style="position:absolute;left:0pt;margin-left:-9pt;margin-top:0pt;height:51.1pt;width:72pt;z-index:251659264;mso-width-relative:page;mso-height-relative:page;" filled="f" stroked="f" coordsize="21600,21600" o:gfxdata="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48+aO1wAAAAgBAAAPAAAAAAAAAAEAIAAAACIAAABk&#10;cnMvZG93bnJldi54bWxQSwECFAAUAAAACACHTuJAvIHWz5UBAAA4AwAADgAAAAAAAAABACAAAAAm&#10;AQAAZHJzL2Uyb0RvYy54bWxQSwUGAAAAAAYABgBZAQAALQUAAAAA&#10;">
                <v:fill on="f" focussize="0,0"/>
                <v:stroke on="f"/>
                <v:imagedata o:title=""/>
                <o:lock v:ext="edit" aspectratio="f"/>
                <v:textbox>
                  <w:txbxContent>
                    <w:p w14:paraId="1EA53445">
                      <w:pPr>
                        <w:rPr>
                          <w:rFonts w:ascii="宋体"/>
                          <w:sz w:val="18"/>
                          <w:szCs w:val="18"/>
                        </w:rPr>
                      </w:pPr>
                      <w:r>
                        <w:rPr>
                          <w:rFonts w:hint="eastAsia" w:ascii="楷体_GB2312" w:hAnsi="宋体" w:eastAsia="楷体_GB2312" w:cs="楷体_GB2312"/>
                          <w:b/>
                          <w:bCs/>
                          <w:color w:val="000000"/>
                          <w:sz w:val="18"/>
                          <w:szCs w:val="18"/>
                        </w:rPr>
                        <w:t>图纸的修改</w:t>
                      </w:r>
                    </w:p>
                  </w:txbxContent>
                </v:textbox>
              </v:rect>
            </w:pict>
          </mc:Fallback>
        </mc:AlternateContent>
      </w:r>
      <w:r>
        <w:rPr>
          <w:rFonts w:hint="eastAsia" w:ascii="宋体" w:hAnsi="宋体" w:eastAsia="宋体" w:cs="宋体"/>
          <w:color w:val="auto"/>
          <w:sz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27EB9F65">
      <w:pPr>
        <w:tabs>
          <w:tab w:val="left" w:pos="497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5.4  </w:t>
      </w:r>
      <w:r>
        <w:rPr>
          <w:rFonts w:hint="eastAsia" w:ascii="宋体" w:hAnsi="宋体" w:eastAsia="宋体" w:cs="宋体"/>
          <w:b/>
          <w:bCs/>
          <w:color w:val="auto"/>
          <w:sz w:val="24"/>
          <w:highlight w:val="none"/>
          <w:u w:val="dotted"/>
        </w:rPr>
        <w:t xml:space="preserve">                                                                                                       </w:t>
      </w:r>
    </w:p>
    <w:p w14:paraId="403D08FD">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36" name="0000df"/>
                <wp:cNvGraphicFramePr/>
                <a:graphic xmlns:a="http://schemas.openxmlformats.org/drawingml/2006/main">
                  <a:graphicData uri="http://schemas.microsoft.com/office/word/2010/wordprocessingShape">
                    <wps:wsp>
                      <wps:cNvSpPr/>
                      <wps:spPr>
                        <a:xfrm>
                          <a:off x="0" y="0"/>
                          <a:ext cx="914400" cy="648970"/>
                        </a:xfrm>
                        <a:prstGeom prst="rect">
                          <a:avLst/>
                        </a:prstGeom>
                        <a:ln>
                          <a:noFill/>
                        </a:ln>
                      </wps:spPr>
                      <wps:txbx>
                        <w:txbxContent>
                          <w:p w14:paraId="3A43D66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wps:wsp>
                  </a:graphicData>
                </a:graphic>
              </wp:anchor>
            </w:drawing>
          </mc:Choice>
          <mc:Fallback>
            <w:pict>
              <v:rect id="0000df" o:spid="_x0000_s1026" o:spt="1" style="position:absolute;left:0pt;margin-left:-9pt;margin-top:0pt;height:51.1pt;width:72pt;z-index:251659264;mso-width-relative:page;mso-height-relative:page;" filled="f" stroked="f" coordsize="21600,21600" o:gfxdata="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PPmjtcAAAAIAQAADwAAAAAAAAABACAAAAAiAAAA&#10;ZHJzL2Rvd25yZXYueG1sUEsBAhQAFAAAAAgAh07iQGlnEXCWAQAAOAMAAA4AAAAAAAAAAQAgAAAA&#10;JgEAAGRycy9lMm9Eb2MueG1sUEsFBgAAAAAGAAYAWQEAAC4FAAAAAA==&#10;">
                <v:fill on="f" focussize="0,0"/>
                <v:stroke on="f"/>
                <v:imagedata o:title=""/>
                <o:lock v:ext="edit" aspectratio="f"/>
                <v:textbox>
                  <w:txbxContent>
                    <w:p w14:paraId="3A43D66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rect>
            </w:pict>
          </mc:Fallback>
        </mc:AlternateContent>
      </w:r>
      <w:r>
        <w:rPr>
          <w:rFonts w:hint="eastAsia" w:ascii="宋体" w:hAnsi="宋体" w:eastAsia="宋体" w:cs="宋体"/>
          <w:color w:val="auto"/>
          <w:sz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5E4E5E39">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5.5  </w:t>
      </w:r>
      <w:r>
        <w:rPr>
          <w:rFonts w:hint="eastAsia" w:ascii="宋体" w:hAnsi="宋体" w:eastAsia="宋体" w:cs="宋体"/>
          <w:b/>
          <w:bCs/>
          <w:color w:val="auto"/>
          <w:sz w:val="24"/>
          <w:highlight w:val="none"/>
          <w:u w:val="dotted"/>
        </w:rPr>
        <w:t xml:space="preserve">                                                                                                       </w:t>
      </w:r>
    </w:p>
    <w:p w14:paraId="4B525AA9">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37" name="0000e0"/>
                <wp:cNvGraphicFramePr/>
                <a:graphic xmlns:a="http://schemas.openxmlformats.org/drawingml/2006/main">
                  <a:graphicData uri="http://schemas.microsoft.com/office/word/2010/wordprocessingShape">
                    <wps:wsp>
                      <wps:cNvSpPr/>
                      <wps:spPr>
                        <a:xfrm>
                          <a:off x="0" y="0"/>
                          <a:ext cx="914400" cy="648970"/>
                        </a:xfrm>
                        <a:prstGeom prst="rect">
                          <a:avLst/>
                        </a:prstGeom>
                        <a:ln>
                          <a:noFill/>
                        </a:ln>
                      </wps:spPr>
                      <wps:txbx>
                        <w:txbxContent>
                          <w:p w14:paraId="15032675">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wps:wsp>
                  </a:graphicData>
                </a:graphic>
              </wp:anchor>
            </w:drawing>
          </mc:Choice>
          <mc:Fallback>
            <w:pict>
              <v:rect id="0000e0" o:spid="_x0000_s1026" o:spt="1" style="position:absolute;left:0pt;margin-left:-9pt;margin-top:0pt;height:51.1pt;width:72pt;z-index:251659264;mso-width-relative:page;mso-height-relative:page;" filled="f" stroked="f" coordsize="21600,21600" o:gfxdata="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&#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jz5o7XAAAACAEAAA8AAAAAAAAAAQAgAAAAIgAAAGRy&#10;cy9kb3ducmV2LnhtbFBLAQIUABQAAAAIAIdO4kAKilP2lAEAADgDAAAOAAAAAAAAAAEAIAAAACYB&#10;AABkcnMvZTJvRG9jLnhtbFBLBQYAAAAABgAGAFkBAAAsBQAAAAA=&#10;">
                <v:fill on="f" focussize="0,0"/>
                <v:stroke on="f"/>
                <v:imagedata o:title=""/>
                <o:lock v:ext="edit" aspectratio="f"/>
                <v:textbox>
                  <w:txbxContent>
                    <w:p w14:paraId="15032675">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rect>
            </w:pict>
          </mc:Fallback>
        </mc:AlternateContent>
      </w:r>
      <w:r>
        <w:rPr>
          <w:rFonts w:hint="eastAsia" w:ascii="宋体" w:hAnsi="宋体" w:eastAsia="宋体" w:cs="宋体"/>
          <w:color w:val="auto"/>
          <w:sz w:val="24"/>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14:paraId="35CD4CBC">
      <w:pPr>
        <w:tabs>
          <w:tab w:val="left" w:pos="1620"/>
        </w:tabs>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07291AD9">
      <w:pPr>
        <w:pStyle w:val="4"/>
        <w:tabs>
          <w:tab w:val="left" w:pos="420"/>
        </w:tabs>
        <w:spacing w:line="300" w:lineRule="auto"/>
        <w:ind w:left="720"/>
        <w:rPr>
          <w:rFonts w:ascii="宋体" w:hAnsi="宋体" w:eastAsia="宋体" w:cs="宋体"/>
          <w:color w:val="auto"/>
          <w:sz w:val="24"/>
          <w:szCs w:val="24"/>
          <w:highlight w:val="none"/>
        </w:rPr>
      </w:pPr>
      <w:bookmarkStart w:id="33" w:name="_Toc469383985"/>
      <w:bookmarkStart w:id="34" w:name="_Toc46860806"/>
      <w:r>
        <w:rPr>
          <w:rFonts w:hint="eastAsia" w:ascii="宋体" w:hAnsi="宋体" w:eastAsia="宋体" w:cs="宋体"/>
          <w:color w:val="auto"/>
          <w:sz w:val="24"/>
          <w:szCs w:val="24"/>
          <w:highlight w:val="none"/>
        </w:rPr>
        <w:t>6  通讯联络</w:t>
      </w:r>
      <w:bookmarkEnd w:id="33"/>
      <w:bookmarkEnd w:id="34"/>
    </w:p>
    <w:p w14:paraId="6B1F3C2B">
      <w:pPr>
        <w:pStyle w:val="24"/>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6.1   </w:t>
      </w:r>
    </w:p>
    <w:p w14:paraId="676C2656">
      <w:pPr>
        <w:tabs>
          <w:tab w:val="left" w:pos="1620"/>
        </w:tabs>
        <w:spacing w:line="300" w:lineRule="auto"/>
        <w:ind w:left="2156" w:hanging="2156" w:hangingChars="895"/>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通讯形式     </w:t>
      </w:r>
      <w:r>
        <w:rPr>
          <w:rFonts w:hint="eastAsia" w:ascii="宋体" w:hAnsi="宋体" w:eastAsia="宋体" w:cs="宋体"/>
          <w:color w:val="auto"/>
          <w:sz w:val="24"/>
          <w:highlight w:val="none"/>
        </w:rPr>
        <w:t>本合同中无论何处涉及到各方之间的申请、批准、确认、同意、</w:t>
      </w:r>
    </w:p>
    <w:p w14:paraId="0DBCB349">
      <w:pPr>
        <w:tabs>
          <w:tab w:val="left" w:pos="1620"/>
        </w:tabs>
        <w:spacing w:line="300" w:lineRule="auto"/>
        <w:ind w:left="1680" w:leftChars="800"/>
        <w:rPr>
          <w:rFonts w:ascii="宋体" w:hAnsi="宋体" w:eastAsia="宋体" w:cs="宋体"/>
          <w:color w:val="auto"/>
          <w:sz w:val="24"/>
          <w:highlight w:val="none"/>
        </w:rPr>
      </w:pPr>
      <w:r>
        <w:rPr>
          <w:rFonts w:hint="eastAsia" w:ascii="宋体" w:hAnsi="宋体" w:eastAsia="宋体" w:cs="宋体"/>
          <w:color w:val="auto"/>
          <w:sz w:val="24"/>
          <w:highlight w:val="none"/>
        </w:rPr>
        <w:t>决定、核实、通知、</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任命、指令、要求、意见、证明、证件或表示同意、否定等的通讯（含派人面交、邮寄、电子传输等），均应采用书面形式，且只有在对方当事人收到后方能生效。</w:t>
      </w:r>
    </w:p>
    <w:p w14:paraId="05825FC4">
      <w:pPr>
        <w:pStyle w:val="24"/>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  </w:t>
      </w:r>
      <w:r>
        <w:rPr>
          <w:rFonts w:hint="eastAsia" w:hAnsi="宋体" w:eastAsia="宋体" w:cs="宋体"/>
          <w:b/>
          <w:bCs/>
          <w:color w:val="auto"/>
          <w:sz w:val="24"/>
          <w:szCs w:val="24"/>
          <w:highlight w:val="none"/>
          <w:u w:val="dotted"/>
        </w:rPr>
        <w:t xml:space="preserve">                                                                              </w:t>
      </w:r>
    </w:p>
    <w:p w14:paraId="1993DCAA">
      <w:pPr>
        <w:pStyle w:val="24"/>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038" name="0000e1"/>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37A35E15">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wps:wsp>
                  </a:graphicData>
                </a:graphic>
              </wp:anchor>
            </w:drawing>
          </mc:Choice>
          <mc:Fallback>
            <w:pict>
              <v:rect id="0000e1" o:spid="_x0000_s1026" o:spt="1" style="position:absolute;left:0pt;margin-left:-9pt;margin-top:0pt;height:23.4pt;width:63pt;z-index:251659264;mso-width-relative:page;mso-height-relative:page;" filled="f" stroked="f" coordsize="21600,21600" o:gfxdata="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jinQP1gAAAAcBAAAPAAAAAAAAAAEAIAAAACIAAABkcnMv&#10;ZG93bnJldi54bWxQSwECFAAUAAAACACHTuJA10bQApMBAAA4AwAADgAAAAAAAAABACAAAAAlAQAA&#10;ZHJzL2Uyb0RvYy54bWxQSwUGAAAAAAYABgBZAQAAKgUAAAAA&#10;">
                <v:fill on="f" focussize="0,0"/>
                <v:stroke on="f"/>
                <v:imagedata o:title=""/>
                <o:lock v:ext="edit" aspectratio="f"/>
                <v:textbox>
                  <w:txbxContent>
                    <w:p w14:paraId="37A35E15">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rect>
            </w:pict>
          </mc:Fallback>
        </mc:AlternateContent>
      </w:r>
      <w:r>
        <w:rPr>
          <w:rFonts w:hint="eastAsia" w:hAnsi="宋体" w:eastAsia="宋体" w:cs="宋体"/>
          <w:color w:val="auto"/>
          <w:sz w:val="24"/>
          <w:szCs w:val="24"/>
          <w:highlight w:val="none"/>
        </w:rPr>
        <w:t>合同中无论何处涉及到各方之间的通讯都不应无理扣压或拖延。合同双方当事人</w:t>
      </w:r>
    </w:p>
    <w:p w14:paraId="084BA418">
      <w:pPr>
        <w:pStyle w:val="24"/>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应在专用条款中约定各方通讯地址和收件人，并按照约定期限内送达指定地点和接收人。</w:t>
      </w:r>
    </w:p>
    <w:p w14:paraId="430A84FA">
      <w:pPr>
        <w:pStyle w:val="24"/>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14:paraId="2306A249">
      <w:pPr>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7C811627">
      <w:pPr>
        <w:pStyle w:val="4"/>
        <w:tabs>
          <w:tab w:val="left" w:pos="420"/>
        </w:tabs>
        <w:spacing w:line="300" w:lineRule="auto"/>
        <w:ind w:left="720"/>
        <w:rPr>
          <w:rFonts w:ascii="宋体" w:hAnsi="宋体" w:eastAsia="宋体" w:cs="宋体"/>
          <w:color w:val="auto"/>
          <w:sz w:val="24"/>
          <w:szCs w:val="24"/>
          <w:highlight w:val="none"/>
        </w:rPr>
      </w:pPr>
      <w:bookmarkStart w:id="35" w:name="_Toc46860807"/>
      <w:bookmarkStart w:id="36" w:name="_Toc469383986"/>
      <w:r>
        <w:rPr>
          <w:rFonts w:hint="eastAsia" w:ascii="宋体" w:hAnsi="宋体" w:eastAsia="宋体" w:cs="宋体"/>
          <w:color w:val="auto"/>
          <w:sz w:val="24"/>
          <w:szCs w:val="24"/>
          <w:highlight w:val="none"/>
        </w:rPr>
        <w:t>7  工程分包</w:t>
      </w:r>
      <w:bookmarkEnd w:id="35"/>
      <w:bookmarkEnd w:id="36"/>
    </w:p>
    <w:p w14:paraId="4A4183E5">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039" name="0000e2"/>
                <wp:cNvGraphicFramePr/>
                <a:graphic xmlns:a="http://schemas.openxmlformats.org/drawingml/2006/main">
                  <a:graphicData uri="http://schemas.microsoft.com/office/word/2010/wordprocessingShape">
                    <wps:wsp>
                      <wps:cNvSpPr/>
                      <wps:spPr>
                        <a:xfrm>
                          <a:off x="0" y="0"/>
                          <a:ext cx="1028700" cy="450215"/>
                        </a:xfrm>
                        <a:prstGeom prst="rect">
                          <a:avLst/>
                        </a:prstGeom>
                        <a:ln>
                          <a:noFill/>
                        </a:ln>
                      </wps:spPr>
                      <wps:txbx>
                        <w:txbxContent>
                          <w:p w14:paraId="29F39B1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14:paraId="364E25C2">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rect id="0000e2" o:spid="_x0000_s1026" o:spt="1" style="position:absolute;left:0pt;margin-left:-9pt;margin-top:16.7pt;height:35.45pt;width:81pt;z-index:251659264;mso-width-relative:page;mso-height-relative:page;" filled="f" stroked="f" coordsize="21600,21600" o:gfxdata="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EBHEZNoAAAAKAQAADwAAAAAAAAABACAAAAAi&#10;AAAAZHJzL2Rvd25yZXYueG1sUEsBAhQAFAAAAAgAh07iQIeRLluWAQAAOQMAAA4AAAAAAAAAAQAg&#10;AAAAKQEAAGRycy9lMm9Eb2MueG1sUEsFBgAAAAAGAAYAWQEAADEFAAAAAA==&#10;">
                <v:fill on="f" focussize="0,0"/>
                <v:stroke on="f"/>
                <v:imagedata o:title=""/>
                <o:lock v:ext="edit" aspectratio="f"/>
                <v:textbox>
                  <w:txbxContent>
                    <w:p w14:paraId="29F39B1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14:paraId="364E25C2">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rect>
            </w:pict>
          </mc:Fallback>
        </mc:AlternateContent>
      </w:r>
      <w:r>
        <w:rPr>
          <w:rFonts w:hint="eastAsia" w:hAnsi="宋体" w:eastAsia="宋体" w:cs="宋体"/>
          <w:b/>
          <w:bCs/>
          <w:color w:val="auto"/>
          <w:sz w:val="24"/>
          <w:szCs w:val="24"/>
          <w:highlight w:val="none"/>
        </w:rPr>
        <w:t xml:space="preserve">7.1   </w:t>
      </w:r>
    </w:p>
    <w:p w14:paraId="3225946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14:paraId="0F8F872A">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040" name="0000e3"/>
                <wp:cNvGraphicFramePr/>
                <a:graphic xmlns:a="http://schemas.openxmlformats.org/drawingml/2006/main">
                  <a:graphicData uri="http://schemas.microsoft.com/office/word/2010/wordprocessingShape">
                    <wps:wsp>
                      <wps:cNvSpPr/>
                      <wps:spPr>
                        <a:xfrm>
                          <a:off x="0" y="0"/>
                          <a:ext cx="1028700" cy="787400"/>
                        </a:xfrm>
                        <a:prstGeom prst="rect">
                          <a:avLst/>
                        </a:prstGeom>
                        <a:ln>
                          <a:noFill/>
                        </a:ln>
                      </wps:spPr>
                      <wps:txbx>
                        <w:txbxContent>
                          <w:p w14:paraId="13A38BCD">
                            <w:pPr>
                              <w:spacing w:line="240" w:lineRule="exact"/>
                              <w:rPr>
                                <w:rFonts w:ascii="楷体_GB2312" w:hAnsi="宋体" w:eastAsia="楷体_GB2312"/>
                                <w:b/>
                                <w:bCs/>
                                <w:color w:val="000000"/>
                                <w:sz w:val="18"/>
                                <w:szCs w:val="18"/>
                              </w:rPr>
                            </w:pPr>
                          </w:p>
                          <w:p w14:paraId="0CC8A51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14:paraId="0011A7F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wrap="square"/>
                    </wps:wsp>
                  </a:graphicData>
                </a:graphic>
              </wp:anchor>
            </w:drawing>
          </mc:Choice>
          <mc:Fallback>
            <w:pict>
              <v:rect id="0000e3" o:spid="_x0000_s1026" o:spt="1" style="position:absolute;left:0pt;margin-left:-9pt;margin-top:9.6pt;height:62pt;width:81pt;z-index:251659264;mso-width-relative:page;mso-height-relative:page;" filled="f" stroked="f" coordsize="21600,21600" o:gfxdata="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FdSh7aAAAACgEAAA8AAAAAAAAAAQAgAAAAIgAA&#10;AGRycy9kb3ducmV2LnhtbFBLAQIUABQAAAAIAIdO4kB64JB0lAEAADkDAAAOAAAAAAAAAAEAIAAA&#10;ACkBAABkcnMvZTJvRG9jLnhtbFBLBQYAAAAABgAGAFkBAAAvBQAAAAA=&#10;">
                <v:fill on="f" focussize="0,0"/>
                <v:stroke on="f"/>
                <v:imagedata o:title=""/>
                <o:lock v:ext="edit" aspectratio="f"/>
                <v:textbox>
                  <w:txbxContent>
                    <w:p w14:paraId="13A38BCD">
                      <w:pPr>
                        <w:spacing w:line="240" w:lineRule="exact"/>
                        <w:rPr>
                          <w:rFonts w:ascii="楷体_GB2312" w:hAnsi="宋体" w:eastAsia="楷体_GB2312"/>
                          <w:b/>
                          <w:bCs/>
                          <w:color w:val="000000"/>
                          <w:sz w:val="18"/>
                          <w:szCs w:val="18"/>
                        </w:rPr>
                      </w:pPr>
                    </w:p>
                    <w:p w14:paraId="0CC8A51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14:paraId="0011A7F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rect>
            </w:pict>
          </mc:Fallback>
        </mc:AlternateContent>
      </w:r>
      <w:r>
        <w:rPr>
          <w:rFonts w:hint="eastAsia" w:hAnsi="宋体" w:eastAsia="宋体" w:cs="宋体"/>
          <w:b/>
          <w:bCs/>
          <w:color w:val="auto"/>
          <w:sz w:val="24"/>
          <w:szCs w:val="24"/>
          <w:highlight w:val="none"/>
        </w:rPr>
        <w:t xml:space="preserve">7.2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711AF9A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承包人可依法将部分工程分包给具有相应分包资质的分包人，但未经发包人同意，承包人不得将工程的任何部分或任何工作分包给第三方。下列情况则属例外：</w:t>
      </w:r>
    </w:p>
    <w:p w14:paraId="2E4BD4E0">
      <w:pPr>
        <w:pStyle w:val="24"/>
        <w:numPr>
          <w:ilvl w:val="0"/>
          <w:numId w:val="6"/>
        </w:numPr>
        <w:adjustRightInd w:val="0"/>
        <w:snapToGrid w:val="0"/>
        <w:spacing w:line="300" w:lineRule="auto"/>
        <w:ind w:firstLine="540"/>
        <w:rPr>
          <w:rFonts w:hAnsi="宋体" w:eastAsia="宋体" w:cs="宋体"/>
          <w:color w:val="auto"/>
          <w:sz w:val="24"/>
          <w:szCs w:val="24"/>
          <w:highlight w:val="none"/>
        </w:rPr>
      </w:pPr>
      <w:r>
        <w:rPr>
          <w:rFonts w:hint="eastAsia" w:hAnsi="宋体" w:eastAsia="宋体" w:cs="宋体"/>
          <w:color w:val="auto"/>
          <w:sz w:val="24"/>
          <w:szCs w:val="24"/>
          <w:highlight w:val="none"/>
        </w:rPr>
        <w:t>施工劳务作业分包；</w:t>
      </w:r>
    </w:p>
    <w:p w14:paraId="52C32675">
      <w:pPr>
        <w:pStyle w:val="24"/>
        <w:numPr>
          <w:ilvl w:val="0"/>
          <w:numId w:val="6"/>
        </w:numPr>
        <w:adjustRightInd w:val="0"/>
        <w:snapToGrid w:val="0"/>
        <w:spacing w:line="300" w:lineRule="auto"/>
        <w:ind w:firstLine="540"/>
        <w:rPr>
          <w:rFonts w:hAnsi="宋体" w:eastAsia="宋体" w:cs="宋体"/>
          <w:color w:val="auto"/>
          <w:sz w:val="24"/>
          <w:szCs w:val="24"/>
          <w:highlight w:val="none"/>
        </w:rPr>
      </w:pPr>
      <w:r>
        <w:rPr>
          <w:rFonts w:hint="eastAsia" w:hAnsi="宋体" w:eastAsia="宋体" w:cs="宋体"/>
          <w:color w:val="auto"/>
          <w:sz w:val="24"/>
          <w:szCs w:val="24"/>
          <w:highlight w:val="none"/>
        </w:rPr>
        <w:t>按照合同约定的标准购买材料和工程设备；</w:t>
      </w:r>
    </w:p>
    <w:p w14:paraId="0B56B9C1">
      <w:pPr>
        <w:pStyle w:val="24"/>
        <w:numPr>
          <w:ilvl w:val="0"/>
          <w:numId w:val="6"/>
        </w:numPr>
        <w:adjustRightInd w:val="0"/>
        <w:snapToGrid w:val="0"/>
        <w:spacing w:line="300" w:lineRule="auto"/>
        <w:ind w:left="1077" w:firstLine="539"/>
        <w:rPr>
          <w:rFonts w:hAnsi="宋体" w:eastAsia="宋体" w:cs="宋体"/>
          <w:color w:val="auto"/>
          <w:sz w:val="24"/>
          <w:szCs w:val="24"/>
          <w:highlight w:val="none"/>
        </w:rPr>
      </w:pPr>
      <w:r>
        <w:rPr>
          <w:rFonts w:hint="eastAsia" w:hAnsi="宋体" w:eastAsia="宋体" w:cs="宋体"/>
          <w:color w:val="auto"/>
          <w:sz w:val="24"/>
          <w:szCs w:val="24"/>
          <w:highlight w:val="none"/>
        </w:rPr>
        <w:t>合同中已指定的分包工程。</w:t>
      </w:r>
    </w:p>
    <w:p w14:paraId="2E5ADE94">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7.3  </w:t>
      </w:r>
      <w:r>
        <w:rPr>
          <w:rFonts w:hint="eastAsia" w:hAnsi="宋体" w:eastAsia="宋体" w:cs="宋体"/>
          <w:b/>
          <w:bCs/>
          <w:color w:val="auto"/>
          <w:sz w:val="24"/>
          <w:szCs w:val="24"/>
          <w:highlight w:val="none"/>
          <w:u w:val="dotted"/>
        </w:rPr>
        <w:t xml:space="preserve">                                                                                                        </w:t>
      </w:r>
    </w:p>
    <w:p w14:paraId="4BD4907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041" name="0000e4"/>
                <wp:cNvGraphicFramePr/>
                <a:graphic xmlns:a="http://schemas.openxmlformats.org/drawingml/2006/main">
                  <a:graphicData uri="http://schemas.microsoft.com/office/word/2010/wordprocessingShape">
                    <wps:wsp>
                      <wps:cNvSpPr/>
                      <wps:spPr>
                        <a:xfrm>
                          <a:off x="0" y="0"/>
                          <a:ext cx="1028700" cy="305435"/>
                        </a:xfrm>
                        <a:prstGeom prst="rect">
                          <a:avLst/>
                        </a:prstGeom>
                        <a:ln>
                          <a:noFill/>
                        </a:ln>
                      </wps:spPr>
                      <wps:txbx>
                        <w:txbxContent>
                          <w:p w14:paraId="4DB46122">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wps:wsp>
                  </a:graphicData>
                </a:graphic>
              </wp:anchor>
            </w:drawing>
          </mc:Choice>
          <mc:Fallback>
            <w:pict>
              <v:rect id="0000e4" o:spid="_x0000_s1026" o:spt="1" style="position:absolute;left:0pt;margin-left:-9pt;margin-top:0pt;height:24.05pt;width:81pt;z-index:251659264;mso-width-relative:page;mso-height-relative:page;" filled="f" stroked="f" coordsize="21600,21600" o:gfxdata="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VCLZlNcAAAAHAQAADwAAAAAAAAABACAAAAAiAAAA&#10;ZHJzL2Rvd25yZXYueG1sUEsBAhQAFAAAAAgAh07iQPv7PumWAQAAOQMAAA4AAAAAAAAAAQAgAAAA&#10;JgEAAGRycy9lMm9Eb2MueG1sUEsFBgAAAAAGAAYAWQEAAC4FAAAAAA==&#10;">
                <v:fill on="f" focussize="0,0"/>
                <v:stroke on="f"/>
                <v:imagedata o:title=""/>
                <o:lock v:ext="edit" aspectratio="f"/>
                <v:textbox>
                  <w:txbxContent>
                    <w:p w14:paraId="4DB46122">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rect>
            </w:pict>
          </mc:Fallback>
        </mc:AlternateContent>
      </w:r>
      <w:r>
        <w:rPr>
          <w:rFonts w:hint="eastAsia" w:hAnsi="宋体" w:eastAsia="宋体" w:cs="宋体"/>
          <w:color w:val="auto"/>
          <w:sz w:val="24"/>
          <w:szCs w:val="24"/>
          <w:highlight w:val="none"/>
        </w:rPr>
        <w:t>承包人分包工程的，应与分包人签订分包合同，并在分包合同签订后的7天内向发包人和监理工程师、造价工程师各提交一份分包合同。承包人有义务禁止分包人将分包工程再次分包。</w:t>
      </w:r>
    </w:p>
    <w:p w14:paraId="489B168F">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042" name="0000e5"/>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7FE7FF4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wps:wsp>
                  </a:graphicData>
                </a:graphic>
              </wp:anchor>
            </w:drawing>
          </mc:Choice>
          <mc:Fallback>
            <w:pict>
              <v:rect id="0000e5" o:spid="_x0000_s1026" o:spt="1" style="position:absolute;left:0pt;margin-left:-9pt;margin-top:15.95pt;height:39pt;width:72pt;z-index:251659264;mso-width-relative:page;mso-height-relative:page;" filled="f" stroked="f" coordsize="21600,21600" o:gfxdata="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rlqBLaAAAACgEAAA8AAAAAAAAAAQAgAAAAIgAA&#10;AGRycy9kb3ducmV2LnhtbFBLAQIUABQAAAAIAIdO4kDw34IDlAEAADgDAAAOAAAAAAAAAAEAIAAA&#10;ACkBAABkcnMvZTJvRG9jLnhtbFBLBQYAAAAABgAGAFkBAAAvBQAAAAA=&#10;">
                <v:fill on="f" focussize="0,0"/>
                <v:stroke on="f"/>
                <v:imagedata o:title=""/>
                <o:lock v:ext="edit" aspectratio="f"/>
                <v:textbox>
                  <w:txbxContent>
                    <w:p w14:paraId="7FE7FF4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rect>
            </w:pict>
          </mc:Fallback>
        </mc:AlternateContent>
      </w:r>
      <w:r>
        <w:rPr>
          <w:rFonts w:hint="eastAsia" w:hAnsi="宋体" w:eastAsia="宋体" w:cs="宋体"/>
          <w:b/>
          <w:bCs/>
          <w:color w:val="auto"/>
          <w:sz w:val="24"/>
          <w:szCs w:val="24"/>
          <w:highlight w:val="none"/>
        </w:rPr>
        <w:t xml:space="preserve">7.4  </w:t>
      </w:r>
      <w:r>
        <w:rPr>
          <w:rFonts w:hint="eastAsia" w:hAnsi="宋体" w:eastAsia="宋体" w:cs="宋体"/>
          <w:b/>
          <w:bCs/>
          <w:color w:val="auto"/>
          <w:sz w:val="24"/>
          <w:szCs w:val="24"/>
          <w:highlight w:val="none"/>
          <w:u w:val="dotted"/>
        </w:rPr>
        <w:t xml:space="preserve">                                                                                                        </w:t>
      </w:r>
    </w:p>
    <w:p w14:paraId="6C90FB8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14:paraId="1F559C3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14:paraId="5DFC38EF">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204470</wp:posOffset>
                </wp:positionV>
                <wp:extent cx="914400" cy="495300"/>
                <wp:effectExtent l="0" t="0" r="0" b="0"/>
                <wp:wrapNone/>
                <wp:docPr id="1043" name="0000e6"/>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74687A84">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wrap="square"/>
                    </wps:wsp>
                  </a:graphicData>
                </a:graphic>
              </wp:anchor>
            </w:drawing>
          </mc:Choice>
          <mc:Fallback>
            <w:pict>
              <v:rect id="0000e6" o:spid="_x0000_s1026" o:spt="1" style="position:absolute;left:0pt;margin-left:-9pt;margin-top:16.1pt;height:39pt;width:72pt;z-index:251659264;mso-width-relative:page;mso-height-relative:page;" filled="f" stroked="f" coordsize="21600,21600" o:gfxdata="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WCFhTaAAAACgEAAA8AAAAAAAAAAQAgAAAAIgAA&#10;AGRycy9kb3ducmV2LnhtbFBLAQIUABQAAAAIAIdO4kC5SM+clAEAADgDAAAOAAAAAAAAAAEAIAAA&#10;ACkBAABkcnMvZTJvRG9jLnhtbFBLBQYAAAAABgAGAFkBAAAvBQAAAAA=&#10;">
                <v:fill on="f" focussize="0,0"/>
                <v:stroke on="f"/>
                <v:imagedata o:title=""/>
                <o:lock v:ext="edit" aspectratio="f"/>
                <v:textbox>
                  <w:txbxContent>
                    <w:p w14:paraId="74687A84">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rect>
            </w:pict>
          </mc:Fallback>
        </mc:AlternateContent>
      </w:r>
      <w:r>
        <w:rPr>
          <w:rFonts w:hint="eastAsia" w:hAnsi="宋体" w:eastAsia="宋体" w:cs="宋体"/>
          <w:b/>
          <w:bCs/>
          <w:color w:val="auto"/>
          <w:sz w:val="24"/>
          <w:szCs w:val="24"/>
          <w:highlight w:val="none"/>
        </w:rPr>
        <w:t xml:space="preserve">7.5  </w:t>
      </w:r>
      <w:r>
        <w:rPr>
          <w:rFonts w:hint="eastAsia" w:hAnsi="宋体" w:eastAsia="宋体" w:cs="宋体"/>
          <w:b/>
          <w:bCs/>
          <w:color w:val="auto"/>
          <w:sz w:val="24"/>
          <w:szCs w:val="24"/>
          <w:highlight w:val="none"/>
          <w:u w:val="dotted"/>
        </w:rPr>
        <w:t xml:space="preserve">                                                                                                         </w:t>
      </w:r>
    </w:p>
    <w:p w14:paraId="74C9F6B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工程分包不能免除承包人应承担的任何责任和应履行的任何义务。承包人应在分包场地派驻相应管理人员保证本合同的履行。</w:t>
      </w:r>
    </w:p>
    <w:p w14:paraId="37260E2C">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分包人应对分包工程负责。分包人的任何违约行为或疏忽导致工程损坏、损害或给发包人造成损失的，承包人应承担连带责任。</w:t>
      </w:r>
    </w:p>
    <w:p w14:paraId="186E4792">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044" name="0000e7"/>
                <wp:cNvGraphicFramePr/>
                <a:graphic xmlns:a="http://schemas.openxmlformats.org/drawingml/2006/main">
                  <a:graphicData uri="http://schemas.microsoft.com/office/word/2010/wordprocessingShape">
                    <wps:wsp>
                      <wps:cNvSpPr/>
                      <wps:spPr>
                        <a:xfrm>
                          <a:off x="0" y="0"/>
                          <a:ext cx="914400" cy="280035"/>
                        </a:xfrm>
                        <a:prstGeom prst="rect">
                          <a:avLst/>
                        </a:prstGeom>
                        <a:ln>
                          <a:noFill/>
                        </a:ln>
                      </wps:spPr>
                      <wps:txbx>
                        <w:txbxContent>
                          <w:p w14:paraId="2BF157B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wps:wsp>
                  </a:graphicData>
                </a:graphic>
              </wp:anchor>
            </w:drawing>
          </mc:Choice>
          <mc:Fallback>
            <w:pict>
              <v:rect id="0000e7" o:spid="_x0000_s1026" o:spt="1" style="position:absolute;left:0pt;margin-left:-9pt;margin-top:18.05pt;height:22.05pt;width:72pt;z-index:251659264;mso-width-relative:page;mso-height-relative:page;" filled="f" stroked="f" coordsize="21600,21600" o:gfxdata="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Vp73W9kAAAAJAQAADwAAAAAAAAABACAAAAAiAAAA&#10;ZHJzL2Rvd25yZXYueG1sUEsBAhQAFAAAAAgAh07iQGywbueUAQAAOAMAAA4AAAAAAAAAAQAgAAAA&#10;KAEAAGRycy9lMm9Eb2MueG1sUEsFBgAAAAAGAAYAWQEAAC4FAAAAAA==&#10;">
                <v:fill on="f" focussize="0,0"/>
                <v:stroke on="f"/>
                <v:imagedata o:title=""/>
                <o:lock v:ext="edit" aspectratio="f"/>
                <v:textbox>
                  <w:txbxContent>
                    <w:p w14:paraId="2BF157B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rect>
            </w:pict>
          </mc:Fallback>
        </mc:AlternateContent>
      </w:r>
      <w:r>
        <w:rPr>
          <w:rFonts w:hint="eastAsia" w:hAnsi="宋体" w:eastAsia="宋体" w:cs="宋体"/>
          <w:b/>
          <w:bCs/>
          <w:color w:val="auto"/>
          <w:sz w:val="24"/>
          <w:szCs w:val="24"/>
          <w:highlight w:val="none"/>
        </w:rPr>
        <w:t xml:space="preserve">7.6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6302CC6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无论何种原因，当本合同终止时，分包人与承包人签订的分包合同也随即终止。承包人应在本合同终止前向分包人支付分包人应得所有款项。</w:t>
      </w:r>
    </w:p>
    <w:p w14:paraId="7CA0745D">
      <w:pPr>
        <w:pStyle w:val="24"/>
        <w:tabs>
          <w:tab w:val="left" w:pos="1260"/>
        </w:tabs>
        <w:adjustRightInd w:val="0"/>
        <w:snapToGrid w:val="0"/>
        <w:spacing w:before="120" w:beforeLines="50"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48C1C767">
      <w:pPr>
        <w:pStyle w:val="4"/>
        <w:tabs>
          <w:tab w:val="left" w:pos="420"/>
        </w:tabs>
        <w:spacing w:line="300" w:lineRule="auto"/>
        <w:ind w:left="720"/>
        <w:rPr>
          <w:rFonts w:ascii="宋体" w:hAnsi="宋体" w:eastAsia="宋体" w:cs="宋体"/>
          <w:color w:val="auto"/>
          <w:sz w:val="24"/>
          <w:szCs w:val="24"/>
          <w:highlight w:val="none"/>
        </w:rPr>
      </w:pPr>
      <w:bookmarkStart w:id="37" w:name="_Toc469383987"/>
      <w:bookmarkStart w:id="38" w:name="_Toc46860808"/>
      <w:r>
        <w:rPr>
          <w:rFonts w:hint="eastAsia" w:ascii="宋体" w:hAnsi="宋体" w:eastAsia="宋体" w:cs="宋体"/>
          <w:color w:val="auto"/>
          <w:sz w:val="24"/>
          <w:szCs w:val="24"/>
          <w:highlight w:val="none"/>
        </w:rPr>
        <w:t>8  现场查勘</w:t>
      </w:r>
      <w:bookmarkEnd w:id="37"/>
      <w:bookmarkEnd w:id="38"/>
    </w:p>
    <w:p w14:paraId="3764885E">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236220</wp:posOffset>
                </wp:positionV>
                <wp:extent cx="914400" cy="495300"/>
                <wp:effectExtent l="0" t="0" r="0" b="0"/>
                <wp:wrapNone/>
                <wp:docPr id="1045" name="0000e8"/>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68C56708">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wps:txbx>
                      <wps:bodyPr wrap="square"/>
                    </wps:wsp>
                  </a:graphicData>
                </a:graphic>
              </wp:anchor>
            </w:drawing>
          </mc:Choice>
          <mc:Fallback>
            <w:pict>
              <v:rect id="0000e8" o:spid="_x0000_s1026" o:spt="1" style="position:absolute;left:0pt;margin-left:-9pt;margin-top:18.6pt;height:39pt;width:72pt;z-index:251659264;mso-width-relative:page;mso-height-relative:page;" filled="f" stroked="f" coordsize="21600,21600" o:gfxdata="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jUqTp2wAAAAoBAAAPAAAAAAAAAAEAIAAAACIA&#10;AABkcnMvZG93bnJldi54bWxQSwECFAAUAAAACACHTuJAOKQQWZQBAAA4AwAADgAAAAAAAAABACAA&#10;AAAqAQAAZHJzL2Uyb0RvYy54bWxQSwUGAAAAAAYABgBZAQAAMAUAAAAA&#10;">
                <v:fill on="f" focussize="0,0"/>
                <v:stroke on="f"/>
                <v:imagedata o:title=""/>
                <o:lock v:ext="edit" aspectratio="f"/>
                <v:textbox>
                  <w:txbxContent>
                    <w:p w14:paraId="68C56708">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v:textbox>
              </v:rect>
            </w:pict>
          </mc:Fallback>
        </mc:AlternateContent>
      </w:r>
      <w:r>
        <w:rPr>
          <w:rFonts w:hint="eastAsia" w:hAnsi="宋体" w:eastAsia="宋体" w:cs="宋体"/>
          <w:b/>
          <w:bCs/>
          <w:color w:val="auto"/>
          <w:sz w:val="24"/>
          <w:szCs w:val="24"/>
          <w:highlight w:val="none"/>
        </w:rPr>
        <w:t xml:space="preserve">8.1                                                                                </w:t>
      </w:r>
    </w:p>
    <w:p w14:paraId="616390E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2743E9E3">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8.2  </w:t>
      </w:r>
      <w:r>
        <w:rPr>
          <w:rFonts w:hint="eastAsia" w:hAnsi="宋体" w:eastAsia="宋体" w:cs="宋体"/>
          <w:b/>
          <w:bCs/>
          <w:color w:val="auto"/>
          <w:sz w:val="24"/>
          <w:szCs w:val="24"/>
          <w:highlight w:val="none"/>
          <w:u w:val="dotted"/>
        </w:rPr>
        <w:t xml:space="preserve">                                                                                                        </w:t>
      </w:r>
    </w:p>
    <w:p w14:paraId="0676BFBF">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1046" name="0000e9"/>
                <wp:cNvGraphicFramePr/>
                <a:graphic xmlns:a="http://schemas.openxmlformats.org/drawingml/2006/main">
                  <a:graphicData uri="http://schemas.microsoft.com/office/word/2010/wordprocessingShape">
                    <wps:wsp>
                      <wps:cNvSpPr/>
                      <wps:spPr>
                        <a:xfrm>
                          <a:off x="0" y="0"/>
                          <a:ext cx="914400" cy="500379"/>
                        </a:xfrm>
                        <a:prstGeom prst="rect">
                          <a:avLst/>
                        </a:prstGeom>
                        <a:ln>
                          <a:noFill/>
                        </a:ln>
                      </wps:spPr>
                      <wps:txbx>
                        <w:txbxContent>
                          <w:p w14:paraId="34ADEC5F">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wrap="square"/>
                    </wps:wsp>
                  </a:graphicData>
                </a:graphic>
              </wp:anchor>
            </w:drawing>
          </mc:Choice>
          <mc:Fallback>
            <w:pict>
              <v:rect id="0000e9" o:spid="_x0000_s1026" o:spt="1" style="position:absolute;left:0pt;margin-left:-9pt;margin-top:0pt;height:39.4pt;width:72pt;z-index:251659264;mso-width-relative:page;mso-height-relative:page;" filled="f" stroked="f" coordsize="21600,21600" o:gfxdata="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yReOo9gAAAAHAQAADwAAAAAAAAABACAAAAAiAAAA&#10;ZHJzL2Rvd25yZXYueG1sUEsBAhQAFAAAAAgAh07iQFZUO6iVAQAAOAMAAA4AAAAAAAAAAQAgAAAA&#10;JwEAAGRycy9lMm9Eb2MueG1sUEsFBgAAAAAGAAYAWQEAAC4FAAAAAA==&#10;">
                <v:fill on="f" focussize="0,0"/>
                <v:stroke on="f"/>
                <v:imagedata o:title=""/>
                <o:lock v:ext="edit" aspectratio="f"/>
                <v:textbox>
                  <w:txbxContent>
                    <w:p w14:paraId="34ADEC5F">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rect>
            </w:pict>
          </mc:Fallback>
        </mc:AlternateContent>
      </w:r>
      <w:r>
        <w:rPr>
          <w:rFonts w:hint="eastAsia" w:hAnsi="宋体" w:eastAsia="宋体" w:cs="宋体"/>
          <w:color w:val="auto"/>
          <w:sz w:val="24"/>
          <w:szCs w:val="24"/>
          <w:highlight w:val="none"/>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14:paraId="66108AD2">
      <w:pPr>
        <w:pStyle w:val="24"/>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（1）现场地质情况及地形地貌特征；</w:t>
      </w:r>
    </w:p>
    <w:p w14:paraId="57430271">
      <w:pPr>
        <w:pStyle w:val="24"/>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（2）水文和气候条件；</w:t>
      </w:r>
    </w:p>
    <w:p w14:paraId="7F25CFC2">
      <w:pPr>
        <w:pStyle w:val="24"/>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（3）为实施、完成并保修合同工程所需的临时工程和措施项目；</w:t>
      </w:r>
    </w:p>
    <w:p w14:paraId="2F26762E">
      <w:pPr>
        <w:pStyle w:val="24"/>
        <w:tabs>
          <w:tab w:val="left" w:pos="2580"/>
        </w:tabs>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（4）为实施、完成并保修合同工程所需的材料采购和加工、设备的采购，及所需的施工设备、周转性材料、人员和管理等；</w:t>
      </w:r>
    </w:p>
    <w:p w14:paraId="110E7AED">
      <w:pPr>
        <w:pStyle w:val="24"/>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（5）场地内外的交通情况及水、电、食宿供应条件；</w:t>
      </w:r>
    </w:p>
    <w:p w14:paraId="5A92A5DE">
      <w:pPr>
        <w:pStyle w:val="24"/>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（6）可能对投标报价有影响或起作用的其他情况。</w:t>
      </w:r>
    </w:p>
    <w:p w14:paraId="7C25E67A">
      <w:pPr>
        <w:pStyle w:val="24"/>
        <w:adjustRightInd w:val="0"/>
        <w:snapToGrid w:val="0"/>
        <w:spacing w:line="300" w:lineRule="auto"/>
        <w:ind w:right="-238"/>
        <w:rPr>
          <w:rFonts w:hAnsi="宋体" w:eastAsia="宋体" w:cs="宋体"/>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32F4FAD">
      <w:pPr>
        <w:pStyle w:val="4"/>
        <w:tabs>
          <w:tab w:val="left" w:pos="420"/>
        </w:tabs>
        <w:spacing w:line="300" w:lineRule="auto"/>
        <w:ind w:left="720"/>
        <w:rPr>
          <w:rFonts w:ascii="宋体" w:hAnsi="宋体" w:eastAsia="宋体" w:cs="宋体"/>
          <w:color w:val="auto"/>
          <w:sz w:val="24"/>
          <w:szCs w:val="24"/>
          <w:highlight w:val="none"/>
        </w:rPr>
      </w:pPr>
      <w:bookmarkStart w:id="39" w:name="_Toc46860809"/>
      <w:bookmarkStart w:id="40" w:name="_Toc469383988"/>
      <w:r>
        <w:rPr>
          <w:rFonts w:hint="eastAsia" w:ascii="宋体" w:hAnsi="宋体" w:eastAsia="宋体" w:cs="宋体"/>
          <w:color w:val="auto"/>
          <w:sz w:val="24"/>
          <w:szCs w:val="24"/>
          <w:highlight w:val="none"/>
        </w:rPr>
        <w:t>9  招标错失的修正</w:t>
      </w:r>
      <w:bookmarkEnd w:id="39"/>
      <w:bookmarkEnd w:id="40"/>
    </w:p>
    <w:p w14:paraId="1D3DCA0E">
      <w:pPr>
        <w:pStyle w:val="24"/>
        <w:adjustRightInd w:val="0"/>
        <w:snapToGrid w:val="0"/>
        <w:spacing w:before="240" w:beforeLines="100"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1047" name="0000ea"/>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59902000">
                            <w:pPr>
                              <w:pStyle w:val="24"/>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14:paraId="4F2815E2">
                            <w:pPr>
                              <w:rPr>
                                <w:sz w:val="18"/>
                                <w:szCs w:val="18"/>
                              </w:rPr>
                            </w:pPr>
                          </w:p>
                        </w:txbxContent>
                      </wps:txbx>
                      <wps:bodyPr wrap="square"/>
                    </wps:wsp>
                  </a:graphicData>
                </a:graphic>
              </wp:anchor>
            </w:drawing>
          </mc:Choice>
          <mc:Fallback>
            <w:pict>
              <v:rect id="0000ea" o:spid="_x0000_s1026" o:spt="1" style="position:absolute;left:0pt;margin-left:-4.8pt;margin-top:31.35pt;height:62.4pt;width:72pt;z-index:251659264;mso-width-relative:page;mso-height-relative:page;" filled="f" stroked="f" coordsize="21600,21600" o:gfxdata="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LkER2wAAAAkBAAAPAAAAAAAAAAEAIAAAACIA&#10;AABkcnMvZG93bnJldi54bWxQSwECFAAUAAAACACHTuJAb25L1JQBAAA4AwAADgAAAAAAAAABACAA&#10;AAAqAQAAZHJzL2Uyb0RvYy54bWxQSwUGAAAAAAYABgBZAQAAMAUAAAAA&#10;">
                <v:fill on="f" focussize="0,0"/>
                <v:stroke on="f"/>
                <v:imagedata o:title=""/>
                <o:lock v:ext="edit" aspectratio="f"/>
                <v:textbox>
                  <w:txbxContent>
                    <w:p w14:paraId="59902000">
                      <w:pPr>
                        <w:pStyle w:val="24"/>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14:paraId="4F2815E2">
                      <w:pPr>
                        <w:rPr>
                          <w:sz w:val="18"/>
                          <w:szCs w:val="18"/>
                        </w:rPr>
                      </w:pPr>
                    </w:p>
                  </w:txbxContent>
                </v:textbox>
              </v:rect>
            </w:pict>
          </mc:Fallback>
        </mc:AlternateContent>
      </w:r>
      <w:r>
        <w:rPr>
          <w:rFonts w:hint="eastAsia" w:hAnsi="宋体" w:eastAsia="宋体" w:cs="宋体"/>
          <w:b/>
          <w:bCs/>
          <w:color w:val="auto"/>
          <w:sz w:val="24"/>
          <w:szCs w:val="24"/>
          <w:highlight w:val="none"/>
        </w:rPr>
        <w:t xml:space="preserve">9.1  </w:t>
      </w:r>
    </w:p>
    <w:p w14:paraId="0278B0A1">
      <w:pPr>
        <w:pStyle w:val="24"/>
        <w:tabs>
          <w:tab w:val="left" w:pos="1980"/>
        </w:tabs>
        <w:spacing w:before="192" w:beforeLines="80" w:line="300" w:lineRule="auto"/>
        <w:ind w:left="1622"/>
        <w:rPr>
          <w:rFonts w:hAnsi="宋体" w:eastAsia="宋体" w:cs="宋体"/>
          <w:color w:val="auto"/>
          <w:sz w:val="24"/>
          <w:szCs w:val="24"/>
          <w:highlight w:val="none"/>
        </w:rPr>
      </w:pPr>
      <w:r>
        <w:rPr>
          <w:rFonts w:hint="eastAsia" w:hAnsi="宋体" w:eastAsia="宋体" w:cs="宋体"/>
          <w:color w:val="auto"/>
          <w:sz w:val="24"/>
          <w:szCs w:val="24"/>
          <w:highlight w:val="none"/>
        </w:rPr>
        <w:t>发包人招标文件中的合同条款及格式，应被认为是正确的和公平的，并已包括了发包人履行本合同的全部义务，包括但不限于以下内容：</w:t>
      </w:r>
    </w:p>
    <w:p w14:paraId="7C1928D8">
      <w:pPr>
        <w:pStyle w:val="24"/>
        <w:tabs>
          <w:tab w:val="left" w:pos="2160"/>
        </w:tabs>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（1）支付工程款及其他应付款项的义务；</w:t>
      </w:r>
    </w:p>
    <w:p w14:paraId="364D1F45">
      <w:pPr>
        <w:pStyle w:val="24"/>
        <w:tabs>
          <w:tab w:val="left" w:pos="2160"/>
        </w:tabs>
        <w:spacing w:line="300" w:lineRule="auto"/>
        <w:ind w:left="-61" w:leftChars="-29"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w:t>（2）完成本合同第19.2款约定工作的义务；</w:t>
      </w:r>
    </w:p>
    <w:p w14:paraId="44005308">
      <w:pPr>
        <w:pStyle w:val="24"/>
        <w:tabs>
          <w:tab w:val="left" w:pos="2160"/>
        </w:tabs>
        <w:spacing w:line="300" w:lineRule="auto"/>
        <w:ind w:left="-61" w:leftChars="-29"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w:t>（3）修正不正确合同条款及格式的义务；</w:t>
      </w:r>
    </w:p>
    <w:p w14:paraId="6DE2DBCC">
      <w:pPr>
        <w:pStyle w:val="24"/>
        <w:tabs>
          <w:tab w:val="left" w:pos="2160"/>
        </w:tabs>
        <w:spacing w:line="300" w:lineRule="auto"/>
        <w:ind w:left="-61" w:leftChars="-29"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w:t>（4）澄清并改正被认定有失公平的合同条款的义务；</w:t>
      </w:r>
    </w:p>
    <w:p w14:paraId="779A2ECE">
      <w:pPr>
        <w:pStyle w:val="24"/>
        <w:tabs>
          <w:tab w:val="left" w:pos="2160"/>
        </w:tabs>
        <w:spacing w:line="300" w:lineRule="auto"/>
        <w:ind w:left="-61" w:leftChars="-29" w:firstLine="1680" w:firstLineChars="700"/>
        <w:rPr>
          <w:rFonts w:hAnsi="宋体" w:eastAsia="宋体" w:cs="宋体"/>
          <w:b/>
          <w:bCs/>
          <w:color w:val="auto"/>
          <w:sz w:val="24"/>
          <w:szCs w:val="24"/>
          <w:highlight w:val="none"/>
        </w:rPr>
      </w:pPr>
      <w:r>
        <w:rPr>
          <w:rFonts w:hint="eastAsia" w:hAnsi="宋体" w:eastAsia="宋体" w:cs="宋体"/>
          <w:color w:val="auto"/>
          <w:sz w:val="24"/>
          <w:szCs w:val="24"/>
          <w:highlight w:val="none"/>
        </w:rPr>
        <w:t>（5）协助承包人实施、完成并保修合同工程的义务。</w:t>
      </w:r>
    </w:p>
    <w:p w14:paraId="51A88FB3">
      <w:pPr>
        <w:pStyle w:val="24"/>
        <w:tabs>
          <w:tab w:val="left" w:pos="2160"/>
        </w:tabs>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1048" name="0000eb"/>
                <wp:cNvGraphicFramePr/>
                <a:graphic xmlns:a="http://schemas.openxmlformats.org/drawingml/2006/main">
                  <a:graphicData uri="http://schemas.microsoft.com/office/word/2010/wordprocessingShape">
                    <wps:wsp>
                      <wps:cNvSpPr/>
                      <wps:spPr>
                        <a:xfrm>
                          <a:off x="0" y="0"/>
                          <a:ext cx="914400" cy="829310"/>
                        </a:xfrm>
                        <a:prstGeom prst="rect">
                          <a:avLst/>
                        </a:prstGeom>
                        <a:ln>
                          <a:noFill/>
                        </a:ln>
                      </wps:spPr>
                      <wps:txbx>
                        <w:txbxContent>
                          <w:p w14:paraId="05A4647E">
                            <w:pPr>
                              <w:pStyle w:val="24"/>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14:paraId="707A7958">
                            <w:pPr>
                              <w:rPr>
                                <w:sz w:val="18"/>
                                <w:szCs w:val="18"/>
                              </w:rPr>
                            </w:pPr>
                          </w:p>
                        </w:txbxContent>
                      </wps:txbx>
                      <wps:bodyPr wrap="square"/>
                    </wps:wsp>
                  </a:graphicData>
                </a:graphic>
              </wp:anchor>
            </w:drawing>
          </mc:Choice>
          <mc:Fallback>
            <w:pict>
              <v:rect id="0000eb" o:spid="_x0000_s1026" o:spt="1" style="position:absolute;left:0pt;margin-left:3.55pt;margin-top:14.75pt;height:65.3pt;width:72pt;z-index:251659264;mso-width-relative:page;mso-height-relative:page;" filled="f" stroked="f" coordsize="21600,21600" o:gfxdata="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bVsItkAAAAIAQAADwAAAAAAAAABACAAAAAiAAAA&#10;ZHJzL2Rvd25yZXYueG1sUEsBAhQAFAAAAAgAh07iQGtowgKUAQAAOAMAAA4AAAAAAAAAAQAgAAAA&#10;KAEAAGRycy9lMm9Eb2MueG1sUEsFBgAAAAAGAAYAWQEAAC4FAAAAAA==&#10;">
                <v:fill on="f" focussize="0,0"/>
                <v:stroke on="f"/>
                <v:imagedata o:title=""/>
                <o:lock v:ext="edit" aspectratio="f"/>
                <v:textbox>
                  <w:txbxContent>
                    <w:p w14:paraId="05A4647E">
                      <w:pPr>
                        <w:pStyle w:val="24"/>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14:paraId="707A7958">
                      <w:pPr>
                        <w:rPr>
                          <w:sz w:val="18"/>
                          <w:szCs w:val="18"/>
                        </w:rPr>
                      </w:pPr>
                    </w:p>
                  </w:txbxContent>
                </v:textbox>
              </v:rect>
            </w:pict>
          </mc:Fallback>
        </mc:AlternateContent>
      </w:r>
      <w:r>
        <w:rPr>
          <w:rFonts w:hint="eastAsia" w:hAnsi="宋体" w:eastAsia="宋体" w:cs="宋体"/>
          <w:b/>
          <w:bCs/>
          <w:color w:val="auto"/>
          <w:sz w:val="24"/>
          <w:szCs w:val="24"/>
          <w:highlight w:val="none"/>
        </w:rPr>
        <w:t xml:space="preserve">9.2  </w:t>
      </w:r>
      <w:r>
        <w:rPr>
          <w:rFonts w:hint="eastAsia" w:hAnsi="宋体" w:eastAsia="宋体" w:cs="宋体"/>
          <w:b/>
          <w:bCs/>
          <w:color w:val="auto"/>
          <w:sz w:val="24"/>
          <w:szCs w:val="24"/>
          <w:highlight w:val="none"/>
          <w:u w:val="dotted"/>
        </w:rPr>
        <w:t xml:space="preserve">                                                                               </w:t>
      </w:r>
    </w:p>
    <w:p w14:paraId="4C356A90">
      <w:pPr>
        <w:pStyle w:val="24"/>
        <w:tabs>
          <w:tab w:val="left" w:pos="2160"/>
        </w:tabs>
        <w:spacing w:line="300" w:lineRule="auto"/>
        <w:ind w:left="1799" w:leftChars="828" w:hanging="60" w:hangingChars="25"/>
        <w:rPr>
          <w:rFonts w:hAnsi="宋体" w:eastAsia="宋体" w:cs="宋体"/>
          <w:color w:val="auto"/>
          <w:sz w:val="24"/>
          <w:szCs w:val="24"/>
          <w:highlight w:val="none"/>
        </w:rPr>
      </w:pPr>
      <w:r>
        <w:rPr>
          <w:rFonts w:hint="eastAsia" w:hAnsi="宋体" w:eastAsia="宋体" w:cs="宋体"/>
          <w:color w:val="auto"/>
          <w:sz w:val="24"/>
          <w:szCs w:val="24"/>
          <w:highlight w:val="none"/>
        </w:rPr>
        <w:t>发包人招标文件提供的工程量清单及其招标控制价等资料，应被认为是准确的和完整的。当出现下列情形之一的，发包人应及时予以修正，并相应调整合同价款：</w:t>
      </w:r>
    </w:p>
    <w:p w14:paraId="40E4FDB8">
      <w:pPr>
        <w:pStyle w:val="24"/>
        <w:tabs>
          <w:tab w:val="left" w:pos="2160"/>
        </w:tabs>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（1）施工设计图纸发生变化的；</w:t>
      </w:r>
    </w:p>
    <w:p w14:paraId="693A5042">
      <w:pPr>
        <w:pStyle w:val="24"/>
        <w:tabs>
          <w:tab w:val="left" w:pos="2160"/>
        </w:tabs>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（2）出现第68.2款规定调整合同价款事件的；</w:t>
      </w:r>
    </w:p>
    <w:p w14:paraId="539AC6A1">
      <w:pPr>
        <w:pStyle w:val="24"/>
        <w:tabs>
          <w:tab w:val="left" w:pos="2160"/>
        </w:tabs>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（3）未按照国家、省有关计价规定编制的其它情形。</w:t>
      </w:r>
    </w:p>
    <w:p w14:paraId="0539F087">
      <w:pPr>
        <w:pStyle w:val="24"/>
        <w:tabs>
          <w:tab w:val="left" w:pos="2160"/>
        </w:tabs>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（4）工程量清单存在缺项、漏项的；</w:t>
      </w:r>
    </w:p>
    <w:p w14:paraId="2B68B371">
      <w:pPr>
        <w:pStyle w:val="24"/>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9BA94CD">
      <w:pPr>
        <w:pStyle w:val="4"/>
        <w:tabs>
          <w:tab w:val="left" w:pos="420"/>
        </w:tabs>
        <w:spacing w:line="300" w:lineRule="auto"/>
        <w:ind w:left="720"/>
        <w:rPr>
          <w:rFonts w:ascii="宋体" w:hAnsi="宋体" w:eastAsia="宋体" w:cs="宋体"/>
          <w:color w:val="auto"/>
          <w:sz w:val="24"/>
          <w:szCs w:val="24"/>
          <w:highlight w:val="none"/>
        </w:rPr>
      </w:pPr>
      <w:bookmarkStart w:id="41" w:name="_Toc46860810"/>
      <w:bookmarkStart w:id="42" w:name="_Toc469383989"/>
      <w:r>
        <w:rPr>
          <w:rFonts w:hint="eastAsia" w:ascii="宋体" w:hAnsi="宋体" w:eastAsia="宋体" w:cs="宋体"/>
          <w:color w:val="auto"/>
          <w:sz w:val="24"/>
          <w:szCs w:val="24"/>
          <w:highlight w:val="none"/>
        </w:rPr>
        <w:t>10  投标文件的完备性</w:t>
      </w:r>
      <w:bookmarkEnd w:id="41"/>
      <w:bookmarkEnd w:id="42"/>
    </w:p>
    <w:p w14:paraId="60F26C52">
      <w:pPr>
        <w:pStyle w:val="24"/>
        <w:tabs>
          <w:tab w:val="left" w:pos="141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1049" name="0000ec"/>
                <wp:cNvGraphicFramePr/>
                <a:graphic xmlns:a="http://schemas.openxmlformats.org/drawingml/2006/main">
                  <a:graphicData uri="http://schemas.microsoft.com/office/word/2010/wordprocessingShape">
                    <wps:wsp>
                      <wps:cNvSpPr/>
                      <wps:spPr>
                        <a:xfrm>
                          <a:off x="0" y="0"/>
                          <a:ext cx="914400" cy="812800"/>
                        </a:xfrm>
                        <a:prstGeom prst="rect">
                          <a:avLst/>
                        </a:prstGeom>
                        <a:ln>
                          <a:noFill/>
                        </a:ln>
                      </wps:spPr>
                      <wps:txbx>
                        <w:txbxContent>
                          <w:p w14:paraId="3354EB17">
                            <w:pPr>
                              <w:pStyle w:val="24"/>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wps:txbx>
                      <wps:bodyPr wrap="square"/>
                    </wps:wsp>
                  </a:graphicData>
                </a:graphic>
              </wp:anchor>
            </w:drawing>
          </mc:Choice>
          <mc:Fallback>
            <w:pict>
              <v:rect id="0000ec" o:spid="_x0000_s1026" o:spt="1" style="position:absolute;left:0pt;margin-left:-9pt;margin-top:7.25pt;height:64pt;width:72pt;z-index:251659264;mso-width-relative:page;mso-height-relative:page;" filled="f" stroked="f" coordsize="21600,21600" o:gfxdata="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&#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0hjUr2QAAAAoBAAAPAAAAAAAAAAEAIAAAACIAAABk&#10;cnMvZG93bnJldi54bWxQSwECFAAUAAAACACHTuJA3OiE+pMBAAA4AwAADgAAAAAAAAABACAAAAAo&#10;AQAAZHJzL2Uyb0RvYy54bWxQSwUGAAAAAAYABgBZAQAALQUAAAAA&#10;">
                <v:fill on="f" focussize="0,0"/>
                <v:stroke on="f"/>
                <v:imagedata o:title=""/>
                <o:lock v:ext="edit" aspectratio="f"/>
                <v:textbox>
                  <w:txbxContent>
                    <w:p w14:paraId="3354EB17">
                      <w:pPr>
                        <w:pStyle w:val="24"/>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v:textbox>
              </v:rect>
            </w:pict>
          </mc:Fallback>
        </mc:AlternateContent>
      </w:r>
      <w:r>
        <w:rPr>
          <w:rFonts w:hint="eastAsia" w:hAnsi="宋体" w:eastAsia="宋体" w:cs="宋体"/>
          <w:b/>
          <w:bCs/>
          <w:color w:val="auto"/>
          <w:sz w:val="24"/>
          <w:szCs w:val="24"/>
          <w:highlight w:val="none"/>
        </w:rPr>
        <w:t xml:space="preserve">10.1                                      </w:t>
      </w:r>
    </w:p>
    <w:p w14:paraId="41015FE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承包人投标文件中的工程量清单所填单价和合价，应被认为是正确的和完备的，并已包括了承包人履行本合同的全部义务，包括但不限于以下内容：</w:t>
      </w:r>
    </w:p>
    <w:p w14:paraId="210B7B78">
      <w:pPr>
        <w:pStyle w:val="24"/>
        <w:adjustRightInd w:val="0"/>
        <w:snapToGrid w:val="0"/>
        <w:spacing w:line="300" w:lineRule="auto"/>
        <w:ind w:right="-240"/>
        <w:rPr>
          <w:rFonts w:hAnsi="宋体" w:eastAsia="宋体" w:cs="宋体"/>
          <w:color w:val="auto"/>
          <w:sz w:val="24"/>
          <w:szCs w:val="24"/>
          <w:highlight w:val="none"/>
        </w:rPr>
      </w:pPr>
      <w:r>
        <w:rPr>
          <w:rFonts w:hint="eastAsia" w:hAnsi="宋体" w:eastAsia="宋体" w:cs="宋体"/>
          <w:color w:val="auto"/>
          <w:sz w:val="24"/>
          <w:szCs w:val="24"/>
          <w:highlight w:val="none"/>
        </w:rPr>
        <w:t xml:space="preserve">            （1）提供材料和工程设备、服务的义务及处理意外事件的义务； </w:t>
      </w:r>
    </w:p>
    <w:p w14:paraId="6423D938">
      <w:pPr>
        <w:pStyle w:val="24"/>
        <w:adjustRightInd w:val="0"/>
        <w:snapToGrid w:val="0"/>
        <w:spacing w:line="300" w:lineRule="auto"/>
        <w:ind w:right="-240"/>
        <w:rPr>
          <w:rFonts w:hAnsi="宋体" w:eastAsia="宋体" w:cs="宋体"/>
          <w:color w:val="auto"/>
          <w:sz w:val="24"/>
          <w:szCs w:val="24"/>
          <w:highlight w:val="none"/>
        </w:rPr>
      </w:pPr>
      <w:r>
        <w:rPr>
          <w:rFonts w:hint="eastAsia" w:hAnsi="宋体" w:eastAsia="宋体" w:cs="宋体"/>
          <w:color w:val="auto"/>
          <w:sz w:val="24"/>
          <w:szCs w:val="24"/>
          <w:highlight w:val="none"/>
        </w:rPr>
        <w:t xml:space="preserve">            （2）实施和完成合同工程的义务；</w:t>
      </w:r>
    </w:p>
    <w:p w14:paraId="7474D5C6">
      <w:pPr>
        <w:pStyle w:val="24"/>
        <w:adjustRightInd w:val="0"/>
        <w:snapToGrid w:val="0"/>
        <w:spacing w:line="300" w:lineRule="auto"/>
        <w:ind w:right="-240"/>
        <w:rPr>
          <w:rFonts w:hAnsi="宋体" w:eastAsia="宋体" w:cs="宋体"/>
          <w:color w:val="auto"/>
          <w:sz w:val="24"/>
          <w:szCs w:val="24"/>
          <w:highlight w:val="none"/>
        </w:rPr>
      </w:pPr>
      <w:r>
        <w:rPr>
          <w:rFonts w:hint="eastAsia" w:hAnsi="宋体" w:eastAsia="宋体" w:cs="宋体"/>
          <w:color w:val="auto"/>
          <w:sz w:val="24"/>
          <w:szCs w:val="24"/>
          <w:highlight w:val="none"/>
        </w:rPr>
        <w:t xml:space="preserve">            （3）工程质量保修的一切义务。</w:t>
      </w:r>
    </w:p>
    <w:p w14:paraId="6500D01C">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10.2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4B404D49">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1050" name="0000ed"/>
                <wp:cNvGraphicFramePr/>
                <a:graphic xmlns:a="http://schemas.openxmlformats.org/drawingml/2006/main">
                  <a:graphicData uri="http://schemas.microsoft.com/office/word/2010/wordprocessingShape">
                    <wps:wsp>
                      <wps:cNvSpPr/>
                      <wps:spPr>
                        <a:xfrm>
                          <a:off x="0" y="0"/>
                          <a:ext cx="914400" cy="455294"/>
                        </a:xfrm>
                        <a:prstGeom prst="rect">
                          <a:avLst/>
                        </a:prstGeom>
                        <a:ln>
                          <a:noFill/>
                        </a:ln>
                      </wps:spPr>
                      <wps:txbx>
                        <w:txbxContent>
                          <w:p w14:paraId="1178DC0B">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wrap="square"/>
                    </wps:wsp>
                  </a:graphicData>
                </a:graphic>
              </wp:anchor>
            </w:drawing>
          </mc:Choice>
          <mc:Fallback>
            <w:pict>
              <v:rect id="0000ed" o:spid="_x0000_s1026" o:spt="1" style="position:absolute;left:0pt;margin-left:-9pt;margin-top:0.65pt;height:35.85pt;width:72pt;z-index:251659264;mso-width-relative:page;mso-height-relative:page;" filled="f" stroked="f" coordsize="21600,21600" o:gfxdata="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&#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A2GDczYAAAACAEAAA8AAAAAAAAAAQAgAAAAIgAAAGRy&#10;cy9kb3ducmV2LnhtbFBLAQIUABQAAAAIAIdO4kBjv51lkwEAADgDAAAOAAAAAAAAAAEAIAAAACcB&#10;AABkcnMvZTJvRG9jLnhtbFBLBQYAAAAABgAGAFkBAAAsBQAAAAA=&#10;">
                <v:fill on="f" focussize="0,0"/>
                <v:stroke on="f"/>
                <v:imagedata o:title=""/>
                <o:lock v:ext="edit" aspectratio="f"/>
                <v:textbox>
                  <w:txbxContent>
                    <w:p w14:paraId="1178DC0B">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rect>
            </w:pict>
          </mc:Fallback>
        </mc:AlternateContent>
      </w:r>
      <w:r>
        <w:rPr>
          <w:rFonts w:hint="eastAsia" w:hAnsi="宋体" w:eastAsia="宋体" w:cs="宋体"/>
          <w:color w:val="auto"/>
          <w:sz w:val="24"/>
          <w:szCs w:val="24"/>
          <w:highlight w:val="none"/>
        </w:rPr>
        <w:t>承包人投标文件中的工程量清单中没有填入单价或合价的清单项目，应认为该项目价款已包含在工程量清单的其他项目的单价或合价中，发包人将不另行支付。</w:t>
      </w:r>
    </w:p>
    <w:p w14:paraId="352835FB">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10.3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40BA28EC">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1051" name="0000ee"/>
                <wp:cNvGraphicFramePr/>
                <a:graphic xmlns:a="http://schemas.openxmlformats.org/drawingml/2006/main">
                  <a:graphicData uri="http://schemas.microsoft.com/office/word/2010/wordprocessingShape">
                    <wps:wsp>
                      <wps:cNvSpPr/>
                      <wps:spPr>
                        <a:xfrm>
                          <a:off x="0" y="0"/>
                          <a:ext cx="914400" cy="455294"/>
                        </a:xfrm>
                        <a:prstGeom prst="rect">
                          <a:avLst/>
                        </a:prstGeom>
                        <a:ln>
                          <a:noFill/>
                        </a:ln>
                      </wps:spPr>
                      <wps:txbx>
                        <w:txbxContent>
                          <w:p w14:paraId="593B258B">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wps:wsp>
                  </a:graphicData>
                </a:graphic>
              </wp:anchor>
            </w:drawing>
          </mc:Choice>
          <mc:Fallback>
            <w:pict>
              <v:rect id="0000ee" o:spid="_x0000_s1026" o:spt="1" style="position:absolute;left:0pt;margin-left:-9pt;margin-top:0.65pt;height:35.85pt;width:72pt;z-index:251659264;mso-width-relative:page;mso-height-relative:page;" filled="f" stroked="f" coordsize="21600,21600" o:gfxdata="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&#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A2GDczYAAAACAEAAA8AAAAAAAAAAQAgAAAAIgAAAGRy&#10;cy9kb3ducmV2LnhtbFBLAQIUABQAAAAIAIdO4kDQ4iAPkwEAADgDAAAOAAAAAAAAAAEAIAAAACcB&#10;AABkcnMvZTJvRG9jLnhtbFBLBQYAAAAABgAGAFkBAAAsBQAAAAA=&#10;">
                <v:fill on="f" focussize="0,0"/>
                <v:stroke on="f"/>
                <v:imagedata o:title=""/>
                <o:lock v:ext="edit" aspectratio="f"/>
                <v:textbox>
                  <w:txbxContent>
                    <w:p w14:paraId="593B258B">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rect>
            </w:pict>
          </mc:Fallback>
        </mc:AlternateContent>
      </w:r>
      <w:r>
        <w:rPr>
          <w:rFonts w:hint="eastAsia" w:hAnsi="宋体" w:eastAsia="宋体" w:cs="宋体"/>
          <w:color w:val="auto"/>
          <w:sz w:val="24"/>
          <w:szCs w:val="24"/>
          <w:highlight w:val="none"/>
        </w:rPr>
        <w:t>承包人投标文件中出现算术性错误，导致其实际总造价与报价总金额不一致时，合同双方当事人可按照国家、省有关规定予以修正，并相应调整合同价款。</w:t>
      </w:r>
    </w:p>
    <w:p w14:paraId="781BFD10">
      <w:pPr>
        <w:pStyle w:val="24"/>
        <w:adjustRightInd w:val="0"/>
        <w:snapToGrid w:val="0"/>
        <w:spacing w:line="300" w:lineRule="auto"/>
        <w:ind w:left="1626" w:leftChars="1" w:hanging="1624" w:hangingChars="674"/>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543DCD6A">
      <w:pPr>
        <w:pStyle w:val="24"/>
        <w:adjustRightInd w:val="0"/>
        <w:snapToGrid w:val="0"/>
        <w:spacing w:before="240" w:beforeLines="100" w:line="300" w:lineRule="auto"/>
        <w:ind w:firstLine="601"/>
        <w:rPr>
          <w:rFonts w:hAnsi="宋体" w:eastAsia="宋体" w:cs="宋体"/>
          <w:b/>
          <w:bCs/>
          <w:color w:val="auto"/>
          <w:sz w:val="24"/>
          <w:szCs w:val="24"/>
          <w:highlight w:val="none"/>
        </w:rPr>
      </w:pPr>
      <w:bookmarkStart w:id="43" w:name="_Toc469383990"/>
      <w:bookmarkStart w:id="44" w:name="_Toc46860811"/>
    </w:p>
    <w:p w14:paraId="30452DB2">
      <w:pPr>
        <w:pStyle w:val="24"/>
        <w:adjustRightInd w:val="0"/>
        <w:snapToGrid w:val="0"/>
        <w:spacing w:before="240" w:beforeLines="100" w:line="300" w:lineRule="auto"/>
        <w:outlineLvl w:val="2"/>
        <w:rPr>
          <w:rFonts w:hAnsi="宋体" w:eastAsia="宋体" w:cs="宋体"/>
          <w:b/>
          <w:bCs/>
          <w:color w:val="auto"/>
          <w:sz w:val="24"/>
          <w:szCs w:val="24"/>
          <w:highlight w:val="none"/>
        </w:rPr>
      </w:pPr>
      <w:r>
        <w:rPr>
          <w:rFonts w:hint="eastAsia" w:hAnsi="宋体" w:eastAsia="宋体" w:cs="宋体"/>
          <w:b/>
          <w:bCs/>
          <w:color w:val="auto"/>
          <w:sz w:val="24"/>
          <w:szCs w:val="24"/>
          <w:highlight w:val="none"/>
        </w:rPr>
        <w:t>11  文物和地下障碍物</w:t>
      </w:r>
      <w:bookmarkEnd w:id="43"/>
      <w:bookmarkEnd w:id="44"/>
    </w:p>
    <w:p w14:paraId="4E26B7F9">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11.1  </w:t>
      </w:r>
      <w:r>
        <w:rPr>
          <w:rFonts w:hint="eastAsia" w:hAnsi="宋体" w:eastAsia="宋体" w:cs="宋体"/>
          <w:color w:val="auto"/>
          <w:sz w:val="24"/>
          <w:szCs w:val="24"/>
          <w:highlight w:val="none"/>
        </w:rPr>
        <w:t xml:space="preserve">                                     </w:t>
      </w:r>
    </w:p>
    <w:p w14:paraId="1E6CA471">
      <w:pPr>
        <w:pStyle w:val="24"/>
        <w:adjustRightInd w:val="0"/>
        <w:snapToGrid w:val="0"/>
        <w:spacing w:line="300" w:lineRule="auto"/>
        <w:ind w:left="1619" w:leftChars="771"/>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1052" name="0000ef"/>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45CEBC97">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wrap="square"/>
                    </wps:wsp>
                  </a:graphicData>
                </a:graphic>
              </wp:anchor>
            </w:drawing>
          </mc:Choice>
          <mc:Fallback>
            <w:pict>
              <v:rect id="0000ef" o:spid="_x0000_s1026" o:spt="1" style="position:absolute;left:0pt;margin-left:-9pt;margin-top:-0.6pt;height:39pt;width:72pt;z-index:251659264;mso-width-relative:page;mso-height-relative:page;" filled="f" stroked="f" coordsize="21600,21600" o:gfxdata="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&#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2MBSfYAAAACQEAAA8AAAAAAAAAAQAgAAAAIgAAAGRy&#10;cy9kb3ducmV2LnhtbFBLAQIUABQAAAAIAIdO4kD+o++NkwEAADgDAAAOAAAAAAAAAAEAIAAAACcB&#10;AABkcnMvZTJvRG9jLnhtbFBLBQYAAAAABgAGAFkBAAAsBQAAAAA=&#10;">
                <v:fill on="f" focussize="0,0"/>
                <v:stroke on="f"/>
                <v:imagedata o:title=""/>
                <o:lock v:ext="edit" aspectratio="f"/>
                <v:textbox>
                  <w:txbxContent>
                    <w:p w14:paraId="45CEBC97">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rect>
            </w:pict>
          </mc:Fallback>
        </mc:AlternateContent>
      </w:r>
      <w:r>
        <w:rPr>
          <w:rFonts w:hint="eastAsia" w:hAnsi="宋体" w:eastAsia="宋体" w:cs="宋体"/>
          <w:color w:val="auto"/>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14:paraId="789651EB">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如发现文物后隐瞒不报或报告不及时，导致上述文物丢失或遭受破坏的，由责任方赔偿损失，并承担相应的法律责任。</w:t>
      </w:r>
    </w:p>
    <w:p w14:paraId="00DD87A2">
      <w:pPr>
        <w:pStyle w:val="24"/>
        <w:adjustRightInd w:val="0"/>
        <w:snapToGrid w:val="0"/>
        <w:spacing w:line="300" w:lineRule="auto"/>
        <w:rPr>
          <w:rFonts w:hAnsi="宋体" w:eastAsia="宋体" w:cs="宋体"/>
          <w:b/>
          <w:bCs/>
          <w:color w:val="auto"/>
          <w:sz w:val="24"/>
          <w:szCs w:val="24"/>
          <w:highlight w:val="none"/>
        </w:rPr>
      </w:pPr>
    </w:p>
    <w:p w14:paraId="2FBEA8AC">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1053" name="0000f0"/>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1ACC14EA">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wrap="square"/>
                    </wps:wsp>
                  </a:graphicData>
                </a:graphic>
              </wp:anchor>
            </w:drawing>
          </mc:Choice>
          <mc:Fallback>
            <w:pict>
              <v:rect id="0000f0" o:spid="_x0000_s1026" o:spt="1" style="position:absolute;left:0pt;margin-left:-9pt;margin-top:18.35pt;height:39pt;width:72pt;z-index:251659264;mso-width-relative:page;mso-height-relative:page;" filled="f" stroked="f" coordsize="21600,21600" o:gfxdata="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1YYtHbAAAACgEAAA8AAAAAAAAAAQAgAAAAIgAA&#10;AGRycy9kb3ducmV2LnhtbFBLAQIUABQAAAAIAIdO4kBVpTBWkwEAADgDAAAOAAAAAAAAAAEAIAAA&#10;ACoBAABkcnMvZTJvRG9jLnhtbFBLBQYAAAAABgAGAFkBAAAvBQAAAAA=&#10;">
                <v:fill on="f" focussize="0,0"/>
                <v:stroke on="f"/>
                <v:imagedata o:title=""/>
                <o:lock v:ext="edit" aspectratio="f"/>
                <v:textbox>
                  <w:txbxContent>
                    <w:p w14:paraId="1ACC14EA">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rect>
            </w:pict>
          </mc:Fallback>
        </mc:AlternateContent>
      </w:r>
      <w:r>
        <w:rPr>
          <w:rFonts w:hint="eastAsia" w:hAnsi="宋体" w:eastAsia="宋体" w:cs="宋体"/>
          <w:b/>
          <w:bCs/>
          <w:color w:val="auto"/>
          <w:sz w:val="24"/>
          <w:szCs w:val="24"/>
          <w:highlight w:val="none"/>
        </w:rPr>
        <w:t xml:space="preserve">11.2  </w:t>
      </w:r>
      <w:r>
        <w:rPr>
          <w:rFonts w:hint="eastAsia" w:hAnsi="宋体" w:eastAsia="宋体" w:cs="宋体"/>
          <w:b/>
          <w:bCs/>
          <w:color w:val="auto"/>
          <w:sz w:val="24"/>
          <w:szCs w:val="24"/>
          <w:highlight w:val="none"/>
          <w:u w:val="dotted"/>
        </w:rPr>
        <w:t xml:space="preserve">                                                                                                       </w:t>
      </w:r>
    </w:p>
    <w:p w14:paraId="53AEB62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本合同已明确指出的地下障碍物（发包人招标文件提供的工程量清单有列明或提供的地质资料已明确反映的），应视为承包人在投标报价时已预见其对施工的影响，并已在合同价款中考虑。</w:t>
      </w:r>
    </w:p>
    <w:p w14:paraId="4C12F65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本合同未有明确指出的地下障碍物（发包人招标文件提供的工程量清单没列明或提供的地质资料不能明确反映的），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14:paraId="314C7E80">
      <w:pPr>
        <w:pStyle w:val="24"/>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5958C06">
      <w:pPr>
        <w:pStyle w:val="24"/>
        <w:tabs>
          <w:tab w:val="left" w:pos="1620"/>
        </w:tabs>
        <w:adjustRightInd w:val="0"/>
        <w:snapToGrid w:val="0"/>
        <w:spacing w:before="240" w:beforeLines="100" w:line="300" w:lineRule="auto"/>
        <w:outlineLvl w:val="2"/>
        <w:rPr>
          <w:rFonts w:hAnsi="宋体" w:eastAsia="宋体" w:cs="宋体"/>
          <w:b/>
          <w:bCs/>
          <w:color w:val="auto"/>
          <w:sz w:val="24"/>
          <w:szCs w:val="24"/>
          <w:highlight w:val="none"/>
        </w:rPr>
      </w:pPr>
      <w:bookmarkStart w:id="45" w:name="_Toc469383991"/>
      <w:bookmarkStart w:id="46" w:name="_Toc46860812"/>
      <w:r>
        <w:rPr>
          <w:rFonts w:hint="eastAsia" w:hAnsi="宋体" w:eastAsia="宋体" w:cs="宋体"/>
          <w:b/>
          <w:bCs/>
          <w:color w:val="auto"/>
          <w:sz w:val="24"/>
          <w:szCs w:val="24"/>
          <w:highlight w:val="none"/>
        </w:rPr>
        <w:t>12  事故处理</w:t>
      </w:r>
      <w:bookmarkEnd w:id="45"/>
      <w:bookmarkEnd w:id="46"/>
    </w:p>
    <w:p w14:paraId="63727B77">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1054" name="0000f1"/>
                <wp:cNvGraphicFramePr/>
                <a:graphic xmlns:a="http://schemas.openxmlformats.org/drawingml/2006/main">
                  <a:graphicData uri="http://schemas.microsoft.com/office/word/2010/wordprocessingShape">
                    <wps:wsp>
                      <wps:cNvSpPr/>
                      <wps:spPr>
                        <a:xfrm>
                          <a:off x="0" y="0"/>
                          <a:ext cx="1028700" cy="523875"/>
                        </a:xfrm>
                        <a:prstGeom prst="rect">
                          <a:avLst/>
                        </a:prstGeom>
                        <a:ln>
                          <a:noFill/>
                        </a:ln>
                      </wps:spPr>
                      <wps:txbx>
                        <w:txbxContent>
                          <w:p w14:paraId="3686059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14:paraId="3366FAA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14:paraId="2B3D1433">
                            <w:pPr>
                              <w:rPr>
                                <w:color w:val="000000"/>
                                <w:sz w:val="18"/>
                                <w:szCs w:val="18"/>
                              </w:rPr>
                            </w:pPr>
                          </w:p>
                        </w:txbxContent>
                      </wps:txbx>
                      <wps:bodyPr wrap="square"/>
                    </wps:wsp>
                  </a:graphicData>
                </a:graphic>
              </wp:anchor>
            </w:drawing>
          </mc:Choice>
          <mc:Fallback>
            <w:pict>
              <v:rect id="0000f1" o:spid="_x0000_s1026" o:spt="1" style="position:absolute;left:0pt;margin-left:-9pt;margin-top:18.05pt;height:41.25pt;width:81pt;z-index:251659264;mso-width-relative:page;mso-height-relative:page;" filled="f" stroked="f" coordsize="21600,21600" o:gfxdata="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WYzku2gAAAAoBAAAPAAAAAAAAAAEAIAAAACIA&#10;AABkcnMvZG93bnJldi54bWxQSwECFAAUAAAACACHTuJAWicCM5UBAAA5AwAADgAAAAAAAAABACAA&#10;AAApAQAAZHJzL2Uyb0RvYy54bWxQSwUGAAAAAAYABgBZAQAAMAUAAAAA&#10;">
                <v:fill on="f" focussize="0,0"/>
                <v:stroke on="f"/>
                <v:imagedata o:title=""/>
                <o:lock v:ext="edit" aspectratio="f"/>
                <v:textbox>
                  <w:txbxContent>
                    <w:p w14:paraId="3686059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14:paraId="3366FAA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14:paraId="2B3D1433">
                      <w:pPr>
                        <w:rPr>
                          <w:color w:val="000000"/>
                          <w:sz w:val="18"/>
                          <w:szCs w:val="18"/>
                        </w:rPr>
                      </w:pPr>
                    </w:p>
                  </w:txbxContent>
                </v:textbox>
              </v:rect>
            </w:pict>
          </mc:Fallback>
        </mc:AlternateContent>
      </w:r>
      <w:r>
        <w:rPr>
          <w:rFonts w:hint="eastAsia" w:hAnsi="宋体" w:eastAsia="宋体" w:cs="宋体"/>
          <w:b/>
          <w:bCs/>
          <w:color w:val="auto"/>
          <w:sz w:val="24"/>
          <w:szCs w:val="24"/>
          <w:highlight w:val="none"/>
        </w:rPr>
        <w:t xml:space="preserve">12.1                   </w:t>
      </w:r>
    </w:p>
    <w:p w14:paraId="5E17192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合同履行期间，合同工程发生质量与安全事故，承包人立即通知监理工程师和发包人。</w:t>
      </w:r>
    </w:p>
    <w:p w14:paraId="5198F33D">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1055" name="0000f2"/>
                <wp:cNvGraphicFramePr/>
                <a:graphic xmlns:a="http://schemas.openxmlformats.org/drawingml/2006/main">
                  <a:graphicData uri="http://schemas.microsoft.com/office/word/2010/wordprocessingShape">
                    <wps:wsp>
                      <wps:cNvSpPr/>
                      <wps:spPr>
                        <a:xfrm>
                          <a:off x="0" y="0"/>
                          <a:ext cx="1028700" cy="297179"/>
                        </a:xfrm>
                        <a:prstGeom prst="rect">
                          <a:avLst/>
                        </a:prstGeom>
                        <a:ln>
                          <a:noFill/>
                        </a:ln>
                      </wps:spPr>
                      <wps:txbx>
                        <w:txbxContent>
                          <w:p w14:paraId="3264619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wps:wsp>
                  </a:graphicData>
                </a:graphic>
              </wp:anchor>
            </w:drawing>
          </mc:Choice>
          <mc:Fallback>
            <w:pict>
              <v:rect id="0000f2" o:spid="_x0000_s1026" o:spt="1" style="position:absolute;left:0pt;margin-left:-9pt;margin-top:17.7pt;height:23.4pt;width:81pt;z-index:251659264;mso-width-relative:page;mso-height-relative:page;" filled="f" stroked="f" coordsize="21600,21600" o:gfxdata="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bcXL02gAAAAkBAAAPAAAAAAAAAAEAIAAAACIA&#10;AABkcnMvZG93bnJldi54bWxQSwECFAAUAAAACACHTuJAoetwHpUBAAA5AwAADgAAAAAAAAABACAA&#10;AAApAQAAZHJzL2Uyb0RvYy54bWxQSwUGAAAAAAYABgBZAQAAMAUAAAAA&#10;">
                <v:fill on="f" focussize="0,0"/>
                <v:stroke on="f"/>
                <v:imagedata o:title=""/>
                <o:lock v:ext="edit" aspectratio="f"/>
                <v:textbox>
                  <w:txbxContent>
                    <w:p w14:paraId="3264619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rect>
            </w:pict>
          </mc:Fallback>
        </mc:AlternateContent>
      </w:r>
      <w:r>
        <w:rPr>
          <w:rFonts w:hint="eastAsia" w:hAnsi="宋体" w:eastAsia="宋体" w:cs="宋体"/>
          <w:b/>
          <w:bCs/>
          <w:color w:val="auto"/>
          <w:sz w:val="24"/>
          <w:szCs w:val="24"/>
          <w:highlight w:val="none"/>
        </w:rPr>
        <w:t xml:space="preserve">12.2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DF5BBDD">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14:paraId="5AEC69D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合同双方当事人应按照国家规定时限如实上报政府有关部门，配合政府有关部门的调查和处理，由此发生的费用和（或）延误的工期由事故责任方承担。</w:t>
      </w:r>
    </w:p>
    <w:p w14:paraId="110DECA7">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1056" name="0000f3"/>
                <wp:cNvGraphicFramePr/>
                <a:graphic xmlns:a="http://schemas.openxmlformats.org/drawingml/2006/main">
                  <a:graphicData uri="http://schemas.microsoft.com/office/word/2010/wordprocessingShape">
                    <wps:wsp>
                      <wps:cNvSpPr/>
                      <wps:spPr>
                        <a:xfrm>
                          <a:off x="0" y="0"/>
                          <a:ext cx="1028700" cy="297179"/>
                        </a:xfrm>
                        <a:prstGeom prst="rect">
                          <a:avLst/>
                        </a:prstGeom>
                        <a:ln>
                          <a:noFill/>
                        </a:ln>
                      </wps:spPr>
                      <wps:txbx>
                        <w:txbxContent>
                          <w:p w14:paraId="1030A9D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wps:wsp>
                  </a:graphicData>
                </a:graphic>
              </wp:anchor>
            </w:drawing>
          </mc:Choice>
          <mc:Fallback>
            <w:pict>
              <v:rect id="0000f3" o:spid="_x0000_s1026" o:spt="1" style="position:absolute;left:0pt;margin-left:-9pt;margin-top:17.7pt;height:23.4pt;width:81pt;z-index:251659264;mso-width-relative:page;mso-height-relative:page;" filled="f" stroked="f" coordsize="21600,21600" o:gfxdata="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G3Fy9NoAAAAJAQAADwAAAAAAAAABACAAAAAi&#10;AAAAZHJzL2Rvd25yZXYueG1sUEsBAhQAFAAAAAgAh07iQNTh67WWAQAAOQMAAA4AAAAAAAAAAQAg&#10;AAAAKQEAAGRycy9lMm9Eb2MueG1sUEsFBgAAAAAGAAYAWQEAADEFAAAAAA==&#10;">
                <v:fill on="f" focussize="0,0"/>
                <v:stroke on="f"/>
                <v:imagedata o:title=""/>
                <o:lock v:ext="edit" aspectratio="f"/>
                <v:textbox>
                  <w:txbxContent>
                    <w:p w14:paraId="1030A9D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rect>
            </w:pict>
          </mc:Fallback>
        </mc:AlternateContent>
      </w:r>
      <w:r>
        <w:rPr>
          <w:rFonts w:hint="eastAsia" w:hAnsi="宋体" w:eastAsia="宋体" w:cs="宋体"/>
          <w:b/>
          <w:bCs/>
          <w:color w:val="auto"/>
          <w:sz w:val="24"/>
          <w:szCs w:val="24"/>
          <w:highlight w:val="none"/>
        </w:rPr>
        <w:t xml:space="preserve">12.3  </w:t>
      </w:r>
      <w:r>
        <w:rPr>
          <w:rFonts w:hint="eastAsia" w:hAnsi="宋体" w:eastAsia="宋体" w:cs="宋体"/>
          <w:b/>
          <w:bCs/>
          <w:color w:val="auto"/>
          <w:sz w:val="24"/>
          <w:szCs w:val="24"/>
          <w:highlight w:val="none"/>
          <w:u w:val="dotted"/>
        </w:rPr>
        <w:t xml:space="preserve">                                                                                                        </w:t>
      </w:r>
    </w:p>
    <w:p w14:paraId="41DCD4FA">
      <w:pPr>
        <w:pStyle w:val="24"/>
        <w:tabs>
          <w:tab w:val="left" w:pos="1620"/>
        </w:tabs>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合同双方当事人对事故责任有争议时，应按照政府有关部门的认定处理。</w:t>
      </w:r>
    </w:p>
    <w:p w14:paraId="3F720B6A">
      <w:pPr>
        <w:pStyle w:val="24"/>
        <w:adjustRightInd w:val="0"/>
        <w:snapToGrid w:val="0"/>
        <w:spacing w:line="300" w:lineRule="auto"/>
        <w:ind w:right="-238"/>
        <w:rPr>
          <w:rFonts w:hAnsi="宋体" w:eastAsia="宋体" w:cs="宋体"/>
          <w:color w:val="auto"/>
          <w:sz w:val="24"/>
          <w:szCs w:val="24"/>
          <w:highlight w:val="none"/>
        </w:rPr>
      </w:pPr>
      <w:r>
        <w:rPr>
          <w:rFonts w:hint="eastAsia" w:hAnsi="宋体" w:eastAsia="宋体" w:cs="宋体"/>
          <w:b/>
          <w:bCs/>
          <w:color w:val="auto"/>
          <w:sz w:val="24"/>
          <w:szCs w:val="24"/>
          <w:highlight w:val="none"/>
          <w:u w:val="single"/>
        </w:rPr>
        <w:t xml:space="preserve">                                                                                  </w:t>
      </w:r>
      <w:r>
        <w:rPr>
          <w:rFonts w:hint="eastAsia" w:hAnsi="宋体" w:eastAsia="宋体" w:cs="宋体"/>
          <w:b/>
          <w:bCs/>
          <w:color w:val="auto"/>
          <w:sz w:val="24"/>
          <w:szCs w:val="24"/>
          <w:highlight w:val="none"/>
        </w:rPr>
        <w:t xml:space="preserve">  </w:t>
      </w:r>
      <w:r>
        <w:rPr>
          <w:rFonts w:hint="eastAsia" w:hAnsi="宋体" w:eastAsia="宋体" w:cs="宋体"/>
          <w:color w:val="auto"/>
          <w:sz w:val="24"/>
          <w:szCs w:val="24"/>
          <w:highlight w:val="none"/>
        </w:rPr>
        <w:t xml:space="preserve">                         </w:t>
      </w:r>
    </w:p>
    <w:p w14:paraId="0563D02C">
      <w:pPr>
        <w:pStyle w:val="24"/>
        <w:tabs>
          <w:tab w:val="left" w:pos="1620"/>
        </w:tabs>
        <w:adjustRightInd w:val="0"/>
        <w:snapToGrid w:val="0"/>
        <w:spacing w:before="240" w:beforeLines="100" w:line="300" w:lineRule="auto"/>
        <w:ind w:right="-237" w:rightChars="-113"/>
        <w:outlineLvl w:val="2"/>
        <w:rPr>
          <w:rFonts w:hAnsi="宋体" w:eastAsia="宋体" w:cs="宋体"/>
          <w:b/>
          <w:bCs/>
          <w:color w:val="auto"/>
          <w:sz w:val="24"/>
          <w:szCs w:val="24"/>
          <w:highlight w:val="none"/>
        </w:rPr>
      </w:pPr>
      <w:bookmarkStart w:id="47" w:name="_Toc46860813"/>
      <w:bookmarkStart w:id="48" w:name="_Toc469383992"/>
      <w:r>
        <w:rPr>
          <w:rFonts w:hint="eastAsia" w:hAnsi="宋体" w:eastAsia="宋体" w:cs="宋体"/>
          <w:b/>
          <w:bCs/>
          <w:color w:val="auto"/>
          <w:sz w:val="24"/>
          <w:szCs w:val="24"/>
          <w:highlight w:val="none"/>
        </w:rPr>
        <w:t>13  交通运输</w:t>
      </w:r>
      <w:bookmarkEnd w:id="47"/>
      <w:bookmarkEnd w:id="48"/>
    </w:p>
    <w:p w14:paraId="42B9B168">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1057" name="0000f4"/>
                <wp:cNvGraphicFramePr/>
                <a:graphic xmlns:a="http://schemas.openxmlformats.org/drawingml/2006/main">
                  <a:graphicData uri="http://schemas.microsoft.com/office/word/2010/wordprocessingShape">
                    <wps:wsp>
                      <wps:cNvSpPr/>
                      <wps:spPr>
                        <a:xfrm>
                          <a:off x="0" y="0"/>
                          <a:ext cx="1028700" cy="523875"/>
                        </a:xfrm>
                        <a:prstGeom prst="rect">
                          <a:avLst/>
                        </a:prstGeom>
                        <a:ln>
                          <a:noFill/>
                        </a:ln>
                      </wps:spPr>
                      <wps:txbx>
                        <w:txbxContent>
                          <w:p w14:paraId="0F8FF40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14:paraId="191589F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14:paraId="4169785D">
                            <w:pPr>
                              <w:rPr>
                                <w:color w:val="0000FF"/>
                                <w:sz w:val="18"/>
                                <w:szCs w:val="18"/>
                              </w:rPr>
                            </w:pPr>
                          </w:p>
                          <w:p w14:paraId="7217FF38">
                            <w:pPr>
                              <w:rPr>
                                <w:sz w:val="18"/>
                                <w:szCs w:val="18"/>
                              </w:rPr>
                            </w:pPr>
                          </w:p>
                        </w:txbxContent>
                      </wps:txbx>
                      <wps:bodyPr wrap="square"/>
                    </wps:wsp>
                  </a:graphicData>
                </a:graphic>
              </wp:anchor>
            </w:drawing>
          </mc:Choice>
          <mc:Fallback>
            <w:pict>
              <v:rect id="0000f4" o:spid="_x0000_s1026" o:spt="1" style="position:absolute;left:0pt;margin-left:-9pt;margin-top:18.05pt;height:41.25pt;width:81pt;z-index:251659264;mso-width-relative:page;mso-height-relative:page;" filled="f" stroked="f" coordsize="21600,21600" o:gfxdata="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1mM5LtoAAAAKAQAADwAAAAAAAAABACAAAAAi&#10;AAAAZHJzL2Rvd25yZXYueG1sUEsBAhQAFAAAAAgAh07iQL/6oiOWAQAAOQMAAA4AAAAAAAAAAQAg&#10;AAAAKQEAAGRycy9lMm9Eb2MueG1sUEsFBgAAAAAGAAYAWQEAADEFAAAAAA==&#10;">
                <v:fill on="f" focussize="0,0"/>
                <v:stroke on="f"/>
                <v:imagedata o:title=""/>
                <o:lock v:ext="edit" aspectratio="f"/>
                <v:textbox>
                  <w:txbxContent>
                    <w:p w14:paraId="0F8FF40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14:paraId="191589F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14:paraId="4169785D">
                      <w:pPr>
                        <w:rPr>
                          <w:color w:val="0000FF"/>
                          <w:sz w:val="18"/>
                          <w:szCs w:val="18"/>
                        </w:rPr>
                      </w:pPr>
                    </w:p>
                    <w:p w14:paraId="7217FF38">
                      <w:pPr>
                        <w:rPr>
                          <w:sz w:val="18"/>
                          <w:szCs w:val="18"/>
                        </w:rPr>
                      </w:pPr>
                    </w:p>
                  </w:txbxContent>
                </v:textbox>
              </v:rect>
            </w:pict>
          </mc:Fallback>
        </mc:AlternateContent>
      </w:r>
      <w:r>
        <w:rPr>
          <w:rFonts w:hint="eastAsia" w:hAnsi="宋体" w:eastAsia="宋体" w:cs="宋体"/>
          <w:b/>
          <w:bCs/>
          <w:color w:val="auto"/>
          <w:sz w:val="24"/>
          <w:szCs w:val="24"/>
          <w:highlight w:val="none"/>
        </w:rPr>
        <w:t xml:space="preserve">13.1                   </w:t>
      </w:r>
    </w:p>
    <w:p w14:paraId="215818E6">
      <w:pPr>
        <w:pStyle w:val="24"/>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667047EC">
      <w:pPr>
        <w:pStyle w:val="24"/>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2698014E">
      <w:pPr>
        <w:pStyle w:val="24"/>
        <w:tabs>
          <w:tab w:val="left" w:pos="1202"/>
        </w:tabs>
        <w:adjustRightInd w:val="0"/>
        <w:snapToGrid w:val="0"/>
        <w:spacing w:line="300" w:lineRule="auto"/>
        <w:ind w:left="1619" w:leftChars="1" w:hanging="1617" w:hangingChars="674"/>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1058" name="0000f5"/>
                <wp:cNvGraphicFramePr/>
                <a:graphic xmlns:a="http://schemas.openxmlformats.org/drawingml/2006/main">
                  <a:graphicData uri="http://schemas.microsoft.com/office/word/2010/wordprocessingShape">
                    <wps:wsp>
                      <wps:cNvSpPr/>
                      <wps:spPr>
                        <a:xfrm>
                          <a:off x="0" y="0"/>
                          <a:ext cx="1028700" cy="523875"/>
                        </a:xfrm>
                        <a:prstGeom prst="rect">
                          <a:avLst/>
                        </a:prstGeom>
                        <a:ln>
                          <a:noFill/>
                        </a:ln>
                      </wps:spPr>
                      <wps:txbx>
                        <w:txbxContent>
                          <w:p w14:paraId="3B7D9CD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14:paraId="68DBB7E7">
                            <w:pPr>
                              <w:rPr>
                                <w:rFonts w:ascii="宋体"/>
                                <w:color w:val="000000"/>
                                <w:sz w:val="24"/>
                              </w:rPr>
                            </w:pPr>
                            <w:r>
                              <w:rPr>
                                <w:rFonts w:hint="eastAsia" w:ascii="楷体_GB2312" w:hAnsi="宋体" w:eastAsia="楷体_GB2312" w:cs="楷体_GB2312"/>
                                <w:b/>
                                <w:bCs/>
                                <w:color w:val="000000"/>
                                <w:sz w:val="18"/>
                                <w:szCs w:val="18"/>
                              </w:rPr>
                              <w:t>和交通设施</w:t>
                            </w:r>
                          </w:p>
                          <w:p w14:paraId="48A09A39">
                            <w:pPr>
                              <w:rPr>
                                <w:color w:val="0000FF"/>
                                <w:sz w:val="18"/>
                                <w:szCs w:val="18"/>
                              </w:rPr>
                            </w:pPr>
                          </w:p>
                          <w:p w14:paraId="3291284B">
                            <w:pPr>
                              <w:rPr>
                                <w:sz w:val="18"/>
                                <w:szCs w:val="18"/>
                              </w:rPr>
                            </w:pPr>
                          </w:p>
                        </w:txbxContent>
                      </wps:txbx>
                      <wps:bodyPr wrap="square"/>
                    </wps:wsp>
                  </a:graphicData>
                </a:graphic>
              </wp:anchor>
            </w:drawing>
          </mc:Choice>
          <mc:Fallback>
            <w:pict>
              <v:rect id="0000f5" o:spid="_x0000_s1026" o:spt="1" style="position:absolute;left:0pt;margin-left:-9pt;margin-top:26.25pt;height:41.25pt;width:81pt;z-index:251659264;mso-width-relative:page;mso-height-relative:page;" filled="f" stroked="f" coordsize="21600,21600" o:gfxdata="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vvUqNsAAAAKAQAADwAAAAAAAAABACAAAAAi&#10;AAAAZHJzL2Rvd25yZXYueG1sUEsBAhQAFAAAAAgAh07iQE0E/fCVAQAAOQMAAA4AAAAAAAAAAQAg&#10;AAAAKgEAAGRycy9lMm9Eb2MueG1sUEsFBgAAAAAGAAYAWQEAADEFAAAAAA==&#10;">
                <v:fill on="f" focussize="0,0"/>
                <v:stroke on="f"/>
                <v:imagedata o:title=""/>
                <o:lock v:ext="edit" aspectratio="f"/>
                <v:textbox>
                  <w:txbxContent>
                    <w:p w14:paraId="3B7D9CD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14:paraId="68DBB7E7">
                      <w:pPr>
                        <w:rPr>
                          <w:rFonts w:ascii="宋体"/>
                          <w:color w:val="000000"/>
                          <w:sz w:val="24"/>
                        </w:rPr>
                      </w:pPr>
                      <w:r>
                        <w:rPr>
                          <w:rFonts w:hint="eastAsia" w:ascii="楷体_GB2312" w:hAnsi="宋体" w:eastAsia="楷体_GB2312" w:cs="楷体_GB2312"/>
                          <w:b/>
                          <w:bCs/>
                          <w:color w:val="000000"/>
                          <w:sz w:val="18"/>
                          <w:szCs w:val="18"/>
                        </w:rPr>
                        <w:t>和交通设施</w:t>
                      </w:r>
                    </w:p>
                    <w:p w14:paraId="48A09A39">
                      <w:pPr>
                        <w:rPr>
                          <w:color w:val="0000FF"/>
                          <w:sz w:val="18"/>
                          <w:szCs w:val="18"/>
                        </w:rPr>
                      </w:pPr>
                    </w:p>
                    <w:p w14:paraId="3291284B">
                      <w:pPr>
                        <w:rPr>
                          <w:sz w:val="18"/>
                          <w:szCs w:val="18"/>
                        </w:rPr>
                      </w:pPr>
                    </w:p>
                  </w:txbxContent>
                </v:textbox>
              </v:rect>
            </w:pict>
          </mc:Fallback>
        </mc:AlternateContent>
      </w:r>
      <w:r>
        <w:rPr>
          <w:rFonts w:hint="eastAsia" w:hAnsi="宋体" w:eastAsia="宋体" w:cs="宋体"/>
          <w:b/>
          <w:bCs/>
          <w:color w:val="auto"/>
          <w:sz w:val="24"/>
          <w:szCs w:val="24"/>
          <w:highlight w:val="none"/>
        </w:rPr>
        <w:t>13.2</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r>
        <w:rPr>
          <w:rFonts w:hint="eastAsia" w:hAnsi="宋体" w:eastAsia="宋体" w:cs="宋体"/>
          <w:color w:val="auto"/>
          <w:sz w:val="24"/>
          <w:szCs w:val="24"/>
          <w:highlight w:val="none"/>
        </w:rPr>
        <w:t>除专用条款另有约定外，承包人应负责修建、维修、养护和管理施工场地内所需的临时道路和交通设施，包括维修、养护和管理发包人提供的道路和交通设施，并承担相应费用。</w:t>
      </w:r>
    </w:p>
    <w:p w14:paraId="7EE9F6F2">
      <w:pPr>
        <w:pStyle w:val="24"/>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承包人修建的临时道路和交通设施应免费提供发包人使用。</w:t>
      </w:r>
    </w:p>
    <w:p w14:paraId="05478F64">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1059" name="0000f6"/>
                <wp:cNvGraphicFramePr/>
                <a:graphic xmlns:a="http://schemas.openxmlformats.org/drawingml/2006/main">
                  <a:graphicData uri="http://schemas.microsoft.com/office/word/2010/wordprocessingShape">
                    <wps:wsp>
                      <wps:cNvSpPr/>
                      <wps:spPr>
                        <a:xfrm>
                          <a:off x="0" y="0"/>
                          <a:ext cx="1028700" cy="297179"/>
                        </a:xfrm>
                        <a:prstGeom prst="rect">
                          <a:avLst/>
                        </a:prstGeom>
                        <a:ln>
                          <a:noFill/>
                        </a:ln>
                      </wps:spPr>
                      <wps:txbx>
                        <w:txbxContent>
                          <w:p w14:paraId="2E9347C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wps:wsp>
                  </a:graphicData>
                </a:graphic>
              </wp:anchor>
            </w:drawing>
          </mc:Choice>
          <mc:Fallback>
            <w:pict>
              <v:rect id="0000f6" o:spid="_x0000_s1026" o:spt="1" style="position:absolute;left:0pt;margin-left:-9pt;margin-top:17.7pt;height:23.4pt;width:81pt;z-index:251659264;mso-width-relative:page;mso-height-relative:page;" filled="f" stroked="f" coordsize="21600,21600" o:gfxdata="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bcXL02gAAAAkBAAAPAAAAAAAAAAEAIAAAACIA&#10;AABkcnMvZG93bnJldi54bWxQSwECFAAUAAAACACHTuJAtsiP3ZUBAAA5AwAADgAAAAAAAAABACAA&#10;AAApAQAAZHJzL2Uyb0RvYy54bWxQSwUGAAAAAAYABgBZAQAAMAUAAAAA&#10;">
                <v:fill on="f" focussize="0,0"/>
                <v:stroke on="f"/>
                <v:imagedata o:title=""/>
                <o:lock v:ext="edit" aspectratio="f"/>
                <v:textbox>
                  <w:txbxContent>
                    <w:p w14:paraId="2E9347C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rect>
            </w:pict>
          </mc:Fallback>
        </mc:AlternateContent>
      </w:r>
      <w:r>
        <w:rPr>
          <w:rFonts w:hint="eastAsia" w:hAnsi="宋体" w:eastAsia="宋体" w:cs="宋体"/>
          <w:b/>
          <w:bCs/>
          <w:color w:val="auto"/>
          <w:sz w:val="24"/>
          <w:szCs w:val="24"/>
          <w:highlight w:val="none"/>
        </w:rPr>
        <w:t xml:space="preserve">13.3  </w:t>
      </w:r>
      <w:r>
        <w:rPr>
          <w:rFonts w:hint="eastAsia" w:hAnsi="宋体" w:eastAsia="宋体" w:cs="宋体"/>
          <w:b/>
          <w:bCs/>
          <w:color w:val="auto"/>
          <w:sz w:val="24"/>
          <w:szCs w:val="24"/>
          <w:highlight w:val="none"/>
          <w:u w:val="dotted"/>
        </w:rPr>
        <w:t xml:space="preserve">                                                                                                        </w:t>
      </w:r>
    </w:p>
    <w:p w14:paraId="21F30BF6">
      <w:pPr>
        <w:pStyle w:val="24"/>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14:paraId="6BD17F63">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1060" name="0000f7"/>
                <wp:cNvGraphicFramePr/>
                <a:graphic xmlns:a="http://schemas.openxmlformats.org/drawingml/2006/main">
                  <a:graphicData uri="http://schemas.microsoft.com/office/word/2010/wordprocessingShape">
                    <wps:wsp>
                      <wps:cNvSpPr/>
                      <wps:spPr>
                        <a:xfrm>
                          <a:off x="0" y="0"/>
                          <a:ext cx="1028700" cy="466090"/>
                        </a:xfrm>
                        <a:prstGeom prst="rect">
                          <a:avLst/>
                        </a:prstGeom>
                        <a:ln>
                          <a:noFill/>
                        </a:ln>
                      </wps:spPr>
                      <wps:txbx>
                        <w:txbxContent>
                          <w:p w14:paraId="5F69FA6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14:paraId="2C106426">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wps:wsp>
                  </a:graphicData>
                </a:graphic>
              </wp:anchor>
            </w:drawing>
          </mc:Choice>
          <mc:Fallback>
            <w:pict>
              <v:rect id="0000f7" o:spid="_x0000_s1026" o:spt="1" style="position:absolute;left:0pt;margin-left:-9pt;margin-top:17.7pt;height:36.7pt;width:81pt;z-index:251659264;mso-width-relative:page;mso-height-relative:page;" filled="f" stroked="f" coordsize="21600,21600" o:gfxdata="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GbfVhtsAAAAKAQAADwAAAAAAAAABACAAAAAi&#10;AAAAZHJzL2Rvd25yZXYueG1sUEsBAhQAFAAAAAgAh07iQOgONmOVAQAAOQMAAA4AAAAAAAAAAQAg&#10;AAAAKgEAAGRycy9lMm9Eb2MueG1sUEsFBgAAAAAGAAYAWQEAADEFAAAAAA==&#10;">
                <v:fill on="f" focussize="0,0"/>
                <v:stroke on="f"/>
                <v:imagedata o:title=""/>
                <o:lock v:ext="edit" aspectratio="f"/>
                <v:textbox>
                  <w:txbxContent>
                    <w:p w14:paraId="5F69FA6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14:paraId="2C106426">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rect>
            </w:pict>
          </mc:Fallback>
        </mc:AlternateContent>
      </w:r>
      <w:r>
        <w:rPr>
          <w:rFonts w:hint="eastAsia" w:hAnsi="宋体" w:eastAsia="宋体" w:cs="宋体"/>
          <w:b/>
          <w:bCs/>
          <w:color w:val="auto"/>
          <w:sz w:val="24"/>
          <w:szCs w:val="24"/>
          <w:highlight w:val="none"/>
        </w:rPr>
        <w:t xml:space="preserve">13.4  </w:t>
      </w:r>
      <w:r>
        <w:rPr>
          <w:rFonts w:hint="eastAsia" w:hAnsi="宋体" w:eastAsia="宋体" w:cs="宋体"/>
          <w:b/>
          <w:bCs/>
          <w:color w:val="auto"/>
          <w:sz w:val="24"/>
          <w:szCs w:val="24"/>
          <w:highlight w:val="none"/>
          <w:u w:val="dotted"/>
        </w:rPr>
        <w:t xml:space="preserve">                                                                                                        </w:t>
      </w:r>
    </w:p>
    <w:p w14:paraId="7DE5F9C8">
      <w:pPr>
        <w:pStyle w:val="24"/>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31FC29B0">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1061" name="0000f8"/>
                <wp:cNvGraphicFramePr/>
                <a:graphic xmlns:a="http://schemas.openxmlformats.org/drawingml/2006/main">
                  <a:graphicData uri="http://schemas.microsoft.com/office/word/2010/wordprocessingShape">
                    <wps:wsp>
                      <wps:cNvSpPr/>
                      <wps:spPr>
                        <a:xfrm>
                          <a:off x="0" y="0"/>
                          <a:ext cx="1028700" cy="466090"/>
                        </a:xfrm>
                        <a:prstGeom prst="rect">
                          <a:avLst/>
                        </a:prstGeom>
                        <a:ln>
                          <a:noFill/>
                        </a:ln>
                      </wps:spPr>
                      <wps:txbx>
                        <w:txbxContent>
                          <w:p w14:paraId="083BD7F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14:paraId="55E7D74C">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wps:wsp>
                  </a:graphicData>
                </a:graphic>
              </wp:anchor>
            </w:drawing>
          </mc:Choice>
          <mc:Fallback>
            <w:pict>
              <v:rect id="0000f8" o:spid="_x0000_s1026" o:spt="1" style="position:absolute;left:0pt;margin-left:-9pt;margin-top:17.7pt;height:36.7pt;width:81pt;z-index:251659264;mso-width-relative:page;mso-height-relative:page;" filled="f" stroked="f" coordsize="21600,21600" o:gfxdata="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GbfVhtsAAAAKAQAADwAAAAAAAAABACAAAAAi&#10;AAAAZHJzL2Rvd25yZXYueG1sUEsBAhQAFAAAAAgAh07iQLrElHqVAQAAOQMAAA4AAAAAAAAAAQAg&#10;AAAAKgEAAGRycy9lMm9Eb2MueG1sUEsFBgAAAAAGAAYAWQEAADEFAAAAAA==&#10;">
                <v:fill on="f" focussize="0,0"/>
                <v:stroke on="f"/>
                <v:imagedata o:title=""/>
                <o:lock v:ext="edit" aspectratio="f"/>
                <v:textbox>
                  <w:txbxContent>
                    <w:p w14:paraId="083BD7F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14:paraId="55E7D74C">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rect>
            </w:pict>
          </mc:Fallback>
        </mc:AlternateContent>
      </w:r>
      <w:r>
        <w:rPr>
          <w:rFonts w:hint="eastAsia" w:hAnsi="宋体" w:eastAsia="宋体" w:cs="宋体"/>
          <w:b/>
          <w:bCs/>
          <w:color w:val="auto"/>
          <w:sz w:val="24"/>
          <w:szCs w:val="24"/>
          <w:highlight w:val="none"/>
        </w:rPr>
        <w:t xml:space="preserve">13.5  </w:t>
      </w:r>
      <w:r>
        <w:rPr>
          <w:rFonts w:hint="eastAsia" w:hAnsi="宋体" w:eastAsia="宋体" w:cs="宋体"/>
          <w:b/>
          <w:bCs/>
          <w:color w:val="auto"/>
          <w:sz w:val="24"/>
          <w:szCs w:val="24"/>
          <w:highlight w:val="none"/>
          <w:u w:val="dotted"/>
        </w:rPr>
        <w:t xml:space="preserve">                                                                                                        </w:t>
      </w:r>
    </w:p>
    <w:p w14:paraId="7C7888F8">
      <w:pPr>
        <w:pStyle w:val="24"/>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因承包人运输造成施工场地内外公共道路和桥梁损坏的，由承包人承担修复损坏的全部费用和可能引起的赔偿。</w:t>
      </w:r>
    </w:p>
    <w:p w14:paraId="023B59E6">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1062" name="0000f9"/>
                <wp:cNvGraphicFramePr/>
                <a:graphic xmlns:a="http://schemas.openxmlformats.org/drawingml/2006/main">
                  <a:graphicData uri="http://schemas.microsoft.com/office/word/2010/wordprocessingShape">
                    <wps:wsp>
                      <wps:cNvSpPr/>
                      <wps:spPr>
                        <a:xfrm>
                          <a:off x="0" y="0"/>
                          <a:ext cx="1028700" cy="608330"/>
                        </a:xfrm>
                        <a:prstGeom prst="rect">
                          <a:avLst/>
                        </a:prstGeom>
                        <a:ln>
                          <a:noFill/>
                        </a:ln>
                      </wps:spPr>
                      <wps:txbx>
                        <w:txbxContent>
                          <w:p w14:paraId="3FF530F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14:paraId="0777AEF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wrap="square"/>
                    </wps:wsp>
                  </a:graphicData>
                </a:graphic>
              </wp:anchor>
            </w:drawing>
          </mc:Choice>
          <mc:Fallback>
            <w:pict>
              <v:rect id="0000f9" o:spid="_x0000_s1026" o:spt="1" style="position:absolute;left:0pt;margin-left:-9pt;margin-top:17.7pt;height:47.9pt;width:81pt;z-index:251659264;mso-width-relative:page;mso-height-relative:page;" filled="f" stroked="f" coordsize="21600,21600" o:gfxdata="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esNieNsAAAAKAQAADwAAAAAAAAABACAAAAAi&#10;AAAAZHJzL2Rvd25yZXYueG1sUEsBAhQAFAAAAAgAh07iQGTeAEqVAQAAOQMAAA4AAAAAAAAAAQAg&#10;AAAAKgEAAGRycy9lMm9Eb2MueG1sUEsFBgAAAAAGAAYAWQEAADEFAAAAAA==&#10;">
                <v:fill on="f" focussize="0,0"/>
                <v:stroke on="f"/>
                <v:imagedata o:title=""/>
                <o:lock v:ext="edit" aspectratio="f"/>
                <v:textbox>
                  <w:txbxContent>
                    <w:p w14:paraId="3FF530F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14:paraId="0777AEF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rect>
            </w:pict>
          </mc:Fallback>
        </mc:AlternateContent>
      </w:r>
      <w:r>
        <w:rPr>
          <w:rFonts w:hint="eastAsia" w:hAnsi="宋体" w:eastAsia="宋体" w:cs="宋体"/>
          <w:b/>
          <w:bCs/>
          <w:color w:val="auto"/>
          <w:sz w:val="24"/>
          <w:szCs w:val="24"/>
          <w:highlight w:val="none"/>
        </w:rPr>
        <w:t xml:space="preserve">13.6 </w:t>
      </w:r>
      <w:r>
        <w:rPr>
          <w:rFonts w:hint="eastAsia" w:hAnsi="宋体" w:eastAsia="宋体" w:cs="宋体"/>
          <w:b/>
          <w:bCs/>
          <w:color w:val="auto"/>
          <w:sz w:val="24"/>
          <w:szCs w:val="24"/>
          <w:highlight w:val="none"/>
          <w:u w:val="dotted"/>
        </w:rPr>
        <w:t xml:space="preserve">                                                                                                        </w:t>
      </w:r>
    </w:p>
    <w:p w14:paraId="0C1A1198">
      <w:pPr>
        <w:pStyle w:val="24"/>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本条内容适用于水路运输和航空运输，其中“道路”包括河道、航线、船闸、机场、码头、堤防以及水路或航空运输中其他相似结构物；“车辆”包括船舶和飞机等。</w:t>
      </w:r>
    </w:p>
    <w:p w14:paraId="79E4BE5F">
      <w:pPr>
        <w:pStyle w:val="24"/>
        <w:tabs>
          <w:tab w:val="left" w:pos="1202"/>
        </w:tabs>
        <w:adjustRightInd w:val="0"/>
        <w:snapToGrid w:val="0"/>
        <w:spacing w:line="300" w:lineRule="auto"/>
        <w:jc w:val="left"/>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r>
        <w:rPr>
          <w:rFonts w:hint="eastAsia" w:hAnsi="宋体" w:eastAsia="宋体" w:cs="宋体"/>
          <w:b/>
          <w:bCs/>
          <w:color w:val="auto"/>
          <w:sz w:val="24"/>
          <w:szCs w:val="24"/>
          <w:highlight w:val="none"/>
        </w:rPr>
        <w:t xml:space="preserve">  </w:t>
      </w:r>
    </w:p>
    <w:p w14:paraId="04D83CC8">
      <w:pPr>
        <w:pStyle w:val="24"/>
        <w:tabs>
          <w:tab w:val="left" w:pos="3818"/>
        </w:tabs>
        <w:adjustRightInd w:val="0"/>
        <w:snapToGrid w:val="0"/>
        <w:spacing w:before="240" w:beforeLines="100" w:line="300" w:lineRule="auto"/>
        <w:outlineLvl w:val="2"/>
        <w:rPr>
          <w:rFonts w:hAnsi="宋体" w:eastAsia="宋体" w:cs="宋体"/>
          <w:b/>
          <w:bCs/>
          <w:color w:val="auto"/>
          <w:sz w:val="24"/>
          <w:szCs w:val="24"/>
          <w:highlight w:val="none"/>
        </w:rPr>
      </w:pPr>
      <w:bookmarkStart w:id="49" w:name="_Toc469383993"/>
      <w:bookmarkStart w:id="50" w:name="_Toc46860814"/>
      <w:r>
        <w:rPr>
          <w:rFonts w:hint="eastAsia" w:hAnsi="宋体" w:eastAsia="宋体" w:cs="宋体"/>
          <w:b/>
          <w:bCs/>
          <w:color w:val="auto"/>
          <w:sz w:val="24"/>
          <w:szCs w:val="24"/>
          <w:highlight w:val="none"/>
        </w:rPr>
        <w:t>14  专项批准事件的签认</w:t>
      </w:r>
      <w:bookmarkEnd w:id="49"/>
      <w:bookmarkEnd w:id="50"/>
      <w:r>
        <w:rPr>
          <w:rFonts w:hint="eastAsia" w:hAnsi="宋体" w:eastAsia="宋体" w:cs="宋体"/>
          <w:b/>
          <w:bCs/>
          <w:color w:val="auto"/>
          <w:sz w:val="24"/>
          <w:szCs w:val="24"/>
          <w:highlight w:val="none"/>
        </w:rPr>
        <w:tab/>
      </w:r>
    </w:p>
    <w:p w14:paraId="2644AEB6">
      <w:pPr>
        <w:pStyle w:val="24"/>
        <w:tabs>
          <w:tab w:val="left" w:pos="1202"/>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245745</wp:posOffset>
                </wp:positionV>
                <wp:extent cx="914400" cy="875665"/>
                <wp:effectExtent l="0" t="0" r="0" b="0"/>
                <wp:wrapNone/>
                <wp:docPr id="1063" name="0000fa"/>
                <wp:cNvGraphicFramePr/>
                <a:graphic xmlns:a="http://schemas.openxmlformats.org/drawingml/2006/main">
                  <a:graphicData uri="http://schemas.microsoft.com/office/word/2010/wordprocessingShape">
                    <wps:wsp>
                      <wps:cNvSpPr/>
                      <wps:spPr>
                        <a:xfrm>
                          <a:off x="0" y="0"/>
                          <a:ext cx="914400" cy="875665"/>
                        </a:xfrm>
                        <a:prstGeom prst="rect">
                          <a:avLst/>
                        </a:prstGeom>
                        <a:ln>
                          <a:noFill/>
                        </a:ln>
                      </wps:spPr>
                      <wps:txbx>
                        <w:txbxContent>
                          <w:p w14:paraId="460B76F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wps:wsp>
                  </a:graphicData>
                </a:graphic>
              </wp:anchor>
            </w:drawing>
          </mc:Choice>
          <mc:Fallback>
            <w:pict>
              <v:rect id="0000fa" o:spid="_x0000_s1026" o:spt="1" style="position:absolute;left:0pt;margin-left:-9pt;margin-top:19.35pt;height:68.95pt;width:72pt;z-index:251659264;mso-width-relative:page;mso-height-relative:page;" filled="f" stroked="f" coordsize="21600,21600" o:gfxdata="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1HCFtsAAAAKAQAADwAAAAAAAAABACAAAAAi&#10;AAAAZHJzL2Rvd25yZXYueG1sUEsBAhQAFAAAAAgAh07iQN/iE1CVAQAAOAMAAA4AAAAAAAAAAQAg&#10;AAAAKgEAAGRycy9lMm9Eb2MueG1sUEsFBgAAAAAGAAYAWQEAADEFAAAAAA==&#10;">
                <v:fill on="f" focussize="0,0"/>
                <v:stroke on="f"/>
                <v:imagedata o:title=""/>
                <o:lock v:ext="edit" aspectratio="f"/>
                <v:textbox>
                  <w:txbxContent>
                    <w:p w14:paraId="460B76F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rect>
            </w:pict>
          </mc:Fallback>
        </mc:AlternateContent>
      </w:r>
      <w:r>
        <w:rPr>
          <w:rFonts w:hint="eastAsia" w:hAnsi="宋体" w:eastAsia="宋体" w:cs="宋体"/>
          <w:b/>
          <w:bCs/>
          <w:color w:val="auto"/>
          <w:sz w:val="24"/>
          <w:szCs w:val="24"/>
          <w:highlight w:val="none"/>
        </w:rPr>
        <w:t xml:space="preserve">14.1      </w:t>
      </w:r>
    </w:p>
    <w:p w14:paraId="4D12B794">
      <w:pPr>
        <w:pStyle w:val="24"/>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5A34C2A1">
      <w:pPr>
        <w:pStyle w:val="24"/>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合同双方当事人应按照第14.2款规定对发生的专项批准事件予以签认，并及时将发生事件的相关资料整理、归档，同时按第23.2款、第24.2款规定职权将其中一份送监理工程师和（或）造价工程师留存。</w:t>
      </w:r>
    </w:p>
    <w:p w14:paraId="55DBCE32">
      <w:pPr>
        <w:pStyle w:val="24"/>
        <w:tabs>
          <w:tab w:val="left" w:pos="2160"/>
        </w:tabs>
        <w:spacing w:before="192" w:beforeLines="80"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14.2  </w:t>
      </w:r>
      <w:r>
        <w:rPr>
          <w:rFonts w:hint="eastAsia" w:hAnsi="宋体" w:eastAsia="宋体" w:cs="宋体"/>
          <w:b/>
          <w:bCs/>
          <w:color w:val="auto"/>
          <w:sz w:val="24"/>
          <w:szCs w:val="24"/>
          <w:highlight w:val="none"/>
          <w:u w:val="dotted"/>
        </w:rPr>
        <w:t xml:space="preserve">                                                                                 </w:t>
      </w:r>
    </w:p>
    <w:p w14:paraId="7E4702EE">
      <w:pPr>
        <w:pStyle w:val="24"/>
        <w:tabs>
          <w:tab w:val="left" w:pos="1620"/>
        </w:tabs>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1064" name="0000fb"/>
                <wp:cNvGraphicFramePr/>
                <a:graphic xmlns:a="http://schemas.openxmlformats.org/drawingml/2006/main">
                  <a:graphicData uri="http://schemas.microsoft.com/office/word/2010/wordprocessingShape">
                    <wps:wsp>
                      <wps:cNvSpPr/>
                      <wps:spPr>
                        <a:xfrm>
                          <a:off x="0" y="0"/>
                          <a:ext cx="914400" cy="875665"/>
                        </a:xfrm>
                        <a:prstGeom prst="rect">
                          <a:avLst/>
                        </a:prstGeom>
                        <a:ln>
                          <a:noFill/>
                        </a:ln>
                      </wps:spPr>
                      <wps:txbx>
                        <w:txbxContent>
                          <w:p w14:paraId="57845A6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wps:wsp>
                  </a:graphicData>
                </a:graphic>
              </wp:anchor>
            </w:drawing>
          </mc:Choice>
          <mc:Fallback>
            <w:pict>
              <v:rect id="0000fb" o:spid="_x0000_s1026" o:spt="1" style="position:absolute;left:0pt;margin-left:0pt;margin-top:0.85pt;height:68.95pt;width:72pt;z-index:251659264;mso-width-relative:page;mso-height-relative:page;" filled="f" stroked="f" coordsize="21600,21600" o:gfxdata="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pzEMvWAAAABgEAAA8AAAAAAAAAAQAgAAAAIgAAAGRy&#10;cy9kb3ducmV2LnhtbFBLAQIUABQAAAAIAIdO4kAy58CulQEAADgDAAAOAAAAAAAAAAEAIAAAACUB&#10;AABkcnMvZTJvRG9jLnhtbFBLBQYAAAAABgAGAFkBAAAsBQAAAAA=&#10;">
                <v:fill on="f" focussize="0,0"/>
                <v:stroke on="f"/>
                <v:imagedata o:title=""/>
                <o:lock v:ext="edit" aspectratio="f"/>
                <v:textbox>
                  <w:txbxContent>
                    <w:p w14:paraId="57845A6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rect>
            </w:pict>
          </mc:Fallback>
        </mc:AlternateContent>
      </w:r>
      <w:r>
        <w:rPr>
          <w:rFonts w:hint="eastAsia" w:hAnsi="宋体" w:eastAsia="宋体" w:cs="宋体"/>
          <w:color w:val="auto"/>
          <w:sz w:val="24"/>
          <w:szCs w:val="24"/>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48371D43">
      <w:pPr>
        <w:pStyle w:val="24"/>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BF00AEB">
      <w:pPr>
        <w:pStyle w:val="24"/>
        <w:adjustRightInd w:val="0"/>
        <w:snapToGrid w:val="0"/>
        <w:spacing w:before="240" w:beforeLines="100" w:line="300" w:lineRule="auto"/>
        <w:outlineLvl w:val="2"/>
        <w:rPr>
          <w:rFonts w:hAnsi="宋体" w:eastAsia="宋体" w:cs="宋体"/>
          <w:b/>
          <w:bCs/>
          <w:color w:val="auto"/>
          <w:sz w:val="24"/>
          <w:szCs w:val="24"/>
          <w:highlight w:val="none"/>
        </w:rPr>
      </w:pPr>
      <w:bookmarkStart w:id="51" w:name="_Toc46860815"/>
      <w:bookmarkStart w:id="52" w:name="_Toc469383994"/>
      <w:r>
        <w:rPr>
          <w:rFonts w:hint="eastAsia" w:hAnsi="宋体" w:eastAsia="宋体" w:cs="宋体"/>
          <w:b/>
          <w:bCs/>
          <w:color w:val="auto"/>
          <w:sz w:val="24"/>
          <w:szCs w:val="24"/>
          <w:highlight w:val="none"/>
        </w:rPr>
        <w:t>15  专利技术</w:t>
      </w:r>
      <w:bookmarkEnd w:id="51"/>
      <w:bookmarkEnd w:id="52"/>
    </w:p>
    <w:p w14:paraId="7F4C8AA1">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15.1                                                                                   </w:t>
      </w:r>
      <w:r>
        <w:rPr>
          <w:rFonts w:hint="eastAsia" w:hAnsi="宋体" w:eastAsia="宋体" w:cs="宋体"/>
          <w:b/>
          <w:bCs/>
          <w:color w:val="auto"/>
          <w:sz w:val="24"/>
          <w:szCs w:val="24"/>
          <w:highlight w:val="none"/>
          <w:u w:val="dotted"/>
        </w:rPr>
        <w:t xml:space="preserve">                                                                                                </w:t>
      </w:r>
    </w:p>
    <w:p w14:paraId="420B5CC7">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1065" name="0000fc"/>
                <wp:cNvGraphicFramePr/>
                <a:graphic xmlns:a="http://schemas.openxmlformats.org/drawingml/2006/main">
                  <a:graphicData uri="http://schemas.microsoft.com/office/word/2010/wordprocessingShape">
                    <wps:wsp>
                      <wps:cNvSpPr/>
                      <wps:spPr>
                        <a:xfrm>
                          <a:off x="0" y="0"/>
                          <a:ext cx="914400" cy="471804"/>
                        </a:xfrm>
                        <a:prstGeom prst="rect">
                          <a:avLst/>
                        </a:prstGeom>
                        <a:ln>
                          <a:noFill/>
                        </a:ln>
                      </wps:spPr>
                      <wps:txbx>
                        <w:txbxContent>
                          <w:p w14:paraId="5AC90F1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wps:wsp>
                  </a:graphicData>
                </a:graphic>
              </wp:anchor>
            </w:drawing>
          </mc:Choice>
          <mc:Fallback>
            <w:pict>
              <v:rect id="0000fc" o:spid="_x0000_s1026" o:spt="1" style="position:absolute;left:0pt;margin-left:-9pt;margin-top:1.8pt;height:37.15pt;width:72pt;z-index:251659264;mso-width-relative:page;mso-height-relative:page;" filled="f" stroked="f" coordsize="21600,21600" o:gfxdata="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9FQSK9kAAAAIAQAADwAAAAAAAAABACAAAAAiAAAA&#10;ZHJzL2Rvd25yZXYueG1sUEsBAhQAFAAAAAgAh07iQDJJZXCUAQAAOAMAAA4AAAAAAAAAAQAgAAAA&#10;KAEAAGRycy9lMm9Eb2MueG1sUEsFBgAAAAAGAAYAWQEAAC4FAAAAAA==&#10;">
                <v:fill on="f" focussize="0,0"/>
                <v:stroke on="f"/>
                <v:imagedata o:title=""/>
                <o:lock v:ext="edit" aspectratio="f"/>
                <v:textbox>
                  <w:txbxContent>
                    <w:p w14:paraId="5AC90F1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rect>
            </w:pict>
          </mc:Fallback>
        </mc:AlternateContent>
      </w:r>
      <w:r>
        <w:rPr>
          <w:rFonts w:hint="eastAsia" w:hAnsi="宋体" w:eastAsia="宋体" w:cs="宋体"/>
          <w:color w:val="auto"/>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13151EA9">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15.2</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r>
        <w:rPr>
          <w:rFonts w:hint="eastAsia" w:hAnsi="宋体" w:eastAsia="宋体" w:cs="宋体"/>
          <w:b/>
          <w:bCs/>
          <w:color w:val="auto"/>
          <w:sz w:val="24"/>
          <w:szCs w:val="24"/>
          <w:highlight w:val="none"/>
          <w:u w:val="dotted"/>
        </w:rPr>
        <w:t xml:space="preserve">                                                                                                </w:t>
      </w:r>
    </w:p>
    <w:p w14:paraId="7AD2EDF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1066" name="0000fd"/>
                <wp:cNvGraphicFramePr/>
                <a:graphic xmlns:a="http://schemas.openxmlformats.org/drawingml/2006/main">
                  <a:graphicData uri="http://schemas.microsoft.com/office/word/2010/wordprocessingShape">
                    <wps:wsp>
                      <wps:cNvSpPr/>
                      <wps:spPr>
                        <a:xfrm>
                          <a:off x="0" y="0"/>
                          <a:ext cx="914400" cy="471804"/>
                        </a:xfrm>
                        <a:prstGeom prst="rect">
                          <a:avLst/>
                        </a:prstGeom>
                        <a:ln>
                          <a:noFill/>
                        </a:ln>
                      </wps:spPr>
                      <wps:txbx>
                        <w:txbxContent>
                          <w:p w14:paraId="3606C0C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wps:wsp>
                  </a:graphicData>
                </a:graphic>
              </wp:anchor>
            </w:drawing>
          </mc:Choice>
          <mc:Fallback>
            <w:pict>
              <v:rect id="0000fd" o:spid="_x0000_s1026" o:spt="1" style="position:absolute;left:0pt;margin-left:-9pt;margin-top:1.8pt;height:37.15pt;width:72pt;z-index:251659264;mso-width-relative:page;mso-height-relative:page;" filled="f" stroked="f" coordsize="21600,21600" o:gfxdata="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&#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9FQSK9kAAAAIAQAADwAAAAAAAAABACAAAAAiAAAA&#10;ZHJzL2Rvd25yZXYueG1sUEsBAhQAFAAAAAgAh07iQFI8Mv+UAQAAOAMAAA4AAAAAAAAAAQAgAAAA&#10;KAEAAGRycy9lMm9Eb2MueG1sUEsFBgAAAAAGAAYAWQEAAC4FAAAAAA==&#10;">
                <v:fill on="f" focussize="0,0"/>
                <v:stroke on="f"/>
                <v:imagedata o:title=""/>
                <o:lock v:ext="edit" aspectratio="f"/>
                <v:textbox>
                  <w:txbxContent>
                    <w:p w14:paraId="3606C0C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rect>
            </w:pict>
          </mc:Fallback>
        </mc:AlternateContent>
      </w:r>
      <w:r>
        <w:rPr>
          <w:rFonts w:hint="eastAsia" w:hAnsi="宋体" w:eastAsia="宋体" w:cs="宋体"/>
          <w:color w:val="auto"/>
          <w:sz w:val="24"/>
          <w:szCs w:val="24"/>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14:paraId="7B4A1684">
      <w:pPr>
        <w:pStyle w:val="24"/>
        <w:tabs>
          <w:tab w:val="left" w:pos="168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1067" name="0000fe"/>
                <wp:cNvGraphicFramePr/>
                <a:graphic xmlns:a="http://schemas.openxmlformats.org/drawingml/2006/main">
                  <a:graphicData uri="http://schemas.microsoft.com/office/word/2010/wordprocessingShape">
                    <wps:wsp>
                      <wps:cNvSpPr/>
                      <wps:spPr>
                        <a:xfrm>
                          <a:off x="0" y="0"/>
                          <a:ext cx="914400" cy="497840"/>
                        </a:xfrm>
                        <a:prstGeom prst="rect">
                          <a:avLst/>
                        </a:prstGeom>
                        <a:ln>
                          <a:noFill/>
                        </a:ln>
                      </wps:spPr>
                      <wps:txbx>
                        <w:txbxContent>
                          <w:p w14:paraId="4EE3B4D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wps:wsp>
                  </a:graphicData>
                </a:graphic>
              </wp:anchor>
            </w:drawing>
          </mc:Choice>
          <mc:Fallback>
            <w:pict>
              <v:rect id="0000fe" o:spid="_x0000_s1026" o:spt="1" style="position:absolute;left:0pt;margin-left:-9pt;margin-top:19pt;height:39.2pt;width:72pt;z-index:251659264;mso-width-relative:page;mso-height-relative:page;" filled="f" stroked="f" coordsize="21600,21600" o:gfxdata="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fzt5oNkAAAAKAQAADwAAAAAAAAABACAAAAAiAAAA&#10;ZHJzL2Rvd25yZXYueG1sUEsBAhQAFAAAAAgAh07iQJQvoneUAQAAOAMAAA4AAAAAAAAAAQAgAAAA&#10;KAEAAGRycy9lMm9Eb2MueG1sUEsFBgAAAAAGAAYAWQEAAC4FAAAAAA==&#10;">
                <v:fill on="f" focussize="0,0"/>
                <v:stroke on="f"/>
                <v:imagedata o:title=""/>
                <o:lock v:ext="edit" aspectratio="f"/>
                <v:textbox>
                  <w:txbxContent>
                    <w:p w14:paraId="4EE3B4D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rect>
            </w:pict>
          </mc:Fallback>
        </mc:AlternateContent>
      </w:r>
      <w:r>
        <w:rPr>
          <w:rFonts w:hint="eastAsia" w:hAnsi="宋体" w:eastAsia="宋体" w:cs="宋体"/>
          <w:color w:val="auto"/>
          <w:sz w:val="24"/>
          <w:szCs w:val="24"/>
          <w:highlight w:val="none"/>
        </w:rPr>
        <w:t xml:space="preserve">15.3  </w:t>
      </w:r>
      <w:r>
        <w:rPr>
          <w:rFonts w:hint="eastAsia" w:hAnsi="宋体" w:eastAsia="宋体" w:cs="宋体"/>
          <w:color w:val="auto"/>
          <w:sz w:val="24"/>
          <w:szCs w:val="24"/>
          <w:highlight w:val="none"/>
          <w:u w:val="dotted"/>
        </w:rPr>
        <w:t xml:space="preserve">                                                                                                       </w:t>
      </w:r>
    </w:p>
    <w:p w14:paraId="5FF5B8D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795C2C59">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C4E6384">
      <w:pPr>
        <w:pStyle w:val="24"/>
        <w:adjustRightInd w:val="0"/>
        <w:snapToGrid w:val="0"/>
        <w:spacing w:line="300" w:lineRule="auto"/>
        <w:outlineLvl w:val="2"/>
        <w:rPr>
          <w:rFonts w:hAnsi="宋体" w:eastAsia="宋体" w:cs="宋体"/>
          <w:b/>
          <w:bCs/>
          <w:color w:val="auto"/>
          <w:sz w:val="24"/>
          <w:szCs w:val="24"/>
          <w:highlight w:val="none"/>
        </w:rPr>
      </w:pPr>
      <w:bookmarkStart w:id="53" w:name="_Toc46860816"/>
      <w:bookmarkStart w:id="54" w:name="_Toc469383995"/>
      <w:r>
        <w:rPr>
          <w:rFonts w:hint="eastAsia" w:hAnsi="宋体" w:eastAsia="宋体" w:cs="宋体"/>
          <w:b/>
          <w:bCs/>
          <w:color w:val="auto"/>
          <w:sz w:val="24"/>
          <w:szCs w:val="24"/>
          <w:highlight w:val="none"/>
        </w:rPr>
        <w:t>16  联合的责任</w:t>
      </w:r>
      <w:bookmarkEnd w:id="53"/>
      <w:bookmarkEnd w:id="54"/>
    </w:p>
    <w:p w14:paraId="32AEF425">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1068" name="0000ff"/>
                <wp:cNvGraphicFramePr/>
                <a:graphic xmlns:a="http://schemas.openxmlformats.org/drawingml/2006/main">
                  <a:graphicData uri="http://schemas.microsoft.com/office/word/2010/wordprocessingShape">
                    <wps:wsp>
                      <wps:cNvSpPr/>
                      <wps:spPr>
                        <a:xfrm>
                          <a:off x="0" y="0"/>
                          <a:ext cx="914400" cy="461010"/>
                        </a:xfrm>
                        <a:prstGeom prst="rect">
                          <a:avLst/>
                        </a:prstGeom>
                        <a:ln>
                          <a:noFill/>
                        </a:ln>
                      </wps:spPr>
                      <wps:txbx>
                        <w:txbxContent>
                          <w:p w14:paraId="7060B92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wps:wsp>
                  </a:graphicData>
                </a:graphic>
              </wp:anchor>
            </w:drawing>
          </mc:Choice>
          <mc:Fallback>
            <w:pict>
              <v:rect id="0000ff" o:spid="_x0000_s1026" o:spt="1" style="position:absolute;left:0pt;margin-left:-9pt;margin-top:18.5pt;height:36.3pt;width:72pt;z-index:251659264;mso-width-relative:page;mso-height-relative:page;" filled="f" stroked="f" coordsize="21600,21600" o:gfxdata="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&#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LybGW2gAAAAoBAAAPAAAAAAAAAAEAIAAAACIAAABk&#10;cnMvZG93bnJldi54bWxQSwECFAAUAAAACACHTuJA2t8AlZIBAAA4AwAADgAAAAAAAAABACAAAAAp&#10;AQAAZHJzL2Uyb0RvYy54bWxQSwUGAAAAAAYABgBZAQAALQUAAAAA&#10;">
                <v:fill on="f" focussize="0,0"/>
                <v:stroke on="f"/>
                <v:imagedata o:title=""/>
                <o:lock v:ext="edit" aspectratio="f"/>
                <v:textbox>
                  <w:txbxContent>
                    <w:p w14:paraId="7060B92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rect>
            </w:pict>
          </mc:Fallback>
        </mc:AlternateContent>
      </w:r>
      <w:r>
        <w:rPr>
          <w:rFonts w:hint="eastAsia" w:hAnsi="宋体" w:eastAsia="宋体" w:cs="宋体"/>
          <w:b/>
          <w:bCs/>
          <w:color w:val="auto"/>
          <w:sz w:val="24"/>
          <w:szCs w:val="24"/>
          <w:highlight w:val="none"/>
        </w:rPr>
        <w:t xml:space="preserve">16.1                     </w:t>
      </w:r>
    </w:p>
    <w:p w14:paraId="4BDB7D5C">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3214B7AD">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1069" name="000100"/>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5CD395F5">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wps:wsp>
                  </a:graphicData>
                </a:graphic>
              </wp:anchor>
            </w:drawing>
          </mc:Choice>
          <mc:Fallback>
            <w:pict>
              <v:rect id="000100" o:spid="_x0000_s1026" o:spt="1" style="position:absolute;left:0pt;margin-left:-9pt;margin-top:19.35pt;height:39pt;width:72pt;z-index:251659264;mso-width-relative:page;mso-height-relative:page;" filled="f" stroked="f" coordsize="21600,21600" o:gfxdata="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nUHTfbAAAACgEAAA8AAAAAAAAAAQAgAAAAIgAA&#10;AGRycy9kb3ducmV2LnhtbFBLAQIUABQAAAAIAIdO4kCoNTfZkwEAADgDAAAOAAAAAAAAAAEAIAAA&#10;ACoBAABkcnMvZTJvRG9jLnhtbFBLBQYAAAAABgAGAFkBAAAvBQAAAAA=&#10;">
                <v:fill on="f" focussize="0,0"/>
                <v:stroke on="f"/>
                <v:imagedata o:title=""/>
                <o:lock v:ext="edit" aspectratio="f"/>
                <v:textbox>
                  <w:txbxContent>
                    <w:p w14:paraId="5CD395F5">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rect>
            </w:pict>
          </mc:Fallback>
        </mc:AlternateContent>
      </w:r>
      <w:r>
        <w:rPr>
          <w:rFonts w:hint="eastAsia" w:hAnsi="宋体" w:eastAsia="宋体" w:cs="宋体"/>
          <w:b/>
          <w:bCs/>
          <w:color w:val="auto"/>
          <w:sz w:val="24"/>
          <w:szCs w:val="24"/>
          <w:highlight w:val="none"/>
        </w:rPr>
        <w:t xml:space="preserve">16.2  </w:t>
      </w:r>
      <w:r>
        <w:rPr>
          <w:rFonts w:hint="eastAsia" w:hAnsi="宋体" w:eastAsia="宋体" w:cs="宋体"/>
          <w:b/>
          <w:bCs/>
          <w:color w:val="auto"/>
          <w:sz w:val="24"/>
          <w:szCs w:val="24"/>
          <w:highlight w:val="none"/>
          <w:u w:val="dotted"/>
        </w:rPr>
        <w:t xml:space="preserve">                                                                                                       </w:t>
      </w:r>
    </w:p>
    <w:p w14:paraId="7C6233A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7F74B346">
      <w:pPr>
        <w:tabs>
          <w:tab w:val="left" w:pos="1620"/>
        </w:tabs>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0792BB5F">
      <w:pPr>
        <w:pStyle w:val="24"/>
        <w:tabs>
          <w:tab w:val="left" w:pos="105"/>
        </w:tabs>
        <w:adjustRightInd w:val="0"/>
        <w:snapToGrid w:val="0"/>
        <w:spacing w:before="240" w:beforeLines="100" w:line="300" w:lineRule="auto"/>
        <w:outlineLvl w:val="2"/>
        <w:rPr>
          <w:rFonts w:hAnsi="宋体" w:eastAsia="宋体" w:cs="宋体"/>
          <w:b/>
          <w:bCs/>
          <w:color w:val="auto"/>
          <w:sz w:val="24"/>
          <w:szCs w:val="24"/>
          <w:highlight w:val="none"/>
        </w:rPr>
      </w:pPr>
      <w:bookmarkStart w:id="55" w:name="_Toc469383996"/>
      <w:bookmarkStart w:id="56" w:name="_Toc46860817"/>
      <w:r>
        <w:rPr>
          <w:rFonts w:hint="eastAsia" w:hAnsi="宋体" w:eastAsia="宋体" w:cs="宋体"/>
          <w:b/>
          <w:bCs/>
          <w:color w:val="auto"/>
          <w:sz w:val="24"/>
          <w:szCs w:val="24"/>
          <w:highlight w:val="none"/>
        </w:rPr>
        <w:t>17  保障</w:t>
      </w:r>
      <w:bookmarkEnd w:id="55"/>
      <w:bookmarkEnd w:id="56"/>
    </w:p>
    <w:p w14:paraId="0E78F58D">
      <w:pPr>
        <w:pStyle w:val="24"/>
        <w:tabs>
          <w:tab w:val="left" w:pos="1202"/>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1070" name="000101"/>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6761FB2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wps:wsp>
                  </a:graphicData>
                </a:graphic>
              </wp:anchor>
            </w:drawing>
          </mc:Choice>
          <mc:Fallback>
            <w:pict>
              <v:rect id="000101" o:spid="_x0000_s1026" o:spt="1" style="position:absolute;left:0pt;margin-left:0pt;margin-top:14.3pt;height:46.8pt;width:72pt;z-index:251659264;mso-width-relative:page;mso-height-relative:page;" filled="f" stroked="f" coordsize="21600,21600" o:gfxdata="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&#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jScd01wAAAAcBAAAPAAAAAAAAAAEAIAAAACIAAABk&#10;cnMvZG93bnJldi54bWxQSwECFAAUAAAACACHTuJALjAHF5UBAAA4AwAADgAAAAAAAAABACAAAAAm&#10;AQAAZHJzL2Uyb0RvYy54bWxQSwUGAAAAAAYABgBZAQAALQUAAAAA&#10;">
                <v:fill on="f" focussize="0,0"/>
                <v:stroke on="f"/>
                <v:imagedata o:title=""/>
                <o:lock v:ext="edit" aspectratio="f"/>
                <v:textbox>
                  <w:txbxContent>
                    <w:p w14:paraId="6761FB2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rect>
            </w:pict>
          </mc:Fallback>
        </mc:AlternateContent>
      </w:r>
      <w:r>
        <w:rPr>
          <w:rFonts w:hint="eastAsia" w:hAnsi="宋体" w:eastAsia="宋体" w:cs="宋体"/>
          <w:b/>
          <w:bCs/>
          <w:color w:val="auto"/>
          <w:sz w:val="24"/>
          <w:szCs w:val="24"/>
          <w:highlight w:val="none"/>
        </w:rPr>
        <w:t xml:space="preserve">17.1      </w:t>
      </w:r>
    </w:p>
    <w:p w14:paraId="67C128DC">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4C9B14CD">
      <w:pPr>
        <w:pStyle w:val="24"/>
        <w:tabs>
          <w:tab w:val="left" w:pos="1202"/>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1071" name="000102"/>
                <wp:cNvGraphicFramePr/>
                <a:graphic xmlns:a="http://schemas.openxmlformats.org/drawingml/2006/main">
                  <a:graphicData uri="http://schemas.microsoft.com/office/word/2010/wordprocessingShape">
                    <wps:wsp>
                      <wps:cNvSpPr/>
                      <wps:spPr>
                        <a:xfrm>
                          <a:off x="0" y="0"/>
                          <a:ext cx="914400" cy="534670"/>
                        </a:xfrm>
                        <a:prstGeom prst="rect">
                          <a:avLst/>
                        </a:prstGeom>
                        <a:ln>
                          <a:noFill/>
                        </a:ln>
                      </wps:spPr>
                      <wps:txbx>
                        <w:txbxContent>
                          <w:p w14:paraId="189E3A25">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wps:txbx>
                      <wps:bodyPr wrap="square"/>
                    </wps:wsp>
                  </a:graphicData>
                </a:graphic>
              </wp:anchor>
            </w:drawing>
          </mc:Choice>
          <mc:Fallback>
            <w:pict>
              <v:rect id="000102" o:spid="_x0000_s1026" o:spt="1" style="position:absolute;left:0pt;margin-left:-9pt;margin-top:18.95pt;height:42.1pt;width:72pt;z-index:251659264;mso-width-relative:page;mso-height-relative:page;" filled="f" stroked="f" coordsize="21600,21600" o:gfxdata="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GJvVtoAAAAKAQAADwAAAAAAAAABACAAAAAi&#10;AAAAZHJzL2Rvd25yZXYueG1sUEsBAhQAFAAAAAgAh07iQK/eJneWAQAAOAMAAA4AAAAAAAAAAQAg&#10;AAAAKQEAAGRycy9lMm9Eb2MueG1sUEsFBgAAAAAGAAYAWQEAADEFAAAAAA==&#10;">
                <v:fill on="f" focussize="0,0"/>
                <v:stroke on="f"/>
                <v:imagedata o:title=""/>
                <o:lock v:ext="edit" aspectratio="f"/>
                <v:textbox>
                  <w:txbxContent>
                    <w:p w14:paraId="189E3A25">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v:textbox>
              </v:rect>
            </w:pict>
          </mc:Fallback>
        </mc:AlternateContent>
      </w:r>
      <w:r>
        <w:rPr>
          <w:rFonts w:hint="eastAsia" w:hAnsi="宋体" w:eastAsia="宋体" w:cs="宋体"/>
          <w:b/>
          <w:bCs/>
          <w:color w:val="auto"/>
          <w:sz w:val="24"/>
          <w:szCs w:val="24"/>
          <w:highlight w:val="none"/>
        </w:rPr>
        <w:t xml:space="preserve">17.2  </w:t>
      </w:r>
      <w:r>
        <w:rPr>
          <w:rFonts w:hint="eastAsia" w:hAnsi="宋体" w:eastAsia="宋体" w:cs="宋体"/>
          <w:b/>
          <w:bCs/>
          <w:color w:val="auto"/>
          <w:sz w:val="24"/>
          <w:szCs w:val="24"/>
          <w:highlight w:val="none"/>
          <w:u w:val="dotted"/>
        </w:rPr>
        <w:t xml:space="preserve">                                                                                                       </w:t>
      </w:r>
    </w:p>
    <w:p w14:paraId="0AD9C8D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承包人应保障发包人不承担因承包人移动或使用施工场地外的施工设备和临时设施所造成的损害而引起的赔偿。</w:t>
      </w:r>
    </w:p>
    <w:p w14:paraId="20D516EC">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6B423A8">
      <w:pPr>
        <w:pStyle w:val="24"/>
        <w:adjustRightInd w:val="0"/>
        <w:snapToGrid w:val="0"/>
        <w:spacing w:before="240" w:beforeLines="100" w:line="300" w:lineRule="auto"/>
        <w:outlineLvl w:val="2"/>
        <w:rPr>
          <w:rFonts w:hAnsi="宋体" w:eastAsia="宋体" w:cs="宋体"/>
          <w:b/>
          <w:bCs/>
          <w:color w:val="auto"/>
          <w:sz w:val="24"/>
          <w:szCs w:val="24"/>
          <w:highlight w:val="none"/>
        </w:rPr>
      </w:pPr>
      <w:bookmarkStart w:id="57" w:name="_Toc469383997"/>
      <w:bookmarkStart w:id="58" w:name="_Toc46860818"/>
      <w:r>
        <w:rPr>
          <w:rFonts w:hint="eastAsia" w:hAnsi="宋体" w:eastAsia="宋体" w:cs="宋体"/>
          <w:b/>
          <w:bCs/>
          <w:color w:val="auto"/>
          <w:sz w:val="24"/>
          <w:szCs w:val="24"/>
          <w:highlight w:val="none"/>
        </w:rPr>
        <w:t>18  财产</w:t>
      </w:r>
      <w:bookmarkEnd w:id="57"/>
      <w:bookmarkEnd w:id="58"/>
    </w:p>
    <w:p w14:paraId="3C201386">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18.1                       </w:t>
      </w:r>
    </w:p>
    <w:p w14:paraId="3533B253">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1072" name="000103"/>
                <wp:cNvGraphicFramePr/>
                <a:graphic xmlns:a="http://schemas.openxmlformats.org/drawingml/2006/main">
                  <a:graphicData uri="http://schemas.microsoft.com/office/word/2010/wordprocessingShape">
                    <wps:wsp>
                      <wps:cNvSpPr/>
                      <wps:spPr>
                        <a:xfrm>
                          <a:off x="0" y="0"/>
                          <a:ext cx="914400" cy="724535"/>
                        </a:xfrm>
                        <a:prstGeom prst="rect">
                          <a:avLst/>
                        </a:prstGeom>
                        <a:ln>
                          <a:noFill/>
                        </a:ln>
                      </wps:spPr>
                      <wps:txbx>
                        <w:txbxContent>
                          <w:p w14:paraId="25684CC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wps:wsp>
                  </a:graphicData>
                </a:graphic>
              </wp:anchor>
            </w:drawing>
          </mc:Choice>
          <mc:Fallback>
            <w:pict>
              <v:rect id="000103" o:spid="_x0000_s1026" o:spt="1" style="position:absolute;left:0pt;margin-left:-9pt;margin-top:0pt;height:57.05pt;width:72pt;z-index:251659264;mso-width-relative:page;mso-height-relative:page;" filled="f" stroked="f" coordsize="21600,21600" o:gfxdata="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mtJNtgAAAAIAQAADwAAAAAAAAABACAAAAAiAAAA&#10;ZHJzL2Rvd25yZXYueG1sUEsBAhQAFAAAAAgAh07iQKp1YbGVAQAAOAMAAA4AAAAAAAAAAQAgAAAA&#10;JwEAAGRycy9lMm9Eb2MueG1sUEsFBgAAAAAGAAYAWQEAAC4FAAAAAA==&#10;">
                <v:fill on="f" focussize="0,0"/>
                <v:stroke on="f"/>
                <v:imagedata o:title=""/>
                <o:lock v:ext="edit" aspectratio="f"/>
                <v:textbox>
                  <w:txbxContent>
                    <w:p w14:paraId="25684CC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rect>
            </w:pict>
          </mc:Fallback>
        </mc:AlternateContent>
      </w:r>
      <w:r>
        <w:rPr>
          <w:rFonts w:hint="eastAsia" w:ascii="宋体" w:hAnsi="宋体" w:eastAsia="宋体" w:cs="宋体"/>
          <w:color w:val="auto"/>
          <w:sz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359BCD9B">
      <w:pPr>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1073" name="000104"/>
                <wp:cNvGraphicFramePr/>
                <a:graphic xmlns:a="http://schemas.openxmlformats.org/drawingml/2006/main">
                  <a:graphicData uri="http://schemas.microsoft.com/office/word/2010/wordprocessingShape">
                    <wps:wsp>
                      <wps:cNvSpPr/>
                      <wps:spPr>
                        <a:xfrm>
                          <a:off x="0" y="0"/>
                          <a:ext cx="914400" cy="460375"/>
                        </a:xfrm>
                        <a:prstGeom prst="rect">
                          <a:avLst/>
                        </a:prstGeom>
                        <a:ln>
                          <a:noFill/>
                        </a:ln>
                      </wps:spPr>
                      <wps:txbx>
                        <w:txbxContent>
                          <w:p w14:paraId="2123D83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wps:txbx>
                      <wps:bodyPr wrap="square"/>
                    </wps:wsp>
                  </a:graphicData>
                </a:graphic>
              </wp:anchor>
            </w:drawing>
          </mc:Choice>
          <mc:Fallback>
            <w:pict>
              <v:rect id="000104" o:spid="_x0000_s1026" o:spt="1" style="position:absolute;left:0pt;margin-left:-9pt;margin-top:22.25pt;height:36.25pt;width:72pt;z-index:251659264;mso-width-relative:page;mso-height-relative:page;" filled="f" stroked="f" coordsize="21600,21600" o:gfxdata="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uH/KHNsAAAAKAQAADwAAAAAAAAABACAAAAAi&#10;AAAAZHJzL2Rvd25yZXYueG1sUEsBAhQAFAAAAAgAh07iQOCPHS6VAQAAOAMAAA4AAAAAAAAAAQAg&#10;AAAAKgEAAGRycy9lMm9Eb2MueG1sUEsFBgAAAAAGAAYAWQEAADEFAAAAAA==&#10;">
                <v:fill on="f" focussize="0,0"/>
                <v:stroke on="f"/>
                <v:imagedata o:title=""/>
                <o:lock v:ext="edit" aspectratio="f"/>
                <v:textbox>
                  <w:txbxContent>
                    <w:p w14:paraId="2123D83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v:textbox>
              </v:rect>
            </w:pict>
          </mc:Fallback>
        </mc:AlternateContent>
      </w:r>
      <w:r>
        <w:rPr>
          <w:rFonts w:hint="eastAsia" w:ascii="宋体" w:hAnsi="宋体" w:eastAsia="宋体" w:cs="宋体"/>
          <w:b/>
          <w:bCs/>
          <w:color w:val="auto"/>
          <w:sz w:val="24"/>
          <w:highlight w:val="none"/>
        </w:rPr>
        <w:t xml:space="preserve">18.2  </w:t>
      </w:r>
      <w:r>
        <w:rPr>
          <w:rFonts w:hint="eastAsia" w:ascii="宋体" w:hAnsi="宋体" w:eastAsia="宋体" w:cs="宋体"/>
          <w:b/>
          <w:bCs/>
          <w:color w:val="auto"/>
          <w:sz w:val="24"/>
          <w:highlight w:val="none"/>
          <w:u w:val="dotted"/>
        </w:rPr>
        <w:t xml:space="preserve">                                                                                                       </w:t>
      </w:r>
    </w:p>
    <w:p w14:paraId="32A9B1F2">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如果发包人依据第87.3款规定的情形解除合同，则合同工程和临时工程，应认为是发包人的财产。</w:t>
      </w:r>
    </w:p>
    <w:p w14:paraId="29F39548">
      <w:pPr>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1074" name="000105"/>
                <wp:cNvGraphicFramePr/>
                <a:graphic xmlns:a="http://schemas.openxmlformats.org/drawingml/2006/main">
                  <a:graphicData uri="http://schemas.microsoft.com/office/word/2010/wordprocessingShape">
                    <wps:wsp>
                      <wps:cNvSpPr/>
                      <wps:spPr>
                        <a:xfrm>
                          <a:off x="0" y="0"/>
                          <a:ext cx="914400" cy="544195"/>
                        </a:xfrm>
                        <a:prstGeom prst="rect">
                          <a:avLst/>
                        </a:prstGeom>
                        <a:ln>
                          <a:noFill/>
                        </a:ln>
                      </wps:spPr>
                      <wps:txbx>
                        <w:txbxContent>
                          <w:p w14:paraId="1BF7B36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wps:wsp>
                  </a:graphicData>
                </a:graphic>
              </wp:anchor>
            </w:drawing>
          </mc:Choice>
          <mc:Fallback>
            <w:pict>
              <v:rect id="000105" o:spid="_x0000_s1026" o:spt="1" style="position:absolute;left:0pt;margin-left:-9pt;margin-top:22.25pt;height:42.85pt;width:72pt;z-index:251659264;mso-width-relative:page;mso-height-relative:page;" filled="f" stroked="f" coordsize="21600,21600" o:gfxdata="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97+bdsAAAAKAQAADwAAAAAAAAABACAAAAAi&#10;AAAAZHJzL2Rvd25yZXYueG1sUEsBAhQAFAAAAAgAh07iQL1MviGVAQAAOAMAAA4AAAAAAAAAAQAg&#10;AAAAKgEAAGRycy9lMm9Eb2MueG1sUEsFBgAAAAAGAAYAWQEAADEFAAAAAA==&#10;">
                <v:fill on="f" focussize="0,0"/>
                <v:stroke on="f"/>
                <v:imagedata o:title=""/>
                <o:lock v:ext="edit" aspectratio="f"/>
                <v:textbox>
                  <w:txbxContent>
                    <w:p w14:paraId="1BF7B36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rect>
            </w:pict>
          </mc:Fallback>
        </mc:AlternateContent>
      </w:r>
      <w:r>
        <w:rPr>
          <w:rFonts w:hint="eastAsia" w:ascii="宋体" w:hAnsi="宋体" w:eastAsia="宋体" w:cs="宋体"/>
          <w:b/>
          <w:bCs/>
          <w:color w:val="auto"/>
          <w:sz w:val="24"/>
          <w:highlight w:val="none"/>
        </w:rPr>
        <w:t xml:space="preserve">18.3  </w:t>
      </w:r>
      <w:r>
        <w:rPr>
          <w:rFonts w:hint="eastAsia" w:ascii="宋体" w:hAnsi="宋体" w:eastAsia="宋体" w:cs="宋体"/>
          <w:b/>
          <w:bCs/>
          <w:color w:val="auto"/>
          <w:sz w:val="24"/>
          <w:highlight w:val="none"/>
          <w:u w:val="dotted"/>
        </w:rPr>
        <w:t xml:space="preserve">                                                                                                       </w:t>
      </w:r>
    </w:p>
    <w:p w14:paraId="5E86B5E5">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40D25287">
      <w:pPr>
        <w:spacing w:line="300" w:lineRule="auto"/>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u w:val="single"/>
        </w:rPr>
        <w:t xml:space="preserve">                                                                                                              </w:t>
      </w:r>
    </w:p>
    <w:p w14:paraId="05E7F6B6">
      <w:pPr>
        <w:spacing w:line="300" w:lineRule="auto"/>
        <w:ind w:firstLine="2879" w:firstLineChars="1195"/>
        <w:outlineLvl w:val="1"/>
        <w:rPr>
          <w:rFonts w:ascii="宋体" w:hAnsi="宋体" w:eastAsia="宋体" w:cs="宋体"/>
          <w:b/>
          <w:bCs/>
          <w:color w:val="auto"/>
          <w:sz w:val="24"/>
          <w:highlight w:val="none"/>
        </w:rPr>
      </w:pPr>
      <w:bookmarkStart w:id="59" w:name="_Toc46860819"/>
      <w:bookmarkStart w:id="60" w:name="_Toc469383998"/>
      <w:r>
        <w:rPr>
          <w:rFonts w:hint="eastAsia" w:ascii="宋体" w:hAnsi="宋体" w:eastAsia="宋体" w:cs="宋体"/>
          <w:b/>
          <w:bCs/>
          <w:color w:val="auto"/>
          <w:sz w:val="24"/>
          <w:highlight w:val="none"/>
        </w:rPr>
        <w:t>二、合同主体</w:t>
      </w:r>
      <w:bookmarkEnd w:id="59"/>
      <w:bookmarkEnd w:id="60"/>
    </w:p>
    <w:p w14:paraId="6D4EBEB9">
      <w:pPr>
        <w:pStyle w:val="4"/>
        <w:tabs>
          <w:tab w:val="left" w:pos="420"/>
        </w:tabs>
        <w:spacing w:line="300" w:lineRule="auto"/>
        <w:ind w:left="720"/>
        <w:rPr>
          <w:rFonts w:ascii="宋体" w:hAnsi="宋体" w:eastAsia="宋体" w:cs="宋体"/>
          <w:color w:val="auto"/>
          <w:sz w:val="24"/>
          <w:szCs w:val="24"/>
          <w:highlight w:val="none"/>
        </w:rPr>
      </w:pPr>
      <w:bookmarkStart w:id="61" w:name="_Toc469383999"/>
      <w:bookmarkStart w:id="62" w:name="_Toc46860820"/>
      <w:r>
        <w:rPr>
          <w:rFonts w:hint="eastAsia" w:ascii="宋体" w:hAnsi="宋体" w:eastAsia="宋体" w:cs="宋体"/>
          <w:color w:val="auto"/>
          <w:sz w:val="24"/>
          <w:szCs w:val="24"/>
          <w:highlight w:val="none"/>
        </w:rPr>
        <w:t xml:space="preserve">19  </w:t>
      </w:r>
      <w:bookmarkEnd w:id="61"/>
      <w:r>
        <w:rPr>
          <w:rFonts w:hint="eastAsia" w:ascii="宋体" w:hAnsi="宋体" w:eastAsia="宋体" w:cs="宋体"/>
          <w:color w:val="auto"/>
          <w:sz w:val="24"/>
          <w:szCs w:val="24"/>
          <w:highlight w:val="none"/>
        </w:rPr>
        <w:t>发包人</w:t>
      </w:r>
      <w:bookmarkEnd w:id="62"/>
    </w:p>
    <w:p w14:paraId="7D2CF4F6">
      <w:pPr>
        <w:tabs>
          <w:tab w:val="left" w:pos="1620"/>
        </w:tabs>
        <w:spacing w:line="300" w:lineRule="auto"/>
        <w:ind w:left="-2" w:leftChars="-1" w:firstLine="1"/>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19.1                                                        </w:t>
      </w:r>
    </w:p>
    <w:p w14:paraId="055E65D5">
      <w:pPr>
        <w:tabs>
          <w:tab w:val="left" w:pos="162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1075" name="000106"/>
                <wp:cNvGraphicFramePr/>
                <a:graphic xmlns:a="http://schemas.openxmlformats.org/drawingml/2006/main">
                  <a:graphicData uri="http://schemas.microsoft.com/office/word/2010/wordprocessingShape">
                    <wps:wsp>
                      <wps:cNvSpPr/>
                      <wps:spPr>
                        <a:xfrm>
                          <a:off x="0" y="0"/>
                          <a:ext cx="914400" cy="429895"/>
                        </a:xfrm>
                        <a:prstGeom prst="rect">
                          <a:avLst/>
                        </a:prstGeom>
                        <a:ln>
                          <a:noFill/>
                        </a:ln>
                      </wps:spPr>
                      <wps:txbx>
                        <w:txbxContent>
                          <w:p w14:paraId="36000F72">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rect id="000106" o:spid="_x0000_s1026" o:spt="1" style="position:absolute;left:0pt;margin-left:-9pt;margin-top:0.35pt;height:33.85pt;width:72pt;z-index:251659264;mso-width-relative:page;mso-height-relative:page;" filled="f" stroked="f" coordsize="21600,21600" o:gfxdata="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Zpy2A1wAAAAcBAAAPAAAAAAAAAAEAIAAAACIAAABk&#10;cnMvZG93bnJldi54bWxQSwECFAAUAAAACACHTuJAmQI3B5UBAAA4AwAADgAAAAAAAAABACAAAAAm&#10;AQAAZHJzL2Uyb0RvYy54bWxQSwUGAAAAAAYABgBZAQAALQUAAAAA&#10;">
                <v:fill on="f" focussize="0,0"/>
                <v:stroke on="f"/>
                <v:imagedata o:title=""/>
                <o:lock v:ext="edit" aspectratio="f"/>
                <v:textbox>
                  <w:txbxContent>
                    <w:p w14:paraId="36000F72">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rect>
            </w:pict>
          </mc:Fallback>
        </mc:AlternateContent>
      </w:r>
      <w:r>
        <w:rPr>
          <w:rFonts w:hint="eastAsia" w:ascii="宋体" w:hAnsi="宋体" w:eastAsia="宋体" w:cs="宋体"/>
          <w:color w:val="auto"/>
          <w:sz w:val="24"/>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63FF2C4C">
      <w:pPr>
        <w:tabs>
          <w:tab w:val="left" w:pos="1620"/>
        </w:tabs>
        <w:spacing w:line="300" w:lineRule="auto"/>
        <w:ind w:left="-2" w:leftChars="-1" w:firstLine="1"/>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19.2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7CD649D2">
      <w:pPr>
        <w:spacing w:line="300" w:lineRule="auto"/>
        <w:ind w:left="162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1076" name="000107"/>
                <wp:cNvGraphicFramePr/>
                <a:graphic xmlns:a="http://schemas.openxmlformats.org/drawingml/2006/main">
                  <a:graphicData uri="http://schemas.microsoft.com/office/word/2010/wordprocessingShape">
                    <wps:wsp>
                      <wps:cNvSpPr/>
                      <wps:spPr>
                        <a:xfrm>
                          <a:off x="0" y="0"/>
                          <a:ext cx="914400" cy="429895"/>
                        </a:xfrm>
                        <a:prstGeom prst="rect">
                          <a:avLst/>
                        </a:prstGeom>
                        <a:ln>
                          <a:noFill/>
                        </a:ln>
                      </wps:spPr>
                      <wps:txbx>
                        <w:txbxContent>
                          <w:p w14:paraId="63E89F6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wps:txbx>
                      <wps:bodyPr wrap="square"/>
                    </wps:wsp>
                  </a:graphicData>
                </a:graphic>
              </wp:anchor>
            </w:drawing>
          </mc:Choice>
          <mc:Fallback>
            <w:pict>
              <v:rect id="000107" o:spid="_x0000_s1026" o:spt="1" style="position:absolute;left:0pt;margin-left:-9pt;margin-top:0.35pt;height:33.85pt;width:72pt;z-index:251659264;mso-width-relative:page;mso-height-relative:page;" filled="f" stroked="f" coordsize="21600,21600" o:gfxdata="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Zpy2A1wAAAAcBAAAPAAAAAAAAAAEAIAAAACIAAABk&#10;cnMvZG93bnJldi54bWxQSwECFAAUAAAACACHTuJAti4ATZUBAAA4AwAADgAAAAAAAAABACAAAAAm&#10;AQAAZHJzL2Uyb0RvYy54bWxQSwUGAAAAAAYABgBZAQAALQUAAAAA&#10;">
                <v:fill on="f" focussize="0,0"/>
                <v:stroke on="f"/>
                <v:imagedata o:title=""/>
                <o:lock v:ext="edit" aspectratio="f"/>
                <v:textbox>
                  <w:txbxContent>
                    <w:p w14:paraId="63E89F6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v:textbox>
              </v:rect>
            </w:pict>
          </mc:Fallback>
        </mc:AlternateContent>
      </w:r>
      <w:r>
        <w:rPr>
          <w:rFonts w:hint="eastAsia" w:ascii="宋体" w:hAnsi="宋体" w:eastAsia="宋体" w:cs="宋体"/>
          <w:color w:val="auto"/>
          <w:sz w:val="24"/>
          <w:highlight w:val="none"/>
        </w:rPr>
        <w:t>发包人应按照合同约定完成下列工作，包括但不限于：</w:t>
      </w:r>
    </w:p>
    <w:p w14:paraId="0A4B1E88">
      <w:pPr>
        <w:numPr>
          <w:ilvl w:val="0"/>
          <w:numId w:val="7"/>
        </w:numPr>
        <w:tabs>
          <w:tab w:val="clear" w:pos="990"/>
        </w:tabs>
        <w:spacing w:line="300" w:lineRule="auto"/>
        <w:ind w:left="1616" w:leftChars="749" w:hanging="43" w:hangingChars="18"/>
        <w:rPr>
          <w:rFonts w:ascii="宋体" w:hAnsi="宋体" w:eastAsia="宋体" w:cs="宋体"/>
          <w:color w:val="auto"/>
          <w:sz w:val="24"/>
          <w:highlight w:val="none"/>
        </w:rPr>
      </w:pPr>
      <w:r>
        <w:rPr>
          <w:rFonts w:hint="eastAsia" w:ascii="宋体" w:hAnsi="宋体" w:eastAsia="宋体" w:cs="宋体"/>
          <w:color w:val="auto"/>
          <w:sz w:val="24"/>
          <w:highlight w:val="none"/>
        </w:rPr>
        <w:t>办理土地征用、拆迁、平整施工场地等工作，使施工场地具备施工条件，并在开工后继续负责解决上述工作遗留的问题；</w:t>
      </w:r>
    </w:p>
    <w:p w14:paraId="09A5C487">
      <w:pPr>
        <w:numPr>
          <w:ilvl w:val="0"/>
          <w:numId w:val="7"/>
        </w:numPr>
        <w:tabs>
          <w:tab w:val="clear" w:pos="990"/>
        </w:tabs>
        <w:spacing w:line="300" w:lineRule="auto"/>
        <w:ind w:left="1635" w:leftChars="750" w:hanging="60" w:hangingChars="25"/>
        <w:rPr>
          <w:rFonts w:ascii="宋体" w:hAnsi="宋体" w:eastAsia="宋体" w:cs="宋体"/>
          <w:color w:val="auto"/>
          <w:sz w:val="24"/>
          <w:highlight w:val="none"/>
        </w:rPr>
      </w:pPr>
      <w:r>
        <w:rPr>
          <w:rFonts w:hint="eastAsia" w:ascii="宋体" w:hAnsi="宋体" w:eastAsia="宋体" w:cs="宋体"/>
          <w:color w:val="auto"/>
          <w:sz w:val="24"/>
          <w:highlight w:val="none"/>
        </w:rPr>
        <w:t>将施工所需水、电、通讯线路从施工场地外部接驳至专用条款约定的地点，</w:t>
      </w:r>
    </w:p>
    <w:p w14:paraId="0F75B28C">
      <w:pPr>
        <w:tabs>
          <w:tab w:val="left" w:pos="1980"/>
        </w:tabs>
        <w:spacing w:line="300" w:lineRule="auto"/>
        <w:ind w:left="1575" w:leftChars="750" w:firstLine="43" w:firstLineChars="18"/>
        <w:rPr>
          <w:rFonts w:ascii="宋体" w:hAnsi="宋体" w:eastAsia="宋体" w:cs="宋体"/>
          <w:color w:val="auto"/>
          <w:sz w:val="24"/>
          <w:highlight w:val="none"/>
        </w:rPr>
      </w:pPr>
      <w:r>
        <w:rPr>
          <w:rFonts w:hint="eastAsia" w:ascii="宋体" w:hAnsi="宋体" w:eastAsia="宋体" w:cs="宋体"/>
          <w:color w:val="auto"/>
          <w:sz w:val="24"/>
          <w:highlight w:val="none"/>
        </w:rPr>
        <w:t>保证施工期间的需要；</w:t>
      </w:r>
    </w:p>
    <w:p w14:paraId="013F34A6">
      <w:pPr>
        <w:numPr>
          <w:ilvl w:val="0"/>
          <w:numId w:val="7"/>
        </w:numPr>
        <w:tabs>
          <w:tab w:val="clear" w:pos="990"/>
        </w:tabs>
        <w:spacing w:line="300" w:lineRule="auto"/>
        <w:ind w:left="1635" w:leftChars="750" w:hanging="60" w:hangingChars="25"/>
        <w:rPr>
          <w:rFonts w:ascii="宋体" w:hAnsi="宋体" w:eastAsia="宋体" w:cs="宋体"/>
          <w:color w:val="auto"/>
          <w:sz w:val="24"/>
          <w:highlight w:val="none"/>
        </w:rPr>
      </w:pPr>
      <w:r>
        <w:rPr>
          <w:rFonts w:hint="eastAsia" w:ascii="宋体" w:hAnsi="宋体" w:eastAsia="宋体" w:cs="宋体"/>
          <w:color w:val="auto"/>
          <w:sz w:val="24"/>
          <w:highlight w:val="none"/>
        </w:rPr>
        <w:t>开通施工场地与城乡公共道路间的通道，满足第13条交通运输的需要；</w:t>
      </w:r>
    </w:p>
    <w:p w14:paraId="6B41850C">
      <w:pPr>
        <w:numPr>
          <w:ilvl w:val="0"/>
          <w:numId w:val="7"/>
        </w:numPr>
        <w:tabs>
          <w:tab w:val="clear" w:pos="990"/>
        </w:tabs>
        <w:spacing w:line="300" w:lineRule="auto"/>
        <w:ind w:left="1616" w:leftChars="749" w:hanging="43" w:hangingChars="18"/>
        <w:rPr>
          <w:rFonts w:ascii="宋体" w:hAnsi="宋体" w:eastAsia="宋体" w:cs="宋体"/>
          <w:color w:val="auto"/>
          <w:sz w:val="24"/>
          <w:highlight w:val="none"/>
        </w:rPr>
      </w:pPr>
      <w:r>
        <w:rPr>
          <w:rFonts w:hint="eastAsia" w:ascii="宋体" w:hAnsi="宋体" w:eastAsia="宋体" w:cs="宋体"/>
          <w:color w:val="auto"/>
          <w:sz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70A28412">
      <w:pPr>
        <w:numPr>
          <w:ilvl w:val="0"/>
          <w:numId w:val="7"/>
        </w:numPr>
        <w:tabs>
          <w:tab w:val="clear" w:pos="990"/>
        </w:tabs>
        <w:spacing w:line="300" w:lineRule="auto"/>
        <w:ind w:left="1616" w:leftChars="748" w:hanging="45" w:hangingChars="19"/>
        <w:rPr>
          <w:rFonts w:ascii="宋体" w:hAnsi="宋体" w:eastAsia="宋体" w:cs="宋体"/>
          <w:color w:val="auto"/>
          <w:sz w:val="24"/>
          <w:highlight w:val="none"/>
        </w:rPr>
      </w:pPr>
      <w:r>
        <w:rPr>
          <w:rFonts w:hint="eastAsia" w:ascii="宋体" w:hAnsi="宋体" w:eastAsia="宋体" w:cs="宋体"/>
          <w:color w:val="auto"/>
          <w:sz w:val="24"/>
          <w:highlight w:val="none"/>
        </w:rPr>
        <w:t>办理施工许可及其他所需证件、批准文件和办理临时用地、停水、停电、中断道路交通、爆破作业等的申请批准手续（承包人自身施工资质的证件除外）；</w:t>
      </w:r>
    </w:p>
    <w:p w14:paraId="309E3328">
      <w:pPr>
        <w:numPr>
          <w:ilvl w:val="0"/>
          <w:numId w:val="7"/>
        </w:numPr>
        <w:tabs>
          <w:tab w:val="clear" w:pos="990"/>
        </w:tabs>
        <w:spacing w:line="300" w:lineRule="auto"/>
        <w:ind w:left="1635" w:leftChars="750" w:hanging="60" w:hangingChars="25"/>
        <w:rPr>
          <w:rFonts w:ascii="宋体" w:hAnsi="宋体" w:eastAsia="宋体" w:cs="宋体"/>
          <w:color w:val="auto"/>
          <w:sz w:val="24"/>
          <w:highlight w:val="none"/>
        </w:rPr>
      </w:pPr>
      <w:r>
        <w:rPr>
          <w:rFonts w:hint="eastAsia" w:ascii="宋体" w:hAnsi="宋体" w:eastAsia="宋体" w:cs="宋体"/>
          <w:color w:val="auto"/>
          <w:sz w:val="24"/>
          <w:highlight w:val="none"/>
        </w:rPr>
        <w:t>确定水准点与坐标控制点，组织现场交验并以书面形式移交给承包人；</w:t>
      </w:r>
    </w:p>
    <w:p w14:paraId="7387D868">
      <w:pPr>
        <w:tabs>
          <w:tab w:val="left" w:pos="1980"/>
        </w:tabs>
        <w:spacing w:line="300" w:lineRule="auto"/>
        <w:ind w:left="1640" w:leftChars="781"/>
        <w:rPr>
          <w:rFonts w:ascii="宋体" w:hAnsi="宋体" w:eastAsia="宋体" w:cs="宋体"/>
          <w:color w:val="auto"/>
          <w:sz w:val="24"/>
          <w:highlight w:val="none"/>
        </w:rPr>
      </w:pPr>
      <w:r>
        <w:rPr>
          <w:rFonts w:hint="eastAsia" w:ascii="宋体" w:hAnsi="宋体" w:eastAsia="宋体" w:cs="宋体"/>
          <w:color w:val="auto"/>
          <w:sz w:val="24"/>
          <w:highlight w:val="none"/>
        </w:rPr>
        <w:t>(7) 按照专用条款约定的时间向承包人提供一式两份约定的标准与规范；</w:t>
      </w:r>
    </w:p>
    <w:p w14:paraId="25944EE4">
      <w:pPr>
        <w:tabs>
          <w:tab w:val="left" w:pos="1080"/>
          <w:tab w:val="left" w:pos="1980"/>
        </w:tabs>
        <w:spacing w:line="300" w:lineRule="auto"/>
        <w:ind w:left="1575"/>
        <w:rPr>
          <w:rFonts w:ascii="宋体" w:hAnsi="宋体" w:eastAsia="宋体" w:cs="宋体"/>
          <w:color w:val="auto"/>
          <w:sz w:val="24"/>
          <w:highlight w:val="none"/>
        </w:rPr>
      </w:pPr>
      <w:r>
        <w:rPr>
          <w:rFonts w:hint="eastAsia" w:ascii="宋体" w:hAnsi="宋体" w:eastAsia="宋体" w:cs="宋体"/>
          <w:color w:val="auto"/>
          <w:sz w:val="24"/>
          <w:highlight w:val="none"/>
        </w:rPr>
        <w:t>(8) 组织承包人和设计人进行图纸会审和设计交底；</w:t>
      </w:r>
    </w:p>
    <w:p w14:paraId="7900D807">
      <w:pPr>
        <w:tabs>
          <w:tab w:val="left" w:pos="1980"/>
        </w:tabs>
        <w:spacing w:line="300" w:lineRule="auto"/>
        <w:ind w:left="1575"/>
        <w:rPr>
          <w:rFonts w:ascii="宋体" w:hAnsi="宋体" w:eastAsia="宋体" w:cs="宋体"/>
          <w:color w:val="auto"/>
          <w:sz w:val="24"/>
          <w:highlight w:val="none"/>
        </w:rPr>
      </w:pPr>
      <w:r>
        <w:rPr>
          <w:rFonts w:hint="eastAsia" w:ascii="宋体" w:hAnsi="宋体" w:eastAsia="宋体" w:cs="宋体"/>
          <w:color w:val="auto"/>
          <w:sz w:val="24"/>
          <w:highlight w:val="none"/>
        </w:rPr>
        <w:t>(9)协调处理施工场地周围地形关系问题和做好邻近建筑物、构筑物（包括文物保护建筑）、古树名木等的保护工作；</w:t>
      </w:r>
    </w:p>
    <w:p w14:paraId="00FA666F">
      <w:pPr>
        <w:tabs>
          <w:tab w:val="left" w:pos="1980"/>
        </w:tabs>
        <w:spacing w:line="300" w:lineRule="auto"/>
        <w:ind w:left="480" w:firstLine="1140" w:firstLineChars="475"/>
        <w:rPr>
          <w:rFonts w:ascii="宋体" w:hAnsi="宋体" w:eastAsia="宋体" w:cs="宋体"/>
          <w:color w:val="auto"/>
          <w:sz w:val="24"/>
          <w:highlight w:val="none"/>
        </w:rPr>
      </w:pPr>
      <w:r>
        <w:rPr>
          <w:rFonts w:hint="eastAsia" w:ascii="宋体" w:hAnsi="宋体" w:eastAsia="宋体" w:cs="宋体"/>
          <w:color w:val="auto"/>
          <w:sz w:val="24"/>
          <w:highlight w:val="none"/>
        </w:rPr>
        <w:t>(10)及时接收已完工程，并按照合同约定及时支付工程款及其</w:t>
      </w:r>
    </w:p>
    <w:p w14:paraId="4E9E0254">
      <w:pPr>
        <w:tabs>
          <w:tab w:val="left" w:pos="1980"/>
        </w:tabs>
        <w:spacing w:line="300" w:lineRule="auto"/>
        <w:ind w:left="480" w:firstLine="1140" w:firstLineChars="475"/>
        <w:rPr>
          <w:rFonts w:ascii="宋体" w:hAnsi="宋体" w:eastAsia="宋体" w:cs="宋体"/>
          <w:color w:val="auto"/>
          <w:sz w:val="24"/>
          <w:highlight w:val="none"/>
        </w:rPr>
      </w:pPr>
      <w:r>
        <w:rPr>
          <w:rFonts w:hint="eastAsia" w:ascii="宋体" w:hAnsi="宋体" w:eastAsia="宋体" w:cs="宋体"/>
          <w:color w:val="auto"/>
          <w:sz w:val="24"/>
          <w:highlight w:val="none"/>
        </w:rPr>
        <w:t>他各种款项。</w:t>
      </w:r>
    </w:p>
    <w:p w14:paraId="68141595">
      <w:pPr>
        <w:pStyle w:val="27"/>
        <w:tabs>
          <w:tab w:val="left" w:pos="1980"/>
        </w:tabs>
        <w:spacing w:line="300" w:lineRule="auto"/>
        <w:ind w:left="1619" w:leftChars="771" w:firstLine="1" w:firstLineChars="0"/>
        <w:rPr>
          <w:rFonts w:ascii="宋体" w:hAnsi="宋体" w:eastAsia="宋体" w:cs="宋体"/>
          <w:color w:val="auto"/>
          <w:highlight w:val="none"/>
        </w:rPr>
      </w:pPr>
      <w:r>
        <w:rPr>
          <w:rFonts w:hint="eastAsia" w:ascii="宋体" w:hAnsi="宋体" w:eastAsia="宋体" w:cs="宋体"/>
          <w:color w:val="auto"/>
          <w:highlight w:val="none"/>
        </w:rPr>
        <w:t>发包人可将其中部分工作委托给承包人办理，具体由合同双方当事人在专用条款中约定。除合同价款已包括外，由发包人承担所需费用，并向承包人支付合理利润。</w:t>
      </w:r>
    </w:p>
    <w:p w14:paraId="3FFEFEF1">
      <w:pPr>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19.3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543A255">
      <w:pPr>
        <w:spacing w:line="300" w:lineRule="auto"/>
        <w:ind w:left="1619" w:leftChars="771" w:firstLine="2"/>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1077" name="000108"/>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599F932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wps:txbx>
                      <wps:bodyPr wrap="square"/>
                    </wps:wsp>
                  </a:graphicData>
                </a:graphic>
              </wp:anchor>
            </w:drawing>
          </mc:Choice>
          <mc:Fallback>
            <w:pict>
              <v:rect id="000108" o:spid="_x0000_s1026" o:spt="1" style="position:absolute;left:0pt;margin-left:-9pt;margin-top:0pt;height:39pt;width:72pt;z-index:251659264;mso-width-relative:page;mso-height-relative:page;" filled="f" stroked="f" coordsize="21600,21600" o:gfxdata="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&#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wKL6rXAAAABwEAAA8AAAAAAAAAAQAgAAAAIgAAAGRy&#10;cy9kb3ducmV2LnhtbFBLAQIUABQAAAAIAIdO4kCZ7G0nlAEAADgDAAAOAAAAAAAAAAEAIAAAACYB&#10;AABkcnMvZTJvRG9jLnhtbFBLBQYAAAAABgAGAFkBAAAsBQAAAAA=&#10;">
                <v:fill on="f" focussize="0,0"/>
                <v:stroke on="f"/>
                <v:imagedata o:title=""/>
                <o:lock v:ext="edit" aspectratio="f"/>
                <v:textbox>
                  <w:txbxContent>
                    <w:p w14:paraId="599F932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v:textbox>
              </v:rect>
            </w:pict>
          </mc:Fallback>
        </mc:AlternateContent>
      </w:r>
      <w:r>
        <w:rPr>
          <w:rFonts w:hint="eastAsia" w:ascii="宋体" w:hAnsi="宋体" w:eastAsia="宋体" w:cs="宋体"/>
          <w:color w:val="auto"/>
          <w:sz w:val="24"/>
          <w:highlight w:val="none"/>
        </w:rPr>
        <w:t>发包人应按照专用条款约定的时间提供施工场地，并在确保承包人按照计划进度顺利开工的时间内给予承包人进入和使用施工场地的权利。</w:t>
      </w:r>
    </w:p>
    <w:p w14:paraId="1DD60410">
      <w:pPr>
        <w:spacing w:line="300" w:lineRule="auto"/>
        <w:ind w:left="1619" w:leftChars="771" w:firstLine="2"/>
        <w:rPr>
          <w:rFonts w:ascii="宋体" w:hAnsi="宋体" w:eastAsia="宋体" w:cs="宋体"/>
          <w:color w:val="auto"/>
          <w:sz w:val="24"/>
          <w:highlight w:val="none"/>
        </w:rPr>
      </w:pPr>
      <w:r>
        <w:rPr>
          <w:rFonts w:hint="eastAsia" w:ascii="宋体" w:hAnsi="宋体" w:eastAsia="宋体" w:cs="宋体"/>
          <w:color w:val="auto"/>
          <w:sz w:val="24"/>
          <w:highlight w:val="none"/>
        </w:rPr>
        <w:t>发包人保留其工作人员、雇员和相关执法人员进入和使用施工场地的权利。</w:t>
      </w:r>
    </w:p>
    <w:p w14:paraId="5FB999AD">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19.4  </w:t>
      </w:r>
      <w:r>
        <w:rPr>
          <w:rFonts w:hint="eastAsia" w:ascii="宋体" w:hAnsi="宋体" w:eastAsia="宋体" w:cs="宋体"/>
          <w:b/>
          <w:bCs/>
          <w:color w:val="auto"/>
          <w:sz w:val="24"/>
          <w:highlight w:val="none"/>
          <w:u w:val="dotted"/>
        </w:rPr>
        <w:t xml:space="preserve">                                                                                                       </w:t>
      </w:r>
    </w:p>
    <w:p w14:paraId="3E31C9C4">
      <w:pPr>
        <w:spacing w:line="300" w:lineRule="auto"/>
        <w:ind w:left="1619" w:leftChars="771"/>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1078" name="000109"/>
                <wp:cNvGraphicFramePr/>
                <a:graphic xmlns:a="http://schemas.openxmlformats.org/drawingml/2006/main">
                  <a:graphicData uri="http://schemas.microsoft.com/office/word/2010/wordprocessingShape">
                    <wps:wsp>
                      <wps:cNvSpPr/>
                      <wps:spPr>
                        <a:xfrm>
                          <a:off x="0" y="0"/>
                          <a:ext cx="914400" cy="715645"/>
                        </a:xfrm>
                        <a:prstGeom prst="rect">
                          <a:avLst/>
                        </a:prstGeom>
                        <a:ln>
                          <a:noFill/>
                        </a:ln>
                      </wps:spPr>
                      <wps:txbx>
                        <w:txbxContent>
                          <w:p w14:paraId="56EF04F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wps:txbx>
                      <wps:bodyPr wrap="square"/>
                    </wps:wsp>
                  </a:graphicData>
                </a:graphic>
              </wp:anchor>
            </w:drawing>
          </mc:Choice>
          <mc:Fallback>
            <w:pict>
              <v:rect id="000109" o:spid="_x0000_s1026" o:spt="1" style="position:absolute;left:0pt;margin-left:-9pt;margin-top:1.2pt;height:56.35pt;width:72pt;z-index:251659264;mso-width-relative:page;mso-height-relative:page;" filled="f" stroked="f" coordsize="21600,21600" o:gfxdata="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GlddkAAAAJAQAADwAAAAAAAAABACAAAAAiAAAA&#10;ZHJzL2Rvd25yZXYueG1sUEsBAhQAFAAAAAgAh07iQJbYWOqUAQAAOAMAAA4AAAAAAAAAAQAgAAAA&#10;KAEAAGRycy9lMm9Eb2MueG1sUEsFBgAAAAAGAAYAWQEAAC4FAAAAAA==&#10;">
                <v:fill on="f" focussize="0,0"/>
                <v:stroke on="f"/>
                <v:imagedata o:title=""/>
                <o:lock v:ext="edit" aspectratio="f"/>
                <v:textbox>
                  <w:txbxContent>
                    <w:p w14:paraId="56EF04F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v:textbox>
              </v:rect>
            </w:pict>
          </mc:Fallback>
        </mc:AlternateContent>
      </w:r>
      <w:r>
        <w:rPr>
          <w:rFonts w:hint="eastAsia" w:ascii="宋体" w:hAnsi="宋体" w:eastAsia="宋体" w:cs="宋体"/>
          <w:color w:val="auto"/>
          <w:sz w:val="24"/>
          <w:highlight w:val="none"/>
        </w:rPr>
        <w:t>发包人应按照合同约定的期限和方式向承包人支付工程款及其他应支付的款项。</w:t>
      </w:r>
    </w:p>
    <w:p w14:paraId="2B889507">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19.5  </w:t>
      </w:r>
      <w:r>
        <w:rPr>
          <w:rFonts w:hint="eastAsia" w:ascii="宋体" w:hAnsi="宋体" w:eastAsia="宋体" w:cs="宋体"/>
          <w:b/>
          <w:bCs/>
          <w:color w:val="auto"/>
          <w:sz w:val="24"/>
          <w:highlight w:val="none"/>
          <w:u w:val="dotted"/>
        </w:rPr>
        <w:t xml:space="preserve">                                                                                                       </w:t>
      </w:r>
    </w:p>
    <w:p w14:paraId="605D04F7">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1079" name="00010a"/>
                <wp:cNvGraphicFramePr/>
                <a:graphic xmlns:a="http://schemas.openxmlformats.org/drawingml/2006/main">
                  <a:graphicData uri="http://schemas.microsoft.com/office/word/2010/wordprocessingShape">
                    <wps:wsp>
                      <wps:cNvSpPr/>
                      <wps:spPr>
                        <a:xfrm>
                          <a:off x="0" y="0"/>
                          <a:ext cx="914400" cy="852170"/>
                        </a:xfrm>
                        <a:prstGeom prst="rect">
                          <a:avLst/>
                        </a:prstGeom>
                        <a:ln>
                          <a:noFill/>
                        </a:ln>
                      </wps:spPr>
                      <wps:txbx>
                        <w:txbxContent>
                          <w:p w14:paraId="362B123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wps:txbx>
                      <wps:bodyPr wrap="square"/>
                    </wps:wsp>
                  </a:graphicData>
                </a:graphic>
              </wp:anchor>
            </w:drawing>
          </mc:Choice>
          <mc:Fallback>
            <w:pict>
              <v:rect id="00010a" o:spid="_x0000_s1026" o:spt="1" style="position:absolute;left:0pt;margin-left:-9pt;margin-top:1.2pt;height:67.1pt;width:72pt;z-index:251659264;mso-width-relative:page;mso-height-relative:page;" filled="f" stroked="f" coordsize="21600,21600" o:gfxdata="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cm9nTZAAAACQEAAA8AAAAAAAAAAQAgAAAAIgAA&#10;AGRycy9kb3ducmV2LnhtbFBLAQIUABQAAAAIAIdO4kChF+21lQEAADgDAAAOAAAAAAAAAAEAIAAA&#10;ACgBAABkcnMvZTJvRG9jLnhtbFBLBQYAAAAABgAGAFkBAAAvBQAAAAA=&#10;">
                <v:fill on="f" focussize="0,0"/>
                <v:stroke on="f"/>
                <v:imagedata o:title=""/>
                <o:lock v:ext="edit" aspectratio="f"/>
                <v:textbox>
                  <w:txbxContent>
                    <w:p w14:paraId="362B123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v:textbox>
              </v:rect>
            </w:pict>
          </mc:Fallback>
        </mc:AlternateContent>
      </w:r>
      <w:r>
        <w:rPr>
          <w:rFonts w:hint="eastAsia" w:ascii="宋体" w:hAnsi="宋体" w:eastAsia="宋体" w:cs="宋体"/>
          <w:color w:val="auto"/>
          <w:sz w:val="24"/>
          <w:highlight w:val="none"/>
        </w:rPr>
        <w:t>发包人应按照第58条规定组织承包人、设计人、监理人和工程造价咨询人（如有）等进行竣工验收。</w:t>
      </w:r>
    </w:p>
    <w:p w14:paraId="3F246F4A">
      <w:pPr>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1080" name="00010b"/>
                <wp:cNvGraphicFramePr/>
                <a:graphic xmlns:a="http://schemas.openxmlformats.org/drawingml/2006/main">
                  <a:graphicData uri="http://schemas.microsoft.com/office/word/2010/wordprocessingShape">
                    <wps:wsp>
                      <wps:cNvSpPr/>
                      <wps:spPr>
                        <a:xfrm>
                          <a:off x="0" y="0"/>
                          <a:ext cx="914400" cy="1162685"/>
                        </a:xfrm>
                        <a:prstGeom prst="rect">
                          <a:avLst/>
                        </a:prstGeom>
                        <a:ln>
                          <a:noFill/>
                        </a:ln>
                      </wps:spPr>
                      <wps:txbx>
                        <w:txbxContent>
                          <w:p w14:paraId="0B06CEE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wps:txbx>
                      <wps:bodyPr wrap="square"/>
                    </wps:wsp>
                  </a:graphicData>
                </a:graphic>
              </wp:anchor>
            </w:drawing>
          </mc:Choice>
          <mc:Fallback>
            <w:pict>
              <v:rect id="00010b" o:spid="_x0000_s1026" o:spt="1" style="position:absolute;left:0pt;margin-left:-9pt;margin-top:21.5pt;height:91.55pt;width:72pt;z-index:251659264;mso-width-relative:page;mso-height-relative:page;" filled="f" stroked="f" coordsize="21600,21600" o:gfxdata="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lX0hTaAAAACgEAAA8AAAAAAAAAAQAgAAAAIgAA&#10;AGRycy9kb3ducmV2LnhtbFBLAQIUABQAAAAIAIdO4kBlv3tglAEAADkDAAAOAAAAAAAAAAEAIAAA&#10;ACkBAABkcnMvZTJvRG9jLnhtbFBLBQYAAAAABgAGAFkBAAAvBQAAAAA=&#10;">
                <v:fill on="f" focussize="0,0"/>
                <v:stroke on="f"/>
                <v:imagedata o:title=""/>
                <o:lock v:ext="edit" aspectratio="f"/>
                <v:textbox>
                  <w:txbxContent>
                    <w:p w14:paraId="0B06CEE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v:textbox>
              </v:rect>
            </w:pict>
          </mc:Fallback>
        </mc:AlternateContent>
      </w:r>
      <w:r>
        <w:rPr>
          <w:rFonts w:hint="eastAsia" w:ascii="宋体" w:hAnsi="宋体" w:eastAsia="宋体" w:cs="宋体"/>
          <w:b/>
          <w:bCs/>
          <w:color w:val="auto"/>
          <w:sz w:val="24"/>
          <w:highlight w:val="none"/>
        </w:rPr>
        <w:t xml:space="preserve">19.6  </w:t>
      </w:r>
      <w:r>
        <w:rPr>
          <w:rFonts w:hint="eastAsia" w:ascii="宋体" w:hAnsi="宋体" w:eastAsia="宋体" w:cs="宋体"/>
          <w:b/>
          <w:bCs/>
          <w:color w:val="auto"/>
          <w:sz w:val="24"/>
          <w:highlight w:val="none"/>
          <w:u w:val="dotted"/>
        </w:rPr>
        <w:t xml:space="preserve">                                                                                                       </w:t>
      </w:r>
    </w:p>
    <w:p w14:paraId="578B4573">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发包人供应材料和工程设备的，发包人应按照第48条规定向承包人提供材料和工程设备。</w:t>
      </w:r>
    </w:p>
    <w:p w14:paraId="6E7AC062">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19.7  </w:t>
      </w:r>
      <w:r>
        <w:rPr>
          <w:rFonts w:hint="eastAsia" w:ascii="宋体" w:hAnsi="宋体" w:eastAsia="宋体" w:cs="宋体"/>
          <w:b/>
          <w:bCs/>
          <w:color w:val="auto"/>
          <w:sz w:val="24"/>
          <w:highlight w:val="none"/>
          <w:u w:val="dotted"/>
        </w:rPr>
        <w:t xml:space="preserve">                                                                                                       </w:t>
      </w:r>
    </w:p>
    <w:p w14:paraId="790D3142">
      <w:p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1081" name="00010c"/>
                <wp:cNvGraphicFramePr/>
                <a:graphic xmlns:a="http://schemas.openxmlformats.org/drawingml/2006/main">
                  <a:graphicData uri="http://schemas.microsoft.com/office/word/2010/wordprocessingShape">
                    <wps:wsp>
                      <wps:cNvSpPr/>
                      <wps:spPr>
                        <a:xfrm>
                          <a:off x="0" y="0"/>
                          <a:ext cx="914400" cy="449580"/>
                        </a:xfrm>
                        <a:prstGeom prst="rect">
                          <a:avLst/>
                        </a:prstGeom>
                        <a:ln>
                          <a:noFill/>
                        </a:ln>
                      </wps:spPr>
                      <wps:txbx>
                        <w:txbxContent>
                          <w:p w14:paraId="0FCA8F9E">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wps:txbx>
                      <wps:bodyPr wrap="square"/>
                    </wps:wsp>
                  </a:graphicData>
                </a:graphic>
              </wp:anchor>
            </w:drawing>
          </mc:Choice>
          <mc:Fallback>
            <w:pict>
              <v:rect id="00010c" o:spid="_x0000_s1026" o:spt="1" style="position:absolute;left:0pt;margin-left:-9pt;margin-top:0pt;height:35.4pt;width:72pt;z-index:251659264;mso-width-relative:page;mso-height-relative:page;" filled="f" stroked="f" coordsize="21600,21600" o:gfxdata="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&#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e8FVPtgAAAAHAQAADwAAAAAAAAABACAAAAAiAAAA&#10;ZHJzL2Rvd25yZXYueG1sUEsBAhQAFAAAAAgAh07iQPWwOmiVAQAAOAMAAA4AAAAAAAAAAQAgAAAA&#10;JwEAAGRycy9lMm9Eb2MueG1sUEsFBgAAAAAGAAYAWQEAAC4FAAAAAA==&#10;">
                <v:fill on="f" focussize="0,0"/>
                <v:stroke on="f"/>
                <v:imagedata o:title=""/>
                <o:lock v:ext="edit" aspectratio="f"/>
                <v:textbox>
                  <w:txbxContent>
                    <w:p w14:paraId="0FCA8F9E">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v:textbox>
              </v:rect>
            </w:pict>
          </mc:Fallback>
        </mc:AlternateContent>
      </w:r>
      <w:r>
        <w:rPr>
          <w:rFonts w:hint="eastAsia" w:ascii="宋体" w:hAnsi="宋体" w:eastAsia="宋体" w:cs="宋体"/>
          <w:color w:val="auto"/>
          <w:sz w:val="24"/>
          <w:highlight w:val="none"/>
        </w:rPr>
        <w:t>发包人未能正确完成本合同约定的全部义务，导致费用的增加和（或）延误的工期，由发包人承担；给承包人造成损失的，发包人应予赔偿。</w:t>
      </w:r>
    </w:p>
    <w:p w14:paraId="0D9AFD28">
      <w:pPr>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1570B34C">
      <w:pPr>
        <w:pStyle w:val="4"/>
        <w:tabs>
          <w:tab w:val="left" w:pos="420"/>
        </w:tabs>
        <w:spacing w:line="300" w:lineRule="auto"/>
        <w:ind w:left="720"/>
        <w:rPr>
          <w:rFonts w:ascii="宋体" w:hAnsi="宋体" w:eastAsia="宋体" w:cs="宋体"/>
          <w:color w:val="auto"/>
          <w:sz w:val="24"/>
          <w:szCs w:val="24"/>
          <w:highlight w:val="none"/>
        </w:rPr>
      </w:pPr>
      <w:bookmarkStart w:id="63" w:name="_Toc469384000"/>
      <w:bookmarkStart w:id="64" w:name="_Toc46860821"/>
      <w:r>
        <w:rPr>
          <w:rFonts w:hint="eastAsia" w:ascii="宋体" w:hAnsi="宋体" w:eastAsia="宋体" w:cs="宋体"/>
          <w:color w:val="auto"/>
          <w:sz w:val="24"/>
          <w:szCs w:val="24"/>
          <w:highlight w:val="none"/>
        </w:rPr>
        <w:t>20  承包人</w:t>
      </w:r>
      <w:bookmarkEnd w:id="63"/>
      <w:bookmarkEnd w:id="64"/>
    </w:p>
    <w:p w14:paraId="2EDB557A">
      <w:pPr>
        <w:tabs>
          <w:tab w:val="left" w:pos="1620"/>
        </w:tabs>
        <w:spacing w:line="300" w:lineRule="auto"/>
        <w:ind w:left="-2" w:leftChars="-1" w:firstLine="1"/>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20.1                                                        </w:t>
      </w:r>
    </w:p>
    <w:p w14:paraId="7664A2ED">
      <w:pPr>
        <w:tabs>
          <w:tab w:val="left" w:pos="1620"/>
        </w:tabs>
        <w:spacing w:line="300" w:lineRule="auto"/>
        <w:ind w:left="1470" w:leftChars="70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1082" name="00010d"/>
                <wp:cNvGraphicFramePr/>
                <a:graphic xmlns:a="http://schemas.openxmlformats.org/drawingml/2006/main">
                  <a:graphicData uri="http://schemas.microsoft.com/office/word/2010/wordprocessingShape">
                    <wps:wsp>
                      <wps:cNvSpPr/>
                      <wps:spPr>
                        <a:xfrm>
                          <a:off x="0" y="0"/>
                          <a:ext cx="914400" cy="429895"/>
                        </a:xfrm>
                        <a:prstGeom prst="rect">
                          <a:avLst/>
                        </a:prstGeom>
                        <a:ln>
                          <a:noFill/>
                        </a:ln>
                      </wps:spPr>
                      <wps:txbx>
                        <w:txbxContent>
                          <w:p w14:paraId="020B31D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rect id="00010d" o:spid="_x0000_s1026" o:spt="1" style="position:absolute;left:0pt;margin-left:-9pt;margin-top:0.35pt;height:33.85pt;width:72pt;z-index:251659264;mso-width-relative:page;mso-height-relative:page;" filled="f" stroked="f" coordsize="21600,21600" o:gfxdata="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FmnLYDXAAAABwEAAA8AAAAAAAAAAQAgAAAAIgAAAGRy&#10;cy9kb3ducmV2LnhtbFBLAQIUABQAAAAIAIdO4kAZECQDlAEAADgDAAAOAAAAAAAAAAEAIAAAACYB&#10;AABkcnMvZTJvRG9jLnhtbFBLBQYAAAAABgAGAFkBAAAsBQAAAAA=&#10;">
                <v:fill on="f" focussize="0,0"/>
                <v:stroke on="f"/>
                <v:imagedata o:title=""/>
                <o:lock v:ext="edit" aspectratio="f"/>
                <v:textbox>
                  <w:txbxContent>
                    <w:p w14:paraId="020B31D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rect>
            </w:pict>
          </mc:Fallback>
        </mc:AlternateContent>
      </w:r>
      <w:r>
        <w:rPr>
          <w:rFonts w:hint="eastAsia" w:ascii="宋体" w:hAnsi="宋体" w:eastAsia="宋体" w:cs="宋体"/>
          <w:color w:val="auto"/>
          <w:sz w:val="24"/>
          <w:highlight w:val="none"/>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部门规章，严格执行信用承诺制度，违背信用承诺约定时，承担违约责任，并依法承担相应法律责任。</w:t>
      </w:r>
    </w:p>
    <w:p w14:paraId="685B8EB6">
      <w:pPr>
        <w:pStyle w:val="141"/>
        <w:spacing w:before="0" w:beforeAutospacing="0" w:after="0" w:afterAutospacing="0" w:line="300" w:lineRule="auto"/>
        <w:ind w:left="1470" w:leftChars="700"/>
        <w:rPr>
          <w:rFonts w:eastAsia="宋体"/>
          <w:color w:val="auto"/>
          <w:kern w:val="2"/>
          <w:highlight w:val="none"/>
        </w:rPr>
      </w:pPr>
      <w:r>
        <w:rPr>
          <w:rFonts w:hint="eastAsia" w:eastAsia="宋体"/>
          <w:color w:val="auto"/>
          <w:kern w:val="2"/>
          <w:highlight w:val="none"/>
        </w:rPr>
        <w:t>承包人在本项目发包人的工程项目中存在下列行为的，将被拒绝参与发包人后续工程投标。拒绝投标时限由发包人（招标人）视严重程度确定，并在专用条款中约定。</w:t>
      </w:r>
    </w:p>
    <w:p w14:paraId="6FEB620B">
      <w:pPr>
        <w:pStyle w:val="141"/>
        <w:spacing w:before="0" w:beforeAutospacing="0" w:after="0" w:afterAutospacing="0" w:line="300" w:lineRule="auto"/>
        <w:ind w:firstLine="1440" w:firstLineChars="600"/>
        <w:rPr>
          <w:rFonts w:eastAsia="宋体"/>
          <w:color w:val="auto"/>
          <w:kern w:val="2"/>
          <w:highlight w:val="none"/>
        </w:rPr>
      </w:pPr>
      <w:r>
        <w:rPr>
          <w:rFonts w:hint="eastAsia" w:eastAsia="宋体"/>
          <w:color w:val="auto"/>
          <w:kern w:val="2"/>
          <w:highlight w:val="none"/>
        </w:rPr>
        <w:t>1.将中标工程转包或者违法分包的；</w:t>
      </w:r>
    </w:p>
    <w:p w14:paraId="48083ACE">
      <w:pPr>
        <w:pStyle w:val="141"/>
        <w:spacing w:before="0" w:beforeAutospacing="0" w:after="0" w:afterAutospacing="0" w:line="300" w:lineRule="auto"/>
        <w:ind w:firstLine="1440" w:firstLineChars="600"/>
        <w:rPr>
          <w:rFonts w:eastAsia="宋体"/>
          <w:color w:val="auto"/>
          <w:kern w:val="2"/>
          <w:highlight w:val="none"/>
        </w:rPr>
      </w:pPr>
      <w:r>
        <w:rPr>
          <w:rFonts w:hint="eastAsia" w:eastAsia="宋体"/>
          <w:color w:val="auto"/>
          <w:kern w:val="2"/>
          <w:highlight w:val="none"/>
        </w:rPr>
        <w:t>2.在中标工程中不执行质量、安全生产相关规定的，造成质量或</w:t>
      </w:r>
    </w:p>
    <w:p w14:paraId="63992A97">
      <w:pPr>
        <w:pStyle w:val="141"/>
        <w:spacing w:before="0" w:beforeAutospacing="0" w:after="0" w:afterAutospacing="0" w:line="300" w:lineRule="auto"/>
        <w:ind w:firstLine="1440" w:firstLineChars="600"/>
        <w:rPr>
          <w:rFonts w:eastAsia="宋体"/>
          <w:color w:val="auto"/>
          <w:kern w:val="2"/>
          <w:highlight w:val="none"/>
        </w:rPr>
      </w:pPr>
      <w:r>
        <w:rPr>
          <w:rFonts w:hint="eastAsia" w:eastAsia="宋体"/>
          <w:color w:val="auto"/>
          <w:kern w:val="2"/>
          <w:highlight w:val="none"/>
        </w:rPr>
        <w:t>安全事故的；</w:t>
      </w:r>
    </w:p>
    <w:p w14:paraId="5C7F7C5C">
      <w:pPr>
        <w:pStyle w:val="141"/>
        <w:spacing w:before="0" w:beforeAutospacing="0" w:after="0" w:afterAutospacing="0" w:line="300" w:lineRule="auto"/>
        <w:ind w:firstLine="1440" w:firstLineChars="600"/>
        <w:rPr>
          <w:rFonts w:eastAsia="宋体"/>
          <w:color w:val="auto"/>
          <w:kern w:val="2"/>
          <w:highlight w:val="none"/>
        </w:rPr>
      </w:pPr>
      <w:r>
        <w:rPr>
          <w:rFonts w:hint="eastAsia" w:eastAsia="宋体"/>
          <w:color w:val="auto"/>
          <w:kern w:val="2"/>
          <w:highlight w:val="none"/>
        </w:rPr>
        <w:t>3.存在围标或串标情形的；</w:t>
      </w:r>
    </w:p>
    <w:p w14:paraId="7B7630CE">
      <w:pPr>
        <w:pStyle w:val="141"/>
        <w:spacing w:before="0" w:beforeAutospacing="0" w:after="0" w:afterAutospacing="0" w:line="300" w:lineRule="auto"/>
        <w:ind w:firstLine="1440" w:firstLineChars="600"/>
        <w:rPr>
          <w:rFonts w:eastAsia="宋体"/>
          <w:color w:val="auto"/>
          <w:kern w:val="2"/>
          <w:highlight w:val="none"/>
        </w:rPr>
      </w:pPr>
      <w:r>
        <w:rPr>
          <w:rFonts w:hint="eastAsia" w:eastAsia="宋体"/>
          <w:color w:val="auto"/>
          <w:kern w:val="2"/>
          <w:highlight w:val="none"/>
        </w:rPr>
        <w:t>4.存在弄虚作假骗取中标情形的；</w:t>
      </w:r>
    </w:p>
    <w:p w14:paraId="0815B776">
      <w:pPr>
        <w:pStyle w:val="141"/>
        <w:spacing w:before="0" w:beforeAutospacing="0" w:after="0" w:afterAutospacing="0" w:line="300" w:lineRule="auto"/>
        <w:ind w:firstLine="1440" w:firstLineChars="600"/>
        <w:rPr>
          <w:rFonts w:eastAsia="宋体"/>
          <w:color w:val="auto"/>
          <w:kern w:val="2"/>
          <w:highlight w:val="none"/>
        </w:rPr>
      </w:pPr>
      <w:r>
        <w:rPr>
          <w:rFonts w:hint="eastAsia" w:eastAsia="宋体"/>
          <w:color w:val="auto"/>
          <w:kern w:val="2"/>
          <w:highlight w:val="none"/>
        </w:rPr>
        <w:t>5.存在因过错行为被生效法律文书认定承担违约或侵权责任的。</w:t>
      </w:r>
    </w:p>
    <w:p w14:paraId="3DE73B69">
      <w:pPr>
        <w:tabs>
          <w:tab w:val="left" w:pos="1620"/>
        </w:tabs>
        <w:spacing w:line="300" w:lineRule="auto"/>
        <w:ind w:left="1619" w:leftChars="771"/>
        <w:rPr>
          <w:rFonts w:ascii="宋体" w:hAnsi="宋体" w:eastAsia="宋体" w:cs="宋体"/>
          <w:color w:val="auto"/>
          <w:sz w:val="24"/>
          <w:highlight w:val="none"/>
        </w:rPr>
      </w:pPr>
    </w:p>
    <w:p w14:paraId="62A07BF7">
      <w:pPr>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20.2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6BEC189">
      <w:pPr>
        <w:tabs>
          <w:tab w:val="left" w:pos="162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1083" name="00010e"/>
                <wp:cNvGraphicFramePr/>
                <a:graphic xmlns:a="http://schemas.openxmlformats.org/drawingml/2006/main">
                  <a:graphicData uri="http://schemas.microsoft.com/office/word/2010/wordprocessingShape">
                    <wps:wsp>
                      <wps:cNvSpPr/>
                      <wps:spPr>
                        <a:xfrm>
                          <a:off x="0" y="0"/>
                          <a:ext cx="914400" cy="373380"/>
                        </a:xfrm>
                        <a:prstGeom prst="rect">
                          <a:avLst/>
                        </a:prstGeom>
                        <a:ln>
                          <a:noFill/>
                        </a:ln>
                      </wps:spPr>
                      <wps:txbx>
                        <w:txbxContent>
                          <w:p w14:paraId="52DACC3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wps:wsp>
                  </a:graphicData>
                </a:graphic>
              </wp:anchor>
            </w:drawing>
          </mc:Choice>
          <mc:Fallback>
            <w:pict>
              <v:rect id="00010e" o:spid="_x0000_s1026" o:spt="1" style="position:absolute;left:0pt;margin-left:-9pt;margin-top:0pt;height:29.4pt;width:72pt;z-index:251659264;mso-width-relative:page;mso-height-relative:page;" filled="f" stroked="f" coordsize="21600,21600" o:gfxdata="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QWSkfXAAAABwEAAA8AAAAAAAAAAQAgAAAAIgAAAGRy&#10;cy9kb3ducmV2LnhtbFBLAQIUABQAAAAIAIdO4kBxrk1ZlAEAADgDAAAOAAAAAAAAAAEAIAAAACYB&#10;AABkcnMvZTJvRG9jLnhtbFBLBQYAAAAABgAGAFkBAAAsBQAAAAA=&#10;">
                <v:fill on="f" focussize="0,0"/>
                <v:stroke on="f"/>
                <v:imagedata o:title=""/>
                <o:lock v:ext="edit" aspectratio="f"/>
                <v:textbox>
                  <w:txbxContent>
                    <w:p w14:paraId="52DACC3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rect>
            </w:pict>
          </mc:Fallback>
        </mc:AlternateContent>
      </w:r>
      <w:r>
        <w:rPr>
          <w:rFonts w:hint="eastAsia" w:ascii="宋体" w:hAnsi="宋体" w:eastAsia="宋体" w:cs="宋体"/>
          <w:color w:val="auto"/>
          <w:sz w:val="24"/>
          <w:highlight w:val="none"/>
        </w:rPr>
        <w:t>承包人应按照合同约定完成下列工作，包括但不限于：</w:t>
      </w:r>
    </w:p>
    <w:p w14:paraId="500D7A28">
      <w:pPr>
        <w:numPr>
          <w:ilvl w:val="0"/>
          <w:numId w:val="8"/>
        </w:numPr>
        <w:tabs>
          <w:tab w:val="left" w:pos="198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按照合同约定和监理工程师的指令实施、完成并保修合同工程；</w:t>
      </w:r>
    </w:p>
    <w:p w14:paraId="54C031E4">
      <w:pPr>
        <w:numPr>
          <w:ilvl w:val="0"/>
          <w:numId w:val="8"/>
        </w:numPr>
        <w:tabs>
          <w:tab w:val="left" w:pos="198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按照合同约定和监理工程师的要求提交工程进度报告和进度计划；</w:t>
      </w:r>
    </w:p>
    <w:p w14:paraId="7E271809">
      <w:pPr>
        <w:numPr>
          <w:ilvl w:val="0"/>
          <w:numId w:val="8"/>
        </w:numPr>
        <w:tabs>
          <w:tab w:val="left" w:pos="198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按照合同约定和造价工程师的要求提交支付申请和工程款报告，包括绿色施工安全防护费、进度款、结算款和调整合同价款等；</w:t>
      </w:r>
    </w:p>
    <w:p w14:paraId="54BC96C7">
      <w:pPr>
        <w:numPr>
          <w:ilvl w:val="0"/>
          <w:numId w:val="8"/>
        </w:numPr>
        <w:tabs>
          <w:tab w:val="left" w:pos="198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负责施工场地安全保卫工作，防止因工程施工造成的人身伤害和财产损失，提供和维修非夜间施工使用的照明、围栏设施等安全标志；</w:t>
      </w:r>
    </w:p>
    <w:p w14:paraId="2790E7BF">
      <w:pPr>
        <w:numPr>
          <w:ilvl w:val="0"/>
          <w:numId w:val="8"/>
        </w:numPr>
        <w:tabs>
          <w:tab w:val="left" w:pos="198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14:paraId="35303D9D">
      <w:pPr>
        <w:numPr>
          <w:ilvl w:val="0"/>
          <w:numId w:val="8"/>
        </w:numPr>
        <w:tabs>
          <w:tab w:val="clear" w:pos="1560"/>
        </w:tabs>
        <w:spacing w:line="300" w:lineRule="auto"/>
        <w:ind w:left="1618" w:leftChars="770" w:hanging="1"/>
        <w:rPr>
          <w:rFonts w:ascii="宋体" w:hAnsi="宋体" w:eastAsia="宋体" w:cs="宋体"/>
          <w:color w:val="auto"/>
          <w:sz w:val="24"/>
          <w:highlight w:val="none"/>
        </w:rPr>
      </w:pPr>
      <w:r>
        <w:rPr>
          <w:rFonts w:hint="eastAsia" w:ascii="宋体" w:hAnsi="宋体" w:eastAsia="宋体" w:cs="宋体"/>
          <w:color w:val="auto"/>
          <w:sz w:val="24"/>
          <w:highlight w:val="none"/>
        </w:rPr>
        <w:t xml:space="preserve">遵守政府部门有关施工场地交通、环境保护、施工噪声、绿色施工安全防护等的管理规定，办理有关手续，并以书面形式通知发包人，费用按政府有关部门相关文件规定由发（承）包人各自承担； </w:t>
      </w:r>
    </w:p>
    <w:p w14:paraId="0E0703C2">
      <w:pPr>
        <w:numPr>
          <w:ilvl w:val="0"/>
          <w:numId w:val="8"/>
        </w:numPr>
        <w:tabs>
          <w:tab w:val="clear" w:pos="1560"/>
        </w:tabs>
        <w:spacing w:line="300" w:lineRule="auto"/>
        <w:ind w:left="1618" w:leftChars="770" w:hanging="1"/>
        <w:rPr>
          <w:rFonts w:ascii="宋体" w:hAnsi="宋体" w:eastAsia="宋体" w:cs="宋体"/>
          <w:color w:val="auto"/>
          <w:sz w:val="24"/>
          <w:highlight w:val="none"/>
        </w:rPr>
      </w:pPr>
      <w:r>
        <w:rPr>
          <w:rFonts w:hint="eastAsia" w:ascii="宋体" w:hAnsi="宋体" w:eastAsia="宋体" w:cs="宋体"/>
          <w:color w:val="auto"/>
          <w:sz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070D280F">
      <w:pPr>
        <w:numPr>
          <w:ilvl w:val="0"/>
          <w:numId w:val="8"/>
        </w:numPr>
        <w:tabs>
          <w:tab w:val="left" w:pos="1980"/>
          <w:tab w:val="left" w:pos="252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做好施工场地地下管线和邻近建筑物、构筑物（包括文物保护建筑）、古树</w:t>
      </w:r>
    </w:p>
    <w:p w14:paraId="35E7B1A4">
      <w:pPr>
        <w:tabs>
          <w:tab w:val="left" w:pos="1980"/>
          <w:tab w:val="left" w:pos="2520"/>
        </w:tabs>
        <w:spacing w:line="300" w:lineRule="auto"/>
        <w:ind w:left="1138" w:leftChars="542"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名木的保护工作；</w:t>
      </w:r>
    </w:p>
    <w:p w14:paraId="5F30A080">
      <w:pPr>
        <w:numPr>
          <w:ilvl w:val="0"/>
          <w:numId w:val="8"/>
        </w:numPr>
        <w:tabs>
          <w:tab w:val="clear" w:pos="1560"/>
        </w:tabs>
        <w:spacing w:line="300" w:lineRule="auto"/>
        <w:ind w:left="1618" w:leftChars="770" w:hanging="1"/>
        <w:rPr>
          <w:rFonts w:ascii="宋体" w:hAnsi="宋体" w:eastAsia="宋体" w:cs="宋体"/>
          <w:color w:val="auto"/>
          <w:sz w:val="24"/>
          <w:highlight w:val="none"/>
        </w:rPr>
      </w:pPr>
      <w:r>
        <w:rPr>
          <w:rFonts w:hint="eastAsia" w:ascii="宋体" w:hAnsi="宋体" w:eastAsia="宋体" w:cs="宋体"/>
          <w:color w:val="auto"/>
          <w:sz w:val="24"/>
          <w:highlight w:val="none"/>
        </w:rPr>
        <w:t>遵守政府部门有关环境卫生的管理规定，保证施工场地的清洁和做好交工前施工现场的清理工作，并承担因自身责任造成的损失和罚款；</w:t>
      </w:r>
    </w:p>
    <w:p w14:paraId="1349BF52">
      <w:pPr>
        <w:numPr>
          <w:ilvl w:val="0"/>
          <w:numId w:val="8"/>
        </w:numPr>
        <w:tabs>
          <w:tab w:val="clear" w:pos="156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工程完工后，应按照合同约定提交竣工验收申请报告和竣工结算文件。</w:t>
      </w:r>
    </w:p>
    <w:p w14:paraId="0B264CBD">
      <w:pPr>
        <w:tabs>
          <w:tab w:val="left" w:pos="497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20.3   </w:t>
      </w:r>
      <w:r>
        <w:rPr>
          <w:rFonts w:hint="eastAsia" w:ascii="宋体" w:hAnsi="宋体" w:eastAsia="宋体" w:cs="宋体"/>
          <w:b/>
          <w:bCs/>
          <w:color w:val="auto"/>
          <w:sz w:val="24"/>
          <w:highlight w:val="none"/>
          <w:u w:val="dotted"/>
        </w:rPr>
        <w:t xml:space="preserve">                                                                                                       </w:t>
      </w:r>
    </w:p>
    <w:p w14:paraId="66C38736">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1084" name="00010f"/>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75FCB24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wps:wsp>
                  </a:graphicData>
                </a:graphic>
              </wp:anchor>
            </w:drawing>
          </mc:Choice>
          <mc:Fallback>
            <w:pict>
              <v:rect id="00010f" o:spid="_x0000_s1026" o:spt="1" style="position:absolute;left:0pt;margin-left:-9pt;margin-top:0pt;height:46.8pt;width:72pt;z-index:251659264;mso-width-relative:page;mso-height-relative:page;" filled="f" stroked="f" coordsize="21600,21600" o:gfxdata="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l5ZO1tgAAAAHAQAADwAAAAAAAAABACAAAAAiAAAA&#10;ZHJzL2Rvd25yZXYueG1sUEsBAhQAFAAAAAgAh07iQDSds2mVAQAAOAMAAA4AAAAAAAAAAQAgAAAA&#10;JwEAAGRycy9lMm9Eb2MueG1sUEsFBgAAAAAGAAYAWQEAAC4FAAAAAA==&#10;">
                <v:fill on="f" focussize="0,0"/>
                <v:stroke on="f"/>
                <v:imagedata o:title=""/>
                <o:lock v:ext="edit" aspectratio="f"/>
                <v:textbox>
                  <w:txbxContent>
                    <w:p w14:paraId="75FCB24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rect>
            </w:pict>
          </mc:Fallback>
        </mc:AlternateContent>
      </w:r>
      <w:r>
        <w:rPr>
          <w:rFonts w:hint="eastAsia" w:ascii="宋体" w:hAnsi="宋体" w:eastAsia="宋体" w:cs="宋体"/>
          <w:color w:val="auto"/>
          <w:sz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2E004786">
      <w:pPr>
        <w:tabs>
          <w:tab w:val="left" w:pos="497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20.4   </w:t>
      </w:r>
      <w:r>
        <w:rPr>
          <w:rFonts w:hint="eastAsia" w:ascii="宋体" w:hAnsi="宋体" w:eastAsia="宋体" w:cs="宋体"/>
          <w:b/>
          <w:bCs/>
          <w:color w:val="auto"/>
          <w:sz w:val="24"/>
          <w:highlight w:val="none"/>
          <w:u w:val="dotted"/>
        </w:rPr>
        <w:t xml:space="preserve">                                                                                                      </w:t>
      </w:r>
    </w:p>
    <w:p w14:paraId="1A83E47A">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1085" name="000110"/>
                <wp:cNvGraphicFramePr/>
                <a:graphic xmlns:a="http://schemas.openxmlformats.org/drawingml/2006/main">
                  <a:graphicData uri="http://schemas.microsoft.com/office/word/2010/wordprocessingShape">
                    <wps:wsp>
                      <wps:cNvSpPr/>
                      <wps:spPr>
                        <a:xfrm>
                          <a:off x="0" y="0"/>
                          <a:ext cx="914400" cy="1003935"/>
                        </a:xfrm>
                        <a:prstGeom prst="rect">
                          <a:avLst/>
                        </a:prstGeom>
                        <a:ln>
                          <a:noFill/>
                        </a:ln>
                      </wps:spPr>
                      <wps:txbx>
                        <w:txbxContent>
                          <w:p w14:paraId="51F9525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wps:wsp>
                  </a:graphicData>
                </a:graphic>
              </wp:anchor>
            </w:drawing>
          </mc:Choice>
          <mc:Fallback>
            <w:pict>
              <v:rect id="000110" o:spid="_x0000_s1026" o:spt="1" style="position:absolute;left:0pt;margin-left:-9pt;margin-top:1.8pt;height:79.05pt;width:72pt;z-index:251659264;mso-width-relative:page;mso-height-relative:page;" filled="f" stroked="f" coordsize="21600,21600" o:gfxdata="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RSapjZAAAACQEAAA8AAAAAAAAAAQAgAAAAIgAA&#10;AGRycy9kb3ducmV2LnhtbFBLAQIUABQAAAAIAIdO4kDti6dvlQEAADkDAAAOAAAAAAAAAAEAIAAA&#10;ACgBAABkcnMvZTJvRG9jLnhtbFBLBQYAAAAABgAGAFkBAAAvBQAAAAA=&#10;">
                <v:fill on="f" focussize="0,0"/>
                <v:stroke on="f"/>
                <v:imagedata o:title=""/>
                <o:lock v:ext="edit" aspectratio="f"/>
                <v:textbox>
                  <w:txbxContent>
                    <w:p w14:paraId="51F9525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rect>
            </w:pict>
          </mc:Fallback>
        </mc:AlternateContent>
      </w:r>
      <w:r>
        <w:rPr>
          <w:rFonts w:hint="eastAsia" w:ascii="宋体" w:hAnsi="宋体" w:eastAsia="宋体" w:cs="宋体"/>
          <w:color w:val="auto"/>
          <w:sz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2082816F">
      <w:pPr>
        <w:tabs>
          <w:tab w:val="left" w:pos="4970"/>
        </w:tabs>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20.5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54DFE751">
      <w:pPr>
        <w:pStyle w:val="35"/>
        <w:tabs>
          <w:tab w:val="left" w:pos="4970"/>
        </w:tabs>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1086" name="000111"/>
                <wp:cNvGraphicFramePr/>
                <a:graphic xmlns:a="http://schemas.openxmlformats.org/drawingml/2006/main">
                  <a:graphicData uri="http://schemas.microsoft.com/office/word/2010/wordprocessingShape">
                    <wps:wsp>
                      <wps:cNvSpPr/>
                      <wps:spPr>
                        <a:xfrm>
                          <a:off x="0" y="0"/>
                          <a:ext cx="914400" cy="657860"/>
                        </a:xfrm>
                        <a:prstGeom prst="rect">
                          <a:avLst/>
                        </a:prstGeom>
                        <a:ln>
                          <a:noFill/>
                        </a:ln>
                      </wps:spPr>
                      <wps:txbx>
                        <w:txbxContent>
                          <w:p w14:paraId="6C945087">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wps:txbx>
                      <wps:bodyPr wrap="square"/>
                    </wps:wsp>
                  </a:graphicData>
                </a:graphic>
              </wp:anchor>
            </w:drawing>
          </mc:Choice>
          <mc:Fallback>
            <w:pict>
              <v:rect id="000111" o:spid="_x0000_s1026" o:spt="1" style="position:absolute;left:0pt;margin-left:-9pt;margin-top:1.2pt;height:51.8pt;width:72pt;z-index:251659264;mso-width-relative:page;mso-height-relative:page;" filled="f" stroked="f" coordsize="21600,21600" o:gfxdata="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evNJLYAAAACQEAAA8AAAAAAAAAAQAgAAAAIgAA&#10;AGRycy9kb3ducmV2LnhtbFBLAQIUABQAAAAIAIdO4kCLHP//lgEAADgDAAAOAAAAAAAAAAEAIAAA&#10;ACcBAABkcnMvZTJvRG9jLnhtbFBLBQYAAAAABgAGAFkBAAAvBQAAAAA=&#10;">
                <v:fill on="f" focussize="0,0"/>
                <v:stroke on="f"/>
                <v:imagedata o:title=""/>
                <o:lock v:ext="edit" aspectratio="f"/>
                <v:textbox>
                  <w:txbxContent>
                    <w:p w14:paraId="6C945087">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v:textbox>
              </v:rect>
            </w:pict>
          </mc:Fallback>
        </mc:AlternateContent>
      </w:r>
      <w:r>
        <w:rPr>
          <w:rFonts w:hint="eastAsia" w:ascii="宋体" w:eastAsia="宋体" w:cs="宋体"/>
          <w:color w:val="auto"/>
          <w:highlight w:val="none"/>
        </w:rPr>
        <w:t>承包人应按照合同约定或监理工程师的指令，配合和协助下述人员在施工场地及其附近实施与合同工程有关的各项工作：</w:t>
      </w:r>
    </w:p>
    <w:p w14:paraId="2B844294">
      <w:pPr>
        <w:tabs>
          <w:tab w:val="left" w:pos="1980"/>
          <w:tab w:val="left" w:pos="4970"/>
        </w:tabs>
        <w:spacing w:line="300" w:lineRule="auto"/>
        <w:ind w:left="1619"/>
        <w:rPr>
          <w:rFonts w:ascii="宋体" w:hAnsi="宋体" w:eastAsia="宋体" w:cs="宋体"/>
          <w:color w:val="auto"/>
          <w:sz w:val="24"/>
          <w:highlight w:val="none"/>
        </w:rPr>
      </w:pPr>
      <w:r>
        <w:rPr>
          <w:rFonts w:hint="eastAsia" w:ascii="宋体" w:hAnsi="宋体" w:eastAsia="宋体" w:cs="宋体"/>
          <w:color w:val="auto"/>
          <w:sz w:val="24"/>
          <w:highlight w:val="none"/>
        </w:rPr>
        <w:t>（1）发包人的工作人员；</w:t>
      </w:r>
    </w:p>
    <w:p w14:paraId="6BD6C5CC">
      <w:pPr>
        <w:tabs>
          <w:tab w:val="left" w:pos="1980"/>
          <w:tab w:val="left" w:pos="4970"/>
        </w:tabs>
        <w:spacing w:line="300" w:lineRule="auto"/>
        <w:ind w:left="1619"/>
        <w:rPr>
          <w:rFonts w:ascii="宋体" w:hAnsi="宋体" w:eastAsia="宋体" w:cs="宋体"/>
          <w:color w:val="auto"/>
          <w:sz w:val="24"/>
          <w:highlight w:val="none"/>
        </w:rPr>
      </w:pPr>
      <w:r>
        <w:rPr>
          <w:rFonts w:hint="eastAsia" w:ascii="宋体" w:hAnsi="宋体" w:eastAsia="宋体" w:cs="宋体"/>
          <w:color w:val="auto"/>
          <w:sz w:val="24"/>
          <w:highlight w:val="none"/>
        </w:rPr>
        <w:t>（2）发包人的雇员；</w:t>
      </w:r>
    </w:p>
    <w:p w14:paraId="22EA28E2">
      <w:pPr>
        <w:tabs>
          <w:tab w:val="left" w:pos="1980"/>
          <w:tab w:val="left" w:pos="4970"/>
        </w:tabs>
        <w:spacing w:line="300" w:lineRule="auto"/>
        <w:ind w:left="1619"/>
        <w:rPr>
          <w:rFonts w:ascii="宋体" w:hAnsi="宋体" w:eastAsia="宋体" w:cs="宋体"/>
          <w:color w:val="auto"/>
          <w:sz w:val="24"/>
          <w:highlight w:val="none"/>
        </w:rPr>
      </w:pPr>
      <w:r>
        <w:rPr>
          <w:rFonts w:hint="eastAsia" w:ascii="宋体" w:hAnsi="宋体" w:eastAsia="宋体" w:cs="宋体"/>
          <w:color w:val="auto"/>
          <w:sz w:val="24"/>
          <w:highlight w:val="none"/>
        </w:rPr>
        <w:t>（3）任何监督管理机构的执法人员。</w:t>
      </w:r>
    </w:p>
    <w:p w14:paraId="5D037E2C">
      <w:pPr>
        <w:pStyle w:val="27"/>
        <w:tabs>
          <w:tab w:val="left" w:pos="2520"/>
        </w:tabs>
        <w:spacing w:line="300" w:lineRule="auto"/>
        <w:ind w:left="1619" w:leftChars="771" w:firstLine="0" w:firstLineChars="0"/>
        <w:rPr>
          <w:rFonts w:ascii="宋体" w:hAnsi="宋体" w:eastAsia="宋体" w:cs="宋体"/>
          <w:color w:val="auto"/>
          <w:highlight w:val="none"/>
        </w:rPr>
      </w:pPr>
      <w:r>
        <w:rPr>
          <w:rFonts w:hint="eastAsia" w:ascii="宋体" w:hAnsi="宋体" w:eastAsia="宋体" w:cs="宋体"/>
          <w:color w:val="auto"/>
          <w:highlight w:val="none"/>
        </w:rPr>
        <w:t>此类指令若增加了承包人的工作或支出，包括使用了承包人的设备、临时工程或通行道路等，则视为工程变更，按照第72条规定调整合同价款。</w:t>
      </w:r>
    </w:p>
    <w:p w14:paraId="134E9991">
      <w:pPr>
        <w:tabs>
          <w:tab w:val="left" w:pos="497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20.6  </w:t>
      </w:r>
      <w:r>
        <w:rPr>
          <w:rFonts w:hint="eastAsia" w:ascii="宋体" w:hAnsi="宋体" w:eastAsia="宋体" w:cs="宋体"/>
          <w:b/>
          <w:bCs/>
          <w:color w:val="auto"/>
          <w:sz w:val="24"/>
          <w:highlight w:val="none"/>
          <w:u w:val="dotted"/>
        </w:rPr>
        <w:t xml:space="preserve">                                                                                                        </w:t>
      </w:r>
    </w:p>
    <w:p w14:paraId="7EE64DA8">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1087" name="000112"/>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6F028856">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wps:wsp>
                  </a:graphicData>
                </a:graphic>
              </wp:anchor>
            </w:drawing>
          </mc:Choice>
          <mc:Fallback>
            <w:pict>
              <v:rect id="000112" o:spid="_x0000_s1026" o:spt="1" style="position:absolute;left:0pt;margin-left:-9pt;margin-top:0pt;height:62.4pt;width:72pt;z-index:251659264;mso-width-relative:page;mso-height-relative:page;" filled="f" stroked="f" coordsize="21600,21600" o:gfxdata="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ZHQUk9cAAAAIAQAADwAAAAAAAAABACAAAAAiAAAA&#10;ZHJzL2Rvd25yZXYueG1sUEsBAhQAFAAAAAgAh07iQCF/QquWAQAAOAMAAA4AAAAAAAAAAQAgAAAA&#10;JgEAAGRycy9lMm9Eb2MueG1sUEsFBgAAAAAGAAYAWQEAAC4FAAAAAA==&#10;">
                <v:fill on="f" focussize="0,0"/>
                <v:stroke on="f"/>
                <v:imagedata o:title=""/>
                <o:lock v:ext="edit" aspectratio="f"/>
                <v:textbox>
                  <w:txbxContent>
                    <w:p w14:paraId="6F028856">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v:textbox>
              </v:rect>
            </w:pict>
          </mc:Fallback>
        </mc:AlternateContent>
      </w:r>
      <w:r>
        <w:rPr>
          <w:rFonts w:hint="eastAsia" w:ascii="宋体" w:hAnsi="宋体" w:eastAsia="宋体" w:cs="宋体"/>
          <w:color w:val="auto"/>
          <w:sz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3346CC0C">
      <w:pPr>
        <w:tabs>
          <w:tab w:val="left" w:pos="497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20.7  </w:t>
      </w:r>
      <w:r>
        <w:rPr>
          <w:rFonts w:hint="eastAsia" w:ascii="宋体" w:hAnsi="宋体" w:eastAsia="宋体" w:cs="宋体"/>
          <w:b/>
          <w:bCs/>
          <w:color w:val="auto"/>
          <w:sz w:val="24"/>
          <w:highlight w:val="none"/>
          <w:u w:val="dotted"/>
        </w:rPr>
        <w:t xml:space="preserve">                                                                                                        </w:t>
      </w:r>
    </w:p>
    <w:p w14:paraId="631F4DB8">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1088" name="000113"/>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111C892A">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wrap="square"/>
                    </wps:wsp>
                  </a:graphicData>
                </a:graphic>
              </wp:anchor>
            </w:drawing>
          </mc:Choice>
          <mc:Fallback>
            <w:pict>
              <v:rect id="000113" o:spid="_x0000_s1026" o:spt="1" style="position:absolute;left:0pt;margin-left:-9pt;margin-top:0pt;height:39pt;width:72pt;z-index:251659264;mso-width-relative:page;mso-height-relative:page;" filled="f" stroked="f" coordsize="21600,21600" o:gfxdata="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MCi+q1wAAAAcBAAAPAAAAAAAAAAEAIAAAACIAAABk&#10;cnMvZG93bnJldi54bWxQSwECFAAUAAAACACHTuJAnPbp6ZUBAAA4AwAADgAAAAAAAAABACAAAAAm&#10;AQAAZHJzL2Uyb0RvYy54bWxQSwUGAAAAAAYABgBZAQAALQUAAAAA&#10;">
                <v:fill on="f" focussize="0,0"/>
                <v:stroke on="f"/>
                <v:imagedata o:title=""/>
                <o:lock v:ext="edit" aspectratio="f"/>
                <v:textbox>
                  <w:txbxContent>
                    <w:p w14:paraId="111C892A">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rect>
            </w:pict>
          </mc:Fallback>
        </mc:AlternateContent>
      </w:r>
      <w:r>
        <w:rPr>
          <w:rFonts w:hint="eastAsia" w:ascii="宋体" w:hAnsi="宋体" w:eastAsia="宋体" w:cs="宋体"/>
          <w:color w:val="auto"/>
          <w:sz w:val="24"/>
          <w:highlight w:val="none"/>
        </w:rPr>
        <w:t>承包人未能正确完成本合同约定的全部义务，导致费用的增加和（或）延误的工期，由承包人承担；给发包人造成损失的，承包人应予赔偿。</w:t>
      </w:r>
    </w:p>
    <w:p w14:paraId="642BE8E5">
      <w:pPr>
        <w:pStyle w:val="24"/>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4E81280">
      <w:pPr>
        <w:pStyle w:val="24"/>
        <w:adjustRightInd w:val="0"/>
        <w:snapToGrid w:val="0"/>
        <w:spacing w:before="240" w:beforeLines="100" w:line="300" w:lineRule="auto"/>
        <w:outlineLvl w:val="2"/>
        <w:rPr>
          <w:rFonts w:hAnsi="宋体" w:eastAsia="宋体" w:cs="宋体"/>
          <w:b/>
          <w:bCs/>
          <w:color w:val="auto"/>
          <w:sz w:val="24"/>
          <w:szCs w:val="24"/>
          <w:highlight w:val="none"/>
        </w:rPr>
      </w:pPr>
      <w:bookmarkStart w:id="65" w:name="_Toc469384001"/>
      <w:bookmarkStart w:id="66" w:name="_Toc46860822"/>
      <w:r>
        <w:rPr>
          <w:rFonts w:hint="eastAsia" w:hAnsi="宋体" w:eastAsia="宋体" w:cs="宋体"/>
          <w:b/>
          <w:bCs/>
          <w:color w:val="auto"/>
          <w:sz w:val="24"/>
          <w:szCs w:val="24"/>
          <w:highlight w:val="none"/>
        </w:rPr>
        <w:t>21  现场管理人员任命和更换</w:t>
      </w:r>
      <w:bookmarkEnd w:id="65"/>
      <w:bookmarkEnd w:id="66"/>
    </w:p>
    <w:p w14:paraId="45BF4412">
      <w:pPr>
        <w:pStyle w:val="24"/>
        <w:tabs>
          <w:tab w:val="left" w:pos="1320"/>
        </w:tabs>
        <w:adjustRightInd w:val="0"/>
        <w:snapToGrid w:val="0"/>
        <w:spacing w:line="300" w:lineRule="auto"/>
        <w:ind w:right="-240"/>
        <w:rPr>
          <w:rFonts w:hAnsi="宋体" w:eastAsia="宋体" w:cs="宋体"/>
          <w:b/>
          <w:bCs/>
          <w:color w:val="auto"/>
          <w:sz w:val="24"/>
          <w:szCs w:val="24"/>
          <w:highlight w:val="none"/>
        </w:rPr>
      </w:pPr>
      <w:r>
        <w:rPr>
          <w:rFonts w:hint="eastAsia" w:hAnsi="宋体" w:eastAsia="宋体" w:cs="宋体"/>
          <w:b/>
          <w:bCs/>
          <w:color w:val="auto"/>
          <w:sz w:val="24"/>
          <w:szCs w:val="24"/>
          <w:highlight w:val="none"/>
        </w:rPr>
        <w:t>21.1</w:t>
      </w:r>
    </w:p>
    <w:p w14:paraId="59FAC92E">
      <w:pPr>
        <w:pStyle w:val="24"/>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1089" name="000114"/>
                <wp:cNvGraphicFramePr/>
                <a:graphic xmlns:a="http://schemas.openxmlformats.org/drawingml/2006/main">
                  <a:graphicData uri="http://schemas.microsoft.com/office/word/2010/wordprocessingShape">
                    <wps:wsp>
                      <wps:cNvSpPr/>
                      <wps:spPr>
                        <a:xfrm>
                          <a:off x="0" y="0"/>
                          <a:ext cx="914400" cy="602615"/>
                        </a:xfrm>
                        <a:prstGeom prst="rect">
                          <a:avLst/>
                        </a:prstGeom>
                        <a:ln>
                          <a:noFill/>
                        </a:ln>
                      </wps:spPr>
                      <wps:txbx>
                        <w:txbxContent>
                          <w:p w14:paraId="070994B8">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wps:txbx>
                      <wps:bodyPr wrap="square"/>
                    </wps:wsp>
                  </a:graphicData>
                </a:graphic>
              </wp:anchor>
            </w:drawing>
          </mc:Choice>
          <mc:Fallback>
            <w:pict>
              <v:rect id="000114" o:spid="_x0000_s1026" o:spt="1" style="position:absolute;left:0pt;margin-left:-9pt;margin-top:0.6pt;height:47.45pt;width:72pt;z-index:251659264;mso-width-relative:page;mso-height-relative:page;" filled="f" stroked="f" coordsize="21600,21600" o:gfxdata="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vDtp21wAAAAgBAAAPAAAAAAAAAAEAIAAAACIAAABk&#10;cnMvZG93bnJldi54bWxQSwECFAAUAAAACACHTuJAueNtfpUBAAA4AwAADgAAAAAAAAABACAAAAAm&#10;AQAAZHJzL2Uyb0RvYy54bWxQSwUGAAAAAAYABgBZAQAALQUAAAAA&#10;">
                <v:fill on="f" focussize="0,0"/>
                <v:stroke on="f"/>
                <v:imagedata o:title=""/>
                <o:lock v:ext="edit" aspectratio="f"/>
                <v:textbox>
                  <w:txbxContent>
                    <w:p w14:paraId="070994B8">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v:textbox>
              </v:rect>
            </w:pict>
          </mc:Fallback>
        </mc:AlternateContent>
      </w:r>
      <w:r>
        <w:rPr>
          <w:rFonts w:hint="eastAsia" w:hAnsi="宋体" w:eastAsia="宋体" w:cs="宋体"/>
          <w:color w:val="auto"/>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3FA4C552">
      <w:pPr>
        <w:pStyle w:val="24"/>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14:paraId="3353E76E">
      <w:pPr>
        <w:pStyle w:val="24"/>
        <w:tabs>
          <w:tab w:val="left" w:pos="1320"/>
          <w:tab w:val="left" w:pos="16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21.2  </w:t>
      </w:r>
      <w:r>
        <w:rPr>
          <w:rFonts w:hint="eastAsia" w:hAnsi="宋体" w:eastAsia="宋体" w:cs="宋体"/>
          <w:b/>
          <w:bCs/>
          <w:color w:val="auto"/>
          <w:sz w:val="24"/>
          <w:szCs w:val="24"/>
          <w:highlight w:val="none"/>
          <w:u w:val="dotted"/>
        </w:rPr>
        <w:t xml:space="preserve">                                                                             </w:t>
      </w:r>
    </w:p>
    <w:p w14:paraId="4CBD6CDC">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1090" name="000115"/>
                <wp:cNvGraphicFramePr/>
                <a:graphic xmlns:a="http://schemas.openxmlformats.org/drawingml/2006/main">
                  <a:graphicData uri="http://schemas.microsoft.com/office/word/2010/wordprocessingShape">
                    <wps:wsp>
                      <wps:cNvSpPr/>
                      <wps:spPr>
                        <a:xfrm>
                          <a:off x="0" y="0"/>
                          <a:ext cx="914400" cy="457200"/>
                        </a:xfrm>
                        <a:prstGeom prst="rect">
                          <a:avLst/>
                        </a:prstGeom>
                        <a:ln>
                          <a:noFill/>
                        </a:ln>
                      </wps:spPr>
                      <wps:txbx>
                        <w:txbxContent>
                          <w:p w14:paraId="7D2C6FA7">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wrap="square"/>
                    </wps:wsp>
                  </a:graphicData>
                </a:graphic>
              </wp:anchor>
            </w:drawing>
          </mc:Choice>
          <mc:Fallback>
            <w:pict>
              <v:rect id="000115" o:spid="_x0000_s1026" o:spt="1" style="position:absolute;left:0pt;margin-left:-9pt;margin-top:6.65pt;height:36pt;width:72pt;z-index:251659264;mso-width-relative:page;mso-height-relative:page;" filled="f" stroked="f" coordsize="21600,21600" o:gfxdata="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X93MeNkAAAAJAQAADwAAAAAAAAABACAAAAAiAAAA&#10;ZHJzL2Rvd25yZXYueG1sUEsBAhQAFAAAAAgAh07iQGfwL+aUAQAAOAMAAA4AAAAAAAAAAQAgAAAA&#10;KAEAAGRycy9lMm9Eb2MueG1sUEsFBgAAAAAGAAYAWQEAAC4FAAAAAA==&#10;">
                <v:fill on="f" focussize="0,0"/>
                <v:stroke on="f"/>
                <v:imagedata o:title=""/>
                <o:lock v:ext="edit" aspectratio="f"/>
                <v:textbox>
                  <w:txbxContent>
                    <w:p w14:paraId="7D2C6FA7">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rect>
            </w:pict>
          </mc:Fallback>
        </mc:AlternateContent>
      </w:r>
      <w:r>
        <w:rPr>
          <w:rFonts w:hint="eastAsia" w:hAnsi="宋体" w:eastAsia="宋体" w:cs="宋体"/>
          <w:color w:val="auto"/>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09021C54">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14:paraId="4FA6A58F">
      <w:pPr>
        <w:pStyle w:val="24"/>
        <w:tabs>
          <w:tab w:val="left" w:pos="13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21.3  </w:t>
      </w:r>
      <w:r>
        <w:rPr>
          <w:rFonts w:hint="eastAsia" w:hAnsi="宋体" w:eastAsia="宋体" w:cs="宋体"/>
          <w:b/>
          <w:bCs/>
          <w:color w:val="auto"/>
          <w:sz w:val="24"/>
          <w:szCs w:val="24"/>
          <w:highlight w:val="none"/>
          <w:u w:val="dotted"/>
        </w:rPr>
        <w:t xml:space="preserve">                                                                                                          </w:t>
      </w:r>
    </w:p>
    <w:p w14:paraId="788D14BF">
      <w:pPr>
        <w:pStyle w:val="24"/>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1091" name="000116"/>
                <wp:cNvGraphicFramePr/>
                <a:graphic xmlns:a="http://schemas.openxmlformats.org/drawingml/2006/main">
                  <a:graphicData uri="http://schemas.microsoft.com/office/word/2010/wordprocessingShape">
                    <wps:wsp>
                      <wps:cNvSpPr/>
                      <wps:spPr>
                        <a:xfrm>
                          <a:off x="0" y="0"/>
                          <a:ext cx="1231900" cy="720725"/>
                        </a:xfrm>
                        <a:prstGeom prst="rect">
                          <a:avLst/>
                        </a:prstGeom>
                        <a:ln>
                          <a:noFill/>
                        </a:ln>
                      </wps:spPr>
                      <wps:txbx>
                        <w:txbxContent>
                          <w:p w14:paraId="1C3A76A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14:paraId="79E56ED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14:paraId="0A32026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wps:wsp>
                  </a:graphicData>
                </a:graphic>
              </wp:anchor>
            </w:drawing>
          </mc:Choice>
          <mc:Fallback>
            <w:pict>
              <v:rect id="000116" o:spid="_x0000_s1026" o:spt="1" style="position:absolute;left:0pt;margin-left:-6.6pt;margin-top:3.65pt;height:56.75pt;width:97pt;z-index:251659264;mso-width-relative:page;mso-height-relative:page;" filled="f" stroked="f" coordsize="21600,21600" o:gfxdata="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r4fLLYAAAACQEAAA8AAAAAAAAAAQAgAAAAIgAA&#10;AGRycy9kb3ducmV2LnhtbFBLAQIUABQAAAAIAIdO4kCl9cFklgEAADkDAAAOAAAAAAAAAAEAIAAA&#10;ACcBAABkcnMvZTJvRG9jLnhtbFBLBQYAAAAABgAGAFkBAAAvBQAAAAA=&#10;">
                <v:fill on="f" focussize="0,0"/>
                <v:stroke on="f"/>
                <v:imagedata o:title=""/>
                <o:lock v:ext="edit" aspectratio="f"/>
                <v:textbox>
                  <w:txbxContent>
                    <w:p w14:paraId="1C3A76A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14:paraId="79E56ED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14:paraId="0A32026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rect>
            </w:pict>
          </mc:Fallback>
        </mc:AlternateContent>
      </w:r>
      <w:r>
        <w:rPr>
          <w:rFonts w:hint="eastAsia" w:hAnsi="宋体" w:eastAsia="宋体" w:cs="宋体"/>
          <w:color w:val="auto"/>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14:paraId="18BF7E04">
      <w:pPr>
        <w:pStyle w:val="24"/>
        <w:tabs>
          <w:tab w:val="left" w:pos="1320"/>
        </w:tabs>
        <w:adjustRightInd w:val="0"/>
        <w:snapToGrid w:val="0"/>
        <w:spacing w:line="300" w:lineRule="auto"/>
        <w:ind w:right="-238"/>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21.4  </w:t>
      </w:r>
      <w:r>
        <w:rPr>
          <w:rFonts w:hint="eastAsia" w:hAnsi="宋体" w:eastAsia="宋体" w:cs="宋体"/>
          <w:color w:val="auto"/>
          <w:sz w:val="24"/>
          <w:szCs w:val="24"/>
          <w:highlight w:val="none"/>
          <w:u w:val="dotted"/>
        </w:rPr>
        <w:t xml:space="preserve">                                                                             </w:t>
      </w:r>
    </w:p>
    <w:p w14:paraId="124BCF5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1092" name="000117"/>
                <wp:cNvGraphicFramePr/>
                <a:graphic xmlns:a="http://schemas.openxmlformats.org/drawingml/2006/main">
                  <a:graphicData uri="http://schemas.microsoft.com/office/word/2010/wordprocessingShape">
                    <wps:wsp>
                      <wps:cNvSpPr/>
                      <wps:spPr>
                        <a:xfrm>
                          <a:off x="0" y="0"/>
                          <a:ext cx="914400" cy="559435"/>
                        </a:xfrm>
                        <a:prstGeom prst="rect">
                          <a:avLst/>
                        </a:prstGeom>
                        <a:ln>
                          <a:noFill/>
                        </a:ln>
                      </wps:spPr>
                      <wps:txbx>
                        <w:txbxContent>
                          <w:p w14:paraId="28E5623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wps:wsp>
                  </a:graphicData>
                </a:graphic>
              </wp:anchor>
            </w:drawing>
          </mc:Choice>
          <mc:Fallback>
            <w:pict>
              <v:rect id="000117" o:spid="_x0000_s1026" o:spt="1" style="position:absolute;left:0pt;margin-left:-9pt;margin-top:2.8pt;height:44.05pt;width:72pt;z-index:251659264;mso-width-relative:page;mso-height-relative:page;" filled="f" stroked="f" coordsize="21600,21600" o:gfxdata="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L24+W2QAAAAgBAAAPAAAAAAAAAAEAIAAAACIA&#10;AABkcnMvZG93bnJldi54bWxQSwECFAAUAAAACACHTuJAk9OmYZYBAAA4AwAADgAAAAAAAAABACAA&#10;AAAoAQAAZHJzL2Uyb0RvYy54bWxQSwUGAAAAAAYABgBZAQAAMAUAAAAA&#10;">
                <v:fill on="f" focussize="0,0"/>
                <v:stroke on="f"/>
                <v:imagedata o:title=""/>
                <o:lock v:ext="edit" aspectratio="f"/>
                <v:textbox>
                  <w:txbxContent>
                    <w:p w14:paraId="28E5623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rect>
            </w:pict>
          </mc:Fallback>
        </mc:AlternateContent>
      </w:r>
      <w:r>
        <w:rPr>
          <w:rFonts w:hint="eastAsia" w:hAnsi="宋体" w:eastAsia="宋体" w:cs="宋体"/>
          <w:color w:val="auto"/>
          <w:sz w:val="24"/>
          <w:szCs w:val="24"/>
          <w:highlight w:val="none"/>
        </w:rPr>
        <w:t>除合同约定或依法应由承包人代表行使的职权外，承包人代表可将其职权以书</w:t>
      </w:r>
    </w:p>
    <w:p w14:paraId="7ED3AE1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14:paraId="24022D6D">
      <w:pPr>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666A2531">
      <w:pPr>
        <w:pStyle w:val="4"/>
        <w:tabs>
          <w:tab w:val="left" w:pos="420"/>
        </w:tabs>
        <w:spacing w:line="300" w:lineRule="auto"/>
        <w:ind w:left="720"/>
        <w:rPr>
          <w:rFonts w:ascii="宋体" w:hAnsi="宋体" w:eastAsia="宋体" w:cs="宋体"/>
          <w:color w:val="auto"/>
          <w:sz w:val="24"/>
          <w:szCs w:val="24"/>
          <w:highlight w:val="none"/>
        </w:rPr>
      </w:pPr>
      <w:bookmarkStart w:id="67" w:name="_Toc46860823"/>
      <w:bookmarkStart w:id="68" w:name="_Toc469384002"/>
      <w:r>
        <w:rPr>
          <w:rFonts w:hint="eastAsia" w:ascii="宋体" w:hAnsi="宋体" w:eastAsia="宋体" w:cs="宋体"/>
          <w:color w:val="auto"/>
          <w:sz w:val="24"/>
          <w:szCs w:val="24"/>
          <w:highlight w:val="none"/>
        </w:rPr>
        <w:t>22  发包人代表</w:t>
      </w:r>
      <w:bookmarkEnd w:id="67"/>
      <w:bookmarkEnd w:id="68"/>
    </w:p>
    <w:p w14:paraId="022FF08D">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22.1                           </w:t>
      </w:r>
    </w:p>
    <w:p w14:paraId="1CD1E8D9">
      <w:pPr>
        <w:pStyle w:val="35"/>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52705</wp:posOffset>
                </wp:positionV>
                <wp:extent cx="914400" cy="443230"/>
                <wp:effectExtent l="0" t="0" r="0" b="0"/>
                <wp:wrapNone/>
                <wp:docPr id="1093" name="000118"/>
                <wp:cNvGraphicFramePr/>
                <a:graphic xmlns:a="http://schemas.openxmlformats.org/drawingml/2006/main">
                  <a:graphicData uri="http://schemas.microsoft.com/office/word/2010/wordprocessingShape">
                    <wps:wsp>
                      <wps:cNvSpPr/>
                      <wps:spPr>
                        <a:xfrm>
                          <a:off x="0" y="0"/>
                          <a:ext cx="914400" cy="443230"/>
                        </a:xfrm>
                        <a:prstGeom prst="rect">
                          <a:avLst/>
                        </a:prstGeom>
                        <a:ln>
                          <a:noFill/>
                        </a:ln>
                      </wps:spPr>
                      <wps:txbx>
                        <w:txbxContent>
                          <w:p w14:paraId="23DE50CE">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wps:txbx>
                      <wps:bodyPr wrap="square"/>
                    </wps:wsp>
                  </a:graphicData>
                </a:graphic>
              </wp:anchor>
            </w:drawing>
          </mc:Choice>
          <mc:Fallback>
            <w:pict>
              <v:rect id="000118" o:spid="_x0000_s1026" o:spt="1" style="position:absolute;left:0pt;margin-left:-9pt;margin-top:4.15pt;height:34.9pt;width:72pt;z-index:251659264;mso-width-relative:page;mso-height-relative:page;" filled="f" stroked="f" coordsize="21600,21600" o:gfxdata="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wny3XYAAAACAEAAA8AAAAAAAAAAQAgAAAAIgAA&#10;AGRycy9kb3ducmV2LnhtbFBLAQIUABQAAAAIAIdO4kAmx/XolgEAADgDAAAOAAAAAAAAAAEAIAAA&#10;ACcBAABkcnMvZTJvRG9jLnhtbFBLBQYAAAAABgAGAFkBAAAvBQAAAAA=&#10;">
                <v:fill on="f" focussize="0,0"/>
                <v:stroke on="f"/>
                <v:imagedata o:title=""/>
                <o:lock v:ext="edit" aspectratio="f"/>
                <v:textbox>
                  <w:txbxContent>
                    <w:p w14:paraId="23DE50CE">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v:textbox>
              </v:rect>
            </w:pict>
          </mc:Fallback>
        </mc:AlternateContent>
      </w:r>
      <w:r>
        <w:rPr>
          <w:rFonts w:hint="eastAsia" w:ascii="宋体" w:eastAsia="宋体" w:cs="宋体"/>
          <w:color w:val="auto"/>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4A8BCF32">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22.2   </w:t>
      </w:r>
      <w:r>
        <w:rPr>
          <w:rFonts w:hint="eastAsia" w:ascii="宋体" w:hAnsi="宋体" w:eastAsia="宋体" w:cs="宋体"/>
          <w:b/>
          <w:bCs/>
          <w:color w:val="auto"/>
          <w:sz w:val="24"/>
          <w:highlight w:val="none"/>
          <w:u w:val="dotted"/>
        </w:rPr>
        <w:t xml:space="preserve">                                                                                                      </w:t>
      </w:r>
    </w:p>
    <w:p w14:paraId="0B75EF00">
      <w:pPr>
        <w:pStyle w:val="35"/>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1094" name="000119"/>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567A2B9D">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wps:txbx>
                      <wps:bodyPr wrap="square"/>
                    </wps:wsp>
                  </a:graphicData>
                </a:graphic>
              </wp:anchor>
            </w:drawing>
          </mc:Choice>
          <mc:Fallback>
            <w:pict>
              <v:rect id="000119" o:spid="_x0000_s1026" o:spt="1" style="position:absolute;left:0pt;margin-left:-9pt;margin-top:6pt;height:31.2pt;width:72pt;z-index:251659264;mso-width-relative:page;mso-height-relative:page;" filled="f" stroked="f" coordsize="21600,21600" o:gfxdata="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djpD/2QAAAAkBAAAPAAAAAAAAAAEAIAAAACIA&#10;AABkcnMvZG93bnJldi54bWxQSwECFAAUAAAACACHTuJAp6uBtpYBAAA4AwAADgAAAAAAAAABACAA&#10;AAAoAQAAZHJzL2Uyb0RvYy54bWxQSwUGAAAAAAYABgBZAQAAMAUAAAAA&#10;">
                <v:fill on="f" focussize="0,0"/>
                <v:stroke on="f"/>
                <v:imagedata o:title=""/>
                <o:lock v:ext="edit" aspectratio="f"/>
                <v:textbox>
                  <w:txbxContent>
                    <w:p w14:paraId="567A2B9D">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v:textbox>
              </v:rect>
            </w:pict>
          </mc:Fallback>
        </mc:AlternateContent>
      </w:r>
      <w:r>
        <w:rPr>
          <w:rFonts w:hint="eastAsia" w:ascii="宋体" w:eastAsia="宋体" w:cs="宋体"/>
          <w:color w:val="auto"/>
          <w:highlight w:val="none"/>
        </w:rPr>
        <w:t>发包人代表应代表发包人履行合同规定的职责、行使合同明文规定和必然隐含的权力，对发包人负责。发包人代表在发包人授予职权范围内工作，发包人应予认可。</w:t>
      </w:r>
    </w:p>
    <w:p w14:paraId="2D337562">
      <w:pPr>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2F4342DF">
      <w:pPr>
        <w:pStyle w:val="4"/>
        <w:tabs>
          <w:tab w:val="left" w:pos="420"/>
        </w:tabs>
        <w:spacing w:line="300" w:lineRule="auto"/>
        <w:rPr>
          <w:rFonts w:ascii="宋体" w:hAnsi="宋体" w:eastAsia="宋体" w:cs="宋体"/>
          <w:bCs w:val="0"/>
          <w:color w:val="auto"/>
          <w:sz w:val="24"/>
          <w:szCs w:val="24"/>
          <w:highlight w:val="none"/>
        </w:rPr>
      </w:pPr>
      <w:bookmarkStart w:id="69" w:name="_Toc469384003"/>
      <w:bookmarkStart w:id="70" w:name="_Toc46860824"/>
      <w:r>
        <w:rPr>
          <w:rFonts w:hint="eastAsia" w:ascii="宋体" w:hAnsi="宋体" w:eastAsia="宋体" w:cs="宋体"/>
          <w:bCs w:val="0"/>
          <w:color w:val="auto"/>
          <w:sz w:val="24"/>
          <w:szCs w:val="24"/>
          <w:highlight w:val="none"/>
        </w:rPr>
        <w:t>23  监理工程师</w:t>
      </w:r>
      <w:bookmarkEnd w:id="69"/>
      <w:bookmarkEnd w:id="70"/>
    </w:p>
    <w:p w14:paraId="0C7C0BAF">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23.1  </w:t>
      </w:r>
      <w:r>
        <w:rPr>
          <w:rFonts w:hint="eastAsia" w:ascii="宋体" w:hAnsi="宋体" w:eastAsia="宋体" w:cs="宋体"/>
          <w:b/>
          <w:bCs/>
          <w:color w:val="auto"/>
          <w:sz w:val="24"/>
          <w:highlight w:val="none"/>
          <w:u w:val="dotted"/>
        </w:rPr>
        <w:t xml:space="preserve">                                                                                                        </w:t>
      </w:r>
    </w:p>
    <w:p w14:paraId="4DD58135">
      <w:pPr>
        <w:pStyle w:val="35"/>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52705</wp:posOffset>
                </wp:positionV>
                <wp:extent cx="914400" cy="389890"/>
                <wp:effectExtent l="0" t="0" r="0" b="0"/>
                <wp:wrapNone/>
                <wp:docPr id="1095" name="00011a"/>
                <wp:cNvGraphicFramePr/>
                <a:graphic xmlns:a="http://schemas.openxmlformats.org/drawingml/2006/main">
                  <a:graphicData uri="http://schemas.microsoft.com/office/word/2010/wordprocessingShape">
                    <wps:wsp>
                      <wps:cNvSpPr/>
                      <wps:spPr>
                        <a:xfrm>
                          <a:off x="0" y="0"/>
                          <a:ext cx="914400" cy="389890"/>
                        </a:xfrm>
                        <a:prstGeom prst="rect">
                          <a:avLst/>
                        </a:prstGeom>
                        <a:ln>
                          <a:noFill/>
                        </a:ln>
                      </wps:spPr>
                      <wps:txbx>
                        <w:txbxContent>
                          <w:p w14:paraId="1FE2240C">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wps:txbx>
                      <wps:bodyPr wrap="square"/>
                    </wps:wsp>
                  </a:graphicData>
                </a:graphic>
              </wp:anchor>
            </w:drawing>
          </mc:Choice>
          <mc:Fallback>
            <w:pict>
              <v:rect id="00011a" o:spid="_x0000_s1026" o:spt="1" style="position:absolute;left:0pt;margin-left:-9pt;margin-top:4.15pt;height:30.7pt;width:72pt;z-index:251659264;mso-width-relative:page;mso-height-relative:page;" filled="f" stroked="f" coordsize="21600,21600" o:gfxdata="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eUqhLYAAAACAEAAA8AAAAAAAAAAQAgAAAAIgAA&#10;AGRycy9kb3ducmV2LnhtbFBLAQIUABQAAAAIAIdO4kD9Zm8TlgEAADgDAAAOAAAAAAAAAAEAIAAA&#10;ACcBAABkcnMvZTJvRG9jLnhtbFBLBQYAAAAABgAGAFkBAAAvBQAAAAA=&#10;">
                <v:fill on="f" focussize="0,0"/>
                <v:stroke on="f"/>
                <v:imagedata o:title=""/>
                <o:lock v:ext="edit" aspectratio="f"/>
                <v:textbox>
                  <w:txbxContent>
                    <w:p w14:paraId="1FE2240C">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v:textbox>
              </v:rect>
            </w:pict>
          </mc:Fallback>
        </mc:AlternateContent>
      </w:r>
      <w:r>
        <w:rPr>
          <w:rFonts w:hint="eastAsia" w:ascii="宋体" w:eastAsia="宋体" w:cs="宋体"/>
          <w:color w:val="auto"/>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06139FF8">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23.2  </w:t>
      </w:r>
      <w:r>
        <w:rPr>
          <w:rFonts w:hint="eastAsia" w:ascii="宋体" w:hAnsi="宋体" w:eastAsia="宋体" w:cs="宋体"/>
          <w:b/>
          <w:bCs/>
          <w:color w:val="auto"/>
          <w:sz w:val="24"/>
          <w:highlight w:val="none"/>
          <w:u w:val="dotted"/>
        </w:rPr>
        <w:t xml:space="preserve">                                                                                                        </w:t>
      </w:r>
    </w:p>
    <w:p w14:paraId="03EB1520">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1096" name="00011b"/>
                <wp:cNvGraphicFramePr/>
                <a:graphic xmlns:a="http://schemas.openxmlformats.org/drawingml/2006/main">
                  <a:graphicData uri="http://schemas.microsoft.com/office/word/2010/wordprocessingShape">
                    <wps:wsp>
                      <wps:cNvSpPr/>
                      <wps:spPr>
                        <a:xfrm>
                          <a:off x="0" y="0"/>
                          <a:ext cx="914400" cy="483869"/>
                        </a:xfrm>
                        <a:prstGeom prst="rect">
                          <a:avLst/>
                        </a:prstGeom>
                        <a:ln>
                          <a:noFill/>
                        </a:ln>
                      </wps:spPr>
                      <wps:txbx>
                        <w:txbxContent>
                          <w:p w14:paraId="20562F1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wps:wsp>
                  </a:graphicData>
                </a:graphic>
              </wp:anchor>
            </w:drawing>
          </mc:Choice>
          <mc:Fallback>
            <w:pict>
              <v:rect id="00011b" o:spid="_x0000_s1026" o:spt="1" style="position:absolute;left:0pt;margin-left:-9pt;margin-top:3pt;height:38.1pt;width:72pt;z-index:251659264;mso-width-relative:page;mso-height-relative:page;" filled="f" stroked="f" coordsize="21600,21600" o:gfxdata="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&#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1JhnB1wAAAAgBAAAPAAAAAAAAAAEAIAAAACIAAABk&#10;cnMvZG93bnJldi54bWxQSwECFAAUAAAACACHTuJAPXhd1JUBAAA4AwAADgAAAAAAAAABACAAAAAm&#10;AQAAZHJzL2Uyb0RvYy54bWxQSwUGAAAAAAYABgBZAQAALQUAAAAA&#10;">
                <v:fill on="f" focussize="0,0"/>
                <v:stroke on="f"/>
                <v:imagedata o:title=""/>
                <o:lock v:ext="edit" aspectratio="f"/>
                <v:textbox>
                  <w:txbxContent>
                    <w:p w14:paraId="20562F1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rect>
            </w:pict>
          </mc:Fallback>
        </mc:AlternateContent>
      </w:r>
      <w:r>
        <w:rPr>
          <w:rFonts w:hint="eastAsia" w:ascii="宋体" w:hAnsi="宋体" w:eastAsia="宋体" w:cs="宋体"/>
          <w:color w:val="auto"/>
          <w:sz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7A14C4FF">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23.3  </w:t>
      </w:r>
      <w:r>
        <w:rPr>
          <w:rFonts w:hint="eastAsia" w:ascii="宋体" w:hAnsi="宋体" w:eastAsia="宋体" w:cs="宋体"/>
          <w:b/>
          <w:bCs/>
          <w:color w:val="auto"/>
          <w:sz w:val="24"/>
          <w:highlight w:val="none"/>
          <w:u w:val="dotted"/>
        </w:rPr>
        <w:t xml:space="preserve">                                                                                                        </w:t>
      </w:r>
    </w:p>
    <w:p w14:paraId="37A13A99">
      <w:p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1097" name="00011c"/>
                <wp:cNvGraphicFramePr/>
                <a:graphic xmlns:a="http://schemas.openxmlformats.org/drawingml/2006/main">
                  <a:graphicData uri="http://schemas.microsoft.com/office/word/2010/wordprocessingShape">
                    <wps:wsp>
                      <wps:cNvSpPr/>
                      <wps:spPr>
                        <a:xfrm>
                          <a:off x="0" y="0"/>
                          <a:ext cx="914400" cy="410210"/>
                        </a:xfrm>
                        <a:prstGeom prst="rect">
                          <a:avLst/>
                        </a:prstGeom>
                        <a:ln>
                          <a:noFill/>
                        </a:ln>
                      </wps:spPr>
                      <wps:txbx>
                        <w:txbxContent>
                          <w:p w14:paraId="031471C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wps:wsp>
                  </a:graphicData>
                </a:graphic>
              </wp:anchor>
            </w:drawing>
          </mc:Choice>
          <mc:Fallback>
            <w:pict>
              <v:rect id="00011c" o:spid="_x0000_s1026" o:spt="1" style="position:absolute;left:0pt;margin-left:-9pt;margin-top:5.4pt;height:32.3pt;width:72pt;z-index:251659264;mso-width-relative:page;mso-height-relative:page;" filled="f" stroked="f" coordsize="21600,21600" o:gfxdata="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osxjDZAAAACQEAAA8AAAAAAAAAAQAgAAAAIgAA&#10;AGRycy9kb3ducmV2LnhtbFBLAQIUABQAAAAIAIdO4kB1I8hDlQEAADgDAAAOAAAAAAAAAAEAIAAA&#10;ACgBAABkcnMvZTJvRG9jLnhtbFBLBQYAAAAABgAGAFkBAAAvBQAAAAA=&#10;">
                <v:fill on="f" focussize="0,0"/>
                <v:stroke on="f"/>
                <v:imagedata o:title=""/>
                <o:lock v:ext="edit" aspectratio="f"/>
                <v:textbox>
                  <w:txbxContent>
                    <w:p w14:paraId="031471C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rect>
            </w:pict>
          </mc:Fallback>
        </mc:AlternateContent>
      </w:r>
      <w:r>
        <w:rPr>
          <w:rFonts w:hint="eastAsia" w:ascii="宋体" w:hAnsi="宋体" w:eastAsia="宋体" w:cs="宋体"/>
          <w:color w:val="auto"/>
          <w:sz w:val="24"/>
          <w:highlight w:val="none"/>
        </w:rPr>
        <w:t>除属于第86条规定的争议外，监理工程师在职权范围内的工作，发包人应予认可，但下列事件应事先取得发包人的专项批准：</w:t>
      </w:r>
    </w:p>
    <w:p w14:paraId="634EF3D7">
      <w:pPr>
        <w:numPr>
          <w:ilvl w:val="0"/>
          <w:numId w:val="9"/>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根据第5.2款规定批准承包人提供的配合施工设计图纸；</w:t>
      </w:r>
    </w:p>
    <w:p w14:paraId="68F4062F">
      <w:pPr>
        <w:numPr>
          <w:ilvl w:val="0"/>
          <w:numId w:val="9"/>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根据第7.2款规定同意承包人分包工程；</w:t>
      </w:r>
    </w:p>
    <w:p w14:paraId="38D3FDBC">
      <w:pPr>
        <w:numPr>
          <w:ilvl w:val="0"/>
          <w:numId w:val="9"/>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根据第18.1款规定批准承包人将材料和工程设备、施工设备移出施工场地；</w:t>
      </w:r>
    </w:p>
    <w:p w14:paraId="7A4567E2">
      <w:pPr>
        <w:numPr>
          <w:ilvl w:val="0"/>
          <w:numId w:val="9"/>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根据第33条规定批准承包人的施工组织设计和工程进度计划；</w:t>
      </w:r>
    </w:p>
    <w:p w14:paraId="3DF6C253">
      <w:pPr>
        <w:numPr>
          <w:ilvl w:val="0"/>
          <w:numId w:val="9"/>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根据第34.2款规定发出的工程开工令；</w:t>
      </w:r>
    </w:p>
    <w:p w14:paraId="7520CB3C">
      <w:pPr>
        <w:numPr>
          <w:ilvl w:val="0"/>
          <w:numId w:val="9"/>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根据第37.2款规定发出加快进度的变更指令；</w:t>
      </w:r>
    </w:p>
    <w:p w14:paraId="2162017B">
      <w:pPr>
        <w:numPr>
          <w:ilvl w:val="0"/>
          <w:numId w:val="9"/>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根据第49.6款规定使用替换材料；</w:t>
      </w:r>
    </w:p>
    <w:p w14:paraId="78DA9021">
      <w:pPr>
        <w:numPr>
          <w:ilvl w:val="0"/>
          <w:numId w:val="9"/>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根据第63条规定发出使用暂列金额的工作指令；</w:t>
      </w:r>
    </w:p>
    <w:p w14:paraId="53E85EA8">
      <w:pPr>
        <w:numPr>
          <w:ilvl w:val="0"/>
          <w:numId w:val="9"/>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根据第64条规定发出使用计日工的工作指令；</w:t>
      </w:r>
    </w:p>
    <w:p w14:paraId="23127C37">
      <w:pPr>
        <w:pStyle w:val="98"/>
        <w:spacing w:line="300" w:lineRule="auto"/>
        <w:ind w:firstLine="1440" w:firstLineChars="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（10）根据第56条规定指令或批准的工程变更；</w:t>
      </w:r>
    </w:p>
    <w:p w14:paraId="5D795F6F">
      <w:pPr>
        <w:pStyle w:val="98"/>
        <w:spacing w:line="300" w:lineRule="auto"/>
        <w:ind w:firstLine="1440" w:firstLineChars="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（11）根据第75条规定指令或确认的现场签证；</w:t>
      </w:r>
    </w:p>
    <w:p w14:paraId="19E45CBD">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（12）专用条款约定需要发包人批准的其他事项。</w:t>
      </w:r>
    </w:p>
    <w:p w14:paraId="79839CB2">
      <w:pPr>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1098" name="00011d"/>
                <wp:cNvGraphicFramePr/>
                <a:graphic xmlns:a="http://schemas.openxmlformats.org/drawingml/2006/main">
                  <a:graphicData uri="http://schemas.microsoft.com/office/word/2010/wordprocessingShape">
                    <wps:wsp>
                      <wps:cNvSpPr/>
                      <wps:spPr>
                        <a:xfrm>
                          <a:off x="0" y="0"/>
                          <a:ext cx="1028700" cy="457200"/>
                        </a:xfrm>
                        <a:prstGeom prst="rect">
                          <a:avLst/>
                        </a:prstGeom>
                        <a:ln>
                          <a:noFill/>
                        </a:ln>
                      </wps:spPr>
                      <wps:txbx>
                        <w:txbxContent>
                          <w:p w14:paraId="69CF61B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14:paraId="6873812F">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rect id="00011d" o:spid="_x0000_s1026" o:spt="1" style="position:absolute;left:0pt;margin-left:-9pt;margin-top:21.9pt;height:36pt;width:81pt;z-index:251659264;mso-width-relative:page;mso-height-relative:page;" filled="f" stroked="f" coordsize="21600,21600" o:gfxdata="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21tNoAAAAKAQAADwAAAAAAAAABACAAAAAiAAAA&#10;ZHJzL2Rvd25yZXYueG1sUEsBAhQAFAAAAAgAh07iQEQ6FyiTAQAAOQMAAA4AAAAAAAAAAQAgAAAA&#10;KQEAAGRycy9lMm9Eb2MueG1sUEsFBgAAAAAGAAYAWQEAAC4FAAAAAA==&#10;">
                <v:fill on="f" focussize="0,0"/>
                <v:stroke on="f"/>
                <v:imagedata o:title=""/>
                <o:lock v:ext="edit" aspectratio="f"/>
                <v:textbox>
                  <w:txbxContent>
                    <w:p w14:paraId="69CF61B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14:paraId="6873812F">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v:textbox>
              </v:rect>
            </w:pict>
          </mc:Fallback>
        </mc:AlternateContent>
      </w:r>
      <w:r>
        <w:rPr>
          <w:rFonts w:hint="eastAsia" w:ascii="宋体" w:hAnsi="宋体" w:eastAsia="宋体" w:cs="宋体"/>
          <w:b/>
          <w:bCs/>
          <w:color w:val="auto"/>
          <w:sz w:val="24"/>
          <w:highlight w:val="none"/>
        </w:rPr>
        <w:t xml:space="preserve">23.4  </w:t>
      </w:r>
      <w:r>
        <w:rPr>
          <w:rFonts w:hint="eastAsia" w:ascii="宋体" w:hAnsi="宋体" w:eastAsia="宋体" w:cs="宋体"/>
          <w:b/>
          <w:bCs/>
          <w:color w:val="auto"/>
          <w:sz w:val="24"/>
          <w:highlight w:val="none"/>
          <w:u w:val="dotted"/>
        </w:rPr>
        <w:t xml:space="preserve">                                                                                                       </w:t>
      </w:r>
    </w:p>
    <w:p w14:paraId="11D5A0AB">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监理工程师应按照合同约定时间向承包人提供实施合同工程的进度、质量和安全工作所需的批准、确认和通知等指令。</w:t>
      </w:r>
    </w:p>
    <w:p w14:paraId="2BD14431">
      <w:pPr>
        <w:tabs>
          <w:tab w:val="left" w:pos="1260"/>
        </w:tabs>
        <w:spacing w:line="300" w:lineRule="auto"/>
        <w:ind w:left="1619" w:leftChars="771"/>
        <w:rPr>
          <w:rFonts w:ascii="宋体" w:hAnsi="宋体" w:eastAsia="宋体" w:cs="宋体"/>
          <w:b/>
          <w:bCs/>
          <w:color w:val="auto"/>
          <w:sz w:val="24"/>
          <w:highlight w:val="none"/>
        </w:rPr>
      </w:pPr>
      <w:r>
        <w:rPr>
          <w:rFonts w:hint="eastAsia" w:ascii="宋体" w:hAnsi="宋体" w:eastAsia="宋体" w:cs="宋体"/>
          <w:color w:val="auto"/>
          <w:sz w:val="24"/>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14:paraId="5A7E6FFB">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23.5  </w:t>
      </w:r>
      <w:r>
        <w:rPr>
          <w:rFonts w:hint="eastAsia" w:ascii="宋体" w:hAnsi="宋体" w:eastAsia="宋体" w:cs="宋体"/>
          <w:b/>
          <w:bCs/>
          <w:color w:val="auto"/>
          <w:sz w:val="24"/>
          <w:highlight w:val="none"/>
          <w:u w:val="dotted"/>
        </w:rPr>
        <w:t xml:space="preserve">                                                                                                        </w:t>
      </w:r>
    </w:p>
    <w:p w14:paraId="254B3079">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1099" name="00011e"/>
                <wp:cNvGraphicFramePr/>
                <a:graphic xmlns:a="http://schemas.openxmlformats.org/drawingml/2006/main">
                  <a:graphicData uri="http://schemas.microsoft.com/office/word/2010/wordprocessingShape">
                    <wps:wsp>
                      <wps:cNvSpPr/>
                      <wps:spPr>
                        <a:xfrm>
                          <a:off x="0" y="0"/>
                          <a:ext cx="914400" cy="430530"/>
                        </a:xfrm>
                        <a:prstGeom prst="rect">
                          <a:avLst/>
                        </a:prstGeom>
                        <a:ln>
                          <a:noFill/>
                        </a:ln>
                      </wps:spPr>
                      <wps:txbx>
                        <w:txbxContent>
                          <w:p w14:paraId="60DD007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wps:wsp>
                  </a:graphicData>
                </a:graphic>
              </wp:anchor>
            </w:drawing>
          </mc:Choice>
          <mc:Fallback>
            <w:pict>
              <v:rect id="00011e" o:spid="_x0000_s1026" o:spt="1" style="position:absolute;left:0pt;margin-left:-9pt;margin-top:3.9pt;height:33.9pt;width:72pt;z-index:251659264;mso-width-relative:page;mso-height-relative:page;" filled="f" stroked="f" coordsize="21600,21600" o:gfxdata="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&#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ukcHXXAAAACAEAAA8AAAAAAAAAAQAgAAAAIgAAAGRy&#10;cy9kb3ducmV2LnhtbFBLAQIUABQAAAAIAIdO4kDn5SFdlAEAADgDAAAOAAAAAAAAAAEAIAAAACYB&#10;AABkcnMvZTJvRG9jLnhtbFBLBQYAAAAABgAGAFkBAAAsBQAAAAA=&#10;">
                <v:fill on="f" focussize="0,0"/>
                <v:stroke on="f"/>
                <v:imagedata o:title=""/>
                <o:lock v:ext="edit" aspectratio="f"/>
                <v:textbox>
                  <w:txbxContent>
                    <w:p w14:paraId="60DD007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rect>
            </w:pict>
          </mc:Fallback>
        </mc:AlternateContent>
      </w:r>
      <w:r>
        <w:rPr>
          <w:rFonts w:hint="eastAsia" w:ascii="宋体" w:hAnsi="宋体" w:eastAsia="宋体" w:cs="宋体"/>
          <w:color w:val="auto"/>
          <w:sz w:val="24"/>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14:paraId="1A2E2298">
      <w:pPr>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23.6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25E1D2F2">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1100" name="00011f"/>
                <wp:cNvGraphicFramePr/>
                <a:graphic xmlns:a="http://schemas.openxmlformats.org/drawingml/2006/main">
                  <a:graphicData uri="http://schemas.microsoft.com/office/word/2010/wordprocessingShape">
                    <wps:wsp>
                      <wps:cNvSpPr/>
                      <wps:spPr>
                        <a:xfrm>
                          <a:off x="0" y="0"/>
                          <a:ext cx="914400" cy="443230"/>
                        </a:xfrm>
                        <a:prstGeom prst="rect">
                          <a:avLst/>
                        </a:prstGeom>
                        <a:ln>
                          <a:noFill/>
                        </a:ln>
                      </wps:spPr>
                      <wps:txbx>
                        <w:txbxContent>
                          <w:p w14:paraId="5226D21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wps:wsp>
                  </a:graphicData>
                </a:graphic>
              </wp:anchor>
            </w:drawing>
          </mc:Choice>
          <mc:Fallback>
            <w:pict>
              <v:rect id="00011f" o:spid="_x0000_s1026" o:spt="1" style="position:absolute;left:0pt;margin-left:-9pt;margin-top:1.7pt;height:34.9pt;width:72pt;z-index:251659264;mso-width-relative:page;mso-height-relative:page;" filled="f" stroked="f" coordsize="21600,21600" o:gfxdata="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6ouYPtkAAAAIAQAADwAAAAAAAAABACAAAAAiAAAA&#10;ZHJzL2Rvd25yZXYueG1sUEsBAhQAFAAAAAgAh07iQDkp4lCUAQAAOAMAAA4AAAAAAAAAAQAgAAAA&#10;KAEAAGRycy9lMm9Eb2MueG1sUEsFBgAAAAAGAAYAWQEAAC4FAAAAAA==&#10;">
                <v:fill on="f" focussize="0,0"/>
                <v:stroke on="f"/>
                <v:imagedata o:title=""/>
                <o:lock v:ext="edit" aspectratio="f"/>
                <v:textbox>
                  <w:txbxContent>
                    <w:p w14:paraId="5226D21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rect>
            </w:pict>
          </mc:Fallback>
        </mc:AlternateContent>
      </w:r>
      <w:r>
        <w:rPr>
          <w:rFonts w:hint="eastAsia" w:ascii="宋体" w:hAnsi="宋体" w:eastAsia="宋体" w:cs="宋体"/>
          <w:color w:val="auto"/>
          <w:sz w:val="24"/>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14:paraId="2635DD10">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23.7  </w:t>
      </w:r>
      <w:r>
        <w:rPr>
          <w:rFonts w:hint="eastAsia" w:ascii="宋体" w:hAnsi="宋体" w:eastAsia="宋体" w:cs="宋体"/>
          <w:b/>
          <w:bCs/>
          <w:color w:val="auto"/>
          <w:sz w:val="24"/>
          <w:highlight w:val="none"/>
          <w:u w:val="dotted"/>
        </w:rPr>
        <w:t xml:space="preserve">                                                                                                        </w:t>
      </w:r>
    </w:p>
    <w:p w14:paraId="00C656E6">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28575</wp:posOffset>
                </wp:positionV>
                <wp:extent cx="914400" cy="610870"/>
                <wp:effectExtent l="0" t="0" r="0" b="0"/>
                <wp:wrapNone/>
                <wp:docPr id="1101" name="000120"/>
                <wp:cNvGraphicFramePr/>
                <a:graphic xmlns:a="http://schemas.openxmlformats.org/drawingml/2006/main">
                  <a:graphicData uri="http://schemas.microsoft.com/office/word/2010/wordprocessingShape">
                    <wps:wsp>
                      <wps:cNvSpPr/>
                      <wps:spPr>
                        <a:xfrm>
                          <a:off x="0" y="0"/>
                          <a:ext cx="914400" cy="610870"/>
                        </a:xfrm>
                        <a:prstGeom prst="rect">
                          <a:avLst/>
                        </a:prstGeom>
                        <a:ln>
                          <a:noFill/>
                        </a:ln>
                      </wps:spPr>
                      <wps:txbx>
                        <w:txbxContent>
                          <w:p w14:paraId="136E0D0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wps:wsp>
                  </a:graphicData>
                </a:graphic>
              </wp:anchor>
            </w:drawing>
          </mc:Choice>
          <mc:Fallback>
            <w:pict>
              <v:rect id="000120" o:spid="_x0000_s1026" o:spt="1" style="position:absolute;left:0pt;margin-left:-9pt;margin-top:2.25pt;height:48.1pt;width:72pt;z-index:251659264;mso-width-relative:page;mso-height-relative:page;" filled="f" stroked="f" coordsize="21600,21600" o:gfxdata="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K4JR9kAAAAJAQAADwAAAAAAAAABACAAAAAiAAAA&#10;ZHJzL2Rvd25yZXYueG1sUEsBAhQAFAAAAAgAh07iQGCehsaUAQAAOAMAAA4AAAAAAAAAAQAgAAAA&#10;KAEAAGRycy9lMm9Eb2MueG1sUEsFBgAAAAAGAAYAWQEAAC4FAAAAAA==&#10;">
                <v:fill on="f" focussize="0,0"/>
                <v:stroke on="f"/>
                <v:imagedata o:title=""/>
                <o:lock v:ext="edit" aspectratio="f"/>
                <v:textbox>
                  <w:txbxContent>
                    <w:p w14:paraId="136E0D0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rect>
            </w:pict>
          </mc:Fallback>
        </mc:AlternateContent>
      </w:r>
      <w:r>
        <w:rPr>
          <w:rFonts w:hint="eastAsia" w:ascii="宋体" w:hAnsi="宋体" w:eastAsia="宋体" w:cs="宋体"/>
          <w:color w:val="auto"/>
          <w:sz w:val="24"/>
          <w:highlight w:val="none"/>
        </w:rPr>
        <w:t>监理工程师（含其代表）未能正确完成本合同约定的全部义务，或工作出现失误，导致费用的增加和（或）延误的工期，由发包人承担；给承包人造成损失的，发包人应予赔偿。</w:t>
      </w:r>
    </w:p>
    <w:p w14:paraId="6E86BE9F">
      <w:pPr>
        <w:tabs>
          <w:tab w:val="left" w:pos="1260"/>
        </w:tabs>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5211CADA">
      <w:pPr>
        <w:pStyle w:val="4"/>
        <w:tabs>
          <w:tab w:val="left" w:pos="420"/>
        </w:tabs>
        <w:spacing w:line="300" w:lineRule="auto"/>
        <w:ind w:firstLine="241" w:firstLineChars="100"/>
        <w:rPr>
          <w:rFonts w:ascii="宋体" w:hAnsi="宋体" w:eastAsia="宋体" w:cs="宋体"/>
          <w:color w:val="auto"/>
          <w:sz w:val="24"/>
          <w:szCs w:val="24"/>
          <w:highlight w:val="none"/>
        </w:rPr>
      </w:pPr>
      <w:bookmarkStart w:id="71" w:name="_Toc46860825"/>
      <w:bookmarkStart w:id="72" w:name="_Toc469384004"/>
      <w:r>
        <w:rPr>
          <w:rFonts w:hint="eastAsia" w:ascii="宋体" w:hAnsi="宋体" w:eastAsia="宋体" w:cs="宋体"/>
          <w:color w:val="auto"/>
          <w:sz w:val="24"/>
          <w:szCs w:val="24"/>
          <w:highlight w:val="none"/>
        </w:rPr>
        <w:t>24  造价工程师</w:t>
      </w:r>
      <w:bookmarkEnd w:id="71"/>
      <w:bookmarkEnd w:id="72"/>
    </w:p>
    <w:p w14:paraId="47DCBE2F">
      <w:pPr>
        <w:tabs>
          <w:tab w:val="left" w:pos="126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24.1                                                   </w:t>
      </w:r>
    </w:p>
    <w:p w14:paraId="1B32B2B0">
      <w:pPr>
        <w:pStyle w:val="35"/>
        <w:tabs>
          <w:tab w:val="left" w:pos="1260"/>
          <w:tab w:val="left" w:pos="1620"/>
        </w:tabs>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1102" name="000121"/>
                <wp:cNvGraphicFramePr/>
                <a:graphic xmlns:a="http://schemas.openxmlformats.org/drawingml/2006/main">
                  <a:graphicData uri="http://schemas.microsoft.com/office/word/2010/wordprocessingShape">
                    <wps:wsp>
                      <wps:cNvSpPr/>
                      <wps:spPr>
                        <a:xfrm>
                          <a:off x="0" y="0"/>
                          <a:ext cx="914400" cy="449580"/>
                        </a:xfrm>
                        <a:prstGeom prst="rect">
                          <a:avLst/>
                        </a:prstGeom>
                        <a:ln>
                          <a:noFill/>
                        </a:ln>
                      </wps:spPr>
                      <wps:txbx>
                        <w:txbxContent>
                          <w:p w14:paraId="75FF4F2B">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wps:txbx>
                      <wps:bodyPr wrap="square"/>
                    </wps:wsp>
                  </a:graphicData>
                </a:graphic>
              </wp:anchor>
            </w:drawing>
          </mc:Choice>
          <mc:Fallback>
            <w:pict>
              <v:rect id="000121" o:spid="_x0000_s1026" o:spt="1" style="position:absolute;left:0pt;margin-left:-9pt;margin-top:3.6pt;height:35.4pt;width:72pt;z-index:251659264;mso-width-relative:page;mso-height-relative:page;" filled="f" stroked="f" coordsize="21600,21600" o:gfxdata="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gt83f1wAAAAgBAAAPAAAAAAAAAAEAIAAAACIAAABk&#10;cnMvZG93bnJldi54bWxQSwECFAAUAAAACACHTuJAcqvNoJUBAAA4AwAADgAAAAAAAAABACAAAAAm&#10;AQAAZHJzL2Uyb0RvYy54bWxQSwUGAAAAAAYABgBZAQAALQUAAAAA&#10;">
                <v:fill on="f" focussize="0,0"/>
                <v:stroke on="f"/>
                <v:imagedata o:title=""/>
                <o:lock v:ext="edit" aspectratio="f"/>
                <v:textbox>
                  <w:txbxContent>
                    <w:p w14:paraId="75FF4F2B">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v:textbox>
              </v:rect>
            </w:pict>
          </mc:Fallback>
        </mc:AlternateContent>
      </w:r>
      <w:r>
        <w:rPr>
          <w:rFonts w:hint="eastAsia" w:ascii="宋体" w:eastAsia="宋体" w:cs="宋体"/>
          <w:color w:val="auto"/>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449DDEBA">
      <w:pPr>
        <w:tabs>
          <w:tab w:val="left" w:pos="126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24.2  </w:t>
      </w:r>
      <w:r>
        <w:rPr>
          <w:rFonts w:hint="eastAsia" w:ascii="宋体" w:hAnsi="宋体" w:eastAsia="宋体" w:cs="宋体"/>
          <w:b/>
          <w:bCs/>
          <w:color w:val="auto"/>
          <w:sz w:val="24"/>
          <w:highlight w:val="none"/>
          <w:u w:val="dotted"/>
        </w:rPr>
        <w:t xml:space="preserve">                                                                                                        </w:t>
      </w:r>
    </w:p>
    <w:p w14:paraId="1E3E548F">
      <w:pPr>
        <w:tabs>
          <w:tab w:val="left" w:pos="12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1103" name="000122"/>
                <wp:cNvGraphicFramePr/>
                <a:graphic xmlns:a="http://schemas.openxmlformats.org/drawingml/2006/main">
                  <a:graphicData uri="http://schemas.microsoft.com/office/word/2010/wordprocessingShape">
                    <wps:wsp>
                      <wps:cNvSpPr/>
                      <wps:spPr>
                        <a:xfrm>
                          <a:off x="0" y="0"/>
                          <a:ext cx="914400" cy="427990"/>
                        </a:xfrm>
                        <a:prstGeom prst="rect">
                          <a:avLst/>
                        </a:prstGeom>
                        <a:ln>
                          <a:noFill/>
                        </a:ln>
                      </wps:spPr>
                      <wps:txbx>
                        <w:txbxContent>
                          <w:p w14:paraId="5EA1339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wps:wsp>
                  </a:graphicData>
                </a:graphic>
              </wp:anchor>
            </w:drawing>
          </mc:Choice>
          <mc:Fallback>
            <w:pict>
              <v:rect id="000122" o:spid="_x0000_s1026" o:spt="1" style="position:absolute;left:0pt;margin-left:-9pt;margin-top:-0.1pt;height:33.7pt;width:72pt;z-index:251659264;mso-width-relative:page;mso-height-relative:page;" filled="f" stroked="f" coordsize="21600,21600" o:gfxdata="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KbNyzYAAAACAEAAA8AAAAAAAAAAQAgAAAAIgAA&#10;AGRycy9kb3ducmV2LnhtbFBLAQIUABQAAAAIAIdO4kDxfZnClgEAADgDAAAOAAAAAAAAAAEAIAAA&#10;ACcBAABkcnMvZTJvRG9jLnhtbFBLBQYAAAAABgAGAFkBAAAvBQAAAAA=&#10;">
                <v:fill on="f" focussize="0,0"/>
                <v:stroke on="f"/>
                <v:imagedata o:title=""/>
                <o:lock v:ext="edit" aspectratio="f"/>
                <v:textbox>
                  <w:txbxContent>
                    <w:p w14:paraId="5EA1339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rect>
            </w:pict>
          </mc:Fallback>
        </mc:AlternateContent>
      </w:r>
      <w:r>
        <w:rPr>
          <w:rFonts w:hint="eastAsia" w:ascii="宋体" w:hAnsi="宋体" w:eastAsia="宋体" w:cs="宋体"/>
          <w:color w:val="auto"/>
          <w:sz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3DD94B64">
      <w:pPr>
        <w:tabs>
          <w:tab w:val="left" w:pos="126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24.3  </w:t>
      </w:r>
      <w:r>
        <w:rPr>
          <w:rFonts w:hint="eastAsia" w:ascii="宋体" w:hAnsi="宋体" w:eastAsia="宋体" w:cs="宋体"/>
          <w:b/>
          <w:bCs/>
          <w:color w:val="auto"/>
          <w:sz w:val="24"/>
          <w:highlight w:val="none"/>
          <w:u w:val="dotted"/>
        </w:rPr>
        <w:t xml:space="preserve">                                                                                                        </w:t>
      </w:r>
    </w:p>
    <w:p w14:paraId="7CA0A485">
      <w:pPr>
        <w:tabs>
          <w:tab w:val="left" w:pos="12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1104" name="000123"/>
                <wp:cNvGraphicFramePr/>
                <a:graphic xmlns:a="http://schemas.openxmlformats.org/drawingml/2006/main">
                  <a:graphicData uri="http://schemas.microsoft.com/office/word/2010/wordprocessingShape">
                    <wps:wsp>
                      <wps:cNvSpPr/>
                      <wps:spPr>
                        <a:xfrm>
                          <a:off x="0" y="0"/>
                          <a:ext cx="914400" cy="510540"/>
                        </a:xfrm>
                        <a:prstGeom prst="rect">
                          <a:avLst/>
                        </a:prstGeom>
                        <a:ln>
                          <a:noFill/>
                        </a:ln>
                      </wps:spPr>
                      <wps:txbx>
                        <w:txbxContent>
                          <w:p w14:paraId="42BB5B8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wps:wsp>
                  </a:graphicData>
                </a:graphic>
              </wp:anchor>
            </w:drawing>
          </mc:Choice>
          <mc:Fallback>
            <w:pict>
              <v:rect id="000123" o:spid="_x0000_s1026" o:spt="1" style="position:absolute;left:0pt;margin-left:-9pt;margin-top:0pt;height:40.2pt;width:72pt;z-index:251659264;mso-width-relative:page;mso-height-relative:page;" filled="f" stroked="f" coordsize="21600,21600" o:gfxdata="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Ml6JktgAAAAHAQAADwAAAAAAAAABACAAAAAiAAAA&#10;ZHJzL2Rvd25yZXYueG1sUEsBAhQAFAAAAAgAh07iQORYH/uVAQAAOAMAAA4AAAAAAAAAAQAgAAAA&#10;JwEAAGRycy9lMm9Eb2MueG1sUEsFBgAAAAAGAAYAWQEAAC4FAAAAAA==&#10;">
                <v:fill on="f" focussize="0,0"/>
                <v:stroke on="f"/>
                <v:imagedata o:title=""/>
                <o:lock v:ext="edit" aspectratio="f"/>
                <v:textbox>
                  <w:txbxContent>
                    <w:p w14:paraId="42BB5B8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rect>
            </w:pict>
          </mc:Fallback>
        </mc:AlternateContent>
      </w:r>
      <w:r>
        <w:rPr>
          <w:rFonts w:hint="eastAsia" w:ascii="宋体" w:hAnsi="宋体" w:eastAsia="宋体" w:cs="宋体"/>
          <w:color w:val="auto"/>
          <w:sz w:val="24"/>
          <w:highlight w:val="none"/>
        </w:rPr>
        <w:t>除属于第86条规定的争议外，造价工程师在职权范围内的工作，发包人应予认可，但下列事件应事先取得发包人的专项批准：</w:t>
      </w:r>
    </w:p>
    <w:p w14:paraId="6C27718D">
      <w:pPr>
        <w:numPr>
          <w:ilvl w:val="0"/>
          <w:numId w:val="10"/>
        </w:numPr>
        <w:tabs>
          <w:tab w:val="left" w:pos="21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根据第63条规定使用暂列金额；</w:t>
      </w:r>
    </w:p>
    <w:p w14:paraId="047AF913">
      <w:pPr>
        <w:numPr>
          <w:ilvl w:val="0"/>
          <w:numId w:val="10"/>
        </w:numPr>
        <w:tabs>
          <w:tab w:val="left" w:pos="21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根据第64条规定使用计日工；</w:t>
      </w:r>
    </w:p>
    <w:p w14:paraId="703D948D">
      <w:pPr>
        <w:numPr>
          <w:ilvl w:val="0"/>
          <w:numId w:val="10"/>
        </w:numPr>
        <w:tabs>
          <w:tab w:val="left" w:pos="21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根据第65条规定使用暂估价；</w:t>
      </w:r>
    </w:p>
    <w:p w14:paraId="50B52C42">
      <w:pPr>
        <w:numPr>
          <w:ilvl w:val="0"/>
          <w:numId w:val="10"/>
        </w:numPr>
        <w:tabs>
          <w:tab w:val="left" w:pos="21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根据第66条确定的提前竣工奖与误期赔偿费；</w:t>
      </w:r>
    </w:p>
    <w:p w14:paraId="7D429CB8">
      <w:pPr>
        <w:numPr>
          <w:ilvl w:val="0"/>
          <w:numId w:val="10"/>
        </w:numPr>
        <w:tabs>
          <w:tab w:val="left" w:pos="21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根据第67条确定的工程优质费；</w:t>
      </w:r>
    </w:p>
    <w:p w14:paraId="076BDC23">
      <w:pPr>
        <w:numPr>
          <w:ilvl w:val="0"/>
          <w:numId w:val="10"/>
        </w:numPr>
        <w:tabs>
          <w:tab w:val="left" w:pos="21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根据第68.2款规定事件调整的合同价款；</w:t>
      </w:r>
    </w:p>
    <w:p w14:paraId="08A6FA08">
      <w:pPr>
        <w:numPr>
          <w:ilvl w:val="0"/>
          <w:numId w:val="10"/>
        </w:numPr>
        <w:tabs>
          <w:tab w:val="left" w:pos="21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专用条款约定需要发包人批准的其他事项。</w:t>
      </w:r>
    </w:p>
    <w:p w14:paraId="2F4022B9">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24.4  </w:t>
      </w:r>
      <w:r>
        <w:rPr>
          <w:rFonts w:hint="eastAsia" w:ascii="宋体" w:hAnsi="宋体" w:eastAsia="宋体" w:cs="宋体"/>
          <w:b/>
          <w:bCs/>
          <w:color w:val="auto"/>
          <w:sz w:val="24"/>
          <w:highlight w:val="none"/>
          <w:u w:val="dotted"/>
        </w:rPr>
        <w:t xml:space="preserve">                                                                                                        </w:t>
      </w:r>
    </w:p>
    <w:p w14:paraId="64AB9FA0">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1105" name="000124"/>
                <wp:cNvGraphicFramePr/>
                <a:graphic xmlns:a="http://schemas.openxmlformats.org/drawingml/2006/main">
                  <a:graphicData uri="http://schemas.microsoft.com/office/word/2010/wordprocessingShape">
                    <wps:wsp>
                      <wps:cNvSpPr/>
                      <wps:spPr>
                        <a:xfrm>
                          <a:off x="0" y="0"/>
                          <a:ext cx="1092200" cy="434340"/>
                        </a:xfrm>
                        <a:prstGeom prst="rect">
                          <a:avLst/>
                        </a:prstGeom>
                        <a:ln>
                          <a:noFill/>
                        </a:ln>
                      </wps:spPr>
                      <wps:txbx>
                        <w:txbxContent>
                          <w:p w14:paraId="78B792E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14:paraId="3D1929B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rect id="000124" o:spid="_x0000_s1026" o:spt="1" style="position:absolute;left:0pt;margin-left:-9pt;margin-top:0pt;height:34.2pt;width:86pt;z-index:251659264;mso-width-relative:page;mso-height-relative:page;" filled="f" stroked="f" coordsize="21600,21600" o:gfxdata="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t3eQLdgAAAAHAQAADwAAAAAAAAABACAAAAAiAAAA&#10;ZHJzL2Rvd25yZXYueG1sUEsBAhQAFAAAAAgAh07iQFLPRGqVAQAAOQMAAA4AAAAAAAAAAQAgAAAA&#10;JwEAAGRycy9lMm9Eb2MueG1sUEsFBgAAAAAGAAYAWQEAAC4FAAAAAA==&#10;">
                <v:fill on="f" focussize="0,0"/>
                <v:stroke on="f"/>
                <v:imagedata o:title=""/>
                <o:lock v:ext="edit" aspectratio="f"/>
                <v:textbox>
                  <w:txbxContent>
                    <w:p w14:paraId="78B792E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14:paraId="3D1929B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rect>
            </w:pict>
          </mc:Fallback>
        </mc:AlternateContent>
      </w:r>
      <w:r>
        <w:rPr>
          <w:rFonts w:hint="eastAsia" w:ascii="宋体" w:hAnsi="宋体" w:eastAsia="宋体" w:cs="宋体"/>
          <w:color w:val="auto"/>
          <w:sz w:val="24"/>
          <w:highlight w:val="none"/>
        </w:rPr>
        <w:t>造价工程师应按照合同约定时间向承包人提供实施合同工程的工程造价工作所需的核实、调整和通知等指令。</w:t>
      </w:r>
    </w:p>
    <w:p w14:paraId="1ADB6E33">
      <w:pPr>
        <w:tabs>
          <w:tab w:val="left" w:pos="12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14:paraId="6D34D683">
      <w:pPr>
        <w:tabs>
          <w:tab w:val="left" w:pos="126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24.5  </w:t>
      </w:r>
      <w:r>
        <w:rPr>
          <w:rFonts w:hint="eastAsia" w:ascii="宋体" w:hAnsi="宋体" w:eastAsia="宋体" w:cs="宋体"/>
          <w:b/>
          <w:bCs/>
          <w:color w:val="auto"/>
          <w:sz w:val="24"/>
          <w:highlight w:val="none"/>
          <w:u w:val="dotted"/>
        </w:rPr>
        <w:t xml:space="preserve">                                                                                                        </w:t>
      </w:r>
    </w:p>
    <w:p w14:paraId="1E63A439">
      <w:pPr>
        <w:tabs>
          <w:tab w:val="left" w:pos="12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1106" name="000125"/>
                <wp:cNvGraphicFramePr/>
                <a:graphic xmlns:a="http://schemas.openxmlformats.org/drawingml/2006/main">
                  <a:graphicData uri="http://schemas.microsoft.com/office/word/2010/wordprocessingShape">
                    <wps:wsp>
                      <wps:cNvSpPr/>
                      <wps:spPr>
                        <a:xfrm>
                          <a:off x="0" y="0"/>
                          <a:ext cx="914400" cy="448310"/>
                        </a:xfrm>
                        <a:prstGeom prst="rect">
                          <a:avLst/>
                        </a:prstGeom>
                        <a:ln>
                          <a:noFill/>
                        </a:ln>
                      </wps:spPr>
                      <wps:txbx>
                        <w:txbxContent>
                          <w:p w14:paraId="5F98C8C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wps:wsp>
                  </a:graphicData>
                </a:graphic>
              </wp:anchor>
            </w:drawing>
          </mc:Choice>
          <mc:Fallback>
            <w:pict>
              <v:rect id="000125" o:spid="_x0000_s1026" o:spt="1" style="position:absolute;left:0pt;margin-left:-9pt;margin-top:1.2pt;height:35.3pt;width:72pt;z-index:251659264;mso-width-relative:page;mso-height-relative:page;" filled="f" stroked="f" coordsize="21600,21600" o:gfxdata="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Sa3MrYAAAACAEAAA8AAAAAAAAAAQAgAAAAIgAA&#10;AGRycy9kb3ducmV2LnhtbFBLAQIUABQAAAAIAIdO4kCQg33mlgEAADgDAAAOAAAAAAAAAAEAIAAA&#10;ACcBAABkcnMvZTJvRG9jLnhtbFBLBQYAAAAABgAGAFkBAAAvBQAAAAA=&#10;">
                <v:fill on="f" focussize="0,0"/>
                <v:stroke on="f"/>
                <v:imagedata o:title=""/>
                <o:lock v:ext="edit" aspectratio="f"/>
                <v:textbox>
                  <w:txbxContent>
                    <w:p w14:paraId="5F98C8C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rect>
            </w:pict>
          </mc:Fallback>
        </mc:AlternateContent>
      </w:r>
      <w:r>
        <w:rPr>
          <w:rFonts w:hint="eastAsia" w:ascii="宋体" w:hAnsi="宋体" w:eastAsia="宋体" w:cs="宋体"/>
          <w:color w:val="auto"/>
          <w:sz w:val="24"/>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14:paraId="700124B5">
      <w:pPr>
        <w:tabs>
          <w:tab w:val="left" w:pos="126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24.6  </w:t>
      </w:r>
      <w:r>
        <w:rPr>
          <w:rFonts w:hint="eastAsia" w:ascii="宋体" w:hAnsi="宋体" w:eastAsia="宋体" w:cs="宋体"/>
          <w:b/>
          <w:bCs/>
          <w:color w:val="auto"/>
          <w:sz w:val="24"/>
          <w:highlight w:val="none"/>
          <w:u w:val="dotted"/>
        </w:rPr>
        <w:t xml:space="preserve">                                                                                                        </w:t>
      </w:r>
    </w:p>
    <w:p w14:paraId="3C9F2C68">
      <w:pPr>
        <w:tabs>
          <w:tab w:val="left" w:pos="12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1107" name="000126"/>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6032BBE0">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wps:txbx>
                      <wps:bodyPr wrap="square"/>
                    </wps:wsp>
                  </a:graphicData>
                </a:graphic>
              </wp:anchor>
            </w:drawing>
          </mc:Choice>
          <mc:Fallback>
            <w:pict>
              <v:rect id="000126" o:spid="_x0000_s1026" o:spt="1" style="position:absolute;left:0pt;margin-left:-9pt;margin-top:0pt;height:46.8pt;width:72pt;z-index:251659264;mso-width-relative:page;mso-height-relative:page;" filled="f" stroked="f" coordsize="21600,21600" o:gfxdata="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eWTtbYAAAABwEAAA8AAAAAAAAAAQAgAAAAIgAA&#10;AGRycy9kb3ducmV2LnhtbFBLAQIUABQAAAAIAIdO4kBJTLRUlgEAADgDAAAOAAAAAAAAAAEAIAAA&#10;ACcBAABkcnMvZTJvRG9jLnhtbFBLBQYAAAAABgAGAFkBAAAvBQAAAAA=&#10;">
                <v:fill on="f" focussize="0,0"/>
                <v:stroke on="f"/>
                <v:imagedata o:title=""/>
                <o:lock v:ext="edit" aspectratio="f"/>
                <v:textbox>
                  <w:txbxContent>
                    <w:p w14:paraId="6032BBE0">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rect>
            </w:pict>
          </mc:Fallback>
        </mc:AlternateContent>
      </w:r>
      <w:r>
        <w:rPr>
          <w:rFonts w:hint="eastAsia" w:ascii="宋体" w:hAnsi="宋体" w:eastAsia="宋体" w:cs="宋体"/>
          <w:color w:val="auto"/>
          <w:sz w:val="24"/>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14:paraId="4300B308">
      <w:pPr>
        <w:tabs>
          <w:tab w:val="left" w:pos="1260"/>
        </w:tabs>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24.7</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5864A4ED">
      <w:pPr>
        <w:tabs>
          <w:tab w:val="left" w:pos="12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1108" name="000127"/>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718A02F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wps:wsp>
                  </a:graphicData>
                </a:graphic>
              </wp:anchor>
            </w:drawing>
          </mc:Choice>
          <mc:Fallback>
            <w:pict>
              <v:rect id="000127" o:spid="_x0000_s1026" o:spt="1" style="position:absolute;left:0pt;margin-left:-9pt;margin-top:0pt;height:46.8pt;width:72pt;z-index:251659264;mso-width-relative:page;mso-height-relative:page;" filled="f" stroked="f" coordsize="21600,21600" o:gfxdata="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eWTtbYAAAABwEAAA8AAAAAAAAAAQAgAAAAIgAA&#10;AGRycy9kb3ducmV2LnhtbFBLAQIUABQAAAAIAIdO4kAuRb7dlgEAADgDAAAOAAAAAAAAAAEAIAAA&#10;ACcBAABkcnMvZTJvRG9jLnhtbFBLBQYAAAAABgAGAFkBAAAvBQAAAAA=&#10;">
                <v:fill on="f" focussize="0,0"/>
                <v:stroke on="f"/>
                <v:imagedata o:title=""/>
                <o:lock v:ext="edit" aspectratio="f"/>
                <v:textbox>
                  <w:txbxContent>
                    <w:p w14:paraId="718A02F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rect>
            </w:pict>
          </mc:Fallback>
        </mc:AlternateContent>
      </w:r>
      <w:r>
        <w:rPr>
          <w:rFonts w:hint="eastAsia" w:ascii="宋体" w:hAnsi="宋体" w:eastAsia="宋体" w:cs="宋体"/>
          <w:color w:val="auto"/>
          <w:sz w:val="24"/>
          <w:highlight w:val="none"/>
        </w:rPr>
        <w:t>造价工程师（含其代表）未能正确完成本合同约定的全部义务，或工作出现失误，导致费用的增加和（或）延误的工期，由发包人承担；给承包人造成损失的，发包人应予赔偿。</w:t>
      </w:r>
    </w:p>
    <w:p w14:paraId="3074C4F5">
      <w:pPr>
        <w:tabs>
          <w:tab w:val="left" w:pos="540"/>
          <w:tab w:val="left" w:pos="720"/>
        </w:tabs>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07A94145">
      <w:pPr>
        <w:pStyle w:val="4"/>
        <w:tabs>
          <w:tab w:val="left" w:pos="420"/>
        </w:tabs>
        <w:spacing w:line="300" w:lineRule="auto"/>
        <w:ind w:firstLine="241" w:firstLineChars="100"/>
        <w:rPr>
          <w:rFonts w:ascii="宋体" w:hAnsi="宋体" w:eastAsia="宋体" w:cs="宋体"/>
          <w:color w:val="auto"/>
          <w:sz w:val="24"/>
          <w:szCs w:val="24"/>
          <w:highlight w:val="none"/>
        </w:rPr>
      </w:pPr>
      <w:bookmarkStart w:id="73" w:name="_Toc469384005"/>
      <w:bookmarkStart w:id="74" w:name="_Toc46860826"/>
      <w:r>
        <w:rPr>
          <w:rFonts w:hint="eastAsia" w:ascii="宋体" w:hAnsi="宋体" w:eastAsia="宋体" w:cs="宋体"/>
          <w:color w:val="auto"/>
          <w:sz w:val="24"/>
          <w:szCs w:val="24"/>
          <w:highlight w:val="none"/>
        </w:rPr>
        <w:t>25  承包人代表</w:t>
      </w:r>
      <w:bookmarkEnd w:id="73"/>
      <w:bookmarkEnd w:id="74"/>
    </w:p>
    <w:p w14:paraId="53180932">
      <w:pPr>
        <w:tabs>
          <w:tab w:val="left" w:pos="540"/>
          <w:tab w:val="left" w:pos="72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25.1                                 </w:t>
      </w:r>
    </w:p>
    <w:p w14:paraId="66610000">
      <w:pPr>
        <w:pStyle w:val="35"/>
        <w:tabs>
          <w:tab w:val="left" w:pos="540"/>
          <w:tab w:val="left" w:pos="720"/>
        </w:tabs>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1109" name="000128"/>
                <wp:cNvGraphicFramePr/>
                <a:graphic xmlns:a="http://schemas.openxmlformats.org/drawingml/2006/main">
                  <a:graphicData uri="http://schemas.microsoft.com/office/word/2010/wordprocessingShape">
                    <wps:wsp>
                      <wps:cNvSpPr/>
                      <wps:spPr>
                        <a:xfrm>
                          <a:off x="0" y="0"/>
                          <a:ext cx="914400" cy="419100"/>
                        </a:xfrm>
                        <a:prstGeom prst="rect">
                          <a:avLst/>
                        </a:prstGeom>
                        <a:ln>
                          <a:noFill/>
                        </a:ln>
                      </wps:spPr>
                      <wps:txbx>
                        <w:txbxContent>
                          <w:p w14:paraId="1FA58D15">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wps:wsp>
                  </a:graphicData>
                </a:graphic>
              </wp:anchor>
            </w:drawing>
          </mc:Choice>
          <mc:Fallback>
            <w:pict>
              <v:rect id="000128" o:spid="_x0000_s1026" o:spt="1" style="position:absolute;left:0pt;margin-left:-9pt;margin-top:0pt;height:33pt;width:72pt;z-index:251659264;mso-width-relative:page;mso-height-relative:page;" filled="f" stroked="f" coordsize="21600,21600" o:gfxdata="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tcINLNYAAAAHAQAADwAAAAAAAAABACAAAAAiAAAAZHJz&#10;L2Rvd25yZXYueG1sUEsBAhQAFAAAAAgAh07iQIYvF4aUAQAAOAMAAA4AAAAAAAAAAQAgAAAAJQEA&#10;AGRycy9lMm9Eb2MueG1sUEsFBgAAAAAGAAYAWQEAACsFAAAAAA==&#10;">
                <v:fill on="f" focussize="0,0"/>
                <v:stroke on="f"/>
                <v:imagedata o:title=""/>
                <o:lock v:ext="edit" aspectratio="f"/>
                <v:textbox>
                  <w:txbxContent>
                    <w:p w14:paraId="1FA58D15">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rect>
            </w:pict>
          </mc:Fallback>
        </mc:AlternateContent>
      </w:r>
      <w:r>
        <w:rPr>
          <w:rFonts w:hint="eastAsia" w:ascii="宋体" w:eastAsia="宋体" w:cs="宋体"/>
          <w:color w:val="auto"/>
          <w:highlight w:val="none"/>
        </w:rPr>
        <w:t>承包人应依据第21.2款规定在专用条款中写明承包人代表具体人选，同时在开工前将承包人代表任命书以书面形式通知发包人，授予其代表承包人履行合同规定职责所需的一切权力。</w:t>
      </w:r>
    </w:p>
    <w:p w14:paraId="7274A331">
      <w:pPr>
        <w:tabs>
          <w:tab w:val="left" w:pos="540"/>
          <w:tab w:val="left" w:pos="720"/>
          <w:tab w:val="left" w:pos="1260"/>
          <w:tab w:val="left" w:pos="144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25.2  </w:t>
      </w:r>
      <w:r>
        <w:rPr>
          <w:rFonts w:hint="eastAsia" w:ascii="宋体" w:hAnsi="宋体" w:eastAsia="宋体" w:cs="宋体"/>
          <w:b/>
          <w:bCs/>
          <w:color w:val="auto"/>
          <w:sz w:val="24"/>
          <w:highlight w:val="none"/>
          <w:u w:val="dotted"/>
        </w:rPr>
        <w:t xml:space="preserve">                                                                                                        </w:t>
      </w:r>
    </w:p>
    <w:p w14:paraId="0A919660">
      <w:pPr>
        <w:tabs>
          <w:tab w:val="left" w:pos="540"/>
          <w:tab w:val="left" w:pos="720"/>
          <w:tab w:val="left" w:pos="1260"/>
          <w:tab w:val="left" w:pos="1440"/>
        </w:tabs>
        <w:spacing w:line="300" w:lineRule="auto"/>
        <w:ind w:left="1619" w:leftChars="771" w:firstLine="2"/>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10" name="000129"/>
                <wp:cNvGraphicFramePr/>
                <a:graphic xmlns:a="http://schemas.openxmlformats.org/drawingml/2006/main">
                  <a:graphicData uri="http://schemas.microsoft.com/office/word/2010/wordprocessingShape">
                    <wps:wsp>
                      <wps:cNvSpPr/>
                      <wps:spPr>
                        <a:xfrm>
                          <a:off x="0" y="0"/>
                          <a:ext cx="1028700" cy="396240"/>
                        </a:xfrm>
                        <a:prstGeom prst="rect">
                          <a:avLst/>
                        </a:prstGeom>
                        <a:ln>
                          <a:noFill/>
                        </a:ln>
                      </wps:spPr>
                      <wps:txbx>
                        <w:txbxContent>
                          <w:p w14:paraId="6AC09A2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14:paraId="37B2930A">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wps:txbx>
                      <wps:bodyPr wrap="square"/>
                    </wps:wsp>
                  </a:graphicData>
                </a:graphic>
              </wp:anchor>
            </w:drawing>
          </mc:Choice>
          <mc:Fallback>
            <w:pict>
              <v:rect id="000129" o:spid="_x0000_s1026" o:spt="1" style="position:absolute;left:0pt;margin-left:-9pt;margin-top:0.6pt;height:31.2pt;width:81pt;z-index:251659264;mso-width-relative:page;mso-height-relative:page;" filled="f" stroked="f" coordsize="21600,21600" o:gfxdata="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tvBxydcAAAAIAQAADwAAAAAAAAABACAAAAAiAAAA&#10;ZHJzL2Rvd25yZXYueG1sUEsBAhQAFAAAAAgAh07iQNn4/QyWAQAAOQMAAA4AAAAAAAAAAQAgAAAA&#10;JgEAAGRycy9lMm9Eb2MueG1sUEsFBgAAAAAGAAYAWQEAAC4FAAAAAA==&#10;">
                <v:fill on="f" focussize="0,0"/>
                <v:stroke on="f"/>
                <v:imagedata o:title=""/>
                <o:lock v:ext="edit" aspectratio="f"/>
                <v:textbox>
                  <w:txbxContent>
                    <w:p w14:paraId="6AC09A2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14:paraId="37B2930A">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v:textbox>
              </v:rect>
            </w:pict>
          </mc:Fallback>
        </mc:AlternateContent>
      </w:r>
      <w:r>
        <w:rPr>
          <w:rFonts w:hint="eastAsia" w:ascii="宋体" w:hAnsi="宋体" w:eastAsia="宋体" w:cs="宋体"/>
          <w:color w:val="auto"/>
          <w:sz w:val="24"/>
          <w:highlight w:val="none"/>
        </w:rPr>
        <w:t>承包人代表应代表承包人履行合同规定的职责、行使合同明文约定或必然隐含的权力，对承包人负责。承包人代表在承包人授予职权范围内的工作，承包人应予认可。</w:t>
      </w:r>
    </w:p>
    <w:p w14:paraId="514D9270">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25.3  </w:t>
      </w:r>
      <w:r>
        <w:rPr>
          <w:rFonts w:hint="eastAsia" w:ascii="宋体" w:hAnsi="宋体" w:eastAsia="宋体" w:cs="宋体"/>
          <w:b/>
          <w:bCs/>
          <w:color w:val="auto"/>
          <w:sz w:val="24"/>
          <w:highlight w:val="none"/>
          <w:u w:val="dotted"/>
        </w:rPr>
        <w:t xml:space="preserve">                                                                                                        </w:t>
      </w:r>
    </w:p>
    <w:p w14:paraId="5069D806">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1111" name="00012a"/>
                <wp:cNvGraphicFramePr/>
                <a:graphic xmlns:a="http://schemas.openxmlformats.org/drawingml/2006/main">
                  <a:graphicData uri="http://schemas.microsoft.com/office/word/2010/wordprocessingShape">
                    <wps:wsp>
                      <wps:cNvSpPr/>
                      <wps:spPr>
                        <a:xfrm>
                          <a:off x="0" y="0"/>
                          <a:ext cx="914400" cy="487680"/>
                        </a:xfrm>
                        <a:prstGeom prst="rect">
                          <a:avLst/>
                        </a:prstGeom>
                        <a:ln>
                          <a:noFill/>
                        </a:ln>
                      </wps:spPr>
                      <wps:txbx>
                        <w:txbxContent>
                          <w:p w14:paraId="543FBCB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wps:wsp>
                  </a:graphicData>
                </a:graphic>
              </wp:anchor>
            </w:drawing>
          </mc:Choice>
          <mc:Fallback>
            <w:pict>
              <v:rect id="00012a" o:spid="_x0000_s1026" o:spt="1" style="position:absolute;left:0pt;margin-left:-9pt;margin-top:0pt;height:38.4pt;width:72pt;z-index:251659264;mso-width-relative:page;mso-height-relative:page;" filled="f" stroked="f" coordsize="21600,21600" o:gfxdata="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&#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uXHa61wAAAAcBAAAPAAAAAAAAAAEAIAAAACIAAABk&#10;cnMvZG93bnJldi54bWxQSwECFAAUAAAACACHTuJAM51hX5UBAAA4AwAADgAAAAAAAAABACAAAAAm&#10;AQAAZHJzL2Uyb0RvYy54bWxQSwUGAAAAAAYABgBZAQAALQUAAAAA&#10;">
                <v:fill on="f" focussize="0,0"/>
                <v:stroke on="f"/>
                <v:imagedata o:title=""/>
                <o:lock v:ext="edit" aspectratio="f"/>
                <v:textbox>
                  <w:txbxContent>
                    <w:p w14:paraId="543FBCB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rect>
            </w:pict>
          </mc:Fallback>
        </mc:AlternateContent>
      </w:r>
      <w:r>
        <w:rPr>
          <w:rFonts w:hint="eastAsia" w:ascii="宋体" w:hAnsi="宋体" w:eastAsia="宋体" w:cs="宋体"/>
          <w:color w:val="auto"/>
          <w:sz w:val="24"/>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14:paraId="09859CEF">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25.4  </w:t>
      </w:r>
      <w:r>
        <w:rPr>
          <w:rFonts w:hint="eastAsia" w:ascii="宋体" w:hAnsi="宋体" w:eastAsia="宋体" w:cs="宋体"/>
          <w:b/>
          <w:bCs/>
          <w:color w:val="auto"/>
          <w:sz w:val="24"/>
          <w:highlight w:val="none"/>
          <w:u w:val="dotted"/>
        </w:rPr>
        <w:t xml:space="preserve">                                                                                                        </w:t>
      </w:r>
    </w:p>
    <w:p w14:paraId="240FA63E">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1112" name="00012b"/>
                <wp:cNvGraphicFramePr/>
                <a:graphic xmlns:a="http://schemas.openxmlformats.org/drawingml/2006/main">
                  <a:graphicData uri="http://schemas.microsoft.com/office/word/2010/wordprocessingShape">
                    <wps:wsp>
                      <wps:cNvSpPr/>
                      <wps:spPr>
                        <a:xfrm>
                          <a:off x="0" y="0"/>
                          <a:ext cx="914400" cy="762000"/>
                        </a:xfrm>
                        <a:prstGeom prst="rect">
                          <a:avLst/>
                        </a:prstGeom>
                        <a:ln>
                          <a:noFill/>
                        </a:ln>
                      </wps:spPr>
                      <wps:txbx>
                        <w:txbxContent>
                          <w:p w14:paraId="7DA99D7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wps:wsp>
                  </a:graphicData>
                </a:graphic>
              </wp:anchor>
            </w:drawing>
          </mc:Choice>
          <mc:Fallback>
            <w:pict>
              <v:rect id="00012b" o:spid="_x0000_s1026" o:spt="1" style="position:absolute;left:0pt;margin-left:-9pt;margin-top:0pt;height:60pt;width:72pt;z-index:251659264;mso-width-relative:page;mso-height-relative:page;" filled="f" stroked="f" coordsize="21600,21600" o:gfxdata="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4gljU1wAAAAgBAAAPAAAAAAAAAAEAIAAAACIAAABk&#10;cnMvZG93bnJldi54bWxQSwECFAAUAAAACACHTuJAbrHGZJUBAAA4AwAADgAAAAAAAAABACAAAAAm&#10;AQAAZHJzL2Uyb0RvYy54bWxQSwUGAAAAAAYABgBZAQAALQUAAAAA&#10;">
                <v:fill on="f" focussize="0,0"/>
                <v:stroke on="f"/>
                <v:imagedata o:title=""/>
                <o:lock v:ext="edit" aspectratio="f"/>
                <v:textbox>
                  <w:txbxContent>
                    <w:p w14:paraId="7DA99D7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rect>
            </w:pict>
          </mc:Fallback>
        </mc:AlternateContent>
      </w:r>
      <w:r>
        <w:rPr>
          <w:rFonts w:hint="eastAsia" w:ascii="宋体" w:hAnsi="宋体" w:eastAsia="宋体" w:cs="宋体"/>
          <w:color w:val="auto"/>
          <w:sz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5439DD9A">
      <w:pPr>
        <w:pStyle w:val="24"/>
        <w:tabs>
          <w:tab w:val="left" w:pos="540"/>
        </w:tabs>
        <w:adjustRightInd w:val="0"/>
        <w:snapToGrid w:val="0"/>
        <w:spacing w:line="300" w:lineRule="auto"/>
        <w:ind w:right="-240"/>
        <w:rPr>
          <w:rFonts w:hAnsi="宋体" w:eastAsia="宋体" w:cs="宋体"/>
          <w:b/>
          <w:bCs/>
          <w:color w:val="auto"/>
          <w:sz w:val="24"/>
          <w:szCs w:val="24"/>
          <w:highlight w:val="none"/>
          <w:u w:val="single"/>
        </w:rPr>
      </w:pPr>
      <w:bookmarkStart w:id="75" w:name="_Toc468936969"/>
      <w:r>
        <w:rPr>
          <w:rFonts w:hint="eastAsia" w:hAnsi="宋体" w:eastAsia="宋体" w:cs="宋体"/>
          <w:b/>
          <w:bCs/>
          <w:color w:val="auto"/>
          <w:sz w:val="24"/>
          <w:szCs w:val="24"/>
          <w:highlight w:val="none"/>
          <w:u w:val="single"/>
        </w:rPr>
        <w:t xml:space="preserve">                                                                                                             </w:t>
      </w:r>
    </w:p>
    <w:p w14:paraId="41E54009">
      <w:pPr>
        <w:pStyle w:val="24"/>
        <w:tabs>
          <w:tab w:val="left" w:pos="540"/>
        </w:tabs>
        <w:adjustRightInd w:val="0"/>
        <w:snapToGrid w:val="0"/>
        <w:spacing w:line="300" w:lineRule="auto"/>
        <w:ind w:right="-240"/>
        <w:outlineLvl w:val="2"/>
        <w:rPr>
          <w:rFonts w:hAnsi="宋体" w:eastAsia="宋体" w:cs="宋体"/>
          <w:b/>
          <w:bCs/>
          <w:color w:val="auto"/>
          <w:sz w:val="24"/>
          <w:szCs w:val="24"/>
          <w:highlight w:val="none"/>
        </w:rPr>
      </w:pPr>
      <w:bookmarkStart w:id="76" w:name="_Toc46860827"/>
      <w:bookmarkStart w:id="77" w:name="_Toc469384006"/>
      <w:r>
        <w:rPr>
          <w:rFonts w:hint="eastAsia" w:hAnsi="宋体" w:eastAsia="宋体" w:cs="宋体"/>
          <w:b/>
          <w:bCs/>
          <w:color w:val="auto"/>
          <w:sz w:val="24"/>
          <w:szCs w:val="24"/>
          <w:highlight w:val="none"/>
        </w:rPr>
        <w:t>26  指定分包</w:t>
      </w:r>
      <w:bookmarkEnd w:id="75"/>
      <w:r>
        <w:rPr>
          <w:rFonts w:hint="eastAsia" w:hAnsi="宋体" w:eastAsia="宋体" w:cs="宋体"/>
          <w:b/>
          <w:bCs/>
          <w:color w:val="auto"/>
          <w:sz w:val="24"/>
          <w:szCs w:val="24"/>
          <w:highlight w:val="none"/>
        </w:rPr>
        <w:t>人</w:t>
      </w:r>
      <w:bookmarkEnd w:id="76"/>
      <w:bookmarkEnd w:id="77"/>
    </w:p>
    <w:p w14:paraId="17FEDE16">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26.1 </w:t>
      </w:r>
    </w:p>
    <w:p w14:paraId="7778C260">
      <w:pPr>
        <w:pStyle w:val="24"/>
        <w:adjustRightInd w:val="0"/>
        <w:snapToGrid w:val="0"/>
        <w:spacing w:line="300" w:lineRule="auto"/>
        <w:ind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1113" name="00012c"/>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0DBC220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wps:wsp>
                  </a:graphicData>
                </a:graphic>
              </wp:anchor>
            </w:drawing>
          </mc:Choice>
          <mc:Fallback>
            <w:pict>
              <v:rect id="00012c" o:spid="_x0000_s1026" o:spt="1" style="position:absolute;left:0pt;margin-left:-9pt;margin-top:4.75pt;height:54.6pt;width:72pt;z-index:251659264;mso-width-relative:page;mso-height-relative:page;" filled="f" stroked="f" coordsize="21600,21600" o:gfxdata="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sBUSTZAAAACQEAAA8AAAAAAAAAAQAgAAAAIgAA&#10;AGRycy9kb3ducmV2LnhtbFBLAQIUABQAAAAIAIdO4kAN/p52lQEAADgDAAAOAAAAAAAAAAEAIAAA&#10;ACgBAABkcnMvZTJvRG9jLnhtbFBLBQYAAAAABgAGAFkBAAAvBQAAAAA=&#10;">
                <v:fill on="f" focussize="0,0"/>
                <v:stroke on="f"/>
                <v:imagedata o:title=""/>
                <o:lock v:ext="edit" aspectratio="f"/>
                <v:textbox>
                  <w:txbxContent>
                    <w:p w14:paraId="0DBC220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rect>
            </w:pict>
          </mc:Fallback>
        </mc:AlternateContent>
      </w:r>
      <w:r>
        <w:rPr>
          <w:rFonts w:hint="eastAsia" w:hAnsi="宋体" w:eastAsia="宋体" w:cs="宋体"/>
          <w:color w:val="auto"/>
          <w:sz w:val="24"/>
          <w:szCs w:val="24"/>
          <w:highlight w:val="none"/>
        </w:rPr>
        <w:t>指定分包人是指发包人事先指定的从事下列工作之一的分包</w:t>
      </w:r>
    </w:p>
    <w:p w14:paraId="30D59245">
      <w:pPr>
        <w:pStyle w:val="24"/>
        <w:adjustRightInd w:val="0"/>
        <w:snapToGrid w:val="0"/>
        <w:spacing w:line="300" w:lineRule="auto"/>
        <w:ind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w:t>人：</w:t>
      </w:r>
    </w:p>
    <w:p w14:paraId="59BACB73">
      <w:pPr>
        <w:pStyle w:val="24"/>
        <w:widowControl/>
        <w:adjustRightInd w:val="0"/>
        <w:snapToGrid w:val="0"/>
        <w:spacing w:line="300" w:lineRule="auto"/>
        <w:ind w:left="1710" w:leftChars="700" w:hanging="240" w:hangingChars="100"/>
        <w:jc w:val="left"/>
        <w:rPr>
          <w:rFonts w:hAnsi="宋体" w:eastAsia="宋体" w:cs="宋体"/>
          <w:color w:val="auto"/>
          <w:sz w:val="24"/>
          <w:szCs w:val="24"/>
          <w:highlight w:val="none"/>
        </w:rPr>
      </w:pPr>
      <w:r>
        <w:rPr>
          <w:rFonts w:hint="eastAsia" w:hAnsi="宋体" w:eastAsia="宋体" w:cs="宋体"/>
          <w:color w:val="auto"/>
          <w:sz w:val="24"/>
          <w:szCs w:val="24"/>
          <w:highlight w:val="none"/>
        </w:rPr>
        <w:t>（1）根据专用条款的约定，发包人依法事先指定的实施、完成部分永久工程的分包人；</w:t>
      </w:r>
    </w:p>
    <w:p w14:paraId="292F7EB6">
      <w:pPr>
        <w:pStyle w:val="24"/>
        <w:widowControl/>
        <w:adjustRightInd w:val="0"/>
        <w:snapToGrid w:val="0"/>
        <w:spacing w:line="300" w:lineRule="auto"/>
        <w:ind w:left="1710" w:leftChars="700" w:hanging="240" w:hangingChars="100"/>
        <w:jc w:val="left"/>
        <w:rPr>
          <w:rFonts w:hAnsi="宋体" w:eastAsia="宋体" w:cs="宋体"/>
          <w:color w:val="auto"/>
          <w:sz w:val="24"/>
          <w:szCs w:val="24"/>
          <w:highlight w:val="none"/>
        </w:rPr>
      </w:pPr>
      <w:r>
        <w:rPr>
          <w:rFonts w:hint="eastAsia" w:hAnsi="宋体" w:eastAsia="宋体" w:cs="宋体"/>
          <w:color w:val="auto"/>
          <w:sz w:val="24"/>
          <w:szCs w:val="24"/>
          <w:highlight w:val="none"/>
        </w:rPr>
        <w:t>（2）根据专用条款的约定，发包人选定的提供合同工程材料、工程设备和服务的分包人。</w:t>
      </w:r>
    </w:p>
    <w:p w14:paraId="1407C5FE">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26.2  </w:t>
      </w:r>
      <w:r>
        <w:rPr>
          <w:rFonts w:hint="eastAsia" w:ascii="宋体" w:hAnsi="宋体" w:eastAsia="宋体" w:cs="宋体"/>
          <w:b/>
          <w:bCs/>
          <w:color w:val="auto"/>
          <w:sz w:val="24"/>
          <w:highlight w:val="none"/>
          <w:u w:val="dotted"/>
        </w:rPr>
        <w:t xml:space="preserve">                                                                             </w:t>
      </w:r>
    </w:p>
    <w:p w14:paraId="6F1FAC28">
      <w:pPr>
        <w:pStyle w:val="24"/>
        <w:widowControl/>
        <w:adjustRightInd w:val="0"/>
        <w:snapToGrid w:val="0"/>
        <w:spacing w:line="300" w:lineRule="auto"/>
        <w:ind w:firstLine="1680" w:firstLineChars="700"/>
        <w:jc w:val="right"/>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1114" name="00012d"/>
                <wp:cNvGraphicFramePr/>
                <a:graphic xmlns:a="http://schemas.openxmlformats.org/drawingml/2006/main">
                  <a:graphicData uri="http://schemas.microsoft.com/office/word/2010/wordprocessingShape">
                    <wps:wsp>
                      <wps:cNvSpPr/>
                      <wps:spPr>
                        <a:xfrm>
                          <a:off x="0" y="0"/>
                          <a:ext cx="1028700" cy="627380"/>
                        </a:xfrm>
                        <a:prstGeom prst="rect">
                          <a:avLst/>
                        </a:prstGeom>
                        <a:ln>
                          <a:noFill/>
                        </a:ln>
                      </wps:spPr>
                      <wps:txbx>
                        <w:txbxContent>
                          <w:p w14:paraId="3A64F53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wps:wsp>
                  </a:graphicData>
                </a:graphic>
              </wp:anchor>
            </w:drawing>
          </mc:Choice>
          <mc:Fallback>
            <w:pict>
              <v:rect id="00012d" o:spid="_x0000_s1026" o:spt="1" style="position:absolute;left:0pt;margin-left:-9pt;margin-top:0pt;height:49.4pt;width:81pt;z-index:251659264;mso-width-relative:page;mso-height-relative:page;" filled="f" stroked="f" coordsize="21600,21600" o:gfxdata="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oxS+LYAAAABwEAAA8AAAAAAAAAAQAgAAAAIgAA&#10;AGRycy9kb3ducmV2LnhtbFBLAQIUABQAAAAIAIdO4kD3DxZDlgEAADkDAAAOAAAAAAAAAAEAIAAA&#10;ACcBAABkcnMvZTJvRG9jLnhtbFBLBQYAAAAABgAGAFkBAAAvBQAAAAA=&#10;">
                <v:fill on="f" focussize="0,0"/>
                <v:stroke on="f"/>
                <v:imagedata o:title=""/>
                <o:lock v:ext="edit" aspectratio="f"/>
                <v:textbox>
                  <w:txbxContent>
                    <w:p w14:paraId="3A64F53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rect>
            </w:pict>
          </mc:Fallback>
        </mc:AlternateContent>
      </w:r>
      <w:r>
        <w:rPr>
          <w:rFonts w:hint="eastAsia" w:hAnsi="宋体" w:eastAsia="宋体" w:cs="宋体"/>
          <w:color w:val="auto"/>
          <w:sz w:val="24"/>
          <w:szCs w:val="24"/>
          <w:highlight w:val="none"/>
        </w:rPr>
        <w:t>指定分包人属于承包人的分包人，发包人不应要求承包人有义</w:t>
      </w:r>
    </w:p>
    <w:p w14:paraId="08EF0894">
      <w:pPr>
        <w:pStyle w:val="24"/>
        <w:widowControl/>
        <w:adjustRightInd w:val="0"/>
        <w:snapToGrid w:val="0"/>
        <w:spacing w:line="300" w:lineRule="auto"/>
        <w:ind w:right="960"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w:t>务接受承包人有理由反对的任何指定分包人。</w:t>
      </w:r>
    </w:p>
    <w:p w14:paraId="42048C0A">
      <w:pPr>
        <w:spacing w:line="300" w:lineRule="auto"/>
        <w:rPr>
          <w:rFonts w:ascii="宋体" w:hAnsi="宋体" w:eastAsia="宋体" w:cs="宋体"/>
          <w:b/>
          <w:bCs/>
          <w:color w:val="auto"/>
          <w:sz w:val="24"/>
          <w:highlight w:val="none"/>
          <w:u w:val="dotted"/>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1115" name="00012e"/>
                <wp:cNvGraphicFramePr/>
                <a:graphic xmlns:a="http://schemas.openxmlformats.org/drawingml/2006/main">
                  <a:graphicData uri="http://schemas.microsoft.com/office/word/2010/wordprocessingShape">
                    <wps:wsp>
                      <wps:cNvSpPr/>
                      <wps:spPr>
                        <a:xfrm>
                          <a:off x="0" y="0"/>
                          <a:ext cx="1028700" cy="699135"/>
                        </a:xfrm>
                        <a:prstGeom prst="rect">
                          <a:avLst/>
                        </a:prstGeom>
                        <a:ln>
                          <a:noFill/>
                        </a:ln>
                      </wps:spPr>
                      <wps:txbx>
                        <w:txbxContent>
                          <w:p w14:paraId="6DD448D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wps:wsp>
                  </a:graphicData>
                </a:graphic>
              </wp:anchor>
            </w:drawing>
          </mc:Choice>
          <mc:Fallback>
            <w:pict>
              <v:rect id="00012e" o:spid="_x0000_s1026" o:spt="1" style="position:absolute;left:0pt;margin-left:-9pt;margin-top:18.7pt;height:55.05pt;width:81pt;z-index:251659264;mso-width-relative:page;mso-height-relative:page;" filled="f" stroked="f" coordsize="21600,21600" o:gfxdata="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5rvgf2gAAAAoBAAAPAAAAAAAAAAEAIAAAACIA&#10;AABkcnMvZG93bnJldi54bWxQSwECFAAUAAAACACHTuJAvX5MqpUBAAA5AwAADgAAAAAAAAABACAA&#10;AAApAQAAZHJzL2Uyb0RvYy54bWxQSwUGAAAAAAYABgBZAQAAMAUAAAAA&#10;">
                <v:fill on="f" focussize="0,0"/>
                <v:stroke on="f"/>
                <v:imagedata o:title=""/>
                <o:lock v:ext="edit" aspectratio="f"/>
                <v:textbox>
                  <w:txbxContent>
                    <w:p w14:paraId="6DD448D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rect>
            </w:pict>
          </mc:Fallback>
        </mc:AlternateContent>
      </w:r>
      <w:r>
        <w:rPr>
          <w:rFonts w:hint="eastAsia" w:ascii="宋体" w:hAnsi="宋体" w:eastAsia="宋体" w:cs="宋体"/>
          <w:b/>
          <w:bCs/>
          <w:color w:val="auto"/>
          <w:sz w:val="24"/>
          <w:highlight w:val="none"/>
        </w:rPr>
        <w:t xml:space="preserve">26.3  </w:t>
      </w:r>
      <w:r>
        <w:rPr>
          <w:rFonts w:hint="eastAsia" w:ascii="宋体" w:hAnsi="宋体" w:eastAsia="宋体" w:cs="宋体"/>
          <w:b/>
          <w:bCs/>
          <w:color w:val="auto"/>
          <w:sz w:val="24"/>
          <w:highlight w:val="none"/>
          <w:u w:val="dotted"/>
        </w:rPr>
        <w:t xml:space="preserve">                                                                              </w:t>
      </w:r>
    </w:p>
    <w:p w14:paraId="29A3EEF5">
      <w:pPr>
        <w:pStyle w:val="24"/>
        <w:widowControl/>
        <w:adjustRightInd w:val="0"/>
        <w:snapToGrid w:val="0"/>
        <w:spacing w:line="300" w:lineRule="auto"/>
        <w:ind w:firstLine="1680" w:firstLineChars="700"/>
        <w:jc w:val="left"/>
        <w:rPr>
          <w:rFonts w:hAnsi="宋体" w:eastAsia="宋体" w:cs="宋体"/>
          <w:color w:val="auto"/>
          <w:sz w:val="24"/>
          <w:szCs w:val="24"/>
          <w:highlight w:val="none"/>
        </w:rPr>
      </w:pPr>
      <w:r>
        <w:rPr>
          <w:rFonts w:hint="eastAsia" w:hAnsi="宋体" w:eastAsia="宋体" w:cs="宋体"/>
          <w:color w:val="auto"/>
          <w:sz w:val="24"/>
          <w:szCs w:val="24"/>
          <w:highlight w:val="none"/>
        </w:rPr>
        <w:t>发包人应按照合同的约定向承包人支付指定分包人的分包工程</w:t>
      </w:r>
    </w:p>
    <w:p w14:paraId="4E697510">
      <w:pPr>
        <w:pStyle w:val="24"/>
        <w:widowControl/>
        <w:adjustRightInd w:val="0"/>
        <w:snapToGrid w:val="0"/>
        <w:spacing w:line="300" w:lineRule="auto"/>
        <w:ind w:firstLine="1680" w:firstLineChars="700"/>
        <w:jc w:val="left"/>
        <w:rPr>
          <w:rFonts w:hAnsi="宋体" w:eastAsia="宋体" w:cs="宋体"/>
          <w:color w:val="auto"/>
          <w:sz w:val="24"/>
          <w:szCs w:val="24"/>
          <w:highlight w:val="none"/>
        </w:rPr>
      </w:pPr>
      <w:r>
        <w:rPr>
          <w:rFonts w:hint="eastAsia" w:hAnsi="宋体" w:eastAsia="宋体" w:cs="宋体"/>
          <w:color w:val="auto"/>
          <w:sz w:val="24"/>
          <w:szCs w:val="24"/>
          <w:highlight w:val="none"/>
        </w:rPr>
        <w:t>配合费。</w:t>
      </w:r>
    </w:p>
    <w:p w14:paraId="7A3521E9">
      <w:pPr>
        <w:pStyle w:val="24"/>
        <w:widowControl/>
        <w:adjustRightInd w:val="0"/>
        <w:snapToGrid w:val="0"/>
        <w:spacing w:line="300" w:lineRule="auto"/>
        <w:ind w:firstLine="1680" w:firstLineChars="700"/>
        <w:jc w:val="left"/>
        <w:rPr>
          <w:rFonts w:hAnsi="宋体" w:eastAsia="宋体" w:cs="宋体"/>
          <w:color w:val="auto"/>
          <w:sz w:val="24"/>
          <w:szCs w:val="24"/>
          <w:highlight w:val="none"/>
        </w:rPr>
      </w:pPr>
      <w:r>
        <w:rPr>
          <w:rFonts w:hint="eastAsia" w:hAnsi="宋体" w:eastAsia="宋体" w:cs="宋体"/>
          <w:color w:val="auto"/>
          <w:sz w:val="24"/>
          <w:szCs w:val="24"/>
          <w:highlight w:val="none"/>
        </w:rPr>
        <w:t>指定分包工程款的结算与支付，按照第7.4款办理。</w:t>
      </w:r>
    </w:p>
    <w:p w14:paraId="1541F7CF">
      <w:pPr>
        <w:spacing w:line="300" w:lineRule="auto"/>
        <w:rPr>
          <w:rFonts w:ascii="宋体" w:hAnsi="宋体" w:eastAsia="宋体" w:cs="宋体"/>
          <w:b/>
          <w:bCs/>
          <w:color w:val="auto"/>
          <w:sz w:val="24"/>
          <w:highlight w:val="none"/>
          <w:u w:val="dotted"/>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1116" name="00012f"/>
                <wp:cNvGraphicFramePr/>
                <a:graphic xmlns:a="http://schemas.openxmlformats.org/drawingml/2006/main">
                  <a:graphicData uri="http://schemas.microsoft.com/office/word/2010/wordprocessingShape">
                    <wps:wsp>
                      <wps:cNvSpPr/>
                      <wps:spPr>
                        <a:xfrm>
                          <a:off x="0" y="0"/>
                          <a:ext cx="1133475" cy="791845"/>
                        </a:xfrm>
                        <a:prstGeom prst="rect">
                          <a:avLst/>
                        </a:prstGeom>
                        <a:ln>
                          <a:noFill/>
                        </a:ln>
                      </wps:spPr>
                      <wps:txbx>
                        <w:txbxContent>
                          <w:p w14:paraId="4E9CC7B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14:paraId="2529392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14:paraId="2440975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14:paraId="14BD109E">
                            <w:pPr>
                              <w:rPr>
                                <w:rFonts w:ascii="楷体_GB2312" w:hAnsi="宋体" w:eastAsia="楷体_GB2312"/>
                                <w:b/>
                                <w:bCs/>
                                <w:color w:val="000000"/>
                              </w:rPr>
                            </w:pPr>
                          </w:p>
                          <w:p w14:paraId="45145DEF"/>
                          <w:p w14:paraId="02D9B141"/>
                        </w:txbxContent>
                      </wps:txbx>
                      <wps:bodyPr wrap="square"/>
                    </wps:wsp>
                  </a:graphicData>
                </a:graphic>
              </wp:anchor>
            </w:drawing>
          </mc:Choice>
          <mc:Fallback>
            <w:pict>
              <v:rect id="00012f" o:spid="_x0000_s1026" o:spt="1" style="position:absolute;left:0pt;margin-left:-5.25pt;margin-top:15.7pt;height:62.35pt;width:89.25pt;z-index:251659264;mso-width-relative:page;mso-height-relative:page;" filled="f" stroked="f" coordsize="21600,21600" o:gfxdata="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Cyl9HtoAAAAKAQAADwAAAAAAAAABACAAAAAi&#10;AAAAZHJzL2Rvd25yZXYueG1sUEsBAhQAFAAAAAgAh07iQJTWOiiWAQAAOQMAAA4AAAAAAAAAAQAg&#10;AAAAKQEAAGRycy9lMm9Eb2MueG1sUEsFBgAAAAAGAAYAWQEAADEFAAAAAA==&#10;">
                <v:fill on="f" focussize="0,0"/>
                <v:stroke on="f"/>
                <v:imagedata o:title=""/>
                <o:lock v:ext="edit" aspectratio="f"/>
                <v:textbox>
                  <w:txbxContent>
                    <w:p w14:paraId="4E9CC7B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14:paraId="2529392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14:paraId="2440975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14:paraId="14BD109E">
                      <w:pPr>
                        <w:rPr>
                          <w:rFonts w:ascii="楷体_GB2312" w:hAnsi="宋体" w:eastAsia="楷体_GB2312"/>
                          <w:b/>
                          <w:bCs/>
                          <w:color w:val="000000"/>
                        </w:rPr>
                      </w:pPr>
                    </w:p>
                    <w:p w14:paraId="45145DEF"/>
                    <w:p w14:paraId="02D9B141"/>
                  </w:txbxContent>
                </v:textbox>
              </v:rect>
            </w:pict>
          </mc:Fallback>
        </mc:AlternateContent>
      </w:r>
      <w:r>
        <w:rPr>
          <w:rFonts w:hint="eastAsia" w:ascii="宋体" w:hAnsi="宋体" w:eastAsia="宋体" w:cs="宋体"/>
          <w:b/>
          <w:bCs/>
          <w:color w:val="auto"/>
          <w:sz w:val="24"/>
          <w:highlight w:val="none"/>
        </w:rPr>
        <w:t>26.4</w:t>
      </w:r>
      <w:r>
        <w:rPr>
          <w:rFonts w:hint="eastAsia" w:ascii="宋体" w:hAnsi="宋体" w:eastAsia="宋体" w:cs="宋体"/>
          <w:b/>
          <w:bCs/>
          <w:color w:val="auto"/>
          <w:sz w:val="24"/>
          <w:highlight w:val="none"/>
          <w:u w:val="dotted"/>
        </w:rPr>
        <w:t xml:space="preserve">                                                                               </w:t>
      </w:r>
    </w:p>
    <w:p w14:paraId="65036E6C">
      <w:pPr>
        <w:pStyle w:val="24"/>
        <w:widowControl/>
        <w:tabs>
          <w:tab w:val="left" w:pos="1260"/>
        </w:tabs>
        <w:adjustRightInd w:val="0"/>
        <w:snapToGrid w:val="0"/>
        <w:spacing w:line="300" w:lineRule="auto"/>
        <w:ind w:firstLine="1680" w:firstLineChars="700"/>
        <w:jc w:val="left"/>
        <w:rPr>
          <w:rFonts w:hAnsi="宋体" w:eastAsia="宋体" w:cs="宋体"/>
          <w:color w:val="auto"/>
          <w:sz w:val="24"/>
          <w:szCs w:val="24"/>
          <w:highlight w:val="none"/>
        </w:rPr>
      </w:pPr>
      <w:r>
        <w:rPr>
          <w:rFonts w:hint="eastAsia" w:hAnsi="宋体" w:eastAsia="宋体" w:cs="宋体"/>
          <w:color w:val="auto"/>
          <w:sz w:val="24"/>
          <w:szCs w:val="24"/>
          <w:highlight w:val="none"/>
        </w:rPr>
        <w:t>指定分包人应按照分包合同的约定对承包人负责。承包人有</w:t>
      </w:r>
    </w:p>
    <w:p w14:paraId="7BCB39BA">
      <w:pPr>
        <w:pStyle w:val="24"/>
        <w:widowControl/>
        <w:tabs>
          <w:tab w:val="left" w:pos="1260"/>
        </w:tabs>
        <w:adjustRightInd w:val="0"/>
        <w:snapToGrid w:val="0"/>
        <w:spacing w:line="300" w:lineRule="auto"/>
        <w:ind w:firstLine="1680" w:firstLineChars="700"/>
        <w:jc w:val="left"/>
        <w:rPr>
          <w:rFonts w:hAnsi="宋体" w:eastAsia="宋体" w:cs="宋体"/>
          <w:color w:val="auto"/>
          <w:sz w:val="24"/>
          <w:szCs w:val="24"/>
          <w:highlight w:val="none"/>
        </w:rPr>
      </w:pPr>
      <w:r>
        <w:rPr>
          <w:rFonts w:hint="eastAsia" w:hAnsi="宋体" w:eastAsia="宋体" w:cs="宋体"/>
          <w:color w:val="auto"/>
          <w:sz w:val="24"/>
          <w:szCs w:val="24"/>
          <w:highlight w:val="none"/>
        </w:rPr>
        <w:t>义务协助、配合指定分包人实施分包工程。</w:t>
      </w:r>
    </w:p>
    <w:p w14:paraId="13ABD920">
      <w:pPr>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36824A2D">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78" w:name="_Toc46860828"/>
      <w:bookmarkStart w:id="79" w:name="_Toc469384007"/>
      <w:r>
        <w:rPr>
          <w:rFonts w:hint="eastAsia" w:hAnsi="宋体" w:eastAsia="宋体" w:cs="宋体"/>
          <w:b/>
          <w:bCs/>
          <w:color w:val="auto"/>
          <w:sz w:val="24"/>
          <w:szCs w:val="24"/>
          <w:highlight w:val="none"/>
        </w:rPr>
        <w:t>27  承包人劳务</w:t>
      </w:r>
      <w:bookmarkEnd w:id="78"/>
      <w:bookmarkEnd w:id="79"/>
    </w:p>
    <w:p w14:paraId="428E0D95">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27.1   </w:t>
      </w:r>
    </w:p>
    <w:p w14:paraId="20A1E0FD">
      <w:pPr>
        <w:widowControl/>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1117" name="000130"/>
                <wp:cNvGraphicFramePr/>
                <a:graphic xmlns:a="http://schemas.openxmlformats.org/drawingml/2006/main">
                  <a:graphicData uri="http://schemas.microsoft.com/office/word/2010/wordprocessingShape">
                    <wps:wsp>
                      <wps:cNvSpPr/>
                      <wps:spPr>
                        <a:xfrm>
                          <a:off x="0" y="0"/>
                          <a:ext cx="914400" cy="692150"/>
                        </a:xfrm>
                        <a:prstGeom prst="rect">
                          <a:avLst/>
                        </a:prstGeom>
                        <a:ln>
                          <a:noFill/>
                        </a:ln>
                      </wps:spPr>
                      <wps:txbx>
                        <w:txbxContent>
                          <w:p w14:paraId="4368A62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wps:wsp>
                  </a:graphicData>
                </a:graphic>
              </wp:anchor>
            </w:drawing>
          </mc:Choice>
          <mc:Fallback>
            <w:pict>
              <v:rect id="000130" o:spid="_x0000_s1026" o:spt="1" style="position:absolute;left:0pt;margin-left:-9pt;margin-top:0.65pt;height:54.5pt;width:72pt;z-index:251659264;mso-width-relative:page;mso-height-relative:page;" filled="f" stroked="f" coordsize="21600,21600" o:gfxdata="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7V5BU9gAAAAJAQAADwAAAAAAAAABACAAAAAiAAAA&#10;ZHJzL2Rvd25yZXYueG1sUEsBAhQAFAAAAAgAh07iQBJ+q9+VAQAAOAMAAA4AAAAAAAAAAQAgAAAA&#10;JwEAAGRycy9lMm9Eb2MueG1sUEsFBgAAAAAGAAYAWQEAAC4FAAAAAA==&#10;">
                <v:fill on="f" focussize="0,0"/>
                <v:stroke on="f"/>
                <v:imagedata o:title=""/>
                <o:lock v:ext="edit" aspectratio="f"/>
                <v:textbox>
                  <w:txbxContent>
                    <w:p w14:paraId="4368A62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rect>
            </w:pict>
          </mc:Fallback>
        </mc:AlternateContent>
      </w:r>
      <w:r>
        <w:rPr>
          <w:rFonts w:hint="eastAsia" w:ascii="宋体" w:hAnsi="宋体" w:eastAsia="宋体" w:cs="宋体"/>
          <w:color w:val="auto"/>
          <w:sz w:val="24"/>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251C24CE">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27.2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4E47CEFC">
      <w:pPr>
        <w:widowControl/>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1118" name="000131"/>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79FD0EA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wps:wsp>
                  </a:graphicData>
                </a:graphic>
              </wp:anchor>
            </w:drawing>
          </mc:Choice>
          <mc:Fallback>
            <w:pict>
              <v:rect id="000131" o:spid="_x0000_s1026" o:spt="1" style="position:absolute;left:0pt;margin-left:-9pt;margin-top:0.65pt;height:31.2pt;width:72pt;z-index:251659264;mso-width-relative:page;mso-height-relative:page;" filled="f" stroked="f" coordsize="21600,21600" o:gfxdata="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YjukZ1wAAAAgBAAAPAAAAAAAAAAEAIAAAACIAAABk&#10;cnMvZG93bnJldi54bWxQSwECFAAUAAAACACHTuJArEj8ZJUBAAA4AwAADgAAAAAAAAABACAAAAAm&#10;AQAAZHJzL2Uyb0RvYy54bWxQSwUGAAAAAAYABgBZAQAALQUAAAAA&#10;">
                <v:fill on="f" focussize="0,0"/>
                <v:stroke on="f"/>
                <v:imagedata o:title=""/>
                <o:lock v:ext="edit" aspectratio="f"/>
                <v:textbox>
                  <w:txbxContent>
                    <w:p w14:paraId="79FD0EA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rect>
            </w:pict>
          </mc:Fallback>
        </mc:AlternateContent>
      </w:r>
      <w:r>
        <w:rPr>
          <w:rFonts w:hint="eastAsia" w:ascii="宋体" w:hAnsi="宋体" w:eastAsia="宋体" w:cs="宋体"/>
          <w:color w:val="auto"/>
          <w:sz w:val="24"/>
          <w:highlight w:val="none"/>
        </w:rPr>
        <w:t>承包人除应雇佣投标文件中“主要人员一览表”中指明的人员外，也可以雇佣经监理工程师批准的其他人员，但不得从发包人或服务于发包人的人员中雇佣人员。</w:t>
      </w:r>
    </w:p>
    <w:p w14:paraId="24E38296">
      <w:pPr>
        <w:tabs>
          <w:tab w:val="left" w:pos="162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27.3  </w:t>
      </w:r>
      <w:r>
        <w:rPr>
          <w:rFonts w:hint="eastAsia" w:ascii="宋体" w:hAnsi="宋体" w:eastAsia="宋体" w:cs="宋体"/>
          <w:b/>
          <w:bCs/>
          <w:color w:val="auto"/>
          <w:sz w:val="24"/>
          <w:highlight w:val="none"/>
          <w:u w:val="dotted"/>
        </w:rPr>
        <w:t xml:space="preserve">                                                                                                        </w:t>
      </w:r>
    </w:p>
    <w:p w14:paraId="714184F3">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1119" name="000132"/>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6692257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wps:wsp>
                  </a:graphicData>
                </a:graphic>
              </wp:anchor>
            </w:drawing>
          </mc:Choice>
          <mc:Fallback>
            <w:pict>
              <v:rect id="000132" o:spid="_x0000_s1026" o:spt="1" style="position:absolute;left:0pt;margin-left:-9pt;margin-top:4.7pt;height:39pt;width:72pt;z-index:251659264;mso-width-relative:page;mso-height-relative:page;" filled="f" stroked="f" coordsize="21600,21600" o:gfxdata="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9hi6fZAAAACAEAAA8AAAAAAAAAAQAgAAAAIgAA&#10;AGRycy9kb3ducmV2LnhtbFBLAQIUABQAAAAIAIdO4kCJ4PmPlQEAADgDAAAOAAAAAAAAAAEAIAAA&#10;ACgBAABkcnMvZTJvRG9jLnhtbFBLBQYAAAAABgAGAFkBAAAvBQAAAAA=&#10;">
                <v:fill on="f" focussize="0,0"/>
                <v:stroke on="f"/>
                <v:imagedata o:title=""/>
                <o:lock v:ext="edit" aspectratio="f"/>
                <v:textbox>
                  <w:txbxContent>
                    <w:p w14:paraId="6692257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rect>
            </w:pict>
          </mc:Fallback>
        </mc:AlternateContent>
      </w:r>
      <w:r>
        <w:rPr>
          <w:rFonts w:hint="eastAsia" w:ascii="宋体" w:hAnsi="宋体" w:eastAsia="宋体" w:cs="宋体"/>
          <w:color w:val="auto"/>
          <w:sz w:val="24"/>
          <w:highlight w:val="none"/>
        </w:rPr>
        <w:t>承包人应完善雇员的劳务注册手续，并与雇员订立劳动合同，明确双方的权利和义务。雇佣期间，承包人应做好下列工作：</w:t>
      </w:r>
    </w:p>
    <w:p w14:paraId="39A00C96">
      <w:pPr>
        <w:tabs>
          <w:tab w:val="left" w:pos="1080"/>
          <w:tab w:val="left" w:pos="2160"/>
        </w:tabs>
        <w:spacing w:line="300" w:lineRule="auto"/>
        <w:ind w:left="1619"/>
        <w:rPr>
          <w:rFonts w:ascii="宋体" w:hAnsi="宋体" w:eastAsia="宋体" w:cs="宋体"/>
          <w:color w:val="auto"/>
          <w:sz w:val="24"/>
          <w:highlight w:val="none"/>
        </w:rPr>
      </w:pPr>
      <w:r>
        <w:rPr>
          <w:rFonts w:hint="eastAsia" w:ascii="宋体" w:hAnsi="宋体" w:eastAsia="宋体" w:cs="宋体"/>
          <w:color w:val="auto"/>
          <w:sz w:val="24"/>
          <w:highlight w:val="none"/>
        </w:rPr>
        <w:t>(1)负责为雇员提供必要的食宿及各种生活设施，采取合理的卫生、劳动保护和安全防护措施，保证雇员的健康和安全；</w:t>
      </w:r>
    </w:p>
    <w:p w14:paraId="7991EA53">
      <w:pPr>
        <w:tabs>
          <w:tab w:val="left" w:pos="1080"/>
          <w:tab w:val="left" w:pos="2160"/>
        </w:tabs>
        <w:spacing w:line="300" w:lineRule="auto"/>
        <w:ind w:firstLine="1680" w:firstLineChars="700"/>
        <w:rPr>
          <w:rFonts w:ascii="宋体" w:hAnsi="宋体" w:eastAsia="宋体" w:cs="宋体"/>
          <w:color w:val="auto"/>
          <w:sz w:val="24"/>
          <w:highlight w:val="none"/>
        </w:rPr>
      </w:pPr>
      <w:r>
        <w:rPr>
          <w:rFonts w:hint="eastAsia" w:ascii="宋体" w:hAnsi="宋体" w:eastAsia="宋体" w:cs="宋体"/>
          <w:color w:val="auto"/>
          <w:sz w:val="24"/>
          <w:highlight w:val="none"/>
        </w:rPr>
        <w:t>(2)保障雇员的合法权利和人身安全，及时采取有效措施抢救和</w:t>
      </w:r>
    </w:p>
    <w:p w14:paraId="2192AA7D">
      <w:pPr>
        <w:tabs>
          <w:tab w:val="left" w:pos="1080"/>
          <w:tab w:val="left" w:pos="2160"/>
        </w:tabs>
        <w:spacing w:line="300" w:lineRule="auto"/>
        <w:ind w:firstLine="1680" w:firstLineChars="700"/>
        <w:rPr>
          <w:rFonts w:ascii="宋体" w:hAnsi="宋体" w:eastAsia="宋体" w:cs="宋体"/>
          <w:color w:val="auto"/>
          <w:sz w:val="24"/>
          <w:highlight w:val="none"/>
        </w:rPr>
      </w:pPr>
      <w:r>
        <w:rPr>
          <w:rFonts w:hint="eastAsia" w:ascii="宋体" w:hAnsi="宋体" w:eastAsia="宋体" w:cs="宋体"/>
          <w:color w:val="auto"/>
          <w:sz w:val="24"/>
          <w:highlight w:val="none"/>
        </w:rPr>
        <w:t>治疗施工中受伤害的雇员；</w:t>
      </w:r>
    </w:p>
    <w:p w14:paraId="0E73D3AA">
      <w:pPr>
        <w:tabs>
          <w:tab w:val="left" w:pos="2160"/>
        </w:tabs>
        <w:spacing w:line="300" w:lineRule="auto"/>
        <w:ind w:left="1617"/>
        <w:rPr>
          <w:rFonts w:ascii="宋体" w:hAnsi="宋体" w:eastAsia="宋体" w:cs="宋体"/>
          <w:color w:val="auto"/>
          <w:sz w:val="24"/>
          <w:highlight w:val="none"/>
        </w:rPr>
      </w:pPr>
      <w:r>
        <w:rPr>
          <w:rFonts w:hint="eastAsia" w:ascii="宋体" w:hAnsi="宋体" w:eastAsia="宋体" w:cs="宋体"/>
          <w:color w:val="auto"/>
          <w:sz w:val="24"/>
          <w:highlight w:val="none"/>
        </w:rPr>
        <w:t>(3)充分考虑和保障雇员的休息时间和法定节假日休假时间，尊重雇员的宗教信仰和风俗习惯；</w:t>
      </w:r>
    </w:p>
    <w:p w14:paraId="6814FF8F">
      <w:pPr>
        <w:tabs>
          <w:tab w:val="left" w:pos="1080"/>
          <w:tab w:val="left" w:pos="2160"/>
        </w:tabs>
        <w:spacing w:line="300" w:lineRule="auto"/>
        <w:ind w:left="1617"/>
        <w:rPr>
          <w:rFonts w:ascii="宋体" w:hAnsi="宋体" w:eastAsia="宋体" w:cs="宋体"/>
          <w:color w:val="auto"/>
          <w:sz w:val="24"/>
          <w:highlight w:val="none"/>
        </w:rPr>
      </w:pPr>
      <w:r>
        <w:rPr>
          <w:rFonts w:hint="eastAsia" w:ascii="宋体" w:hAnsi="宋体" w:eastAsia="宋体" w:cs="宋体"/>
          <w:color w:val="auto"/>
          <w:sz w:val="24"/>
          <w:highlight w:val="none"/>
        </w:rPr>
        <w:t>(4)在施工现场主要出入口处设榜公布雇员工资发放时间和投诉电话，以及合同工程中标价格、进度款支付情况。</w:t>
      </w:r>
    </w:p>
    <w:p w14:paraId="47856675">
      <w:pPr>
        <w:tabs>
          <w:tab w:val="left" w:pos="1080"/>
          <w:tab w:val="left" w:pos="2160"/>
        </w:tabs>
        <w:spacing w:line="300" w:lineRule="auto"/>
        <w:ind w:left="1617"/>
        <w:rPr>
          <w:rFonts w:ascii="宋体" w:hAnsi="宋体" w:eastAsia="宋体" w:cs="宋体"/>
          <w:color w:val="auto"/>
          <w:sz w:val="24"/>
          <w:highlight w:val="none"/>
        </w:rPr>
      </w:pPr>
      <w:r>
        <w:rPr>
          <w:rFonts w:hint="eastAsia" w:ascii="宋体" w:hAnsi="宋体" w:eastAsia="宋体" w:cs="宋体"/>
          <w:color w:val="auto"/>
          <w:sz w:val="24"/>
          <w:highlight w:val="none"/>
        </w:rPr>
        <w:t>(5)督促雇员和发包人现场人员应佩戴由合同双方当事人共同盖章、签发的工作证上岗；</w:t>
      </w:r>
    </w:p>
    <w:p w14:paraId="2D77F5DF">
      <w:pPr>
        <w:tabs>
          <w:tab w:val="left" w:pos="1080"/>
          <w:tab w:val="left" w:pos="2160"/>
        </w:tabs>
        <w:spacing w:line="300" w:lineRule="auto"/>
        <w:ind w:left="1619"/>
        <w:rPr>
          <w:rFonts w:ascii="宋体" w:hAnsi="宋体" w:eastAsia="宋体" w:cs="宋体"/>
          <w:color w:val="auto"/>
          <w:sz w:val="24"/>
          <w:highlight w:val="none"/>
        </w:rPr>
      </w:pPr>
      <w:r>
        <w:rPr>
          <w:rFonts w:hint="eastAsia" w:ascii="宋体" w:hAnsi="宋体" w:eastAsia="宋体" w:cs="宋体"/>
          <w:color w:val="auto"/>
          <w:sz w:val="24"/>
          <w:highlight w:val="none"/>
        </w:rPr>
        <w:t>(6)办理雇员的意外伤害等一切保险，处理雇员因工伤亡事故的善后事宜。</w:t>
      </w:r>
    </w:p>
    <w:p w14:paraId="3DEE6395">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27.4  </w:t>
      </w:r>
      <w:r>
        <w:rPr>
          <w:rFonts w:hint="eastAsia" w:ascii="宋体" w:hAnsi="宋体" w:eastAsia="宋体" w:cs="宋体"/>
          <w:b/>
          <w:bCs/>
          <w:color w:val="auto"/>
          <w:sz w:val="24"/>
          <w:highlight w:val="none"/>
          <w:u w:val="dotted"/>
        </w:rPr>
        <w:t xml:space="preserve">                                                                                                        </w:t>
      </w:r>
    </w:p>
    <w:p w14:paraId="64E81816">
      <w:pPr>
        <w:pStyle w:val="35"/>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1120" name="000133"/>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651F6FE8">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wps:wsp>
                  </a:graphicData>
                </a:graphic>
              </wp:anchor>
            </w:drawing>
          </mc:Choice>
          <mc:Fallback>
            <w:pict>
              <v:rect id="000133" o:spid="_x0000_s1026" o:spt="1" style="position:absolute;left:0pt;margin-left:-9pt;margin-top:0pt;height:54.6pt;width:72pt;z-index:251659264;mso-width-relative:page;mso-height-relative:page;" filled="f" stroked="f" coordsize="21600,21600" o:gfxdata="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&#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AaJS82AAAAAgBAAAPAAAAAAAAAAEAIAAAACIAAABk&#10;cnMvZG93bnJldi54bWxQSwECFAAUAAAACACHTuJALMRjkJQBAAA4AwAADgAAAAAAAAABACAAAAAn&#10;AQAAZHJzL2Uyb0RvYy54bWxQSwUGAAAAAAYABgBZAQAALQUAAAAA&#10;">
                <v:fill on="f" focussize="0,0"/>
                <v:stroke on="f"/>
                <v:imagedata o:title=""/>
                <o:lock v:ext="edit" aspectratio="f"/>
                <v:textbox>
                  <w:txbxContent>
                    <w:p w14:paraId="651F6FE8">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v:textbox>
              </v:rect>
            </w:pict>
          </mc:Fallback>
        </mc:AlternateContent>
      </w:r>
      <w:r>
        <w:rPr>
          <w:rFonts w:hint="eastAsia" w:ascii="宋体" w:eastAsia="宋体" w:cs="宋体"/>
          <w:color w:val="auto"/>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7A226AE5">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27.5  </w:t>
      </w:r>
      <w:r>
        <w:rPr>
          <w:rFonts w:hint="eastAsia" w:ascii="宋体" w:hAnsi="宋体" w:eastAsia="宋体" w:cs="宋体"/>
          <w:b/>
          <w:bCs/>
          <w:color w:val="auto"/>
          <w:sz w:val="24"/>
          <w:highlight w:val="none"/>
          <w:u w:val="dotted"/>
        </w:rPr>
        <w:t xml:space="preserve">                                                                                                        </w:t>
      </w:r>
    </w:p>
    <w:p w14:paraId="647075C3">
      <w:pPr>
        <w:pStyle w:val="35"/>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1121" name="000134"/>
                <wp:cNvGraphicFramePr/>
                <a:graphic xmlns:a="http://schemas.openxmlformats.org/drawingml/2006/main">
                  <a:graphicData uri="http://schemas.microsoft.com/office/word/2010/wordprocessingShape">
                    <wps:wsp>
                      <wps:cNvSpPr/>
                      <wps:spPr>
                        <a:xfrm>
                          <a:off x="0" y="0"/>
                          <a:ext cx="914400" cy="480695"/>
                        </a:xfrm>
                        <a:prstGeom prst="rect">
                          <a:avLst/>
                        </a:prstGeom>
                        <a:ln>
                          <a:noFill/>
                        </a:ln>
                      </wps:spPr>
                      <wps:txbx>
                        <w:txbxContent>
                          <w:p w14:paraId="3C36B995">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wps:wsp>
                  </a:graphicData>
                </a:graphic>
              </wp:anchor>
            </w:drawing>
          </mc:Choice>
          <mc:Fallback>
            <w:pict>
              <v:rect id="000134" o:spid="_x0000_s1026" o:spt="1" style="position:absolute;left:0pt;margin-left:-9pt;margin-top:0pt;height:37.85pt;width:72pt;z-index:251659264;mso-width-relative:page;mso-height-relative:page;" filled="f" stroked="f" coordsize="21600,21600" o:gfxdata="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odAVtgAAAAHAQAADwAAAAAAAAABACAAAAAiAAAA&#10;ZHJzL2Rvd25yZXYueG1sUEsBAhQAFAAAAAgAh07iQC20ShyVAQAAOAMAAA4AAAAAAAAAAQAgAAAA&#10;JwEAAGRycy9lMm9Eb2MueG1sUEsFBgAAAAAGAAYAWQEAAC4FAAAAAA==&#10;">
                <v:fill on="f" focussize="0,0"/>
                <v:stroke on="f"/>
                <v:imagedata o:title=""/>
                <o:lock v:ext="edit" aspectratio="f"/>
                <v:textbox>
                  <w:txbxContent>
                    <w:p w14:paraId="3C36B995">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v:textbox>
              </v:rect>
            </w:pict>
          </mc:Fallback>
        </mc:AlternateContent>
      </w:r>
      <w:r>
        <w:rPr>
          <w:rFonts w:hint="eastAsia" w:ascii="宋体" w:eastAsia="宋体" w:cs="宋体"/>
          <w:color w:val="auto"/>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53C2053F">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27.6  </w:t>
      </w:r>
      <w:r>
        <w:rPr>
          <w:rFonts w:hint="eastAsia" w:ascii="宋体" w:hAnsi="宋体" w:eastAsia="宋体" w:cs="宋体"/>
          <w:b/>
          <w:bCs/>
          <w:color w:val="auto"/>
          <w:sz w:val="24"/>
          <w:highlight w:val="none"/>
          <w:u w:val="dotted"/>
        </w:rPr>
        <w:t xml:space="preserve">                                                                                                        </w:t>
      </w:r>
    </w:p>
    <w:p w14:paraId="480E4B2E">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1122" name="000135"/>
                <wp:cNvGraphicFramePr/>
                <a:graphic xmlns:a="http://schemas.openxmlformats.org/drawingml/2006/main">
                  <a:graphicData uri="http://schemas.microsoft.com/office/word/2010/wordprocessingShape">
                    <wps:wsp>
                      <wps:cNvSpPr/>
                      <wps:spPr>
                        <a:xfrm>
                          <a:off x="0" y="0"/>
                          <a:ext cx="914400" cy="891540"/>
                        </a:xfrm>
                        <a:prstGeom prst="rect">
                          <a:avLst/>
                        </a:prstGeom>
                        <a:ln>
                          <a:noFill/>
                        </a:ln>
                      </wps:spPr>
                      <wps:txbx>
                        <w:txbxContent>
                          <w:p w14:paraId="65734CB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wps:wsp>
                  </a:graphicData>
                </a:graphic>
              </wp:anchor>
            </w:drawing>
          </mc:Choice>
          <mc:Fallback>
            <w:pict>
              <v:rect id="000135" o:spid="_x0000_s1026" o:spt="1" style="position:absolute;left:0pt;margin-left:-9pt;margin-top:0pt;height:70.2pt;width:72pt;z-index:251659264;mso-width-relative:page;mso-height-relative:page;" filled="f" stroked="f" coordsize="21600,21600" o:gfxdata="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yKDcvYAAAACAEAAA8AAAAAAAAAAQAgAAAAIgAA&#10;AGRycy9kb3ducmV2LnhtbFBLAQIUABQAAAAIAIdO4kCe5cb4lgEAADgDAAAOAAAAAAAAAAEAIAAA&#10;ACcBAABkcnMvZTJvRG9jLnhtbFBLBQYAAAAABgAGAFkBAAAvBQAAAAA=&#10;">
                <v:fill on="f" focussize="0,0"/>
                <v:stroke on="f"/>
                <v:imagedata o:title=""/>
                <o:lock v:ext="edit" aspectratio="f"/>
                <v:textbox>
                  <w:txbxContent>
                    <w:p w14:paraId="65734CB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rect>
            </w:pict>
          </mc:Fallback>
        </mc:AlternateContent>
      </w:r>
      <w:r>
        <w:rPr>
          <w:rFonts w:hint="eastAsia" w:ascii="宋体" w:hAnsi="宋体" w:eastAsia="宋体" w:cs="宋体"/>
          <w:color w:val="auto"/>
          <w:sz w:val="24"/>
          <w:highlight w:val="none"/>
        </w:rPr>
        <w:t>承包人的雇员应是在行业或职业内具有相应资格、技能和经验的人员。承包人应向施工场地派遣足够数量的下列雇员：</w:t>
      </w:r>
    </w:p>
    <w:p w14:paraId="62EFAF20">
      <w:pPr>
        <w:numPr>
          <w:ilvl w:val="1"/>
          <w:numId w:val="11"/>
        </w:numPr>
        <w:tabs>
          <w:tab w:val="left" w:pos="2160"/>
          <w:tab w:val="left" w:pos="234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 xml:space="preserve">具有相应资格的专业技工和合格的普工； </w:t>
      </w:r>
    </w:p>
    <w:p w14:paraId="76779B45">
      <w:pPr>
        <w:numPr>
          <w:ilvl w:val="1"/>
          <w:numId w:val="11"/>
        </w:numPr>
        <w:tabs>
          <w:tab w:val="left" w:pos="2160"/>
          <w:tab w:val="left" w:pos="234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具有相应施工经验的技术人员；</w:t>
      </w:r>
    </w:p>
    <w:p w14:paraId="048B6D79">
      <w:pPr>
        <w:numPr>
          <w:ilvl w:val="1"/>
          <w:numId w:val="11"/>
        </w:numPr>
        <w:tabs>
          <w:tab w:val="left" w:pos="2160"/>
          <w:tab w:val="left" w:pos="234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具有相应岗位资格的各级管理人员。</w:t>
      </w:r>
    </w:p>
    <w:p w14:paraId="52D61826">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27.7  </w:t>
      </w:r>
      <w:r>
        <w:rPr>
          <w:rFonts w:hint="eastAsia" w:ascii="宋体" w:hAnsi="宋体" w:eastAsia="宋体" w:cs="宋体"/>
          <w:b/>
          <w:bCs/>
          <w:color w:val="auto"/>
          <w:sz w:val="24"/>
          <w:highlight w:val="none"/>
          <w:u w:val="dotted"/>
        </w:rPr>
        <w:t xml:space="preserve">                                                                                                        </w:t>
      </w:r>
    </w:p>
    <w:p w14:paraId="42F66FA9">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1123" name="000136"/>
                <wp:cNvGraphicFramePr/>
                <a:graphic xmlns:a="http://schemas.openxmlformats.org/drawingml/2006/main">
                  <a:graphicData uri="http://schemas.microsoft.com/office/word/2010/wordprocessingShape">
                    <wps:wsp>
                      <wps:cNvSpPr/>
                      <wps:spPr>
                        <a:xfrm>
                          <a:off x="0" y="0"/>
                          <a:ext cx="914400" cy="511175"/>
                        </a:xfrm>
                        <a:prstGeom prst="rect">
                          <a:avLst/>
                        </a:prstGeom>
                        <a:ln>
                          <a:noFill/>
                        </a:ln>
                      </wps:spPr>
                      <wps:txbx>
                        <w:txbxContent>
                          <w:p w14:paraId="7499005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wps:wsp>
                  </a:graphicData>
                </a:graphic>
              </wp:anchor>
            </w:drawing>
          </mc:Choice>
          <mc:Fallback>
            <w:pict>
              <v:rect id="000136" o:spid="_x0000_s1026" o:spt="1" style="position:absolute;left:0pt;margin-left:-9pt;margin-top:0pt;height:40.25pt;width:72pt;z-index:251659264;mso-width-relative:page;mso-height-relative:page;" filled="f" stroked="f" coordsize="21600,21600" o:gfxdata="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t5rRdgAAAAHAQAADwAAAAAAAAABACAAAAAiAAAA&#10;ZHJzL2Rvd25yZXYueG1sUEsBAhQAFAAAAAgAh07iQKzZBkqVAQAAOAMAAA4AAAAAAAAAAQAgAAAA&#10;JwEAAGRycy9lMm9Eb2MueG1sUEsFBgAAAAAGAAYAWQEAAC4FAAAAAA==&#10;">
                <v:fill on="f" focussize="0,0"/>
                <v:stroke on="f"/>
                <v:imagedata o:title=""/>
                <o:lock v:ext="edit" aspectratio="f"/>
                <v:textbox>
                  <w:txbxContent>
                    <w:p w14:paraId="7499005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rect>
            </w:pict>
          </mc:Fallback>
        </mc:AlternateContent>
      </w:r>
      <w:r>
        <w:rPr>
          <w:rFonts w:hint="eastAsia" w:ascii="宋体" w:hAnsi="宋体" w:eastAsia="宋体" w:cs="宋体"/>
          <w:color w:val="auto"/>
          <w:sz w:val="24"/>
          <w:highlight w:val="none"/>
        </w:rPr>
        <w:t>承包人安排在施工场地的雇员应保持相对稳定，但有下列行为的任何承包人雇员，监理工程师可要求承包人将其撤换：</w:t>
      </w:r>
    </w:p>
    <w:p w14:paraId="5E35F80C">
      <w:pPr>
        <w:numPr>
          <w:ilvl w:val="0"/>
          <w:numId w:val="12"/>
        </w:numPr>
        <w:tabs>
          <w:tab w:val="left" w:pos="2160"/>
        </w:tabs>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经常行为不当，或工作漫不经心；</w:t>
      </w:r>
    </w:p>
    <w:p w14:paraId="00A0AB68">
      <w:pPr>
        <w:numPr>
          <w:ilvl w:val="0"/>
          <w:numId w:val="12"/>
        </w:numPr>
        <w:tabs>
          <w:tab w:val="left" w:pos="2160"/>
        </w:tabs>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无能力履行义务或玩忽职守；</w:t>
      </w:r>
    </w:p>
    <w:p w14:paraId="0127516D">
      <w:pPr>
        <w:numPr>
          <w:ilvl w:val="0"/>
          <w:numId w:val="12"/>
        </w:numPr>
        <w:tabs>
          <w:tab w:val="left" w:pos="2160"/>
        </w:tabs>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不遵守合同的约定；</w:t>
      </w:r>
    </w:p>
    <w:p w14:paraId="399D8E4F">
      <w:pPr>
        <w:numPr>
          <w:ilvl w:val="0"/>
          <w:numId w:val="12"/>
        </w:numPr>
        <w:tabs>
          <w:tab w:val="left" w:pos="2160"/>
        </w:tabs>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有损安全、健康和不利于环境保护的行为。</w:t>
      </w:r>
    </w:p>
    <w:p w14:paraId="33365CD7">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27.8  </w:t>
      </w:r>
      <w:r>
        <w:rPr>
          <w:rFonts w:hint="eastAsia" w:ascii="宋体" w:hAnsi="宋体" w:eastAsia="宋体" w:cs="宋体"/>
          <w:b/>
          <w:bCs/>
          <w:color w:val="auto"/>
          <w:sz w:val="24"/>
          <w:highlight w:val="none"/>
          <w:u w:val="dotted"/>
        </w:rPr>
        <w:t xml:space="preserve">                                                                                                        </w:t>
      </w:r>
    </w:p>
    <w:p w14:paraId="6B7C273A">
      <w:pPr>
        <w:pStyle w:val="35"/>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1124" name="000137"/>
                <wp:cNvGraphicFramePr/>
                <a:graphic xmlns:a="http://schemas.openxmlformats.org/drawingml/2006/main">
                  <a:graphicData uri="http://schemas.microsoft.com/office/word/2010/wordprocessingShape">
                    <wps:wsp>
                      <wps:cNvSpPr/>
                      <wps:spPr>
                        <a:xfrm>
                          <a:off x="0" y="0"/>
                          <a:ext cx="914400" cy="434975"/>
                        </a:xfrm>
                        <a:prstGeom prst="rect">
                          <a:avLst/>
                        </a:prstGeom>
                        <a:ln>
                          <a:noFill/>
                        </a:ln>
                      </wps:spPr>
                      <wps:txbx>
                        <w:txbxContent>
                          <w:p w14:paraId="7DB8DF88">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wps:wsp>
                  </a:graphicData>
                </a:graphic>
              </wp:anchor>
            </w:drawing>
          </mc:Choice>
          <mc:Fallback>
            <w:pict>
              <v:rect id="000137" o:spid="_x0000_s1026" o:spt="1" style="position:absolute;left:0pt;margin-left:-9pt;margin-top:0pt;height:34.25pt;width:72pt;z-index:251659264;mso-width-relative:page;mso-height-relative:page;" filled="f" stroked="f" coordsize="21600,21600" o:gfxdata="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AR/C9cAAAAHAQAADwAAAAAAAAABACAAAAAiAAAA&#10;ZHJzL2Rvd25yZXYueG1sUEsBAhQAFAAAAAgAh07iQFp2wgeWAQAAOAMAAA4AAAAAAAAAAQAgAAAA&#10;JgEAAGRycy9lMm9Eb2MueG1sUEsFBgAAAAAGAAYAWQEAAC4FAAAAAA==&#10;">
                <v:fill on="f" focussize="0,0"/>
                <v:stroke on="f"/>
                <v:imagedata o:title=""/>
                <o:lock v:ext="edit" aspectratio="f"/>
                <v:textbox>
                  <w:txbxContent>
                    <w:p w14:paraId="7DB8DF88">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rect>
            </w:pict>
          </mc:Fallback>
        </mc:AlternateContent>
      </w:r>
      <w:r>
        <w:rPr>
          <w:rFonts w:hint="eastAsia" w:ascii="宋体" w:eastAsia="宋体" w:cs="宋体"/>
          <w:color w:val="auto"/>
          <w:highlight w:val="none"/>
        </w:rPr>
        <w:t>承包人应自始至终采取各种合理的预防措施，防止雇员内部发生打斗和任何无序、非法的不良行为，以确保现场安定和保护现场及邻近人员的生命、财产安全。</w:t>
      </w:r>
    </w:p>
    <w:p w14:paraId="7EE5F8DD">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u w:val="single"/>
        </w:rPr>
        <w:t xml:space="preserve">                                                                                                              </w:t>
      </w:r>
    </w:p>
    <w:p w14:paraId="09285EF6">
      <w:pPr>
        <w:pStyle w:val="24"/>
        <w:adjustRightInd w:val="0"/>
        <w:snapToGrid w:val="0"/>
        <w:spacing w:line="300" w:lineRule="auto"/>
        <w:ind w:right="-238"/>
        <w:jc w:val="center"/>
        <w:outlineLvl w:val="1"/>
        <w:rPr>
          <w:rFonts w:hAnsi="宋体" w:eastAsia="宋体" w:cs="宋体"/>
          <w:b/>
          <w:bCs/>
          <w:color w:val="auto"/>
          <w:sz w:val="24"/>
          <w:szCs w:val="24"/>
          <w:highlight w:val="none"/>
        </w:rPr>
      </w:pPr>
      <w:bookmarkStart w:id="80" w:name="_Toc46860829"/>
      <w:bookmarkStart w:id="81" w:name="_Toc469384008"/>
      <w:r>
        <w:rPr>
          <w:rFonts w:hint="eastAsia" w:hAnsi="宋体" w:eastAsia="宋体" w:cs="宋体"/>
          <w:b/>
          <w:bCs/>
          <w:color w:val="auto"/>
          <w:sz w:val="24"/>
          <w:szCs w:val="24"/>
          <w:highlight w:val="none"/>
        </w:rPr>
        <w:t>三、担保、保险与风险</w:t>
      </w:r>
      <w:bookmarkEnd w:id="80"/>
      <w:bookmarkEnd w:id="81"/>
    </w:p>
    <w:p w14:paraId="3A14B61D">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82" w:name="_Toc46860830"/>
      <w:bookmarkStart w:id="83" w:name="_Toc469384009"/>
      <w:r>
        <w:rPr>
          <w:rFonts w:hint="eastAsia" w:hAnsi="宋体" w:eastAsia="宋体" w:cs="宋体"/>
          <w:b/>
          <w:bCs/>
          <w:color w:val="auto"/>
          <w:sz w:val="24"/>
          <w:szCs w:val="24"/>
          <w:highlight w:val="none"/>
        </w:rPr>
        <w:t>28  工程担保</w:t>
      </w:r>
      <w:bookmarkEnd w:id="82"/>
      <w:bookmarkEnd w:id="83"/>
    </w:p>
    <w:p w14:paraId="735CA60D">
      <w:pPr>
        <w:pStyle w:val="24"/>
        <w:tabs>
          <w:tab w:val="left" w:pos="1320"/>
        </w:tabs>
        <w:adjustRightInd w:val="0"/>
        <w:snapToGrid w:val="0"/>
        <w:spacing w:line="300" w:lineRule="auto"/>
        <w:ind w:right="-240"/>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125" name="000138"/>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1C5EFDB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wps:wsp>
                  </a:graphicData>
                </a:graphic>
              </wp:anchor>
            </w:drawing>
          </mc:Choice>
          <mc:Fallback>
            <w:pict>
              <v:rect id="000138" o:spid="_x0000_s1026" o:spt="1" style="position:absolute;left:0pt;margin-left:-9pt;margin-top:19.2pt;height:31.2pt;width:72pt;z-index:251659264;mso-width-relative:page;mso-height-relative:page;" filled="f" stroked="f" coordsize="21600,21600" o:gfxdata="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7GMaNdoAAAAKAQAADwAAAAAAAAABACAAAAAi&#10;AAAAZHJzL2Rvd25yZXYueG1sUEsBAhQAFAAAAAgAh07iQKzoCCmWAQAAOAMAAA4AAAAAAAAAAQAg&#10;AAAAKQEAAGRycy9lMm9Eb2MueG1sUEsFBgAAAAAGAAYAWQEAADEFAAAAAA==&#10;">
                <v:fill on="f" focussize="0,0"/>
                <v:stroke on="f"/>
                <v:imagedata o:title=""/>
                <o:lock v:ext="edit" aspectratio="f"/>
                <v:textbox>
                  <w:txbxContent>
                    <w:p w14:paraId="1C5EFDB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rect>
            </w:pict>
          </mc:Fallback>
        </mc:AlternateContent>
      </w:r>
      <w:r>
        <w:rPr>
          <w:rFonts w:hint="eastAsia" w:hAnsi="宋体" w:eastAsia="宋体" w:cs="宋体"/>
          <w:b/>
          <w:bCs/>
          <w:color w:val="auto"/>
          <w:sz w:val="24"/>
          <w:szCs w:val="24"/>
          <w:highlight w:val="none"/>
        </w:rPr>
        <w:t xml:space="preserve">28.1       </w:t>
      </w:r>
    </w:p>
    <w:p w14:paraId="2E33AAC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eastAsia="宋体" w:cs="宋体"/>
          <w:color w:val="auto"/>
          <w:sz w:val="24"/>
          <w:szCs w:val="24"/>
          <w:highlight w:val="none"/>
          <w:shd w:val="clear" w:color="auto" w:fill="FFFFFF"/>
        </w:rPr>
        <w:t>履约保证保险</w:t>
      </w:r>
      <w:r>
        <w:rPr>
          <w:rFonts w:hint="eastAsia" w:hAnsi="宋体" w:eastAsia="宋体" w:cs="宋体"/>
          <w:color w:val="auto"/>
          <w:sz w:val="24"/>
          <w:szCs w:val="24"/>
          <w:highlight w:val="none"/>
        </w:rPr>
        <w:t>的形式，提供履约保函、担保公司担保、</w:t>
      </w:r>
      <w:r>
        <w:rPr>
          <w:rFonts w:hint="eastAsia" w:hAnsi="宋体" w:eastAsia="宋体" w:cs="宋体"/>
          <w:color w:val="auto"/>
          <w:sz w:val="24"/>
          <w:szCs w:val="24"/>
          <w:highlight w:val="none"/>
          <w:shd w:val="clear" w:color="auto" w:fill="FFFFFF"/>
        </w:rPr>
        <w:t>履约保证保险</w:t>
      </w:r>
      <w:r>
        <w:rPr>
          <w:rFonts w:hint="eastAsia" w:hAnsi="宋体" w:eastAsia="宋体" w:cs="宋体"/>
          <w:color w:val="auto"/>
          <w:sz w:val="24"/>
          <w:szCs w:val="24"/>
          <w:highlight w:val="none"/>
        </w:rPr>
        <w:t>所发生的费用由承包人承担。</w:t>
      </w:r>
    </w:p>
    <w:p w14:paraId="170DBA0B">
      <w:pPr>
        <w:pStyle w:val="24"/>
        <w:tabs>
          <w:tab w:val="left" w:pos="1320"/>
        </w:tabs>
        <w:adjustRightInd w:val="0"/>
        <w:snapToGrid w:val="0"/>
        <w:spacing w:line="300" w:lineRule="auto"/>
        <w:ind w:right="-240"/>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255270</wp:posOffset>
                </wp:positionV>
                <wp:extent cx="914400" cy="394970"/>
                <wp:effectExtent l="0" t="0" r="0" b="0"/>
                <wp:wrapNone/>
                <wp:docPr id="1126" name="000139"/>
                <wp:cNvGraphicFramePr/>
                <a:graphic xmlns:a="http://schemas.openxmlformats.org/drawingml/2006/main">
                  <a:graphicData uri="http://schemas.microsoft.com/office/word/2010/wordprocessingShape">
                    <wps:wsp>
                      <wps:cNvSpPr/>
                      <wps:spPr>
                        <a:xfrm>
                          <a:off x="0" y="0"/>
                          <a:ext cx="914400" cy="394969"/>
                        </a:xfrm>
                        <a:prstGeom prst="rect">
                          <a:avLst/>
                        </a:prstGeom>
                        <a:ln>
                          <a:noFill/>
                        </a:ln>
                      </wps:spPr>
                      <wps:txbx>
                        <w:txbxContent>
                          <w:p w14:paraId="3E38733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wps:wsp>
                  </a:graphicData>
                </a:graphic>
              </wp:anchor>
            </w:drawing>
          </mc:Choice>
          <mc:Fallback>
            <w:pict>
              <v:rect id="000139" o:spid="_x0000_s1026" o:spt="1" style="position:absolute;left:0pt;margin-left:-9pt;margin-top:20.1pt;height:31.1pt;width:72pt;z-index:251659264;mso-width-relative:page;mso-height-relative:page;" filled="f" stroked="f" coordsize="21600,21600" o:gfxdata="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7VwLtoAAAAKAQAADwAAAAAAAAABACAAAAAi&#10;AAAAZHJzL2Rvd25yZXYueG1sUEsBAhQAFAAAAAgAh07iQFjWI5iWAQAAOAMAAA4AAAAAAAAAAQAg&#10;AAAAKQEAAGRycy9lMm9Eb2MueG1sUEsFBgAAAAAGAAYAWQEAADEFAAAAAA==&#10;">
                <v:fill on="f" focussize="0,0"/>
                <v:stroke on="f"/>
                <v:imagedata o:title=""/>
                <o:lock v:ext="edit" aspectratio="f"/>
                <v:textbox>
                  <w:txbxContent>
                    <w:p w14:paraId="3E38733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rect>
            </w:pict>
          </mc:Fallback>
        </mc:AlternateContent>
      </w:r>
      <w:r>
        <w:rPr>
          <w:rFonts w:hint="eastAsia" w:hAnsi="宋体" w:eastAsia="宋体" w:cs="宋体"/>
          <w:b/>
          <w:bCs/>
          <w:color w:val="auto"/>
          <w:sz w:val="24"/>
          <w:szCs w:val="24"/>
          <w:highlight w:val="none"/>
        </w:rPr>
        <w:t xml:space="preserve">28.2  </w:t>
      </w:r>
      <w:r>
        <w:rPr>
          <w:rFonts w:hint="eastAsia" w:hAnsi="宋体" w:eastAsia="宋体" w:cs="宋体"/>
          <w:b/>
          <w:bCs/>
          <w:color w:val="auto"/>
          <w:sz w:val="24"/>
          <w:szCs w:val="24"/>
          <w:highlight w:val="none"/>
          <w:u w:val="dotted"/>
        </w:rPr>
        <w:t xml:space="preserve">                                                                             </w:t>
      </w:r>
    </w:p>
    <w:p w14:paraId="65A970D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履约担保的有效期，是从提供履约担保之日起至合同工程竣工验收合格之日止。发包人应在担保有效期满后的14 天内将此担保退还给承包人。</w:t>
      </w:r>
    </w:p>
    <w:p w14:paraId="1363492B">
      <w:pPr>
        <w:pStyle w:val="24"/>
        <w:tabs>
          <w:tab w:val="left" w:pos="13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127" name="00013a"/>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07E9146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wps:txbx>
                      <wps:bodyPr wrap="square"/>
                    </wps:wsp>
                  </a:graphicData>
                </a:graphic>
              </wp:anchor>
            </w:drawing>
          </mc:Choice>
          <mc:Fallback>
            <w:pict>
              <v:rect id="00013a" o:spid="_x0000_s1026" o:spt="1" style="position:absolute;left:0pt;margin-left:-9pt;margin-top:19.6pt;height:39pt;width:72pt;z-index:251659264;mso-width-relative:page;mso-height-relative:page;" filled="f" stroked="f" coordsize="21600,21600" o:gfxdata="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97bD9sAAAAKAQAADwAAAAAAAAABACAAAAAi&#10;AAAAZHJzL2Rvd25yZXYueG1sUEsBAhQAFAAAAAgAh07iQE2duhuVAQAAOAMAAA4AAAAAAAAAAQAg&#10;AAAAKgEAAGRycy9lMm9Eb2MueG1sUEsFBgAAAAAGAAYAWQEAADEFAAAAAA==&#10;">
                <v:fill on="f" focussize="0,0"/>
                <v:stroke on="f"/>
                <v:imagedata o:title=""/>
                <o:lock v:ext="edit" aspectratio="f"/>
                <v:textbox>
                  <w:txbxContent>
                    <w:p w14:paraId="07E9146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v:textbox>
              </v:rect>
            </w:pict>
          </mc:Fallback>
        </mc:AlternateContent>
      </w:r>
      <w:r>
        <w:rPr>
          <w:rFonts w:hint="eastAsia" w:hAnsi="宋体" w:eastAsia="宋体" w:cs="宋体"/>
          <w:b/>
          <w:bCs/>
          <w:color w:val="auto"/>
          <w:sz w:val="24"/>
          <w:szCs w:val="24"/>
          <w:highlight w:val="none"/>
        </w:rPr>
        <w:t xml:space="preserve">28.3  </w:t>
      </w:r>
      <w:r>
        <w:rPr>
          <w:rFonts w:hint="eastAsia" w:hAnsi="宋体" w:eastAsia="宋体" w:cs="宋体"/>
          <w:b/>
          <w:bCs/>
          <w:color w:val="auto"/>
          <w:sz w:val="24"/>
          <w:szCs w:val="24"/>
          <w:highlight w:val="none"/>
          <w:u w:val="dotted"/>
        </w:rPr>
        <w:t xml:space="preserve">                                                                             </w:t>
      </w:r>
    </w:p>
    <w:p w14:paraId="1E94C721">
      <w:pPr>
        <w:pStyle w:val="24"/>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5B64EF7F">
      <w:pPr>
        <w:pStyle w:val="24"/>
        <w:tabs>
          <w:tab w:val="left" w:pos="540"/>
          <w:tab w:val="left" w:pos="7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128" name="00013b"/>
                <wp:cNvGraphicFramePr/>
                <a:graphic xmlns:a="http://schemas.openxmlformats.org/drawingml/2006/main">
                  <a:graphicData uri="http://schemas.microsoft.com/office/word/2010/wordprocessingShape">
                    <wps:wsp>
                      <wps:cNvSpPr/>
                      <wps:spPr>
                        <a:xfrm>
                          <a:off x="0" y="0"/>
                          <a:ext cx="914400" cy="417829"/>
                        </a:xfrm>
                        <a:prstGeom prst="rect">
                          <a:avLst/>
                        </a:prstGeom>
                        <a:ln>
                          <a:noFill/>
                        </a:ln>
                      </wps:spPr>
                      <wps:txbx>
                        <w:txbxContent>
                          <w:p w14:paraId="1823636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wps:txbx>
                      <wps:bodyPr wrap="square"/>
                    </wps:wsp>
                  </a:graphicData>
                </a:graphic>
              </wp:anchor>
            </w:drawing>
          </mc:Choice>
          <mc:Fallback>
            <w:pict>
              <v:rect id="00013b" o:spid="_x0000_s1026" o:spt="1" style="position:absolute;left:0pt;margin-left:-9pt;margin-top:19.8pt;height:32.9pt;width:72pt;z-index:251659264;mso-width-relative:page;mso-height-relative:page;" filled="f" stroked="f" coordsize="21600,21600" o:gfxdata="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CXZAqdsAAAAKAQAADwAAAAAAAAABACAAAAAi&#10;AAAAZHJzL2Rvd25yZXYueG1sUEsBAhQAFAAAAAgAh07iQC6uJKmVAQAAOAMAAA4AAAAAAAAAAQAg&#10;AAAAKgEAAGRycy9lMm9Eb2MueG1sUEsFBgAAAAAGAAYAWQEAADEFAAAAAA==&#10;">
                <v:fill on="f" focussize="0,0"/>
                <v:stroke on="f"/>
                <v:imagedata o:title=""/>
                <o:lock v:ext="edit" aspectratio="f"/>
                <v:textbox>
                  <w:txbxContent>
                    <w:p w14:paraId="1823636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v:textbox>
              </v:rect>
            </w:pict>
          </mc:Fallback>
        </mc:AlternateContent>
      </w:r>
      <w:r>
        <w:rPr>
          <w:rFonts w:hint="eastAsia" w:hAnsi="宋体" w:eastAsia="宋体" w:cs="宋体"/>
          <w:b/>
          <w:bCs/>
          <w:color w:val="auto"/>
          <w:sz w:val="24"/>
          <w:szCs w:val="24"/>
          <w:highlight w:val="none"/>
        </w:rPr>
        <w:t xml:space="preserve">28.4  </w:t>
      </w:r>
      <w:r>
        <w:rPr>
          <w:rFonts w:hint="eastAsia" w:hAnsi="宋体" w:eastAsia="宋体" w:cs="宋体"/>
          <w:b/>
          <w:bCs/>
          <w:color w:val="auto"/>
          <w:sz w:val="24"/>
          <w:szCs w:val="24"/>
          <w:highlight w:val="none"/>
          <w:u w:val="dotted"/>
        </w:rPr>
        <w:t xml:space="preserve">                                                                             </w:t>
      </w:r>
    </w:p>
    <w:p w14:paraId="0445778D">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hAnsi="宋体" w:eastAsia="宋体" w:cs="宋体"/>
          <w:color w:val="auto"/>
          <w:sz w:val="24"/>
          <w:szCs w:val="24"/>
          <w:highlight w:val="none"/>
          <w:shd w:val="clear" w:color="auto" w:fill="FFFFFF"/>
        </w:rPr>
        <w:t>支付保证保险</w:t>
      </w:r>
      <w:r>
        <w:rPr>
          <w:rFonts w:hint="eastAsia" w:hAnsi="宋体" w:eastAsia="宋体" w:cs="宋体"/>
          <w:color w:val="auto"/>
          <w:sz w:val="24"/>
          <w:szCs w:val="24"/>
          <w:highlight w:val="none"/>
        </w:rPr>
        <w:t>的形式，提供支付保函、担保公司担保、</w:t>
      </w:r>
      <w:r>
        <w:rPr>
          <w:rFonts w:hint="eastAsia" w:hAnsi="宋体" w:eastAsia="宋体" w:cs="宋体"/>
          <w:color w:val="auto"/>
          <w:sz w:val="24"/>
          <w:szCs w:val="24"/>
          <w:highlight w:val="none"/>
          <w:shd w:val="clear" w:color="auto" w:fill="FFFFFF"/>
        </w:rPr>
        <w:t>支付保证保险</w:t>
      </w:r>
      <w:r>
        <w:rPr>
          <w:rFonts w:hint="eastAsia" w:hAnsi="宋体" w:eastAsia="宋体" w:cs="宋体"/>
          <w:color w:val="auto"/>
          <w:sz w:val="24"/>
          <w:szCs w:val="24"/>
          <w:highlight w:val="none"/>
        </w:rPr>
        <w:t>所发生的费用由发包人承担。</w:t>
      </w:r>
    </w:p>
    <w:p w14:paraId="689569DF">
      <w:pPr>
        <w:pStyle w:val="24"/>
        <w:tabs>
          <w:tab w:val="left" w:pos="13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237490</wp:posOffset>
                </wp:positionV>
                <wp:extent cx="914400" cy="412750"/>
                <wp:effectExtent l="0" t="0" r="0" b="0"/>
                <wp:wrapNone/>
                <wp:docPr id="1129" name="00013c"/>
                <wp:cNvGraphicFramePr/>
                <a:graphic xmlns:a="http://schemas.openxmlformats.org/drawingml/2006/main">
                  <a:graphicData uri="http://schemas.microsoft.com/office/word/2010/wordprocessingShape">
                    <wps:wsp>
                      <wps:cNvSpPr/>
                      <wps:spPr>
                        <a:xfrm>
                          <a:off x="0" y="0"/>
                          <a:ext cx="914400" cy="412750"/>
                        </a:xfrm>
                        <a:prstGeom prst="rect">
                          <a:avLst/>
                        </a:prstGeom>
                        <a:ln>
                          <a:noFill/>
                        </a:ln>
                      </wps:spPr>
                      <wps:txbx>
                        <w:txbxContent>
                          <w:p w14:paraId="00B9053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wps:wsp>
                  </a:graphicData>
                </a:graphic>
              </wp:anchor>
            </w:drawing>
          </mc:Choice>
          <mc:Fallback>
            <w:pict>
              <v:rect id="00013c" o:spid="_x0000_s1026" o:spt="1" style="position:absolute;left:0pt;margin-left:-9pt;margin-top:18.7pt;height:32.5pt;width:72pt;z-index:251659264;mso-width-relative:page;mso-height-relative:page;" filled="f" stroked="f" coordsize="21600,21600" o:gfxdata="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0CJL7bAAAACgEAAA8AAAAAAAAAAQAgAAAA&#10;IgAAAGRycy9kb3ducmV2LnhtbFBLAQIUABQAAAAIAIdO4kD9un7olgEAADgDAAAOAAAAAAAAAAEA&#10;IAAAACoBAABkcnMvZTJvRG9jLnhtbFBLBQYAAAAABgAGAFkBAAAyBQAAAAA=&#10;">
                <v:fill on="f" focussize="0,0"/>
                <v:stroke on="f"/>
                <v:imagedata o:title=""/>
                <o:lock v:ext="edit" aspectratio="f"/>
                <v:textbox>
                  <w:txbxContent>
                    <w:p w14:paraId="00B9053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rect>
            </w:pict>
          </mc:Fallback>
        </mc:AlternateContent>
      </w:r>
      <w:r>
        <w:rPr>
          <w:rFonts w:hint="eastAsia" w:hAnsi="宋体" w:eastAsia="宋体" w:cs="宋体"/>
          <w:b/>
          <w:bCs/>
          <w:color w:val="auto"/>
          <w:sz w:val="24"/>
          <w:szCs w:val="24"/>
          <w:highlight w:val="none"/>
        </w:rPr>
        <w:t xml:space="preserve">28.5  </w:t>
      </w:r>
      <w:r>
        <w:rPr>
          <w:rFonts w:hint="eastAsia" w:hAnsi="宋体" w:eastAsia="宋体" w:cs="宋体"/>
          <w:b/>
          <w:bCs/>
          <w:color w:val="auto"/>
          <w:sz w:val="24"/>
          <w:szCs w:val="24"/>
          <w:highlight w:val="none"/>
          <w:u w:val="dotted"/>
        </w:rPr>
        <w:t xml:space="preserve">                                                                             </w:t>
      </w:r>
    </w:p>
    <w:p w14:paraId="29BEE10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支付担保的有效期，是从提供支付担保之日起至发包人根据本合同约定支付完除质量保证金以外的全部款项之日止。承包人应在担保有效期满后的14天内将此担保退还给发包人。</w:t>
      </w:r>
    </w:p>
    <w:p w14:paraId="1D488E49">
      <w:pPr>
        <w:pStyle w:val="24"/>
        <w:tabs>
          <w:tab w:val="left" w:pos="13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130" name="00013d"/>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1D537AE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wps:wsp>
                  </a:graphicData>
                </a:graphic>
              </wp:anchor>
            </w:drawing>
          </mc:Choice>
          <mc:Fallback>
            <w:pict>
              <v:rect id="00013d" o:spid="_x0000_s1026" o:spt="1" style="position:absolute;left:0pt;margin-left:-9pt;margin-top:19.5pt;height:31.2pt;width:72pt;z-index:251659264;mso-width-relative:page;mso-height-relative:page;" filled="f" stroked="f" coordsize="21600,21600" o:gfxdata="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Q429T2gAAAAoBAAAPAAAAAAAAAAEAIAAAACIA&#10;AABkcnMvZG93bnJldi54bWxQSwECFAAUAAAACACHTuJADFSNKJUBAAA4AwAADgAAAAAAAAABACAA&#10;AAApAQAAZHJzL2Uyb0RvYy54bWxQSwUGAAAAAAYABgBZAQAAMAUAAAAA&#10;">
                <v:fill on="f" focussize="0,0"/>
                <v:stroke on="f"/>
                <v:imagedata o:title=""/>
                <o:lock v:ext="edit" aspectratio="f"/>
                <v:textbox>
                  <w:txbxContent>
                    <w:p w14:paraId="1D537AE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rect>
            </w:pict>
          </mc:Fallback>
        </mc:AlternateContent>
      </w:r>
      <w:r>
        <w:rPr>
          <w:rFonts w:hint="eastAsia" w:hAnsi="宋体" w:eastAsia="宋体" w:cs="宋体"/>
          <w:b/>
          <w:bCs/>
          <w:color w:val="auto"/>
          <w:sz w:val="24"/>
          <w:szCs w:val="24"/>
          <w:highlight w:val="none"/>
        </w:rPr>
        <w:t xml:space="preserve">28.6  </w:t>
      </w:r>
      <w:r>
        <w:rPr>
          <w:rFonts w:hint="eastAsia" w:hAnsi="宋体" w:eastAsia="宋体" w:cs="宋体"/>
          <w:b/>
          <w:bCs/>
          <w:color w:val="auto"/>
          <w:sz w:val="24"/>
          <w:szCs w:val="24"/>
          <w:highlight w:val="none"/>
          <w:u w:val="dotted"/>
        </w:rPr>
        <w:t xml:space="preserve">                                                                             </w:t>
      </w:r>
    </w:p>
    <w:p w14:paraId="619884E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6044C843">
      <w:pPr>
        <w:pStyle w:val="24"/>
        <w:tabs>
          <w:tab w:val="left" w:pos="13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242570</wp:posOffset>
                </wp:positionV>
                <wp:extent cx="914400" cy="422910"/>
                <wp:effectExtent l="0" t="0" r="0" b="0"/>
                <wp:wrapNone/>
                <wp:docPr id="1131" name="00013e"/>
                <wp:cNvGraphicFramePr/>
                <a:graphic xmlns:a="http://schemas.openxmlformats.org/drawingml/2006/main">
                  <a:graphicData uri="http://schemas.microsoft.com/office/word/2010/wordprocessingShape">
                    <wps:wsp>
                      <wps:cNvSpPr/>
                      <wps:spPr>
                        <a:xfrm>
                          <a:off x="0" y="0"/>
                          <a:ext cx="914400" cy="422910"/>
                        </a:xfrm>
                        <a:prstGeom prst="rect">
                          <a:avLst/>
                        </a:prstGeom>
                        <a:ln>
                          <a:noFill/>
                        </a:ln>
                      </wps:spPr>
                      <wps:txbx>
                        <w:txbxContent>
                          <w:p w14:paraId="424D09D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wps:wsp>
                  </a:graphicData>
                </a:graphic>
              </wp:anchor>
            </w:drawing>
          </mc:Choice>
          <mc:Fallback>
            <w:pict>
              <v:rect id="00013e" o:spid="_x0000_s1026" o:spt="1" style="position:absolute;left:0pt;margin-left:-9pt;margin-top:19.1pt;height:33.3pt;width:72pt;z-index:251659264;mso-width-relative:page;mso-height-relative:page;" filled="f" stroked="f" coordsize="21600,21600" o:gfxdata="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19jXP2gAAAAoBAAAPAAAAAAAAAAEAIAAAACIA&#10;AABkcnMvZG93bnJldi54bWxQSwECFAAUAAAACACHTuJA2C15/5UBAAA4AwAADgAAAAAAAAABACAA&#10;AAApAQAAZHJzL2Uyb0RvYy54bWxQSwUGAAAAAAYABgBZAQAAMAUAAAAA&#10;">
                <v:fill on="f" focussize="0,0"/>
                <v:stroke on="f"/>
                <v:imagedata o:title=""/>
                <o:lock v:ext="edit" aspectratio="f"/>
                <v:textbox>
                  <w:txbxContent>
                    <w:p w14:paraId="424D09D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rect>
            </w:pict>
          </mc:Fallback>
        </mc:AlternateContent>
      </w:r>
      <w:r>
        <w:rPr>
          <w:rFonts w:hint="eastAsia" w:hAnsi="宋体" w:eastAsia="宋体" w:cs="宋体"/>
          <w:b/>
          <w:bCs/>
          <w:color w:val="auto"/>
          <w:sz w:val="24"/>
          <w:szCs w:val="24"/>
          <w:highlight w:val="none"/>
        </w:rPr>
        <w:t xml:space="preserve">28.7  </w:t>
      </w:r>
      <w:r>
        <w:rPr>
          <w:rFonts w:hint="eastAsia" w:hAnsi="宋体" w:eastAsia="宋体" w:cs="宋体"/>
          <w:b/>
          <w:bCs/>
          <w:color w:val="auto"/>
          <w:sz w:val="24"/>
          <w:szCs w:val="24"/>
          <w:highlight w:val="none"/>
          <w:u w:val="dotted"/>
        </w:rPr>
        <w:t xml:space="preserve">                                                                             </w:t>
      </w:r>
    </w:p>
    <w:p w14:paraId="154A15D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合同双方当事人均应确保合同工程担保有效期符合工期合理顺延的要求。若合同一方当事人未能保证延长担保有效期，另一方当事人可向其索赔担保的全部金额。</w:t>
      </w:r>
    </w:p>
    <w:p w14:paraId="3A3D4785">
      <w:pPr>
        <w:pStyle w:val="24"/>
        <w:tabs>
          <w:tab w:val="left" w:pos="13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132" name="00013f"/>
                <wp:cNvGraphicFramePr/>
                <a:graphic xmlns:a="http://schemas.openxmlformats.org/drawingml/2006/main">
                  <a:graphicData uri="http://schemas.microsoft.com/office/word/2010/wordprocessingShape">
                    <wps:wsp>
                      <wps:cNvSpPr/>
                      <wps:spPr>
                        <a:xfrm>
                          <a:off x="0" y="0"/>
                          <a:ext cx="914400" cy="339090"/>
                        </a:xfrm>
                        <a:prstGeom prst="rect">
                          <a:avLst/>
                        </a:prstGeom>
                        <a:ln>
                          <a:noFill/>
                        </a:ln>
                      </wps:spPr>
                      <wps:txbx>
                        <w:txbxContent>
                          <w:p w14:paraId="6120DF4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wps:wsp>
                  </a:graphicData>
                </a:graphic>
              </wp:anchor>
            </w:drawing>
          </mc:Choice>
          <mc:Fallback>
            <w:pict>
              <v:rect id="00013f" o:spid="_x0000_s1026" o:spt="1" style="position:absolute;left:0pt;margin-left:-9pt;margin-top:20.1pt;height:26.7pt;width:72pt;z-index:251659264;mso-width-relative:page;mso-height-relative:page;" filled="f" stroked="f" coordsize="21600,21600" o:gfxdata="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ypZZE2gAAAAkBAAAPAAAAAAAAAAEAIAAAACIA&#10;AABkcnMvZG93bnJldi54bWxQSwECFAAUAAAACACHTuJA99uOV5UBAAA4AwAADgAAAAAAAAABACAA&#10;AAApAQAAZHJzL2Uyb0RvYy54bWxQSwUGAAAAAAYABgBZAQAAMAUAAAAA&#10;">
                <v:fill on="f" focussize="0,0"/>
                <v:stroke on="f"/>
                <v:imagedata o:title=""/>
                <o:lock v:ext="edit" aspectratio="f"/>
                <v:textbox>
                  <w:txbxContent>
                    <w:p w14:paraId="6120DF4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rect>
            </w:pict>
          </mc:Fallback>
        </mc:AlternateContent>
      </w:r>
      <w:r>
        <w:rPr>
          <w:rFonts w:hint="eastAsia" w:hAnsi="宋体" w:eastAsia="宋体" w:cs="宋体"/>
          <w:b/>
          <w:bCs/>
          <w:color w:val="auto"/>
          <w:sz w:val="24"/>
          <w:szCs w:val="24"/>
          <w:highlight w:val="none"/>
        </w:rPr>
        <w:t xml:space="preserve">28.8  </w:t>
      </w:r>
      <w:r>
        <w:rPr>
          <w:rFonts w:hint="eastAsia" w:hAnsi="宋体" w:eastAsia="宋体" w:cs="宋体"/>
          <w:b/>
          <w:bCs/>
          <w:color w:val="auto"/>
          <w:sz w:val="24"/>
          <w:szCs w:val="24"/>
          <w:highlight w:val="none"/>
          <w:u w:val="dotted"/>
        </w:rPr>
        <w:t xml:space="preserve">                                                                             </w:t>
      </w:r>
    </w:p>
    <w:p w14:paraId="7FF9F78B">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合同双方当事人在专用条款中约定担保内容、方式和责任等事项，并签订担保合同，作为本合同附件。</w:t>
      </w:r>
    </w:p>
    <w:p w14:paraId="1FFE4A7D">
      <w:pPr>
        <w:pStyle w:val="24"/>
        <w:adjustRightInd w:val="0"/>
        <w:snapToGrid w:val="0"/>
        <w:spacing w:line="300" w:lineRule="auto"/>
        <w:ind w:right="-240"/>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1BA5E369">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84" w:name="_Toc46860831"/>
      <w:bookmarkStart w:id="85" w:name="_Toc469384010"/>
      <w:r>
        <w:rPr>
          <w:rFonts w:hint="eastAsia" w:hAnsi="宋体" w:eastAsia="宋体" w:cs="宋体"/>
          <w:b/>
          <w:bCs/>
          <w:color w:val="auto"/>
          <w:sz w:val="24"/>
          <w:szCs w:val="24"/>
          <w:highlight w:val="none"/>
        </w:rPr>
        <w:t>29  发包人风险</w:t>
      </w:r>
      <w:bookmarkEnd w:id="84"/>
      <w:bookmarkEnd w:id="85"/>
    </w:p>
    <w:p w14:paraId="1969FC51">
      <w:pPr>
        <w:pStyle w:val="24"/>
        <w:adjustRightInd w:val="0"/>
        <w:snapToGrid w:val="0"/>
        <w:spacing w:line="300" w:lineRule="auto"/>
        <w:ind w:right="-240"/>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133" name="000140"/>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65A6CA9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wps:txbx>
                      <wps:bodyPr wrap="square"/>
                    </wps:wsp>
                  </a:graphicData>
                </a:graphic>
              </wp:anchor>
            </w:drawing>
          </mc:Choice>
          <mc:Fallback>
            <w:pict>
              <v:rect id="000140" o:spid="_x0000_s1026" o:spt="1" style="position:absolute;left:0pt;margin-left:-9pt;margin-top:17.85pt;height:31.2pt;width:72pt;z-index:251659264;mso-width-relative:page;mso-height-relative:page;" filled="f" stroked="f" coordsize="21600,21600" o:gfxdata="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FAWnaAAAACQEAAA8AAAAAAAAAAQAgAAAAIgAA&#10;AGRycy9kb3ducmV2LnhtbFBLAQIUABQAAAAIAIdO4kBRPhOdlAEAADgDAAAOAAAAAAAAAAEAIAAA&#10;ACkBAABkcnMvZTJvRG9jLnhtbFBLBQYAAAAABgAGAFkBAAAvBQAAAAA=&#10;">
                <v:fill on="f" focussize="0,0"/>
                <v:stroke on="f"/>
                <v:imagedata o:title=""/>
                <o:lock v:ext="edit" aspectratio="f"/>
                <v:textbox>
                  <w:txbxContent>
                    <w:p w14:paraId="65A6CA9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v:textbox>
              </v:rect>
            </w:pict>
          </mc:Fallback>
        </mc:AlternateContent>
      </w:r>
      <w:r>
        <w:rPr>
          <w:rFonts w:hint="eastAsia" w:hAnsi="宋体" w:eastAsia="宋体" w:cs="宋体"/>
          <w:b/>
          <w:bCs/>
          <w:color w:val="auto"/>
          <w:sz w:val="24"/>
          <w:szCs w:val="24"/>
          <w:highlight w:val="none"/>
        </w:rPr>
        <w:t xml:space="preserve">29.1     </w:t>
      </w:r>
    </w:p>
    <w:p w14:paraId="4A11623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发包人应承担本合同中规定应由发包人承担的风险。</w:t>
      </w:r>
    </w:p>
    <w:p w14:paraId="5F49F4AD">
      <w:pPr>
        <w:pStyle w:val="24"/>
        <w:adjustRightInd w:val="0"/>
        <w:snapToGrid w:val="0"/>
        <w:spacing w:line="300" w:lineRule="auto"/>
        <w:ind w:right="-240"/>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29.2  </w:t>
      </w:r>
      <w:r>
        <w:rPr>
          <w:rFonts w:hint="eastAsia" w:hAnsi="宋体" w:eastAsia="宋体" w:cs="宋体"/>
          <w:b/>
          <w:bCs/>
          <w:color w:val="auto"/>
          <w:sz w:val="24"/>
          <w:szCs w:val="24"/>
          <w:highlight w:val="none"/>
          <w:u w:val="dotted"/>
        </w:rPr>
        <w:t xml:space="preserve">                                                                             </w:t>
      </w:r>
    </w:p>
    <w:p w14:paraId="15123CDE">
      <w:pPr>
        <w:pStyle w:val="24"/>
        <w:adjustRightInd w:val="0"/>
        <w:snapToGrid w:val="0"/>
        <w:spacing w:line="300" w:lineRule="auto"/>
        <w:ind w:right="-240"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134" name="000141"/>
                <wp:cNvGraphicFramePr/>
                <a:graphic xmlns:a="http://schemas.openxmlformats.org/drawingml/2006/main">
                  <a:graphicData uri="http://schemas.microsoft.com/office/word/2010/wordprocessingShape">
                    <wps:wsp>
                      <wps:cNvSpPr/>
                      <wps:spPr>
                        <a:xfrm>
                          <a:off x="0" y="0"/>
                          <a:ext cx="914400" cy="356235"/>
                        </a:xfrm>
                        <a:prstGeom prst="rect">
                          <a:avLst/>
                        </a:prstGeom>
                        <a:ln>
                          <a:noFill/>
                        </a:ln>
                      </wps:spPr>
                      <wps:txbx>
                        <w:txbxContent>
                          <w:p w14:paraId="0852844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wps:txbx>
                      <wps:bodyPr wrap="square"/>
                    </wps:wsp>
                  </a:graphicData>
                </a:graphic>
              </wp:anchor>
            </w:drawing>
          </mc:Choice>
          <mc:Fallback>
            <w:pict>
              <v:rect id="000141" o:spid="_x0000_s1026" o:spt="1" style="position:absolute;left:0pt;margin-left:-9pt;margin-top:0.85pt;height:28.05pt;width:72pt;z-index:251659264;mso-width-relative:page;mso-height-relative:page;" filled="f" stroked="f" coordsize="21600,21600" o:gfxdata="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7KdVX1wAAAAgBAAAPAAAAAAAAAAEAIAAAACIAAABk&#10;cnMvZG93bnJldi54bWxQSwECFAAUAAAACACHTuJAHDcSW5UBAAA4AwAADgAAAAAAAAABACAAAAAm&#10;AQAAZHJzL2Uyb0RvYy54bWxQSwUGAAAAAAYABgBZAQAALQUAAAAA&#10;">
                <v:fill on="f" focussize="0,0"/>
                <v:stroke on="f"/>
                <v:imagedata o:title=""/>
                <o:lock v:ext="edit" aspectratio="f"/>
                <v:textbox>
                  <w:txbxContent>
                    <w:p w14:paraId="0852844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v:textbox>
              </v:rect>
            </w:pict>
          </mc:Fallback>
        </mc:AlternateContent>
      </w:r>
      <w:r>
        <w:rPr>
          <w:rFonts w:hint="eastAsia" w:hAnsi="宋体" w:eastAsia="宋体" w:cs="宋体"/>
          <w:color w:val="auto"/>
          <w:sz w:val="24"/>
          <w:szCs w:val="24"/>
          <w:highlight w:val="none"/>
        </w:rPr>
        <w:t>自开工之日起至颁发工程接收证书之日止，发包人风险包括但不</w:t>
      </w:r>
    </w:p>
    <w:p w14:paraId="3637C626">
      <w:pPr>
        <w:pStyle w:val="24"/>
        <w:adjustRightInd w:val="0"/>
        <w:snapToGrid w:val="0"/>
        <w:spacing w:line="300" w:lineRule="auto"/>
        <w:ind w:right="-240"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限于：</w:t>
      </w:r>
    </w:p>
    <w:p w14:paraId="674C8A32">
      <w:pPr>
        <w:pStyle w:val="24"/>
        <w:numPr>
          <w:ilvl w:val="0"/>
          <w:numId w:val="13"/>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由于永久工程本身或施工而不可避免造成的财产（除工程本身、材料和工程设备和施工设备外）损失或损坏；</w:t>
      </w:r>
    </w:p>
    <w:p w14:paraId="63431228">
      <w:pPr>
        <w:pStyle w:val="24"/>
        <w:numPr>
          <w:ilvl w:val="0"/>
          <w:numId w:val="13"/>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由于发包人工作人员及其相关人员（除承包人外）的疏忽或违规造成的人员伤亡、财产损失或损坏；</w:t>
      </w:r>
    </w:p>
    <w:p w14:paraId="762287D2">
      <w:pPr>
        <w:pStyle w:val="24"/>
        <w:numPr>
          <w:ilvl w:val="0"/>
          <w:numId w:val="13"/>
        </w:numPr>
        <w:tabs>
          <w:tab w:val="left" w:pos="1080"/>
        </w:tabs>
        <w:adjustRightInd w:val="0"/>
        <w:snapToGrid w:val="0"/>
        <w:spacing w:line="300" w:lineRule="auto"/>
        <w:ind w:left="2096" w:leftChars="772" w:hanging="475" w:hangingChars="198"/>
        <w:rPr>
          <w:rFonts w:hAnsi="宋体" w:eastAsia="宋体" w:cs="宋体"/>
          <w:color w:val="auto"/>
          <w:sz w:val="24"/>
          <w:szCs w:val="24"/>
          <w:highlight w:val="none"/>
        </w:rPr>
      </w:pPr>
      <w:r>
        <w:rPr>
          <w:rFonts w:hint="eastAsia" w:hAnsi="宋体" w:eastAsia="宋体" w:cs="宋体"/>
          <w:color w:val="auto"/>
          <w:sz w:val="24"/>
          <w:szCs w:val="24"/>
          <w:highlight w:val="none"/>
        </w:rPr>
        <w:t>由于发包人提前使用或占用永久工程或其部分造成的损失或损坏；</w:t>
      </w:r>
    </w:p>
    <w:p w14:paraId="476FC555">
      <w:pPr>
        <w:pStyle w:val="24"/>
        <w:numPr>
          <w:ilvl w:val="0"/>
          <w:numId w:val="13"/>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由于发包人提供或发包人负责的设计造成的对永久工程、材料和工程设备和施工设备的损失或损害；</w:t>
      </w:r>
    </w:p>
    <w:p w14:paraId="6EB8E821">
      <w:pPr>
        <w:pStyle w:val="24"/>
        <w:numPr>
          <w:ilvl w:val="0"/>
          <w:numId w:val="13"/>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由于地质、邻近建筑物、古树名木和物价上涨等非承包人原因造成施工过程中费用的增加。</w:t>
      </w:r>
    </w:p>
    <w:p w14:paraId="4678460B">
      <w:pPr>
        <w:pStyle w:val="24"/>
        <w:adjustRightInd w:val="0"/>
        <w:snapToGrid w:val="0"/>
        <w:spacing w:line="300" w:lineRule="auto"/>
        <w:ind w:right="-240"/>
        <w:rPr>
          <w:rFonts w:hAnsi="宋体" w:eastAsia="宋体" w:cs="宋体"/>
          <w:color w:val="auto"/>
          <w:sz w:val="24"/>
          <w:szCs w:val="24"/>
          <w:highlight w:val="none"/>
          <w:u w:val="single"/>
        </w:rPr>
      </w:pPr>
      <w:r>
        <w:rPr>
          <w:rFonts w:hint="eastAsia" w:hAnsi="宋体" w:eastAsia="宋体" w:cs="宋体"/>
          <w:color w:val="auto"/>
          <w:sz w:val="24"/>
          <w:szCs w:val="24"/>
          <w:highlight w:val="none"/>
          <w:u w:val="single"/>
        </w:rPr>
        <w:t xml:space="preserve">                                                                                                             </w:t>
      </w:r>
    </w:p>
    <w:p w14:paraId="1A68DFC9">
      <w:pPr>
        <w:pStyle w:val="24"/>
        <w:adjustRightInd w:val="0"/>
        <w:snapToGrid w:val="0"/>
        <w:spacing w:line="300" w:lineRule="auto"/>
        <w:ind w:right="-240"/>
        <w:outlineLvl w:val="2"/>
        <w:rPr>
          <w:rFonts w:hAnsi="宋体" w:eastAsia="宋体" w:cs="宋体"/>
          <w:b/>
          <w:bCs/>
          <w:color w:val="auto"/>
          <w:sz w:val="24"/>
          <w:szCs w:val="24"/>
          <w:highlight w:val="none"/>
        </w:rPr>
      </w:pPr>
      <w:bookmarkStart w:id="86" w:name="_Toc469384011"/>
      <w:bookmarkStart w:id="87" w:name="_Toc46860832"/>
      <w:r>
        <w:rPr>
          <w:rFonts w:hint="eastAsia" w:hAnsi="宋体" w:eastAsia="宋体" w:cs="宋体"/>
          <w:b/>
          <w:bCs/>
          <w:color w:val="auto"/>
          <w:sz w:val="24"/>
          <w:szCs w:val="24"/>
          <w:highlight w:val="none"/>
        </w:rPr>
        <w:t>30  承包人风险</w:t>
      </w:r>
      <w:bookmarkEnd w:id="86"/>
      <w:bookmarkEnd w:id="87"/>
    </w:p>
    <w:p w14:paraId="57F78207">
      <w:pPr>
        <w:pStyle w:val="24"/>
        <w:tabs>
          <w:tab w:val="left" w:pos="1320"/>
          <w:tab w:val="left" w:pos="144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189230</wp:posOffset>
                </wp:positionV>
                <wp:extent cx="1028700" cy="427355"/>
                <wp:effectExtent l="0" t="0" r="0" b="0"/>
                <wp:wrapNone/>
                <wp:docPr id="1135" name="000142"/>
                <wp:cNvGraphicFramePr/>
                <a:graphic xmlns:a="http://schemas.openxmlformats.org/drawingml/2006/main">
                  <a:graphicData uri="http://schemas.microsoft.com/office/word/2010/wordprocessingShape">
                    <wps:wsp>
                      <wps:cNvSpPr/>
                      <wps:spPr>
                        <a:xfrm>
                          <a:off x="0" y="0"/>
                          <a:ext cx="1028700" cy="427355"/>
                        </a:xfrm>
                        <a:prstGeom prst="rect">
                          <a:avLst/>
                        </a:prstGeom>
                        <a:ln>
                          <a:noFill/>
                        </a:ln>
                      </wps:spPr>
                      <wps:txbx>
                        <w:txbxContent>
                          <w:p w14:paraId="34F817D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14:paraId="259E377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rect id="000142" o:spid="_x0000_s1026" o:spt="1" style="position:absolute;left:0pt;margin-left:-10.5pt;margin-top:14.9pt;height:33.65pt;width:81pt;z-index:251659264;mso-width-relative:page;mso-height-relative:page;" filled="f" stroked="f" coordsize="21600,21600" o:gfxdata="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el7Gs2QAAAAkBAAAPAAAAAAAAAAEAIAAAACIA&#10;AABkcnMvZG93bnJldi54bWxQSwECFAAUAAAACACHTuJA4L9vu5YBAAA5AwAADgAAAAAAAAABACAA&#10;AAAoAQAAZHJzL2Uyb0RvYy54bWxQSwUGAAAAAAYABgBZAQAAMAUAAAAA&#10;">
                <v:fill on="f" focussize="0,0"/>
                <v:stroke on="f"/>
                <v:imagedata o:title=""/>
                <o:lock v:ext="edit" aspectratio="f"/>
                <v:textbox>
                  <w:txbxContent>
                    <w:p w14:paraId="34F817D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14:paraId="259E377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rect>
            </w:pict>
          </mc:Fallback>
        </mc:AlternateContent>
      </w:r>
      <w:r>
        <w:rPr>
          <w:rFonts w:hint="eastAsia" w:hAnsi="宋体" w:eastAsia="宋体" w:cs="宋体"/>
          <w:b/>
          <w:bCs/>
          <w:color w:val="auto"/>
          <w:sz w:val="24"/>
          <w:szCs w:val="24"/>
          <w:highlight w:val="none"/>
        </w:rPr>
        <w:t xml:space="preserve">30.1      </w:t>
      </w:r>
    </w:p>
    <w:p w14:paraId="041324A8">
      <w:pPr>
        <w:pStyle w:val="24"/>
        <w:tabs>
          <w:tab w:val="left" w:pos="1440"/>
        </w:tabs>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承包人应承担本合同中规定应由承包人承担的风险。</w:t>
      </w:r>
    </w:p>
    <w:p w14:paraId="62F85924">
      <w:pPr>
        <w:pStyle w:val="24"/>
        <w:tabs>
          <w:tab w:val="left" w:pos="1320"/>
          <w:tab w:val="left" w:pos="144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36" name="000143"/>
                <wp:cNvGraphicFramePr/>
                <a:graphic xmlns:a="http://schemas.openxmlformats.org/drawingml/2006/main">
                  <a:graphicData uri="http://schemas.microsoft.com/office/word/2010/wordprocessingShape">
                    <wps:wsp>
                      <wps:cNvSpPr/>
                      <wps:spPr>
                        <a:xfrm>
                          <a:off x="0" y="0"/>
                          <a:ext cx="914400" cy="307975"/>
                        </a:xfrm>
                        <a:prstGeom prst="rect">
                          <a:avLst/>
                        </a:prstGeom>
                        <a:ln>
                          <a:noFill/>
                        </a:ln>
                      </wps:spPr>
                      <wps:txbx>
                        <w:txbxContent>
                          <w:p w14:paraId="16C0EBD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wps:wsp>
                  </a:graphicData>
                </a:graphic>
              </wp:anchor>
            </w:drawing>
          </mc:Choice>
          <mc:Fallback>
            <w:pict>
              <v:rect id="000143" o:spid="_x0000_s1026" o:spt="1" style="position:absolute;left:0pt;margin-left:-9pt;margin-top:20.65pt;height:24.25pt;width:72pt;z-index:251659264;mso-width-relative:page;mso-height-relative:page;" filled="f" stroked="f" coordsize="21600,21600" o:gfxdata="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lOkDdoAAAAJAQAADwAAAAAAAAABACAAAAAi&#10;AAAAZHJzL2Rvd25yZXYueG1sUEsBAhQAFAAAAAgAh07iQG00/FGWAQAAOAMAAA4AAAAAAAAAAQAg&#10;AAAAKQEAAGRycy9lMm9Eb2MueG1sUEsFBgAAAAAGAAYAWQEAADEFAAAAAA==&#10;">
                <v:fill on="f" focussize="0,0"/>
                <v:stroke on="f"/>
                <v:imagedata o:title=""/>
                <o:lock v:ext="edit" aspectratio="f"/>
                <v:textbox>
                  <w:txbxContent>
                    <w:p w14:paraId="16C0EBD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rect>
            </w:pict>
          </mc:Fallback>
        </mc:AlternateContent>
      </w:r>
      <w:r>
        <w:rPr>
          <w:rFonts w:hint="eastAsia" w:hAnsi="宋体" w:eastAsia="宋体" w:cs="宋体"/>
          <w:b/>
          <w:bCs/>
          <w:color w:val="auto"/>
          <w:sz w:val="24"/>
          <w:szCs w:val="24"/>
          <w:highlight w:val="none"/>
        </w:rPr>
        <w:t xml:space="preserve">30.2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72429A93">
      <w:pPr>
        <w:pStyle w:val="24"/>
        <w:tabs>
          <w:tab w:val="left" w:pos="1440"/>
        </w:tabs>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w:t>自开工之日起直到颁发工程接收证书之日止，承包人风险为：除第29条和第31条以外的人员伤亡以及财产（包括但不限于合同工程、材料、工程设备和施工设备）的损失或损坏。</w:t>
      </w:r>
    </w:p>
    <w:p w14:paraId="6DA9DDB9">
      <w:pPr>
        <w:pStyle w:val="24"/>
        <w:adjustRightInd w:val="0"/>
        <w:snapToGrid w:val="0"/>
        <w:spacing w:line="300" w:lineRule="auto"/>
        <w:ind w:right="-240"/>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19759122">
      <w:pPr>
        <w:pStyle w:val="24"/>
        <w:adjustRightInd w:val="0"/>
        <w:snapToGrid w:val="0"/>
        <w:spacing w:line="300" w:lineRule="auto"/>
        <w:ind w:right="-240"/>
        <w:outlineLvl w:val="2"/>
        <w:rPr>
          <w:rFonts w:hAnsi="宋体" w:eastAsia="宋体" w:cs="宋体"/>
          <w:b/>
          <w:bCs/>
          <w:color w:val="auto"/>
          <w:sz w:val="24"/>
          <w:szCs w:val="24"/>
          <w:highlight w:val="none"/>
        </w:rPr>
      </w:pPr>
      <w:bookmarkStart w:id="88" w:name="_Toc469384012"/>
      <w:bookmarkStart w:id="89" w:name="_Toc46860833"/>
    </w:p>
    <w:p w14:paraId="5E554852">
      <w:pPr>
        <w:pStyle w:val="24"/>
        <w:adjustRightInd w:val="0"/>
        <w:snapToGrid w:val="0"/>
        <w:spacing w:line="300" w:lineRule="auto"/>
        <w:ind w:right="-240"/>
        <w:outlineLvl w:val="2"/>
        <w:rPr>
          <w:rFonts w:hAnsi="宋体" w:eastAsia="宋体" w:cs="宋体"/>
          <w:b/>
          <w:bCs/>
          <w:color w:val="auto"/>
          <w:sz w:val="24"/>
          <w:szCs w:val="24"/>
          <w:highlight w:val="none"/>
        </w:rPr>
      </w:pPr>
      <w:r>
        <w:rPr>
          <w:rFonts w:hint="eastAsia" w:hAnsi="宋体" w:eastAsia="宋体" w:cs="宋体"/>
          <w:b/>
          <w:bCs/>
          <w:color w:val="auto"/>
          <w:sz w:val="24"/>
          <w:szCs w:val="24"/>
          <w:highlight w:val="none"/>
        </w:rPr>
        <w:t>31  不可抗力</w:t>
      </w:r>
      <w:bookmarkEnd w:id="88"/>
      <w:bookmarkEnd w:id="89"/>
    </w:p>
    <w:p w14:paraId="24B7AA4A">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31.1      </w:t>
      </w:r>
    </w:p>
    <w:p w14:paraId="15B35631">
      <w:pPr>
        <w:pStyle w:val="24"/>
        <w:adjustRightInd w:val="0"/>
        <w:snapToGrid w:val="0"/>
        <w:spacing w:line="300" w:lineRule="auto"/>
        <w:ind w:left="1619"/>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不可抗力是指合同当事人在签订合同时不可预见，在合同履行过程中不可避免且不能克服的自然灾害和社会性突发事件，如地震、海啸、瘟疫、骚乱、戒严、暴动、战争等。</w:t>
      </w:r>
    </w:p>
    <w:p w14:paraId="2D6A0264">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31.2  </w:t>
      </w:r>
      <w:r>
        <w:rPr>
          <w:rFonts w:hint="eastAsia" w:hAnsi="宋体" w:eastAsia="宋体" w:cs="宋体"/>
          <w:b/>
          <w:bCs/>
          <w:color w:val="auto"/>
          <w:sz w:val="24"/>
          <w:szCs w:val="24"/>
          <w:highlight w:val="none"/>
          <w:u w:val="dotted"/>
        </w:rPr>
        <w:t xml:space="preserve">                                                                                                       </w:t>
      </w:r>
    </w:p>
    <w:p w14:paraId="5124ACC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37" name="000144"/>
                <wp:cNvGraphicFramePr/>
                <a:graphic xmlns:a="http://schemas.openxmlformats.org/drawingml/2006/main">
                  <a:graphicData uri="http://schemas.microsoft.com/office/word/2010/wordprocessingShape">
                    <wps:wsp>
                      <wps:cNvSpPr/>
                      <wps:spPr>
                        <a:xfrm>
                          <a:off x="0" y="0"/>
                          <a:ext cx="914400" cy="492759"/>
                        </a:xfrm>
                        <a:prstGeom prst="rect">
                          <a:avLst/>
                        </a:prstGeom>
                        <a:ln>
                          <a:noFill/>
                        </a:ln>
                      </wps:spPr>
                      <wps:txbx>
                        <w:txbxContent>
                          <w:p w14:paraId="33A50D7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wps:wsp>
                  </a:graphicData>
                </a:graphic>
              </wp:anchor>
            </w:drawing>
          </mc:Choice>
          <mc:Fallback>
            <w:pict>
              <v:rect id="000144" o:spid="_x0000_s1026" o:spt="1" style="position:absolute;left:0pt;margin-left:-9pt;margin-top:0.6pt;height:38.8pt;width:72pt;z-index:251659264;mso-width-relative:page;mso-height-relative:page;" filled="f" stroked="f" coordsize="21600,21600" o:gfxdata="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&#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l1K5i1wAAAAgBAAAPAAAAAAAAAAEAIAAAACIAAABk&#10;cnMvZG93bnJldi54bWxQSwECFAAUAAAACACHTuJAJdhb/ZUBAAA4AwAADgAAAAAAAAABACAAAAAm&#10;AQAAZHJzL2Uyb0RvYy54bWxQSwUGAAAAAAYABgBZAQAALQUAAAAA&#10;">
                <v:fill on="f" focussize="0,0"/>
                <v:stroke on="f"/>
                <v:imagedata o:title=""/>
                <o:lock v:ext="edit" aspectratio="f"/>
                <v:textbox>
                  <w:txbxContent>
                    <w:p w14:paraId="33A50D7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rect>
            </w:pict>
          </mc:Fallback>
        </mc:AlternateContent>
      </w:r>
      <w:r>
        <w:rPr>
          <w:rFonts w:hint="eastAsia" w:hAnsi="宋体" w:eastAsia="宋体" w:cs="宋体"/>
          <w:color w:val="auto"/>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14:paraId="2CFEE3F4">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31.3  </w:t>
      </w:r>
      <w:r>
        <w:rPr>
          <w:rFonts w:hint="eastAsia" w:hAnsi="宋体" w:eastAsia="宋体" w:cs="宋体"/>
          <w:b/>
          <w:bCs/>
          <w:color w:val="auto"/>
          <w:sz w:val="24"/>
          <w:szCs w:val="24"/>
          <w:highlight w:val="none"/>
          <w:u w:val="dotted"/>
        </w:rPr>
        <w:t xml:space="preserve">                                                                                                       </w:t>
      </w:r>
    </w:p>
    <w:p w14:paraId="0C5D7258">
      <w:pPr>
        <w:pStyle w:val="24"/>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8" name="000145"/>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148EA11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wps:wsp>
                  </a:graphicData>
                </a:graphic>
              </wp:anchor>
            </w:drawing>
          </mc:Choice>
          <mc:Fallback>
            <w:pict>
              <v:rect id="000145" o:spid="_x0000_s1026" o:spt="1" style="position:absolute;left:0pt;margin-left:-9pt;margin-top:1.75pt;height:54.6pt;width:72pt;z-index:251659264;mso-width-relative:page;mso-height-relative:page;" filled="f" stroked="f" coordsize="21600,21600" o:gfxdata="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GpkUE2QAAAAkBAAAPAAAAAAAAAAEAIAAAACIA&#10;AABkcnMvZG93bnJldi54bWxQSwECFAAUAAAACACHTuJAIDiOY5YBAAA4AwAADgAAAAAAAAABACAA&#10;AAAoAQAAZHJzL2Uyb0RvYy54bWxQSwUGAAAAAAYABgBZAQAAMAUAAAAA&#10;">
                <v:fill on="f" focussize="0,0"/>
                <v:stroke on="f"/>
                <v:imagedata o:title=""/>
                <o:lock v:ext="edit" aspectratio="f"/>
                <v:textbox>
                  <w:txbxContent>
                    <w:p w14:paraId="148EA11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rect>
            </w:pict>
          </mc:Fallback>
        </mc:AlternateContent>
      </w:r>
      <w:r>
        <w:rPr>
          <w:rFonts w:hint="eastAsia" w:hAnsi="宋体" w:eastAsia="宋体" w:cs="宋体"/>
          <w:color w:val="auto"/>
          <w:sz w:val="24"/>
          <w:szCs w:val="24"/>
          <w:highlight w:val="none"/>
        </w:rPr>
        <w:t>因不可抗力事件导致的费用，由合同双方当事人按照下列规定承担，并相应调整合同价款：</w:t>
      </w:r>
    </w:p>
    <w:p w14:paraId="4473ACD4">
      <w:pPr>
        <w:pStyle w:val="24"/>
        <w:numPr>
          <w:ilvl w:val="0"/>
          <w:numId w:val="14"/>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永久工程本身的损害、已运至施工场地的材料和工程设备的损害，以及因工程损害导致第三者人员伤亡和财产损失，由发包人承担；</w:t>
      </w:r>
    </w:p>
    <w:p w14:paraId="4253E479">
      <w:pPr>
        <w:pStyle w:val="24"/>
        <w:numPr>
          <w:ilvl w:val="0"/>
          <w:numId w:val="14"/>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承包人施工设备和用于合同工程的周转材料损坏以及停工损失，由承包人承担；发包人提供的施工设备损坏，由发包人承担；</w:t>
      </w:r>
    </w:p>
    <w:p w14:paraId="6D467FB7">
      <w:pPr>
        <w:pStyle w:val="24"/>
        <w:numPr>
          <w:ilvl w:val="0"/>
          <w:numId w:val="14"/>
        </w:numPr>
        <w:tabs>
          <w:tab w:val="left" w:pos="1080"/>
        </w:tabs>
        <w:adjustRightInd w:val="0"/>
        <w:snapToGrid w:val="0"/>
        <w:spacing w:line="300" w:lineRule="auto"/>
        <w:ind w:left="1619" w:leftChars="771" w:firstLine="0"/>
        <w:rPr>
          <w:rFonts w:hAnsi="宋体" w:eastAsia="宋体" w:cs="宋体"/>
          <w:color w:val="auto"/>
          <w:sz w:val="24"/>
          <w:szCs w:val="24"/>
          <w:highlight w:val="none"/>
        </w:rPr>
      </w:pPr>
      <w:r>
        <w:rPr>
          <w:rFonts w:hint="eastAsia" w:hAnsi="宋体" w:eastAsia="宋体" w:cs="宋体"/>
          <w:color w:val="auto"/>
          <w:sz w:val="24"/>
          <w:szCs w:val="24"/>
          <w:highlight w:val="none"/>
        </w:rPr>
        <w:t>施工场地内的人员伤亡和本款第(1)点、第(2)点以外财产损失及其相关费用，由合同双方当事人各自承担；</w:t>
      </w:r>
    </w:p>
    <w:p w14:paraId="2541CFED">
      <w:pPr>
        <w:pStyle w:val="24"/>
        <w:numPr>
          <w:ilvl w:val="0"/>
          <w:numId w:val="14"/>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停工期间，承包人应监理工程师要求照管工程的费用，由发包人承担；</w:t>
      </w:r>
    </w:p>
    <w:p w14:paraId="5F8D541D">
      <w:pPr>
        <w:pStyle w:val="24"/>
        <w:numPr>
          <w:ilvl w:val="0"/>
          <w:numId w:val="14"/>
        </w:numPr>
        <w:tabs>
          <w:tab w:val="left" w:pos="1080"/>
        </w:tabs>
        <w:adjustRightInd w:val="0"/>
        <w:snapToGrid w:val="0"/>
        <w:spacing w:line="300" w:lineRule="auto"/>
        <w:ind w:left="2096" w:leftChars="772" w:hanging="475" w:hangingChars="198"/>
        <w:rPr>
          <w:rFonts w:hAnsi="宋体" w:eastAsia="宋体" w:cs="宋体"/>
          <w:color w:val="auto"/>
          <w:sz w:val="24"/>
          <w:szCs w:val="24"/>
          <w:highlight w:val="none"/>
        </w:rPr>
      </w:pPr>
      <w:r>
        <w:rPr>
          <w:rFonts w:hint="eastAsia" w:hAnsi="宋体" w:eastAsia="宋体" w:cs="宋体"/>
          <w:color w:val="auto"/>
          <w:sz w:val="24"/>
          <w:szCs w:val="24"/>
          <w:highlight w:val="none"/>
        </w:rPr>
        <w:t>工程所需的清理、修复费用，由发包人承担。</w:t>
      </w:r>
    </w:p>
    <w:p w14:paraId="5A3859DC">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39" name="000146"/>
                <wp:cNvGraphicFramePr/>
                <a:graphic xmlns:a="http://schemas.openxmlformats.org/drawingml/2006/main">
                  <a:graphicData uri="http://schemas.microsoft.com/office/word/2010/wordprocessingShape">
                    <wps:wsp>
                      <wps:cNvSpPr/>
                      <wps:spPr>
                        <a:xfrm>
                          <a:off x="0" y="0"/>
                          <a:ext cx="914400" cy="563245"/>
                        </a:xfrm>
                        <a:prstGeom prst="rect">
                          <a:avLst/>
                        </a:prstGeom>
                        <a:ln>
                          <a:noFill/>
                        </a:ln>
                      </wps:spPr>
                      <wps:txbx>
                        <w:txbxContent>
                          <w:p w14:paraId="29E755EE">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wps:txbx>
                      <wps:bodyPr wrap="square"/>
                    </wps:wsp>
                  </a:graphicData>
                </a:graphic>
              </wp:anchor>
            </w:drawing>
          </mc:Choice>
          <mc:Fallback>
            <w:pict>
              <v:rect id="000146" o:spid="_x0000_s1026" o:spt="1" style="position:absolute;left:0pt;margin-left:-9pt;margin-top:19.5pt;height:44.35pt;width:72pt;z-index:251659264;mso-width-relative:page;mso-height-relative:page;" filled="f" stroked="f" coordsize="21600,21600" o:gfxdata="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fnekNoAAAAKAQAADwAAAAAAAAABACAAAAAi&#10;AAAAZHJzL2Rvd25yZXYueG1sUEsBAhQAFAAAAAgAh07iQExK6wSWAQAAOAMAAA4AAAAAAAAAAQAg&#10;AAAAKQEAAGRycy9lMm9Eb2MueG1sUEsFBgAAAAAGAAYAWQEAADEFAAAAAA==&#10;">
                <v:fill on="f" focussize="0,0"/>
                <v:stroke on="f"/>
                <v:imagedata o:title=""/>
                <o:lock v:ext="edit" aspectratio="f"/>
                <v:textbox>
                  <w:txbxContent>
                    <w:p w14:paraId="29E755EE">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v:textbox>
              </v:rect>
            </w:pict>
          </mc:Fallback>
        </mc:AlternateContent>
      </w:r>
      <w:r>
        <w:rPr>
          <w:rFonts w:hint="eastAsia" w:hAnsi="宋体" w:eastAsia="宋体" w:cs="宋体"/>
          <w:b/>
          <w:bCs/>
          <w:color w:val="auto"/>
          <w:sz w:val="24"/>
          <w:szCs w:val="24"/>
          <w:highlight w:val="none"/>
        </w:rPr>
        <w:t xml:space="preserve">31.4  </w:t>
      </w:r>
      <w:r>
        <w:rPr>
          <w:rFonts w:hint="eastAsia" w:hAnsi="宋体" w:eastAsia="宋体" w:cs="宋体"/>
          <w:b/>
          <w:bCs/>
          <w:color w:val="auto"/>
          <w:sz w:val="24"/>
          <w:szCs w:val="24"/>
          <w:highlight w:val="none"/>
          <w:u w:val="dotted"/>
        </w:rPr>
        <w:t xml:space="preserve">                                                                                                        </w:t>
      </w:r>
    </w:p>
    <w:p w14:paraId="47CC3F1C">
      <w:pPr>
        <w:pStyle w:val="24"/>
        <w:adjustRightInd w:val="0"/>
        <w:snapToGrid w:val="0"/>
        <w:spacing w:line="300" w:lineRule="auto"/>
        <w:ind w:left="1619" w:leftChars="771"/>
        <w:rPr>
          <w:rFonts w:hAnsi="宋体" w:eastAsia="宋体" w:cs="宋体"/>
          <w:dstrike/>
          <w:color w:val="auto"/>
          <w:sz w:val="24"/>
          <w:szCs w:val="24"/>
          <w:highlight w:val="none"/>
        </w:rPr>
      </w:pPr>
      <w:r>
        <w:rPr>
          <w:rFonts w:hint="eastAsia" w:hAnsi="宋体" w:eastAsia="宋体" w:cs="宋体"/>
          <w:color w:val="auto"/>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14:paraId="66498DAE">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0" name="000147"/>
                <wp:cNvGraphicFramePr/>
                <a:graphic xmlns:a="http://schemas.openxmlformats.org/drawingml/2006/main">
                  <a:graphicData uri="http://schemas.microsoft.com/office/word/2010/wordprocessingShape">
                    <wps:wsp>
                      <wps:cNvSpPr/>
                      <wps:spPr>
                        <a:xfrm>
                          <a:off x="0" y="0"/>
                          <a:ext cx="914400" cy="563245"/>
                        </a:xfrm>
                        <a:prstGeom prst="rect">
                          <a:avLst/>
                        </a:prstGeom>
                        <a:ln>
                          <a:noFill/>
                        </a:ln>
                      </wps:spPr>
                      <wps:txbx>
                        <w:txbxContent>
                          <w:p w14:paraId="14C9B85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wps:wsp>
                  </a:graphicData>
                </a:graphic>
              </wp:anchor>
            </w:drawing>
          </mc:Choice>
          <mc:Fallback>
            <w:pict>
              <v:rect id="000147" o:spid="_x0000_s1026" o:spt="1" style="position:absolute;left:0pt;margin-left:-9pt;margin-top:19.5pt;height:44.35pt;width:72pt;z-index:251659264;mso-width-relative:page;mso-height-relative:page;" filled="f" stroked="f" coordsize="21600,21600" o:gfxdata="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d6Q2gAAAAoBAAAPAAAAAAAAAAEAIAAAACIA&#10;AABkcnMvZG93bnJldi54bWxQSwECFAAUAAAACACHTuJAY4JpQZUBAAA4AwAADgAAAAAAAAABACAA&#10;AAApAQAAZHJzL2Uyb0RvYy54bWxQSwUGAAAAAAYABgBZAQAAMAUAAAAA&#10;">
                <v:fill on="f" focussize="0,0"/>
                <v:stroke on="f"/>
                <v:imagedata o:title=""/>
                <o:lock v:ext="edit" aspectratio="f"/>
                <v:textbox>
                  <w:txbxContent>
                    <w:p w14:paraId="14C9B85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rect>
            </w:pict>
          </mc:Fallback>
        </mc:AlternateContent>
      </w:r>
      <w:r>
        <w:rPr>
          <w:rFonts w:hint="eastAsia" w:hAnsi="宋体" w:eastAsia="宋体" w:cs="宋体"/>
          <w:b/>
          <w:bCs/>
          <w:color w:val="auto"/>
          <w:sz w:val="24"/>
          <w:szCs w:val="24"/>
          <w:highlight w:val="none"/>
        </w:rPr>
        <w:t xml:space="preserve">31.5 </w:t>
      </w:r>
      <w:r>
        <w:rPr>
          <w:rFonts w:hint="eastAsia" w:hAnsi="宋体" w:eastAsia="宋体" w:cs="宋体"/>
          <w:b/>
          <w:bCs/>
          <w:color w:val="auto"/>
          <w:sz w:val="24"/>
          <w:szCs w:val="24"/>
          <w:highlight w:val="none"/>
          <w:u w:val="dotted"/>
        </w:rPr>
        <w:t xml:space="preserve">                                                                                                        </w:t>
      </w:r>
    </w:p>
    <w:p w14:paraId="0F0F15E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合同任何一方当事人延迟履行合同后发生不可抗力事件的，不能免除另一方当事人因不可抗力造成损失的责任。</w:t>
      </w:r>
    </w:p>
    <w:p w14:paraId="75F03FB8">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1" name="000148"/>
                <wp:cNvGraphicFramePr/>
                <a:graphic xmlns:a="http://schemas.openxmlformats.org/drawingml/2006/main">
                  <a:graphicData uri="http://schemas.microsoft.com/office/word/2010/wordprocessingShape">
                    <wps:wsp>
                      <wps:cNvSpPr/>
                      <wps:spPr>
                        <a:xfrm>
                          <a:off x="0" y="0"/>
                          <a:ext cx="914400" cy="563245"/>
                        </a:xfrm>
                        <a:prstGeom prst="rect">
                          <a:avLst/>
                        </a:prstGeom>
                        <a:ln>
                          <a:noFill/>
                        </a:ln>
                      </wps:spPr>
                      <wps:txbx>
                        <w:txbxContent>
                          <w:p w14:paraId="063E1E1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wps:wsp>
                  </a:graphicData>
                </a:graphic>
              </wp:anchor>
            </w:drawing>
          </mc:Choice>
          <mc:Fallback>
            <w:pict>
              <v:rect id="000148" o:spid="_x0000_s1026" o:spt="1" style="position:absolute;left:0pt;margin-left:-9pt;margin-top:19.5pt;height:44.35pt;width:72pt;z-index:251659264;mso-width-relative:page;mso-height-relative:page;" filled="f" stroked="f" coordsize="21600,21600" o:gfxdata="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d6Q2gAAAAoBAAAPAAAAAAAAAAEAIAAAACIA&#10;AABkcnMvZG93bnJldi54bWxQSwECFAAUAAAACACHTuJA9aGVj5UBAAA4AwAADgAAAAAAAAABACAA&#10;AAApAQAAZHJzL2Uyb0RvYy54bWxQSwUGAAAAAAYABgBZAQAAMAUAAAAA&#10;">
                <v:fill on="f" focussize="0,0"/>
                <v:stroke on="f"/>
                <v:imagedata o:title=""/>
                <o:lock v:ext="edit" aspectratio="f"/>
                <v:textbox>
                  <w:txbxContent>
                    <w:p w14:paraId="063E1E1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rect>
            </w:pict>
          </mc:Fallback>
        </mc:AlternateContent>
      </w:r>
      <w:r>
        <w:rPr>
          <w:rFonts w:hint="eastAsia" w:hAnsi="宋体" w:eastAsia="宋体" w:cs="宋体"/>
          <w:b/>
          <w:bCs/>
          <w:color w:val="auto"/>
          <w:sz w:val="24"/>
          <w:szCs w:val="24"/>
          <w:highlight w:val="none"/>
        </w:rPr>
        <w:t xml:space="preserve">31.6 </w:t>
      </w:r>
      <w:r>
        <w:rPr>
          <w:rFonts w:hint="eastAsia" w:hAnsi="宋体" w:eastAsia="宋体" w:cs="宋体"/>
          <w:b/>
          <w:bCs/>
          <w:color w:val="auto"/>
          <w:sz w:val="24"/>
          <w:szCs w:val="24"/>
          <w:highlight w:val="none"/>
          <w:u w:val="dotted"/>
        </w:rPr>
        <w:t xml:space="preserve">                                                                                                        </w:t>
      </w:r>
    </w:p>
    <w:p w14:paraId="4168FCA9">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14:paraId="4ABD7248">
      <w:pPr>
        <w:pStyle w:val="24"/>
        <w:adjustRightInd w:val="0"/>
        <w:snapToGrid w:val="0"/>
        <w:spacing w:line="300" w:lineRule="auto"/>
        <w:rPr>
          <w:rFonts w:hAnsi="宋体" w:eastAsia="宋体" w:cs="宋体"/>
          <w:color w:val="auto"/>
          <w:sz w:val="24"/>
          <w:szCs w:val="24"/>
          <w:highlight w:val="none"/>
          <w:u w:val="single"/>
        </w:rPr>
      </w:pPr>
      <w:r>
        <w:rPr>
          <w:rFonts w:hint="eastAsia" w:hAnsi="宋体" w:eastAsia="宋体" w:cs="宋体"/>
          <w:b/>
          <w:bCs/>
          <w:color w:val="auto"/>
          <w:sz w:val="24"/>
          <w:szCs w:val="24"/>
          <w:highlight w:val="none"/>
          <w:u w:val="single"/>
        </w:rPr>
        <w:t xml:space="preserve">                                                                                   </w:t>
      </w:r>
      <w:r>
        <w:rPr>
          <w:rFonts w:hint="eastAsia" w:hAnsi="宋体" w:eastAsia="宋体" w:cs="宋体"/>
          <w:color w:val="auto"/>
          <w:sz w:val="24"/>
          <w:szCs w:val="24"/>
          <w:highlight w:val="none"/>
          <w:u w:val="single"/>
        </w:rPr>
        <w:t xml:space="preserve">        </w:t>
      </w:r>
    </w:p>
    <w:p w14:paraId="3F107290">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90" w:name="_Toc46860834"/>
      <w:bookmarkStart w:id="91" w:name="_Toc469384013"/>
      <w:r>
        <w:rPr>
          <w:rFonts w:hint="eastAsia" w:hAnsi="宋体" w:eastAsia="宋体" w:cs="宋体"/>
          <w:b/>
          <w:bCs/>
          <w:color w:val="auto"/>
          <w:sz w:val="24"/>
          <w:szCs w:val="24"/>
          <w:highlight w:val="none"/>
        </w:rPr>
        <w:t>32  保险</w:t>
      </w:r>
      <w:bookmarkEnd w:id="90"/>
      <w:bookmarkEnd w:id="91"/>
    </w:p>
    <w:p w14:paraId="7F3CE850">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32.1      </w:t>
      </w:r>
    </w:p>
    <w:p w14:paraId="2349FE43">
      <w:pPr>
        <w:pStyle w:val="24"/>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42" name="000149"/>
                <wp:cNvGraphicFramePr/>
                <a:graphic xmlns:a="http://schemas.openxmlformats.org/drawingml/2006/main">
                  <a:graphicData uri="http://schemas.microsoft.com/office/word/2010/wordprocessingShape">
                    <wps:wsp>
                      <wps:cNvSpPr/>
                      <wps:spPr>
                        <a:xfrm>
                          <a:off x="0" y="0"/>
                          <a:ext cx="1028700" cy="396240"/>
                        </a:xfrm>
                        <a:prstGeom prst="rect">
                          <a:avLst/>
                        </a:prstGeom>
                        <a:ln>
                          <a:noFill/>
                        </a:ln>
                      </wps:spPr>
                      <wps:txbx>
                        <w:txbxContent>
                          <w:p w14:paraId="5680A3F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14:paraId="76CE265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rect id="000149" o:spid="_x0000_s1026" o:spt="1" style="position:absolute;left:0pt;margin-left:-9pt;margin-top:0.6pt;height:31.2pt;width:81pt;z-index:251659264;mso-width-relative:page;mso-height-relative:page;" filled="f" stroked="f" coordsize="21600,21600" o:gfxdata="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bwccnXAAAACAEAAA8AAAAAAAAAAQAgAAAAIgAA&#10;AGRycy9kb3ducmV2LnhtbFBLAQIUABQAAAAIAIdO4kALztXDlwEAADkDAAAOAAAAAAAAAAEAIAAA&#10;ACYBAABkcnMvZTJvRG9jLnhtbFBLBQYAAAAABgAGAFkBAAAvBQAAAAA=&#10;">
                <v:fill on="f" focussize="0,0"/>
                <v:stroke on="f"/>
                <v:imagedata o:title=""/>
                <o:lock v:ext="edit" aspectratio="f"/>
                <v:textbox>
                  <w:txbxContent>
                    <w:p w14:paraId="5680A3F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14:paraId="76CE265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rect>
            </w:pict>
          </mc:Fallback>
        </mc:AlternateContent>
      </w:r>
      <w:r>
        <w:rPr>
          <w:rFonts w:hint="eastAsia" w:hAnsi="宋体" w:eastAsia="宋体" w:cs="宋体"/>
          <w:color w:val="auto"/>
          <w:sz w:val="24"/>
          <w:szCs w:val="24"/>
          <w:highlight w:val="none"/>
        </w:rPr>
        <w:t>发包人应按照下列规定办理保险，并支付保险费：</w:t>
      </w:r>
    </w:p>
    <w:p w14:paraId="69A5B0A3">
      <w:pPr>
        <w:pStyle w:val="24"/>
        <w:numPr>
          <w:ilvl w:val="0"/>
          <w:numId w:val="15"/>
        </w:numPr>
        <w:tabs>
          <w:tab w:val="left" w:pos="198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工程开工前，为合同工程办理建筑工程一切险、安装工程一切险；</w:t>
      </w:r>
    </w:p>
    <w:p w14:paraId="6C82CDC6">
      <w:pPr>
        <w:pStyle w:val="24"/>
        <w:numPr>
          <w:ilvl w:val="0"/>
          <w:numId w:val="15"/>
        </w:numPr>
        <w:tabs>
          <w:tab w:val="left" w:pos="540"/>
          <w:tab w:val="left" w:pos="1980"/>
        </w:tabs>
        <w:adjustRightInd w:val="0"/>
        <w:snapToGrid w:val="0"/>
        <w:spacing w:line="300" w:lineRule="auto"/>
        <w:ind w:left="1617" w:leftChars="770" w:firstLine="0"/>
        <w:rPr>
          <w:rFonts w:hAnsi="宋体" w:eastAsia="宋体" w:cs="宋体"/>
          <w:color w:val="auto"/>
          <w:sz w:val="24"/>
          <w:szCs w:val="24"/>
          <w:highlight w:val="none"/>
        </w:rPr>
      </w:pPr>
      <w:r>
        <w:rPr>
          <w:rFonts w:hint="eastAsia" w:hAnsi="宋体" w:eastAsia="宋体" w:cs="宋体"/>
          <w:color w:val="auto"/>
          <w:sz w:val="24"/>
          <w:szCs w:val="24"/>
          <w:highlight w:val="none"/>
        </w:rPr>
        <w:t>工程开工前，为施工场地内的自有人员（包括监理工程师、造价工程师在内）办理工伤保险、意外伤害保险；</w:t>
      </w:r>
    </w:p>
    <w:p w14:paraId="52CD0410">
      <w:pPr>
        <w:pStyle w:val="24"/>
        <w:numPr>
          <w:ilvl w:val="0"/>
          <w:numId w:val="15"/>
        </w:numPr>
        <w:tabs>
          <w:tab w:val="left" w:pos="540"/>
          <w:tab w:val="left" w:pos="1980"/>
        </w:tabs>
        <w:adjustRightInd w:val="0"/>
        <w:snapToGrid w:val="0"/>
        <w:spacing w:line="300" w:lineRule="auto"/>
        <w:ind w:left="2099" w:leftChars="771" w:hanging="480" w:hangingChars="200"/>
        <w:rPr>
          <w:rFonts w:hAnsi="宋体" w:eastAsia="宋体" w:cs="宋体"/>
          <w:color w:val="auto"/>
          <w:sz w:val="24"/>
          <w:szCs w:val="24"/>
          <w:highlight w:val="none"/>
        </w:rPr>
      </w:pPr>
      <w:r>
        <w:rPr>
          <w:rFonts w:hint="eastAsia" w:hAnsi="宋体" w:eastAsia="宋体" w:cs="宋体"/>
          <w:color w:val="auto"/>
          <w:sz w:val="24"/>
          <w:szCs w:val="24"/>
          <w:highlight w:val="none"/>
        </w:rPr>
        <w:t>为第三者办理第三者责任险；</w:t>
      </w:r>
    </w:p>
    <w:p w14:paraId="44AF181C">
      <w:pPr>
        <w:pStyle w:val="24"/>
        <w:numPr>
          <w:ilvl w:val="0"/>
          <w:numId w:val="15"/>
        </w:numPr>
        <w:tabs>
          <w:tab w:val="left" w:pos="198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为运至施工场地内用于永久工程的材料和待安装工程设备办理保险。</w:t>
      </w:r>
    </w:p>
    <w:p w14:paraId="51C57DE4">
      <w:pPr>
        <w:pStyle w:val="24"/>
        <w:tabs>
          <w:tab w:val="left" w:pos="1080"/>
        </w:tabs>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保险期从办理保险之日起至工程竣工验收合格之日止。</w:t>
      </w:r>
    </w:p>
    <w:p w14:paraId="298D2FC3">
      <w:pPr>
        <w:pStyle w:val="24"/>
        <w:tabs>
          <w:tab w:val="left" w:pos="1080"/>
        </w:tabs>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发包人可将其中部分事项委托给承包人办理，具体由合同双方当事人在专用条款中约定。除合同价款已包括外，由发包人承担所需保险费用，并向承包人支付合理利润。</w:t>
      </w:r>
    </w:p>
    <w:p w14:paraId="6C0A7F70">
      <w:pPr>
        <w:spacing w:line="300" w:lineRule="auto"/>
        <w:ind w:left="1710" w:leftChars="700" w:hanging="240" w:hangingChars="100"/>
        <w:rPr>
          <w:rFonts w:ascii="宋体" w:hAnsi="宋体" w:eastAsia="宋体" w:cs="宋体"/>
          <w:color w:val="auto"/>
          <w:sz w:val="24"/>
          <w:highlight w:val="none"/>
        </w:rPr>
      </w:pPr>
      <w:r>
        <w:rPr>
          <w:rFonts w:hint="eastAsia" w:ascii="宋体" w:hAnsi="宋体" w:eastAsia="宋体" w:cs="宋体"/>
          <w:color w:val="auto"/>
          <w:sz w:val="24"/>
          <w:highlight w:val="none"/>
        </w:rPr>
        <w:t>（5）工程开工前，为合同工程办理工程质量保险；并由保险公司对工程质量、施工安全进行综合担保，以及聘请专业的团队进行工程建设全过程风险、质量控制。</w:t>
      </w:r>
    </w:p>
    <w:p w14:paraId="1116A62F">
      <w:pPr>
        <w:pStyle w:val="24"/>
        <w:tabs>
          <w:tab w:val="left" w:pos="13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32.2  </w:t>
      </w:r>
      <w:r>
        <w:rPr>
          <w:rFonts w:hint="eastAsia" w:hAnsi="宋体" w:eastAsia="宋体" w:cs="宋体"/>
          <w:b/>
          <w:bCs/>
          <w:color w:val="auto"/>
          <w:sz w:val="24"/>
          <w:szCs w:val="24"/>
          <w:highlight w:val="none"/>
          <w:u w:val="dotted"/>
        </w:rPr>
        <w:t xml:space="preserve">                                                                                                        </w:t>
      </w:r>
    </w:p>
    <w:p w14:paraId="2C982BF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43" name="00014a"/>
                <wp:cNvGraphicFramePr/>
                <a:graphic xmlns:a="http://schemas.openxmlformats.org/drawingml/2006/main">
                  <a:graphicData uri="http://schemas.microsoft.com/office/word/2010/wordprocessingShape">
                    <wps:wsp>
                      <wps:cNvSpPr/>
                      <wps:spPr>
                        <a:xfrm>
                          <a:off x="0" y="0"/>
                          <a:ext cx="1028700" cy="478155"/>
                        </a:xfrm>
                        <a:prstGeom prst="rect">
                          <a:avLst/>
                        </a:prstGeom>
                        <a:ln>
                          <a:noFill/>
                        </a:ln>
                      </wps:spPr>
                      <wps:txbx>
                        <w:txbxContent>
                          <w:p w14:paraId="3F2C645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14:paraId="328234E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rect id="00014a" o:spid="_x0000_s1026" o:spt="1" style="position:absolute;left:0pt;margin-left:-9pt;margin-top:0.05pt;height:37.65pt;width:81pt;z-index:251659264;mso-width-relative:page;mso-height-relative:page;" filled="f" stroked="f" coordsize="21600,21600" o:gfxdata="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&#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f9s8tcAAAAHAQAADwAAAAAAAAABACAAAAAiAAAA&#10;ZHJzL2Rvd25yZXYueG1sUEsBAhQAFAAAAAgAh07iQIPSKq6WAQAAOQMAAA4AAAAAAAAAAQAgAAAA&#10;JgEAAGRycy9lMm9Eb2MueG1sUEsFBgAAAAAGAAYAWQEAAC4FAAAAAA==&#10;">
                <v:fill on="f" focussize="0,0"/>
                <v:stroke on="f"/>
                <v:imagedata o:title=""/>
                <o:lock v:ext="edit" aspectratio="f"/>
                <v:textbox>
                  <w:txbxContent>
                    <w:p w14:paraId="3F2C645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14:paraId="328234E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rect>
            </w:pict>
          </mc:Fallback>
        </mc:AlternateContent>
      </w:r>
      <w:r>
        <w:rPr>
          <w:rFonts w:hint="eastAsia" w:hAnsi="宋体" w:eastAsia="宋体" w:cs="宋体"/>
          <w:color w:val="auto"/>
          <w:sz w:val="24"/>
          <w:szCs w:val="24"/>
          <w:highlight w:val="none"/>
        </w:rPr>
        <w:t>承包人应按照下列规定办理保险，并支付保险费：</w:t>
      </w:r>
    </w:p>
    <w:p w14:paraId="1C622B1B">
      <w:pPr>
        <w:pStyle w:val="24"/>
        <w:adjustRightInd w:val="0"/>
        <w:snapToGrid w:val="0"/>
        <w:spacing w:line="300" w:lineRule="auto"/>
        <w:ind w:left="1617" w:leftChars="770" w:firstLine="1"/>
        <w:rPr>
          <w:rFonts w:hAnsi="宋体" w:eastAsia="宋体" w:cs="宋体"/>
          <w:color w:val="auto"/>
          <w:sz w:val="24"/>
          <w:szCs w:val="24"/>
          <w:highlight w:val="none"/>
        </w:rPr>
      </w:pPr>
      <w:r>
        <w:rPr>
          <w:rFonts w:hint="eastAsia" w:hAnsi="宋体" w:eastAsia="宋体" w:cs="宋体"/>
          <w:color w:val="auto"/>
          <w:sz w:val="24"/>
          <w:szCs w:val="24"/>
          <w:highlight w:val="none"/>
        </w:rPr>
        <w:t>(1)工程开工前，为施工场地内自有人员（包括分包人在内）办理工伤保险、意外伤害保险；</w:t>
      </w:r>
    </w:p>
    <w:p w14:paraId="4BCF9F9B">
      <w:pPr>
        <w:pStyle w:val="24"/>
        <w:adjustRightInd w:val="0"/>
        <w:snapToGrid w:val="0"/>
        <w:spacing w:line="300" w:lineRule="auto"/>
        <w:ind w:left="1676" w:leftChars="798"/>
        <w:rPr>
          <w:rFonts w:hAnsi="宋体" w:eastAsia="宋体" w:cs="宋体"/>
          <w:color w:val="auto"/>
          <w:sz w:val="24"/>
          <w:szCs w:val="24"/>
          <w:highlight w:val="none"/>
        </w:rPr>
      </w:pPr>
      <w:r>
        <w:rPr>
          <w:rFonts w:hint="eastAsia" w:hAnsi="宋体" w:eastAsia="宋体" w:cs="宋体"/>
          <w:color w:val="auto"/>
          <w:sz w:val="24"/>
          <w:szCs w:val="24"/>
          <w:highlight w:val="none"/>
        </w:rPr>
        <w:t>(2)为施工场地内的自有施工设备、第32.1款第(4)点以外采购进场的材料和工程设备等办理保险。</w:t>
      </w:r>
    </w:p>
    <w:p w14:paraId="6467F8F4">
      <w:pPr>
        <w:pStyle w:val="24"/>
        <w:tabs>
          <w:tab w:val="left" w:pos="1080"/>
        </w:tabs>
        <w:adjustRightInd w:val="0"/>
        <w:snapToGrid w:val="0"/>
        <w:spacing w:line="300" w:lineRule="auto"/>
        <w:ind w:left="1680" w:leftChars="800"/>
        <w:rPr>
          <w:rFonts w:hAnsi="宋体" w:eastAsia="宋体" w:cs="宋体"/>
          <w:color w:val="auto"/>
          <w:sz w:val="24"/>
          <w:szCs w:val="24"/>
          <w:highlight w:val="none"/>
        </w:rPr>
      </w:pPr>
      <w:r>
        <w:rPr>
          <w:rFonts w:hint="eastAsia" w:hAnsi="宋体" w:eastAsia="宋体" w:cs="宋体"/>
          <w:color w:val="auto"/>
          <w:sz w:val="24"/>
          <w:szCs w:val="24"/>
          <w:highlight w:val="none"/>
        </w:rPr>
        <w:t>保险期从开工之日起至工程竣工验收合格之日止。</w:t>
      </w:r>
    </w:p>
    <w:p w14:paraId="3AD7A85A">
      <w:pPr>
        <w:pStyle w:val="24"/>
        <w:tabs>
          <w:tab w:val="left" w:pos="108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44" name="00014b"/>
                <wp:cNvGraphicFramePr/>
                <a:graphic xmlns:a="http://schemas.openxmlformats.org/drawingml/2006/main">
                  <a:graphicData uri="http://schemas.microsoft.com/office/word/2010/wordprocessingShape">
                    <wps:wsp>
                      <wps:cNvSpPr/>
                      <wps:spPr>
                        <a:xfrm>
                          <a:off x="0" y="0"/>
                          <a:ext cx="914400" cy="541020"/>
                        </a:xfrm>
                        <a:prstGeom prst="rect">
                          <a:avLst/>
                        </a:prstGeom>
                        <a:ln>
                          <a:noFill/>
                        </a:ln>
                      </wps:spPr>
                      <wps:txbx>
                        <w:txbxContent>
                          <w:p w14:paraId="108F0FC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wps:wsp>
                  </a:graphicData>
                </a:graphic>
              </wp:anchor>
            </w:drawing>
          </mc:Choice>
          <mc:Fallback>
            <w:pict>
              <v:rect id="00014b" o:spid="_x0000_s1026" o:spt="1" style="position:absolute;left:0pt;margin-left:-9pt;margin-top:22.6pt;height:42.6pt;width:72pt;z-index:251659264;mso-width-relative:page;mso-height-relative:page;" filled="f" stroked="f" coordsize="21600,21600" o:gfxdata="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JQZhJ2wAAAAoBAAAPAAAAAAAAAAEAIAAAACIA&#10;AABkcnMvZG93bnJldi54bWxQSwECFAAUAAAACACHTuJA3vE39pQBAAA4AwAADgAAAAAAAAABACAA&#10;AAAqAQAAZHJzL2Uyb0RvYy54bWxQSwUGAAAAAAYABgBZAQAAMAUAAAAA&#10;">
                <v:fill on="f" focussize="0,0"/>
                <v:stroke on="f"/>
                <v:imagedata o:title=""/>
                <o:lock v:ext="edit" aspectratio="f"/>
                <v:textbox>
                  <w:txbxContent>
                    <w:p w14:paraId="108F0FC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rect>
            </w:pict>
          </mc:Fallback>
        </mc:AlternateContent>
      </w:r>
      <w:r>
        <w:rPr>
          <w:rFonts w:hint="eastAsia" w:hAnsi="宋体" w:eastAsia="宋体" w:cs="宋体"/>
          <w:b/>
          <w:bCs/>
          <w:color w:val="auto"/>
          <w:sz w:val="24"/>
          <w:szCs w:val="24"/>
          <w:highlight w:val="none"/>
        </w:rPr>
        <w:t xml:space="preserve">32.3  </w:t>
      </w:r>
      <w:r>
        <w:rPr>
          <w:rFonts w:hint="eastAsia" w:hAnsi="宋体" w:eastAsia="宋体" w:cs="宋体"/>
          <w:b/>
          <w:bCs/>
          <w:color w:val="auto"/>
          <w:sz w:val="24"/>
          <w:szCs w:val="24"/>
          <w:highlight w:val="none"/>
          <w:u w:val="dotted"/>
        </w:rPr>
        <w:t xml:space="preserve">                                                                                                        </w:t>
      </w:r>
    </w:p>
    <w:p w14:paraId="735DC60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合同一方当事人应按照本合同要求向另一方当事人提供有效的投保保险单和保险凭证。</w:t>
      </w:r>
    </w:p>
    <w:p w14:paraId="4D5EFA11">
      <w:pPr>
        <w:pStyle w:val="24"/>
        <w:tabs>
          <w:tab w:val="left" w:pos="13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236220</wp:posOffset>
                </wp:positionV>
                <wp:extent cx="914400" cy="396240"/>
                <wp:effectExtent l="0" t="0" r="0" b="0"/>
                <wp:wrapNone/>
                <wp:docPr id="1145" name="00014c"/>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6E3C2A7E">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wps:txbx>
                      <wps:bodyPr wrap="square"/>
                    </wps:wsp>
                  </a:graphicData>
                </a:graphic>
              </wp:anchor>
            </w:drawing>
          </mc:Choice>
          <mc:Fallback>
            <w:pict>
              <v:rect id="00014c" o:spid="_x0000_s1026" o:spt="1" style="position:absolute;left:0pt;margin-left:-9pt;margin-top:18.6pt;height:31.2pt;width:72pt;z-index:251659264;mso-width-relative:page;mso-height-relative:page;" filled="f" stroked="f" coordsize="21600,21600" o:gfxdata="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5HpMdoAAAAJAQAADwAAAAAAAAABACAAAAAi&#10;AAAAZHJzL2Rvd25yZXYueG1sUEsBAhQAFAAAAAgAh07iQJgpOqOWAQAAOAMAAA4AAAAAAAAAAQAg&#10;AAAAKQEAAGRycy9lMm9Eb2MueG1sUEsFBgAAAAAGAAYAWQEAADEFAAAAAA==&#10;">
                <v:fill on="f" focussize="0,0"/>
                <v:stroke on="f"/>
                <v:imagedata o:title=""/>
                <o:lock v:ext="edit" aspectratio="f"/>
                <v:textbox>
                  <w:txbxContent>
                    <w:p w14:paraId="6E3C2A7E">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rect>
            </w:pict>
          </mc:Fallback>
        </mc:AlternateContent>
      </w:r>
      <w:r>
        <w:rPr>
          <w:rFonts w:hint="eastAsia" w:hAnsi="宋体" w:eastAsia="宋体" w:cs="宋体"/>
          <w:b/>
          <w:bCs/>
          <w:color w:val="auto"/>
          <w:sz w:val="24"/>
          <w:szCs w:val="24"/>
          <w:highlight w:val="none"/>
        </w:rPr>
        <w:t xml:space="preserve">32.4  </w:t>
      </w:r>
      <w:r>
        <w:rPr>
          <w:rFonts w:hint="eastAsia" w:hAnsi="宋体" w:eastAsia="宋体" w:cs="宋体"/>
          <w:b/>
          <w:bCs/>
          <w:color w:val="auto"/>
          <w:sz w:val="24"/>
          <w:szCs w:val="24"/>
          <w:highlight w:val="none"/>
          <w:u w:val="dotted"/>
        </w:rPr>
        <w:t xml:space="preserve">                                                                                                        </w:t>
      </w:r>
    </w:p>
    <w:p w14:paraId="682A397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合同双方当事人应遵守本条规定办理有关保险事项。如果未按规定投保的，应按下列规定补偿：</w:t>
      </w:r>
    </w:p>
    <w:p w14:paraId="7DA90EBB">
      <w:pPr>
        <w:pStyle w:val="24"/>
        <w:adjustRightInd w:val="0"/>
        <w:snapToGrid w:val="0"/>
        <w:spacing w:line="300" w:lineRule="auto"/>
        <w:ind w:left="1617" w:leftChars="770" w:firstLine="1"/>
        <w:rPr>
          <w:rFonts w:hAnsi="宋体" w:eastAsia="宋体" w:cs="宋体"/>
          <w:color w:val="auto"/>
          <w:sz w:val="24"/>
          <w:szCs w:val="24"/>
          <w:highlight w:val="none"/>
        </w:rPr>
      </w:pPr>
      <w:r>
        <w:rPr>
          <w:rFonts w:hint="eastAsia" w:hAnsi="宋体" w:eastAsia="宋体" w:cs="宋体"/>
          <w:color w:val="auto"/>
          <w:sz w:val="24"/>
          <w:szCs w:val="24"/>
          <w:highlight w:val="none"/>
        </w:rPr>
        <w:t>(1)由于负有投保义务的合同一方当事人未按合同约定办理保险，或未能使保险持续有效的，则另一方当事人可代为办理，所需费用由对方当事人承担；</w:t>
      </w:r>
    </w:p>
    <w:p w14:paraId="0BC74225">
      <w:pPr>
        <w:pStyle w:val="24"/>
        <w:adjustRightInd w:val="0"/>
        <w:snapToGrid w:val="0"/>
        <w:spacing w:line="300" w:lineRule="auto"/>
        <w:ind w:left="1617" w:leftChars="770" w:firstLine="1"/>
        <w:rPr>
          <w:rFonts w:hAnsi="宋体" w:eastAsia="宋体" w:cs="宋体"/>
          <w:color w:val="auto"/>
          <w:sz w:val="24"/>
          <w:szCs w:val="24"/>
          <w:highlight w:val="none"/>
        </w:rPr>
      </w:pPr>
      <w:r>
        <w:rPr>
          <w:rFonts w:hint="eastAsia" w:hAnsi="宋体" w:eastAsia="宋体" w:cs="宋体"/>
          <w:color w:val="auto"/>
          <w:sz w:val="24"/>
          <w:szCs w:val="24"/>
          <w:highlight w:val="none"/>
        </w:rPr>
        <w:t>(2)由于负有投保义务的合同一方当事人未按合同约定办理某项保险，导致受益人未能得到保险人的赔偿，则该项保险金应由负有投保义务的一方当事人支付。</w:t>
      </w:r>
    </w:p>
    <w:p w14:paraId="21BC3209">
      <w:pPr>
        <w:pStyle w:val="24"/>
        <w:adjustRightInd w:val="0"/>
        <w:snapToGrid w:val="0"/>
        <w:spacing w:line="300" w:lineRule="auto"/>
        <w:rPr>
          <w:rFonts w:hAnsi="宋体" w:eastAsia="宋体" w:cs="宋体"/>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146" name="00014d"/>
                <wp:cNvGraphicFramePr/>
                <a:graphic xmlns:a="http://schemas.openxmlformats.org/drawingml/2006/main">
                  <a:graphicData uri="http://schemas.microsoft.com/office/word/2010/wordprocessingShape">
                    <wps:wsp>
                      <wps:cNvSpPr/>
                      <wps:spPr>
                        <a:xfrm>
                          <a:off x="0" y="0"/>
                          <a:ext cx="914400" cy="541020"/>
                        </a:xfrm>
                        <a:prstGeom prst="rect">
                          <a:avLst/>
                        </a:prstGeom>
                        <a:ln>
                          <a:noFill/>
                        </a:ln>
                      </wps:spPr>
                      <wps:txbx>
                        <w:txbxContent>
                          <w:p w14:paraId="1F12DE6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wps:wsp>
                  </a:graphicData>
                </a:graphic>
              </wp:anchor>
            </w:drawing>
          </mc:Choice>
          <mc:Fallback>
            <w:pict>
              <v:rect id="00014d" o:spid="_x0000_s1026" o:spt="1" style="position:absolute;left:0pt;margin-left:-9pt;margin-top:23pt;height:42.6pt;width:72pt;z-index:251659264;mso-width-relative:page;mso-height-relative:page;" filled="f" stroked="f" coordsize="21600,21600" o:gfxdata="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RZWibZAAAACgEAAA8AAAAAAAAAAQAgAAAAIgAA&#10;AGRycy9kb3ducmV2LnhtbFBLAQIUABQAAAAIAIdO4kAN2d0TlQEAADgDAAAOAAAAAAAAAAEAIAAA&#10;ACgBAABkcnMvZTJvRG9jLnhtbFBLBQYAAAAABgAGAFkBAAAvBQAAAAA=&#10;">
                <v:fill on="f" focussize="0,0"/>
                <v:stroke on="f"/>
                <v:imagedata o:title=""/>
                <o:lock v:ext="edit" aspectratio="f"/>
                <v:textbox>
                  <w:txbxContent>
                    <w:p w14:paraId="1F12DE6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rect>
            </w:pict>
          </mc:Fallback>
        </mc:AlternateContent>
      </w:r>
      <w:r>
        <w:rPr>
          <w:rFonts w:hint="eastAsia" w:hAnsi="宋体" w:eastAsia="宋体" w:cs="宋体"/>
          <w:b/>
          <w:bCs/>
          <w:color w:val="auto"/>
          <w:sz w:val="24"/>
          <w:szCs w:val="24"/>
          <w:highlight w:val="none"/>
        </w:rPr>
        <w:t xml:space="preserve">32.5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00ACAAE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当合同工程发生保险事故时,被保险人应及时通知保险人，并提供有关资料。合同双方当事人有责任采取合理有效措施防止或减少损失，并应相互协助做好向保险人的报告和理赔工作。</w:t>
      </w:r>
    </w:p>
    <w:p w14:paraId="49CE0202">
      <w:pPr>
        <w:pStyle w:val="24"/>
        <w:tabs>
          <w:tab w:val="left" w:pos="1320"/>
          <w:tab w:val="left" w:pos="16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32.6  </w:t>
      </w:r>
      <w:r>
        <w:rPr>
          <w:rFonts w:hint="eastAsia" w:hAnsi="宋体" w:eastAsia="宋体" w:cs="宋体"/>
          <w:b/>
          <w:bCs/>
          <w:color w:val="auto"/>
          <w:sz w:val="24"/>
          <w:szCs w:val="24"/>
          <w:highlight w:val="none"/>
          <w:u w:val="dotted"/>
        </w:rPr>
        <w:t xml:space="preserve">                                                                                                        </w:t>
      </w:r>
    </w:p>
    <w:p w14:paraId="345DBE04">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147" name="00014e"/>
                <wp:cNvGraphicFramePr/>
                <a:graphic xmlns:a="http://schemas.openxmlformats.org/drawingml/2006/main">
                  <a:graphicData uri="http://schemas.microsoft.com/office/word/2010/wordprocessingShape">
                    <wps:wsp>
                      <wps:cNvSpPr/>
                      <wps:spPr>
                        <a:xfrm>
                          <a:off x="0" y="0"/>
                          <a:ext cx="914400" cy="552450"/>
                        </a:xfrm>
                        <a:prstGeom prst="rect">
                          <a:avLst/>
                        </a:prstGeom>
                        <a:ln>
                          <a:noFill/>
                        </a:ln>
                      </wps:spPr>
                      <wps:txbx>
                        <w:txbxContent>
                          <w:p w14:paraId="5829677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wps:wsp>
                  </a:graphicData>
                </a:graphic>
              </wp:anchor>
            </w:drawing>
          </mc:Choice>
          <mc:Fallback>
            <w:pict>
              <v:rect id="00014e" o:spid="_x0000_s1026" o:spt="1" style="position:absolute;left:0pt;margin-left:-9pt;margin-top:0pt;height:43.5pt;width:72pt;z-index:251659264;mso-width-relative:page;mso-height-relative:page;" filled="f" stroked="f" coordsize="21600,21600" o:gfxdata="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WlmtgAAAAHAQAADwAAAAAAAAABACAAAAAiAAAA&#10;ZHJzL2Rvd25yZXYueG1sUEsBAhQAFAAAAAgAh07iQAxYaGuVAQAAOAMAAA4AAAAAAAAAAQAgAAAA&#10;JwEAAGRycy9lMm9Eb2MueG1sUEsFBgAAAAAGAAYAWQEAAC4FAAAAAA==&#10;">
                <v:fill on="f" focussize="0,0"/>
                <v:stroke on="f"/>
                <v:imagedata o:title=""/>
                <o:lock v:ext="edit" aspectratio="f"/>
                <v:textbox>
                  <w:txbxContent>
                    <w:p w14:paraId="5829677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rect>
            </w:pict>
          </mc:Fallback>
        </mc:AlternateContent>
      </w:r>
      <w:r>
        <w:rPr>
          <w:rFonts w:hint="eastAsia" w:hAnsi="宋体" w:eastAsia="宋体" w:cs="宋体"/>
          <w:color w:val="auto"/>
          <w:sz w:val="24"/>
          <w:szCs w:val="24"/>
          <w:highlight w:val="none"/>
        </w:rPr>
        <w:t>当合同工程的性质、规模或计划发生变更时，被保险人应及时通知保险人，并在合同履行期间按照本条规定保证足够的保险额，由此造成的费用由责任方承担。</w:t>
      </w:r>
    </w:p>
    <w:p w14:paraId="5FF7D0D5">
      <w:pPr>
        <w:pStyle w:val="24"/>
        <w:tabs>
          <w:tab w:val="left" w:pos="13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32.7  </w:t>
      </w:r>
      <w:r>
        <w:rPr>
          <w:rFonts w:hint="eastAsia" w:hAnsi="宋体" w:eastAsia="宋体" w:cs="宋体"/>
          <w:b/>
          <w:bCs/>
          <w:color w:val="auto"/>
          <w:sz w:val="24"/>
          <w:szCs w:val="24"/>
          <w:highlight w:val="none"/>
          <w:u w:val="dotted"/>
        </w:rPr>
        <w:t xml:space="preserve">                                                                                                        </w:t>
      </w:r>
    </w:p>
    <w:p w14:paraId="7BC5E41A">
      <w:pPr>
        <w:pStyle w:val="24"/>
        <w:tabs>
          <w:tab w:val="left" w:pos="1320"/>
        </w:tabs>
        <w:adjustRightInd w:val="0"/>
        <w:snapToGrid w:val="0"/>
        <w:spacing w:line="300" w:lineRule="auto"/>
        <w:ind w:left="1575" w:leftChars="750"/>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148" name="00014f"/>
                <wp:cNvGraphicFramePr/>
                <a:graphic xmlns:a="http://schemas.openxmlformats.org/drawingml/2006/main">
                  <a:graphicData uri="http://schemas.microsoft.com/office/word/2010/wordprocessingShape">
                    <wps:wsp>
                      <wps:cNvSpPr/>
                      <wps:spPr>
                        <a:xfrm>
                          <a:off x="0" y="0"/>
                          <a:ext cx="914400" cy="425450"/>
                        </a:xfrm>
                        <a:prstGeom prst="rect">
                          <a:avLst/>
                        </a:prstGeom>
                        <a:ln>
                          <a:noFill/>
                        </a:ln>
                      </wps:spPr>
                      <wps:txbx>
                        <w:txbxContent>
                          <w:p w14:paraId="1C7584F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wps:wsp>
                  </a:graphicData>
                </a:graphic>
              </wp:anchor>
            </w:drawing>
          </mc:Choice>
          <mc:Fallback>
            <w:pict>
              <v:rect id="00014f" o:spid="_x0000_s1026" o:spt="1" style="position:absolute;left:0pt;margin-left:-5.25pt;margin-top:1.1pt;height:33.5pt;width:72pt;z-index:251659264;mso-width-relative:page;mso-height-relative:page;" filled="f" stroked="f" coordsize="21600,21600" o:gfxdata="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&#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5wbS3tgAAAAIAQAADwAAAAAAAAABACAAAAAiAAAA&#10;ZHJzL2Rvd25yZXYueG1sUEsBAhQAFAAAAAgAh07iQNG6g9iVAQAAOAMAAA4AAAAAAAAAAQAgAAAA&#10;JwEAAGRycy9lMm9Eb2MueG1sUEsFBgAAAAAGAAYAWQEAAC4FAAAAAA==&#10;">
                <v:fill on="f" focussize="0,0"/>
                <v:stroke on="f"/>
                <v:imagedata o:title=""/>
                <o:lock v:ext="edit" aspectratio="f"/>
                <v:textbox>
                  <w:txbxContent>
                    <w:p w14:paraId="1C7584F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rect>
            </w:pict>
          </mc:Fallback>
        </mc:AlternateContent>
      </w:r>
      <w:r>
        <w:rPr>
          <w:rFonts w:hint="eastAsia" w:hAnsi="宋体" w:eastAsia="宋体" w:cs="宋体"/>
          <w:color w:val="auto"/>
          <w:sz w:val="24"/>
          <w:szCs w:val="24"/>
          <w:highlight w:val="none"/>
        </w:rPr>
        <w:t>从保险人收到的因合同工程本身损失或损坏的保险金,应专项用于修复合同工程的损失或损坏，或作为对未能修复合同工程这些损失或损坏的补偿。</w:t>
      </w:r>
    </w:p>
    <w:p w14:paraId="7A6E1267">
      <w:pPr>
        <w:pStyle w:val="24"/>
        <w:tabs>
          <w:tab w:val="left" w:pos="13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226695</wp:posOffset>
                </wp:positionV>
                <wp:extent cx="914400" cy="407035"/>
                <wp:effectExtent l="0" t="0" r="0" b="0"/>
                <wp:wrapNone/>
                <wp:docPr id="1149" name="000150"/>
                <wp:cNvGraphicFramePr/>
                <a:graphic xmlns:a="http://schemas.openxmlformats.org/drawingml/2006/main">
                  <a:graphicData uri="http://schemas.microsoft.com/office/word/2010/wordprocessingShape">
                    <wps:wsp>
                      <wps:cNvSpPr/>
                      <wps:spPr>
                        <a:xfrm>
                          <a:off x="0" y="0"/>
                          <a:ext cx="914400" cy="407035"/>
                        </a:xfrm>
                        <a:prstGeom prst="rect">
                          <a:avLst/>
                        </a:prstGeom>
                        <a:ln>
                          <a:noFill/>
                        </a:ln>
                      </wps:spPr>
                      <wps:txbx>
                        <w:txbxContent>
                          <w:p w14:paraId="7D6279F6">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wps:txbx>
                      <wps:bodyPr wrap="square"/>
                    </wps:wsp>
                  </a:graphicData>
                </a:graphic>
              </wp:anchor>
            </w:drawing>
          </mc:Choice>
          <mc:Fallback>
            <w:pict>
              <v:rect id="000150" o:spid="_x0000_s1026" o:spt="1" style="position:absolute;left:0pt;margin-left:-9pt;margin-top:17.85pt;height:32.05pt;width:72pt;z-index:251659264;mso-width-relative:page;mso-height-relative:page;" filled="f" stroked="f" coordsize="21600,21600" o:gfxdata="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UIyXS2gAAAAkBAAAPAAAAAAAAAAEAIAAAACIA&#10;AABkcnMvZG93bnJldi54bWxQSwECFAAUAAAACACHTuJATjm0bZUBAAA4AwAADgAAAAAAAAABACAA&#10;AAApAQAAZHJzL2Uyb0RvYy54bWxQSwUGAAAAAAYABgBZAQAAMAUAAAAA&#10;">
                <v:fill on="f" focussize="0,0"/>
                <v:stroke on="f"/>
                <v:imagedata o:title=""/>
                <o:lock v:ext="edit" aspectratio="f"/>
                <v:textbox>
                  <w:txbxContent>
                    <w:p w14:paraId="7D6279F6">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rect>
            </w:pict>
          </mc:Fallback>
        </mc:AlternateContent>
      </w:r>
      <w:r>
        <w:rPr>
          <w:rFonts w:hint="eastAsia" w:hAnsi="宋体" w:eastAsia="宋体" w:cs="宋体"/>
          <w:b/>
          <w:bCs/>
          <w:color w:val="auto"/>
          <w:sz w:val="24"/>
          <w:szCs w:val="24"/>
          <w:highlight w:val="none"/>
        </w:rPr>
        <w:t xml:space="preserve">32.8  </w:t>
      </w:r>
      <w:r>
        <w:rPr>
          <w:rFonts w:hint="eastAsia" w:hAnsi="宋体" w:eastAsia="宋体" w:cs="宋体"/>
          <w:b/>
          <w:bCs/>
          <w:color w:val="auto"/>
          <w:sz w:val="24"/>
          <w:szCs w:val="24"/>
          <w:highlight w:val="none"/>
          <w:u w:val="dotted"/>
        </w:rPr>
        <w:t xml:space="preserve">                                                                                                        </w:t>
      </w:r>
    </w:p>
    <w:p w14:paraId="07ABEE34">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具体投保内容、保险金、保险期限及相关责任等事项，合同双方当事人应在专用条款中约定。</w:t>
      </w:r>
    </w:p>
    <w:p w14:paraId="5AA8D369">
      <w:pPr>
        <w:pStyle w:val="24"/>
        <w:adjustRightInd w:val="0"/>
        <w:snapToGrid w:val="0"/>
        <w:spacing w:line="300" w:lineRule="auto"/>
        <w:ind w:right="-238"/>
        <w:outlineLvl w:val="1"/>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2B347DC3">
      <w:pPr>
        <w:pStyle w:val="24"/>
        <w:adjustRightInd w:val="0"/>
        <w:snapToGrid w:val="0"/>
        <w:spacing w:line="300" w:lineRule="auto"/>
        <w:ind w:right="-238"/>
        <w:jc w:val="center"/>
        <w:outlineLvl w:val="1"/>
        <w:rPr>
          <w:rFonts w:hAnsi="宋体" w:eastAsia="宋体" w:cs="宋体"/>
          <w:b/>
          <w:bCs/>
          <w:color w:val="auto"/>
          <w:sz w:val="24"/>
          <w:szCs w:val="24"/>
          <w:highlight w:val="none"/>
        </w:rPr>
      </w:pPr>
      <w:bookmarkStart w:id="92" w:name="_Toc46860835"/>
      <w:bookmarkStart w:id="93" w:name="_Toc469384014"/>
      <w:r>
        <w:rPr>
          <w:rFonts w:hint="eastAsia" w:hAnsi="宋体" w:eastAsia="宋体" w:cs="宋体"/>
          <w:b/>
          <w:bCs/>
          <w:color w:val="auto"/>
          <w:sz w:val="24"/>
          <w:szCs w:val="24"/>
          <w:highlight w:val="none"/>
        </w:rPr>
        <w:t>四、工  期</w:t>
      </w:r>
      <w:bookmarkEnd w:id="92"/>
      <w:bookmarkEnd w:id="93"/>
    </w:p>
    <w:p w14:paraId="75C2629A">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94" w:name="_Toc469384015"/>
      <w:bookmarkStart w:id="95" w:name="_Toc46860836"/>
      <w:r>
        <w:rPr>
          <w:rFonts w:hint="eastAsia" w:hAnsi="宋体" w:eastAsia="宋体" w:cs="宋体"/>
          <w:b/>
          <w:bCs/>
          <w:color w:val="auto"/>
          <w:sz w:val="24"/>
          <w:szCs w:val="24"/>
          <w:highlight w:val="none"/>
        </w:rPr>
        <w:t>33  进度计划和报告</w:t>
      </w:r>
      <w:bookmarkEnd w:id="94"/>
      <w:bookmarkEnd w:id="95"/>
    </w:p>
    <w:p w14:paraId="1822944B">
      <w:pPr>
        <w:pStyle w:val="24"/>
        <w:tabs>
          <w:tab w:val="left" w:pos="16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150" name="000151"/>
                <wp:cNvGraphicFramePr/>
                <a:graphic xmlns:a="http://schemas.openxmlformats.org/drawingml/2006/main">
                  <a:graphicData uri="http://schemas.microsoft.com/office/word/2010/wordprocessingShape">
                    <wps:wsp>
                      <wps:cNvSpPr/>
                      <wps:spPr>
                        <a:xfrm>
                          <a:off x="0" y="0"/>
                          <a:ext cx="914400" cy="412750"/>
                        </a:xfrm>
                        <a:prstGeom prst="rect">
                          <a:avLst/>
                        </a:prstGeom>
                        <a:ln>
                          <a:noFill/>
                        </a:ln>
                      </wps:spPr>
                      <wps:txbx>
                        <w:txbxContent>
                          <w:p w14:paraId="767242A5">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wrap="square"/>
                    </wps:wsp>
                  </a:graphicData>
                </a:graphic>
              </wp:anchor>
            </w:drawing>
          </mc:Choice>
          <mc:Fallback>
            <w:pict>
              <v:rect id="000151" o:spid="_x0000_s1026" o:spt="1" style="position:absolute;left:0pt;margin-left:-9pt;margin-top:22.35pt;height:32.5pt;width:72pt;z-index:251659264;mso-width-relative:page;mso-height-relative:page;" filled="f" stroked="f" coordsize="21600,21600" o:gfxdata="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1FEcK2wAAAAoBAAAPAAAAAAAAAAEAIAAAACIA&#10;AABkcnMvZG93bnJldi54bWxQSwECFAAUAAAACACHTuJAC5j7uZQBAAA4AwAADgAAAAAAAAABACAA&#10;AAAqAQAAZHJzL2Uyb0RvYy54bWxQSwUGAAAAAAYABgBZAQAAMAUAAAAA&#10;">
                <v:fill on="f" focussize="0,0"/>
                <v:stroke on="f"/>
                <v:imagedata o:title=""/>
                <o:lock v:ext="edit" aspectratio="f"/>
                <v:textbox>
                  <w:txbxContent>
                    <w:p w14:paraId="767242A5">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rect>
            </w:pict>
          </mc:Fallback>
        </mc:AlternateContent>
      </w:r>
      <w:r>
        <w:rPr>
          <w:rFonts w:hint="eastAsia" w:hAnsi="宋体" w:eastAsia="宋体" w:cs="宋体"/>
          <w:b/>
          <w:bCs/>
          <w:color w:val="auto"/>
          <w:sz w:val="24"/>
          <w:szCs w:val="24"/>
          <w:highlight w:val="none"/>
        </w:rPr>
        <w:t xml:space="preserve">33.1      </w:t>
      </w:r>
    </w:p>
    <w:p w14:paraId="12B5501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3A60871A">
      <w:pPr>
        <w:pStyle w:val="24"/>
        <w:adjustRightInd w:val="0"/>
        <w:snapToGrid w:val="0"/>
        <w:spacing w:line="300" w:lineRule="auto"/>
        <w:ind w:left="1619" w:leftChars="771"/>
        <w:rPr>
          <w:rFonts w:hAnsi="宋体" w:eastAsia="宋体" w:cs="宋体"/>
          <w:color w:val="auto"/>
          <w:sz w:val="24"/>
          <w:szCs w:val="24"/>
          <w:highlight w:val="none"/>
        </w:rPr>
      </w:pPr>
    </w:p>
    <w:p w14:paraId="0C8F32E5">
      <w:pPr>
        <w:pStyle w:val="24"/>
        <w:tabs>
          <w:tab w:val="left" w:pos="16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151" name="000152"/>
                <wp:cNvGraphicFramePr/>
                <a:graphic xmlns:a="http://schemas.openxmlformats.org/drawingml/2006/main">
                  <a:graphicData uri="http://schemas.microsoft.com/office/word/2010/wordprocessingShape">
                    <wps:wsp>
                      <wps:cNvSpPr/>
                      <wps:spPr>
                        <a:xfrm>
                          <a:off x="0" y="0"/>
                          <a:ext cx="914400" cy="471804"/>
                        </a:xfrm>
                        <a:prstGeom prst="rect">
                          <a:avLst/>
                        </a:prstGeom>
                        <a:ln>
                          <a:noFill/>
                        </a:ln>
                      </wps:spPr>
                      <wps:txbx>
                        <w:txbxContent>
                          <w:p w14:paraId="5C0E246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wps:wsp>
                  </a:graphicData>
                </a:graphic>
              </wp:anchor>
            </w:drawing>
          </mc:Choice>
          <mc:Fallback>
            <w:pict>
              <v:rect id="000152" o:spid="_x0000_s1026" o:spt="1" style="position:absolute;left:0pt;margin-left:-9pt;margin-top:22.15pt;height:37.15pt;width:72pt;z-index:251659264;mso-width-relative:page;mso-height-relative:page;" filled="f" stroked="f" coordsize="21600,21600" o:gfxdata="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SnpLSdsAAAAKAQAADwAAAAAAAAABACAAAAAi&#10;AAAAZHJzL2Rvd25yZXYueG1sUEsBAhQAFAAAAAgAh07iQA/hCvOVAQAAOAMAAA4AAAAAAAAAAQAg&#10;AAAAKgEAAGRycy9lMm9Eb2MueG1sUEsFBgAAAAAGAAYAWQEAADEFAAAAAA==&#10;">
                <v:fill on="f" focussize="0,0"/>
                <v:stroke on="f"/>
                <v:imagedata o:title=""/>
                <o:lock v:ext="edit" aspectratio="f"/>
                <v:textbox>
                  <w:txbxContent>
                    <w:p w14:paraId="5C0E246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rect>
            </w:pict>
          </mc:Fallback>
        </mc:AlternateContent>
      </w:r>
      <w:r>
        <w:rPr>
          <w:rFonts w:hint="eastAsia" w:hAnsi="宋体" w:eastAsia="宋体" w:cs="宋体"/>
          <w:b/>
          <w:bCs/>
          <w:color w:val="auto"/>
          <w:sz w:val="24"/>
          <w:szCs w:val="24"/>
          <w:highlight w:val="none"/>
        </w:rPr>
        <w:t xml:space="preserve">33.2  </w:t>
      </w:r>
      <w:r>
        <w:rPr>
          <w:rFonts w:hint="eastAsia" w:hAnsi="宋体" w:eastAsia="宋体" w:cs="宋体"/>
          <w:b/>
          <w:bCs/>
          <w:color w:val="auto"/>
          <w:sz w:val="24"/>
          <w:szCs w:val="24"/>
          <w:highlight w:val="none"/>
          <w:u w:val="dotted"/>
        </w:rPr>
        <w:t xml:space="preserve">                                                                                                        </w:t>
      </w:r>
    </w:p>
    <w:p w14:paraId="2C8FBD1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承包人应按照经监理工程师确认并由其报发包人批准的进度计划组织施工，接受监理工程师对工程进度的监督和检查。</w:t>
      </w:r>
    </w:p>
    <w:p w14:paraId="48949BE6">
      <w:pPr>
        <w:pStyle w:val="24"/>
        <w:tabs>
          <w:tab w:val="left" w:pos="16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152" name="000153"/>
                <wp:cNvGraphicFramePr/>
                <a:graphic xmlns:a="http://schemas.openxmlformats.org/drawingml/2006/main">
                  <a:graphicData uri="http://schemas.microsoft.com/office/word/2010/wordprocessingShape">
                    <wps:wsp>
                      <wps:cNvSpPr/>
                      <wps:spPr>
                        <a:xfrm>
                          <a:off x="0" y="0"/>
                          <a:ext cx="914400" cy="555625"/>
                        </a:xfrm>
                        <a:prstGeom prst="rect">
                          <a:avLst/>
                        </a:prstGeom>
                        <a:ln>
                          <a:noFill/>
                        </a:ln>
                      </wps:spPr>
                      <wps:txbx>
                        <w:txbxContent>
                          <w:p w14:paraId="0C1A732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wps:wsp>
                  </a:graphicData>
                </a:graphic>
              </wp:anchor>
            </w:drawing>
          </mc:Choice>
          <mc:Fallback>
            <w:pict>
              <v:rect id="000153" o:spid="_x0000_s1026" o:spt="1" style="position:absolute;left:0pt;margin-left:-9pt;margin-top:20.9pt;height:43.75pt;width:72pt;z-index:251659264;mso-width-relative:page;mso-height-relative:page;" filled="f" stroked="f" coordsize="21600,21600" o:gfxdata="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i3Ec52gAAAAoBAAAPAAAAAAAAAAEAIAAAACIA&#10;AABkcnMvZG93bnJldi54bWxQSwECFAAUAAAACACHTuJAQ4ZYwpUBAAA4AwAADgAAAAAAAAABACAA&#10;AAApAQAAZHJzL2Uyb0RvYy54bWxQSwUGAAAAAAYABgBZAQAAMAUAAAAA&#10;">
                <v:fill on="f" focussize="0,0"/>
                <v:stroke on="f"/>
                <v:imagedata o:title=""/>
                <o:lock v:ext="edit" aspectratio="f"/>
                <v:textbox>
                  <w:txbxContent>
                    <w:p w14:paraId="0C1A732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rect>
            </w:pict>
          </mc:Fallback>
        </mc:AlternateContent>
      </w:r>
      <w:r>
        <w:rPr>
          <w:rFonts w:hint="eastAsia" w:hAnsi="宋体" w:eastAsia="宋体" w:cs="宋体"/>
          <w:b/>
          <w:bCs/>
          <w:color w:val="auto"/>
          <w:sz w:val="24"/>
          <w:szCs w:val="24"/>
          <w:highlight w:val="none"/>
        </w:rPr>
        <w:t xml:space="preserve">33.3  </w:t>
      </w:r>
      <w:r>
        <w:rPr>
          <w:rFonts w:hint="eastAsia" w:hAnsi="宋体" w:eastAsia="宋体" w:cs="宋体"/>
          <w:b/>
          <w:bCs/>
          <w:color w:val="auto"/>
          <w:sz w:val="24"/>
          <w:szCs w:val="24"/>
          <w:highlight w:val="none"/>
          <w:u w:val="dotted"/>
        </w:rPr>
        <w:t xml:space="preserve">                                                                                                        </w:t>
      </w:r>
    </w:p>
    <w:p w14:paraId="5287E4E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14:paraId="37952881">
      <w:pPr>
        <w:pStyle w:val="24"/>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（1）施工、安装、试验以及其他发包人工作等进展情况的图表</w:t>
      </w:r>
    </w:p>
    <w:p w14:paraId="495478BE">
      <w:pPr>
        <w:pStyle w:val="24"/>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和说明；</w:t>
      </w:r>
    </w:p>
    <w:p w14:paraId="3203871E">
      <w:pPr>
        <w:pStyle w:val="24"/>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（2）材料、设备、货物的采购和制造商名称、地点以及进入现</w:t>
      </w:r>
    </w:p>
    <w:p w14:paraId="3EEC08F7">
      <w:pPr>
        <w:pStyle w:val="24"/>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场情况；</w:t>
      </w:r>
    </w:p>
    <w:p w14:paraId="7D16DF95">
      <w:pPr>
        <w:pStyle w:val="24"/>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（3）索赔情况和安全统计；</w:t>
      </w:r>
    </w:p>
    <w:p w14:paraId="7686CF7D">
      <w:pPr>
        <w:pStyle w:val="24"/>
        <w:adjustRightInd w:val="0"/>
        <w:snapToGrid w:val="0"/>
        <w:spacing w:line="300" w:lineRule="auto"/>
        <w:ind w:left="1558" w:leftChars="742"/>
        <w:rPr>
          <w:rFonts w:hAnsi="宋体" w:eastAsia="宋体" w:cs="宋体"/>
          <w:color w:val="auto"/>
          <w:sz w:val="24"/>
          <w:szCs w:val="24"/>
          <w:highlight w:val="none"/>
        </w:rPr>
      </w:pPr>
      <w:r>
        <w:rPr>
          <w:rFonts w:hint="eastAsia" w:hAnsi="宋体" w:eastAsia="宋体" w:cs="宋体"/>
          <w:color w:val="auto"/>
          <w:sz w:val="24"/>
          <w:szCs w:val="24"/>
          <w:highlight w:val="none"/>
        </w:rPr>
        <w:t>（4）实际进度与计划进度的对比，以及为消除延误正在或准备采取的措施。</w:t>
      </w:r>
    </w:p>
    <w:p w14:paraId="3588F46E">
      <w:pPr>
        <w:pStyle w:val="24"/>
        <w:tabs>
          <w:tab w:val="left" w:pos="1620"/>
        </w:tabs>
        <w:adjustRightInd w:val="0"/>
        <w:snapToGrid w:val="0"/>
        <w:spacing w:line="300" w:lineRule="auto"/>
        <w:rPr>
          <w:rFonts w:hAnsi="宋体" w:eastAsia="宋体" w:cs="宋体"/>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153" name="000154"/>
                <wp:cNvGraphicFramePr/>
                <a:graphic xmlns:a="http://schemas.openxmlformats.org/drawingml/2006/main">
                  <a:graphicData uri="http://schemas.microsoft.com/office/word/2010/wordprocessingShape">
                    <wps:wsp>
                      <wps:cNvSpPr/>
                      <wps:spPr>
                        <a:xfrm>
                          <a:off x="0" y="0"/>
                          <a:ext cx="914400" cy="644524"/>
                        </a:xfrm>
                        <a:prstGeom prst="rect">
                          <a:avLst/>
                        </a:prstGeom>
                        <a:ln>
                          <a:noFill/>
                        </a:ln>
                      </wps:spPr>
                      <wps:txbx>
                        <w:txbxContent>
                          <w:p w14:paraId="10C957F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wps:wsp>
                  </a:graphicData>
                </a:graphic>
              </wp:anchor>
            </w:drawing>
          </mc:Choice>
          <mc:Fallback>
            <w:pict>
              <v:rect id="000154" o:spid="_x0000_s1026" o:spt="1" style="position:absolute;left:0pt;margin-left:-9pt;margin-top:19.2pt;height:50.75pt;width:72pt;z-index:251659264;mso-width-relative:page;mso-height-relative:page;" filled="f" stroked="f" coordsize="21600,21600" o:gfxdata="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KOMWmHbAAAACgEAAA8AAAAAAAAAAQAgAAAA&#10;IgAAAGRycy9kb3ducmV2LnhtbFBLAQIUABQAAAAIAIdO4kApN8gplgEAADgDAAAOAAAAAAAAAAEA&#10;IAAAACoBAABkcnMvZTJvRG9jLnhtbFBLBQYAAAAABgAGAFkBAAAyBQAAAAA=&#10;">
                <v:fill on="f" focussize="0,0"/>
                <v:stroke on="f"/>
                <v:imagedata o:title=""/>
                <o:lock v:ext="edit" aspectratio="f"/>
                <v:textbox>
                  <w:txbxContent>
                    <w:p w14:paraId="10C957F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rect>
            </w:pict>
          </mc:Fallback>
        </mc:AlternateContent>
      </w:r>
      <w:r>
        <w:rPr>
          <w:rFonts w:hint="eastAsia" w:hAnsi="宋体" w:eastAsia="宋体" w:cs="宋体"/>
          <w:b/>
          <w:bCs/>
          <w:color w:val="auto"/>
          <w:sz w:val="24"/>
          <w:szCs w:val="24"/>
          <w:highlight w:val="none"/>
        </w:rPr>
        <w:t xml:space="preserve">33.4  </w:t>
      </w:r>
      <w:r>
        <w:rPr>
          <w:rFonts w:hint="eastAsia" w:hAnsi="宋体" w:eastAsia="宋体" w:cs="宋体"/>
          <w:color w:val="auto"/>
          <w:sz w:val="24"/>
          <w:szCs w:val="24"/>
          <w:highlight w:val="none"/>
          <w:u w:val="dotted"/>
        </w:rPr>
        <w:t xml:space="preserve">                                                                                                        </w:t>
      </w:r>
    </w:p>
    <w:p w14:paraId="37A2109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14:paraId="01C4A459">
      <w:pPr>
        <w:pStyle w:val="24"/>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55830D87">
      <w:pPr>
        <w:pStyle w:val="24"/>
        <w:adjustRightInd w:val="0"/>
        <w:snapToGrid w:val="0"/>
        <w:spacing w:line="300" w:lineRule="auto"/>
        <w:ind w:right="-238"/>
        <w:outlineLvl w:val="2"/>
        <w:rPr>
          <w:rFonts w:hAnsi="宋体" w:eastAsia="宋体" w:cs="宋体"/>
          <w:b/>
          <w:bCs/>
          <w:color w:val="auto"/>
          <w:sz w:val="24"/>
          <w:szCs w:val="24"/>
          <w:highlight w:val="none"/>
        </w:rPr>
      </w:pPr>
      <w:bookmarkStart w:id="96" w:name="_Toc46860837"/>
      <w:bookmarkStart w:id="97" w:name="_Toc469384016"/>
      <w:r>
        <w:rPr>
          <w:rFonts w:hint="eastAsia" w:hAnsi="宋体" w:eastAsia="宋体" w:cs="宋体"/>
          <w:b/>
          <w:bCs/>
          <w:color w:val="auto"/>
          <w:sz w:val="24"/>
          <w:szCs w:val="24"/>
          <w:highlight w:val="none"/>
        </w:rPr>
        <w:t>34  开工</w:t>
      </w:r>
      <w:bookmarkEnd w:id="96"/>
      <w:bookmarkEnd w:id="97"/>
    </w:p>
    <w:p w14:paraId="10262210">
      <w:pPr>
        <w:pStyle w:val="24"/>
        <w:tabs>
          <w:tab w:val="left" w:pos="1320"/>
        </w:tabs>
        <w:adjustRightInd w:val="0"/>
        <w:snapToGrid w:val="0"/>
        <w:spacing w:line="300" w:lineRule="auto"/>
        <w:ind w:right="3"/>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154" name="000155"/>
                <wp:cNvGraphicFramePr/>
                <a:graphic xmlns:a="http://schemas.openxmlformats.org/drawingml/2006/main">
                  <a:graphicData uri="http://schemas.microsoft.com/office/word/2010/wordprocessingShape">
                    <wps:wsp>
                      <wps:cNvSpPr/>
                      <wps:spPr>
                        <a:xfrm>
                          <a:off x="0" y="0"/>
                          <a:ext cx="800100" cy="310515"/>
                        </a:xfrm>
                        <a:prstGeom prst="rect">
                          <a:avLst/>
                        </a:prstGeom>
                        <a:ln>
                          <a:noFill/>
                        </a:ln>
                      </wps:spPr>
                      <wps:txbx>
                        <w:txbxContent>
                          <w:p w14:paraId="4C7DE7D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wps:wsp>
                  </a:graphicData>
                </a:graphic>
              </wp:anchor>
            </w:drawing>
          </mc:Choice>
          <mc:Fallback>
            <w:pict>
              <v:rect id="000155" o:spid="_x0000_s1026" o:spt="1" style="position:absolute;left:0pt;margin-left:-9pt;margin-top:19.45pt;height:24.45pt;width:63pt;z-index:251659264;mso-width-relative:page;mso-height-relative:page;" filled="f" stroked="f" coordsize="21600,21600" o:gfxdata="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&#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zxV+EdkAAAAJAQAADwAAAAAAAAABACAAAAAiAAAA&#10;ZHJzL2Rvd25yZXYueG1sUEsBAhQAFAAAAAgAh07iQCljqo6UAQAAOAMAAA4AAAAAAAAAAQAgAAAA&#10;KAEAAGRycy9lMm9Eb2MueG1sUEsFBgAAAAAGAAYAWQEAAC4FAAAAAA==&#10;">
                <v:fill on="f" focussize="0,0"/>
                <v:stroke on="f"/>
                <v:imagedata o:title=""/>
                <o:lock v:ext="edit" aspectratio="f"/>
                <v:textbox>
                  <w:txbxContent>
                    <w:p w14:paraId="4C7DE7D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rect>
            </w:pict>
          </mc:Fallback>
        </mc:AlternateContent>
      </w:r>
      <w:r>
        <w:rPr>
          <w:rFonts w:hint="eastAsia" w:hAnsi="宋体" w:eastAsia="宋体" w:cs="宋体"/>
          <w:b/>
          <w:bCs/>
          <w:color w:val="auto"/>
          <w:sz w:val="24"/>
          <w:szCs w:val="24"/>
          <w:highlight w:val="none"/>
        </w:rPr>
        <w:t xml:space="preserve">34.1    </w:t>
      </w:r>
    </w:p>
    <w:p w14:paraId="068955CA">
      <w:pPr>
        <w:pStyle w:val="24"/>
        <w:adjustRightInd w:val="0"/>
        <w:snapToGrid w:val="0"/>
        <w:spacing w:line="300" w:lineRule="auto"/>
        <w:ind w:left="1619" w:leftChars="771" w:right="6"/>
        <w:rPr>
          <w:rFonts w:hAnsi="宋体" w:eastAsia="宋体" w:cs="宋体"/>
          <w:color w:val="auto"/>
          <w:sz w:val="24"/>
          <w:szCs w:val="24"/>
          <w:highlight w:val="none"/>
        </w:rPr>
      </w:pPr>
      <w:r>
        <w:rPr>
          <w:rFonts w:hint="eastAsia" w:hAnsi="宋体" w:eastAsia="宋体" w:cs="宋体"/>
          <w:color w:val="auto"/>
          <w:sz w:val="24"/>
          <w:szCs w:val="24"/>
          <w:highlight w:val="none"/>
        </w:rPr>
        <w:t>工程开工必须具备法律规定的开工条件，并已经领取了施工许可证。</w:t>
      </w:r>
    </w:p>
    <w:p w14:paraId="705DB8F1">
      <w:pPr>
        <w:pStyle w:val="24"/>
        <w:tabs>
          <w:tab w:val="left" w:pos="1320"/>
        </w:tabs>
        <w:adjustRightInd w:val="0"/>
        <w:snapToGrid w:val="0"/>
        <w:spacing w:line="300" w:lineRule="auto"/>
        <w:ind w:right="3"/>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155" name="000156"/>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6AB76EB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wps:wsp>
                  </a:graphicData>
                </a:graphic>
              </wp:anchor>
            </w:drawing>
          </mc:Choice>
          <mc:Fallback>
            <w:pict>
              <v:rect id="000156" o:spid="_x0000_s1026" o:spt="1" style="position:absolute;left:0pt;margin-left:-9pt;margin-top:19.1pt;height:23.4pt;width:63pt;z-index:251659264;mso-width-relative:page;mso-height-relative:page;" filled="f" stroked="f" coordsize="21600,21600" o:gfxdata="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&#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FrRRxtgAAAAJAQAADwAAAAAAAAABACAAAAAiAAAA&#10;ZHJzL2Rvd25yZXYueG1sUEsBAhQAFAAAAAgAh07iQMMoxoyVAQAAOAMAAA4AAAAAAAAAAQAgAAAA&#10;JwEAAGRycy9lMm9Eb2MueG1sUEsFBgAAAAAGAAYAWQEAAC4FAAAAAA==&#10;">
                <v:fill on="f" focussize="0,0"/>
                <v:stroke on="f"/>
                <v:imagedata o:title=""/>
                <o:lock v:ext="edit" aspectratio="f"/>
                <v:textbox>
                  <w:txbxContent>
                    <w:p w14:paraId="6AB76EB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rect>
            </w:pict>
          </mc:Fallback>
        </mc:AlternateContent>
      </w:r>
      <w:r>
        <w:rPr>
          <w:rFonts w:hint="eastAsia" w:hAnsi="宋体" w:eastAsia="宋体" w:cs="宋体"/>
          <w:b/>
          <w:bCs/>
          <w:color w:val="auto"/>
          <w:sz w:val="24"/>
          <w:szCs w:val="24"/>
          <w:highlight w:val="none"/>
        </w:rPr>
        <w:t xml:space="preserve">34.2  </w:t>
      </w:r>
      <w:r>
        <w:rPr>
          <w:rFonts w:hint="eastAsia" w:hAnsi="宋体" w:eastAsia="宋体" w:cs="宋体"/>
          <w:b/>
          <w:bCs/>
          <w:color w:val="auto"/>
          <w:sz w:val="24"/>
          <w:szCs w:val="24"/>
          <w:highlight w:val="none"/>
          <w:u w:val="dotted"/>
        </w:rPr>
        <w:t xml:space="preserve">                                                                                                        </w:t>
      </w:r>
    </w:p>
    <w:p w14:paraId="7141A997">
      <w:pPr>
        <w:pStyle w:val="24"/>
        <w:adjustRightInd w:val="0"/>
        <w:snapToGrid w:val="0"/>
        <w:spacing w:line="300" w:lineRule="auto"/>
        <w:ind w:left="1619" w:leftChars="771" w:right="3"/>
        <w:rPr>
          <w:rFonts w:hAnsi="宋体" w:eastAsia="宋体" w:cs="宋体"/>
          <w:color w:val="auto"/>
          <w:sz w:val="24"/>
          <w:szCs w:val="24"/>
          <w:highlight w:val="none"/>
        </w:rPr>
      </w:pPr>
      <w:r>
        <w:rPr>
          <w:rFonts w:hint="eastAsia" w:hAnsi="宋体" w:eastAsia="宋体" w:cs="宋体"/>
          <w:color w:val="auto"/>
          <w:sz w:val="24"/>
          <w:szCs w:val="24"/>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14:paraId="49F32FA4">
      <w:pPr>
        <w:pStyle w:val="24"/>
        <w:tabs>
          <w:tab w:val="left" w:pos="1320"/>
        </w:tabs>
        <w:adjustRightInd w:val="0"/>
        <w:snapToGrid w:val="0"/>
        <w:spacing w:line="300" w:lineRule="auto"/>
        <w:ind w:right="3"/>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156" name="000157"/>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68FFC57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wps:wsp>
                  </a:graphicData>
                </a:graphic>
              </wp:anchor>
            </w:drawing>
          </mc:Choice>
          <mc:Fallback>
            <w:pict>
              <v:rect id="000157" o:spid="_x0000_s1026" o:spt="1" style="position:absolute;left:0pt;margin-left:-9pt;margin-top:21.25pt;height:46.8pt;width:72pt;z-index:251659264;mso-width-relative:page;mso-height-relative:page;" filled="f" stroked="f" coordsize="21600,21600" o:gfxdata="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VxVvR2wAAAAoBAAAPAAAAAAAAAAEAIAAA&#10;ACIAAABkcnMvZG93bnJldi54bWxQSwECFAAUAAAACACHTuJAtN7uopcBAAA4AwAADgAAAAAAAAAB&#10;ACAAAAAqAQAAZHJzL2Uyb0RvYy54bWxQSwUGAAAAAAYABgBZAQAAMwUAAAAA&#10;">
                <v:fill on="f" focussize="0,0"/>
                <v:stroke on="f"/>
                <v:imagedata o:title=""/>
                <o:lock v:ext="edit" aspectratio="f"/>
                <v:textbox>
                  <w:txbxContent>
                    <w:p w14:paraId="68FFC57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rect>
            </w:pict>
          </mc:Fallback>
        </mc:AlternateContent>
      </w:r>
      <w:r>
        <w:rPr>
          <w:rFonts w:hint="eastAsia" w:hAnsi="宋体" w:eastAsia="宋体" w:cs="宋体"/>
          <w:b/>
          <w:bCs/>
          <w:color w:val="auto"/>
          <w:sz w:val="24"/>
          <w:szCs w:val="24"/>
          <w:highlight w:val="none"/>
        </w:rPr>
        <w:t xml:space="preserve">34.3  </w:t>
      </w:r>
      <w:r>
        <w:rPr>
          <w:rFonts w:hint="eastAsia" w:hAnsi="宋体" w:eastAsia="宋体" w:cs="宋体"/>
          <w:b/>
          <w:bCs/>
          <w:color w:val="auto"/>
          <w:sz w:val="24"/>
          <w:szCs w:val="24"/>
          <w:highlight w:val="none"/>
          <w:u w:val="dotted"/>
        </w:rPr>
        <w:t xml:space="preserve">                                                                                                        </w:t>
      </w:r>
    </w:p>
    <w:p w14:paraId="425F95AF">
      <w:pPr>
        <w:pStyle w:val="24"/>
        <w:adjustRightInd w:val="0"/>
        <w:snapToGrid w:val="0"/>
        <w:spacing w:line="300" w:lineRule="auto"/>
        <w:ind w:left="1619" w:leftChars="771" w:right="3"/>
        <w:rPr>
          <w:rFonts w:hAnsi="宋体" w:eastAsia="宋体" w:cs="宋体"/>
          <w:color w:val="auto"/>
          <w:sz w:val="24"/>
          <w:szCs w:val="24"/>
          <w:highlight w:val="none"/>
        </w:rPr>
      </w:pPr>
      <w:r>
        <w:rPr>
          <w:rFonts w:hint="eastAsia" w:hAnsi="宋体" w:eastAsia="宋体" w:cs="宋体"/>
          <w:color w:val="auto"/>
          <w:sz w:val="24"/>
          <w:szCs w:val="24"/>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14:paraId="744BD4B1">
      <w:pPr>
        <w:pStyle w:val="24"/>
        <w:tabs>
          <w:tab w:val="left" w:pos="1320"/>
        </w:tabs>
        <w:adjustRightInd w:val="0"/>
        <w:snapToGrid w:val="0"/>
        <w:spacing w:line="300" w:lineRule="auto"/>
        <w:ind w:right="3"/>
        <w:rPr>
          <w:rFonts w:hAnsi="宋体" w:eastAsia="宋体" w:cs="宋体"/>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157" name="000158"/>
                <wp:cNvGraphicFramePr/>
                <a:graphic xmlns:a="http://schemas.openxmlformats.org/drawingml/2006/main">
                  <a:graphicData uri="http://schemas.microsoft.com/office/word/2010/wordprocessingShape">
                    <wps:wsp>
                      <wps:cNvSpPr/>
                      <wps:spPr>
                        <a:xfrm>
                          <a:off x="0" y="0"/>
                          <a:ext cx="914400" cy="568325"/>
                        </a:xfrm>
                        <a:prstGeom prst="rect">
                          <a:avLst/>
                        </a:prstGeom>
                        <a:ln>
                          <a:noFill/>
                        </a:ln>
                      </wps:spPr>
                      <wps:txbx>
                        <w:txbxContent>
                          <w:p w14:paraId="369EE57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wps:txbx>
                      <wps:bodyPr wrap="square"/>
                    </wps:wsp>
                  </a:graphicData>
                </a:graphic>
              </wp:anchor>
            </w:drawing>
          </mc:Choice>
          <mc:Fallback>
            <w:pict>
              <v:rect id="000158" o:spid="_x0000_s1026" o:spt="1" style="position:absolute;left:0pt;margin-left:-9pt;margin-top:18.7pt;height:44.75pt;width:72pt;z-index:251659264;mso-width-relative:page;mso-height-relative:page;" filled="f" stroked="f" coordsize="21600,21600" o:gfxdata="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ngmI9oAAAAKAQAADwAAAAAAAAABACAAAAAi&#10;AAAAZHJzL2Rvd25yZXYueG1sUEsBAhQAFAAAAAgAh07iQPgypAKWAQAAOAMAAA4AAAAAAAAAAQAg&#10;AAAAKQEAAGRycy9lMm9Eb2MueG1sUEsFBgAAAAAGAAYAWQEAADEFAAAAAA==&#10;">
                <v:fill on="f" focussize="0,0"/>
                <v:stroke on="f"/>
                <v:imagedata o:title=""/>
                <o:lock v:ext="edit" aspectratio="f"/>
                <v:textbox>
                  <w:txbxContent>
                    <w:p w14:paraId="369EE57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v:textbox>
              </v:rect>
            </w:pict>
          </mc:Fallback>
        </mc:AlternateContent>
      </w:r>
      <w:r>
        <w:rPr>
          <w:rFonts w:hint="eastAsia" w:hAnsi="宋体" w:eastAsia="宋体" w:cs="宋体"/>
          <w:color w:val="auto"/>
          <w:sz w:val="24"/>
          <w:szCs w:val="24"/>
          <w:highlight w:val="none"/>
        </w:rPr>
        <w:t xml:space="preserve">34.4  </w:t>
      </w:r>
      <w:r>
        <w:rPr>
          <w:rFonts w:hint="eastAsia" w:hAnsi="宋体" w:eastAsia="宋体" w:cs="宋体"/>
          <w:color w:val="auto"/>
          <w:sz w:val="24"/>
          <w:szCs w:val="24"/>
          <w:highlight w:val="none"/>
          <w:u w:val="dotted"/>
        </w:rPr>
        <w:t xml:space="preserve">                                                                                                        </w:t>
      </w:r>
    </w:p>
    <w:p w14:paraId="31628664">
      <w:pPr>
        <w:pStyle w:val="24"/>
        <w:adjustRightInd w:val="0"/>
        <w:snapToGrid w:val="0"/>
        <w:spacing w:line="300" w:lineRule="auto"/>
        <w:ind w:left="1619" w:leftChars="771" w:right="3"/>
        <w:rPr>
          <w:rFonts w:hAnsi="宋体" w:eastAsia="宋体" w:cs="宋体"/>
          <w:color w:val="auto"/>
          <w:sz w:val="24"/>
          <w:szCs w:val="24"/>
          <w:highlight w:val="none"/>
        </w:rPr>
      </w:pPr>
      <w:r>
        <w:rPr>
          <w:rFonts w:hint="eastAsia" w:hAnsi="宋体" w:eastAsia="宋体" w:cs="宋体"/>
          <w:color w:val="auto"/>
          <w:sz w:val="24"/>
          <w:szCs w:val="24"/>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14:paraId="7FDE890A">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BC7A637">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      </w:t>
      </w:r>
    </w:p>
    <w:p w14:paraId="2792C598">
      <w:pPr>
        <w:pStyle w:val="24"/>
        <w:adjustRightInd w:val="0"/>
        <w:snapToGrid w:val="0"/>
        <w:spacing w:line="300" w:lineRule="auto"/>
        <w:outlineLvl w:val="2"/>
        <w:rPr>
          <w:rFonts w:hAnsi="宋体" w:eastAsia="宋体" w:cs="宋体"/>
          <w:b/>
          <w:bCs/>
          <w:color w:val="auto"/>
          <w:sz w:val="24"/>
          <w:szCs w:val="24"/>
          <w:highlight w:val="none"/>
        </w:rPr>
      </w:pPr>
      <w:bookmarkStart w:id="98" w:name="_Toc469384017"/>
      <w:bookmarkStart w:id="99" w:name="_Toc46860838"/>
      <w:r>
        <w:rPr>
          <w:rFonts w:hint="eastAsia" w:hAnsi="宋体" w:eastAsia="宋体" w:cs="宋体"/>
          <w:b/>
          <w:bCs/>
          <w:color w:val="auto"/>
          <w:sz w:val="24"/>
          <w:szCs w:val="24"/>
          <w:highlight w:val="none"/>
        </w:rPr>
        <w:t>35  暂停施工和复工</w:t>
      </w:r>
      <w:bookmarkEnd w:id="98"/>
      <w:bookmarkEnd w:id="99"/>
    </w:p>
    <w:p w14:paraId="1ED57BD2">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158" name="000159"/>
                <wp:cNvGraphicFramePr/>
                <a:graphic xmlns:a="http://schemas.openxmlformats.org/drawingml/2006/main">
                  <a:graphicData uri="http://schemas.microsoft.com/office/word/2010/wordprocessingShape">
                    <wps:wsp>
                      <wps:cNvSpPr/>
                      <wps:spPr>
                        <a:xfrm>
                          <a:off x="0" y="0"/>
                          <a:ext cx="914400" cy="497205"/>
                        </a:xfrm>
                        <a:prstGeom prst="rect">
                          <a:avLst/>
                        </a:prstGeom>
                        <a:ln>
                          <a:noFill/>
                        </a:ln>
                      </wps:spPr>
                      <wps:txbx>
                        <w:txbxContent>
                          <w:p w14:paraId="5F1D53A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wps:wsp>
                  </a:graphicData>
                </a:graphic>
              </wp:anchor>
            </w:drawing>
          </mc:Choice>
          <mc:Fallback>
            <w:pict>
              <v:rect id="000159" o:spid="_x0000_s1026" o:spt="1" style="position:absolute;left:0pt;margin-left:-9pt;margin-top:20.6pt;height:39.15pt;width:72pt;z-index:251659264;mso-width-relative:page;mso-height-relative:page;" filled="f" stroked="f" coordsize="21600,21600" o:gfxdata="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T0LLZ2gAAAAoBAAAPAAAAAAAAAAEAIAAAACIA&#10;AABkcnMvZG93bnJldi54bWxQSwECFAAUAAAACACHTuJAdeTPDZUBAAA4AwAADgAAAAAAAAABACAA&#10;AAApAQAAZHJzL2Uyb0RvYy54bWxQSwUGAAAAAAYABgBZAQAAMAUAAAAA&#10;">
                <v:fill on="f" focussize="0,0"/>
                <v:stroke on="f"/>
                <v:imagedata o:title=""/>
                <o:lock v:ext="edit" aspectratio="f"/>
                <v:textbox>
                  <w:txbxContent>
                    <w:p w14:paraId="5F1D53A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rect>
            </w:pict>
          </mc:Fallback>
        </mc:AlternateContent>
      </w:r>
      <w:r>
        <w:rPr>
          <w:rFonts w:hint="eastAsia" w:hAnsi="宋体" w:eastAsia="宋体" w:cs="宋体"/>
          <w:b/>
          <w:bCs/>
          <w:color w:val="auto"/>
          <w:sz w:val="24"/>
          <w:szCs w:val="24"/>
          <w:highlight w:val="none"/>
        </w:rPr>
        <w:t xml:space="preserve">35.1      </w:t>
      </w:r>
    </w:p>
    <w:p w14:paraId="1D9F8B9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14:paraId="14FF66C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14:paraId="5A5DD63F">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35.2</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5EC97947">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159" name="00015a"/>
                <wp:cNvGraphicFramePr/>
                <a:graphic xmlns:a="http://schemas.openxmlformats.org/drawingml/2006/main">
                  <a:graphicData uri="http://schemas.microsoft.com/office/word/2010/wordprocessingShape">
                    <wps:wsp>
                      <wps:cNvSpPr/>
                      <wps:spPr>
                        <a:xfrm>
                          <a:off x="0" y="0"/>
                          <a:ext cx="914400" cy="497205"/>
                        </a:xfrm>
                        <a:prstGeom prst="rect">
                          <a:avLst/>
                        </a:prstGeom>
                        <a:ln>
                          <a:noFill/>
                        </a:ln>
                      </wps:spPr>
                      <wps:txbx>
                        <w:txbxContent>
                          <w:p w14:paraId="598B687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wps:wsp>
                  </a:graphicData>
                </a:graphic>
              </wp:anchor>
            </w:drawing>
          </mc:Choice>
          <mc:Fallback>
            <w:pict>
              <v:rect id="00015a" o:spid="_x0000_s1026" o:spt="1" style="position:absolute;left:0pt;margin-left:-9pt;margin-top:1.6pt;height:39.15pt;width:72pt;z-index:251659264;mso-width-relative:page;mso-height-relative:page;" filled="f" stroked="f" coordsize="21600,21600" o:gfxdata="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69O9gAAAAIAQAADwAAAAAAAAABACAAAAAiAAAA&#10;ZHJzL2Rvd25yZXYueG1sUEsBAhQAFAAAAAgAh07iQNeCAgGVAQAAOAMAAA4AAAAAAAAAAQAgAAAA&#10;JwEAAGRycy9lMm9Eb2MueG1sUEsFBgAAAAAGAAYAWQEAAC4FAAAAAA==&#10;">
                <v:fill on="f" focussize="0,0"/>
                <v:stroke on="f"/>
                <v:imagedata o:title=""/>
                <o:lock v:ext="edit" aspectratio="f"/>
                <v:textbox>
                  <w:txbxContent>
                    <w:p w14:paraId="598B687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rect>
            </w:pict>
          </mc:Fallback>
        </mc:AlternateContent>
      </w:r>
      <w:r>
        <w:rPr>
          <w:rFonts w:hint="eastAsia" w:hAnsi="宋体" w:eastAsia="宋体" w:cs="宋体"/>
          <w:color w:val="auto"/>
          <w:sz w:val="24"/>
          <w:szCs w:val="24"/>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14:paraId="2BD59E3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14:paraId="03CC88C4">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160" name="00015b"/>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31CE6D73">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wps:wsp>
                  </a:graphicData>
                </a:graphic>
              </wp:anchor>
            </w:drawing>
          </mc:Choice>
          <mc:Fallback>
            <w:pict>
              <v:rect id="00015b" o:spid="_x0000_s1026" o:spt="1" style="position:absolute;left:0pt;margin-left:-9pt;margin-top:19.25pt;height:62.4pt;width:72pt;z-index:251659264;mso-width-relative:page;mso-height-relative:page;" filled="f" stroked="f" coordsize="21600,21600" o:gfxdata="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06eJRtoAAAAKAQAADwAAAAAAAAABACAAAAAi&#10;AAAAZHJzL2Rvd25yZXYueG1sUEsBAhQAFAAAAAgAh07iQF+ILeCWAQAAOAMAAA4AAAAAAAAAAQAg&#10;AAAAKQEAAGRycy9lMm9Eb2MueG1sUEsFBgAAAAAGAAYAWQEAADEFAAAAAA==&#10;">
                <v:fill on="f" focussize="0,0"/>
                <v:stroke on="f"/>
                <v:imagedata o:title=""/>
                <o:lock v:ext="edit" aspectratio="f"/>
                <v:textbox>
                  <w:txbxContent>
                    <w:p w14:paraId="31CE6D73">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rect>
            </w:pict>
          </mc:Fallback>
        </mc:AlternateContent>
      </w:r>
      <w:r>
        <w:rPr>
          <w:rFonts w:hint="eastAsia" w:hAnsi="宋体" w:eastAsia="宋体" w:cs="宋体"/>
          <w:b/>
          <w:bCs/>
          <w:color w:val="auto"/>
          <w:sz w:val="24"/>
          <w:szCs w:val="24"/>
          <w:highlight w:val="none"/>
        </w:rPr>
        <w:t xml:space="preserve">35.3  </w:t>
      </w:r>
      <w:r>
        <w:rPr>
          <w:rFonts w:hint="eastAsia" w:hAnsi="宋体" w:eastAsia="宋体" w:cs="宋体"/>
          <w:b/>
          <w:bCs/>
          <w:color w:val="auto"/>
          <w:sz w:val="24"/>
          <w:szCs w:val="24"/>
          <w:highlight w:val="none"/>
          <w:u w:val="dotted"/>
        </w:rPr>
        <w:t xml:space="preserve">                                                                                                       </w:t>
      </w:r>
    </w:p>
    <w:p w14:paraId="532E93F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14:paraId="678694DE">
      <w:pPr>
        <w:pStyle w:val="24"/>
        <w:numPr>
          <w:ilvl w:val="0"/>
          <w:numId w:val="16"/>
        </w:numPr>
        <w:tabs>
          <w:tab w:val="left" w:pos="1080"/>
        </w:tabs>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如果此项停工仅影响合同工程的一部分时，则根据第56.2款规定及时提出工程变更，取消该部分工程，并书面通知发包人，抄送监理工程师和造价工程师；</w:t>
      </w:r>
    </w:p>
    <w:p w14:paraId="5626D029">
      <w:pPr>
        <w:pStyle w:val="24"/>
        <w:numPr>
          <w:ilvl w:val="0"/>
          <w:numId w:val="16"/>
        </w:numPr>
        <w:tabs>
          <w:tab w:val="left" w:pos="1080"/>
        </w:tabs>
        <w:adjustRightInd w:val="0"/>
        <w:snapToGrid w:val="0"/>
        <w:spacing w:line="300" w:lineRule="auto"/>
        <w:ind w:left="2159" w:leftChars="771" w:hanging="540" w:hangingChars="225"/>
        <w:rPr>
          <w:rFonts w:hAnsi="宋体" w:eastAsia="宋体" w:cs="宋体"/>
          <w:color w:val="auto"/>
          <w:sz w:val="24"/>
          <w:szCs w:val="24"/>
          <w:highlight w:val="none"/>
        </w:rPr>
      </w:pPr>
      <w:r>
        <w:rPr>
          <w:rFonts w:hint="eastAsia" w:hAnsi="宋体" w:eastAsia="宋体" w:cs="宋体"/>
          <w:color w:val="auto"/>
          <w:sz w:val="24"/>
          <w:szCs w:val="24"/>
          <w:highlight w:val="none"/>
        </w:rPr>
        <w:t>如果此项停工影响整个合同工程时，则根据第87.4款规定解除合同。</w:t>
      </w:r>
    </w:p>
    <w:p w14:paraId="6D7D418F">
      <w:pPr>
        <w:pStyle w:val="24"/>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因承包人的原因引起暂停施工持续56天以上，承包人不采取有效的复工措施，造成工期延误的，发包人可根据第87.3款规定解除合同。</w:t>
      </w:r>
    </w:p>
    <w:p w14:paraId="678223FE">
      <w:pPr>
        <w:pStyle w:val="24"/>
        <w:tabs>
          <w:tab w:val="left" w:pos="216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35.4  </w:t>
      </w:r>
      <w:r>
        <w:rPr>
          <w:rFonts w:hint="eastAsia" w:hAnsi="宋体" w:eastAsia="宋体" w:cs="宋体"/>
          <w:b/>
          <w:bCs/>
          <w:color w:val="auto"/>
          <w:sz w:val="24"/>
          <w:szCs w:val="24"/>
          <w:highlight w:val="none"/>
          <w:u w:val="dotted"/>
        </w:rPr>
        <w:t xml:space="preserve">                                                                                                        </w:t>
      </w:r>
    </w:p>
    <w:p w14:paraId="055B4AC3">
      <w:pPr>
        <w:pStyle w:val="24"/>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161" name="00015c"/>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18E2363C">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wps:txbx>
                      <wps:bodyPr wrap="square"/>
                    </wps:wsp>
                  </a:graphicData>
                </a:graphic>
              </wp:anchor>
            </w:drawing>
          </mc:Choice>
          <mc:Fallback>
            <w:pict>
              <v:rect id="00015c" o:spid="_x0000_s1026" o:spt="1" style="position:absolute;left:0pt;margin-left:-9pt;margin-top:0.05pt;height:62.4pt;width:72pt;z-index:251659264;mso-width-relative:page;mso-height-relative:page;" filled="f" stroked="f" coordsize="21600,21600" o:gfxdata="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I+MGxNcAAAAIAQAADwAAAAAAAAABACAAAAAiAAAA&#10;ZHJzL2Rvd25yZXYueG1sUEsBAhQAFAAAAAgAh07iQOzVkIqWAQAAOAMAAA4AAAAAAAAAAQAgAAAA&#10;JgEAAGRycy9lMm9Eb2MueG1sUEsFBgAAAAAGAAYAWQEAAC4FAAAAAA==&#10;">
                <v:fill on="f" focussize="0,0"/>
                <v:stroke on="f"/>
                <v:imagedata o:title=""/>
                <o:lock v:ext="edit" aspectratio="f"/>
                <v:textbox>
                  <w:txbxContent>
                    <w:p w14:paraId="18E2363C">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v:textbox>
              </v:rect>
            </w:pict>
          </mc:Fallback>
        </mc:AlternateContent>
      </w:r>
      <w:r>
        <w:rPr>
          <w:rFonts w:hint="eastAsia" w:hAnsi="宋体" w:eastAsia="宋体" w:cs="宋体"/>
          <w:color w:val="auto"/>
          <w:sz w:val="24"/>
          <w:szCs w:val="24"/>
          <w:highlight w:val="none"/>
        </w:rPr>
        <w:t>因发包人的原因造成暂停施工且引起工期延误的，承包人有权要求发包人增加由此发生的费用和（或）顺延工期，并支付合理利润。</w:t>
      </w:r>
    </w:p>
    <w:p w14:paraId="3996A697">
      <w:pPr>
        <w:pStyle w:val="24"/>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w:t>因承包人下列原因造成的暂停施工，增加的费用和（或）延误的工期由承包人承担：</w:t>
      </w:r>
    </w:p>
    <w:p w14:paraId="61E58313">
      <w:pPr>
        <w:pStyle w:val="24"/>
        <w:numPr>
          <w:ilvl w:val="0"/>
          <w:numId w:val="17"/>
        </w:numPr>
        <w:adjustRightInd w:val="0"/>
        <w:snapToGrid w:val="0"/>
        <w:spacing w:line="300" w:lineRule="auto"/>
        <w:ind w:left="1617" w:leftChars="770" w:firstLine="0"/>
        <w:rPr>
          <w:rFonts w:hAnsi="宋体" w:eastAsia="宋体" w:cs="宋体"/>
          <w:color w:val="auto"/>
          <w:sz w:val="24"/>
          <w:szCs w:val="24"/>
          <w:highlight w:val="none"/>
        </w:rPr>
      </w:pPr>
      <w:r>
        <w:rPr>
          <w:rFonts w:hint="eastAsia" w:hAnsi="宋体" w:eastAsia="宋体" w:cs="宋体"/>
          <w:color w:val="auto"/>
          <w:sz w:val="24"/>
          <w:szCs w:val="24"/>
          <w:highlight w:val="none"/>
        </w:rPr>
        <w:t>工作失误或违约造成的；</w:t>
      </w:r>
    </w:p>
    <w:p w14:paraId="0386BB03">
      <w:pPr>
        <w:pStyle w:val="24"/>
        <w:numPr>
          <w:ilvl w:val="0"/>
          <w:numId w:val="17"/>
        </w:numPr>
        <w:adjustRightInd w:val="0"/>
        <w:snapToGrid w:val="0"/>
        <w:spacing w:line="300" w:lineRule="auto"/>
        <w:ind w:left="2157" w:leftChars="770" w:hanging="540" w:hangingChars="225"/>
        <w:rPr>
          <w:rFonts w:hAnsi="宋体" w:eastAsia="宋体" w:cs="宋体"/>
          <w:color w:val="auto"/>
          <w:sz w:val="24"/>
          <w:szCs w:val="24"/>
          <w:highlight w:val="none"/>
        </w:rPr>
      </w:pPr>
      <w:r>
        <w:rPr>
          <w:rFonts w:hint="eastAsia" w:hAnsi="宋体" w:eastAsia="宋体" w:cs="宋体"/>
          <w:color w:val="auto"/>
          <w:sz w:val="24"/>
          <w:szCs w:val="24"/>
          <w:highlight w:val="none"/>
        </w:rPr>
        <w:t>为合同工程合理施工和安全保障所必需的；</w:t>
      </w:r>
    </w:p>
    <w:p w14:paraId="1519C36F">
      <w:pPr>
        <w:pStyle w:val="24"/>
        <w:numPr>
          <w:ilvl w:val="0"/>
          <w:numId w:val="17"/>
        </w:numPr>
        <w:adjustRightInd w:val="0"/>
        <w:snapToGrid w:val="0"/>
        <w:spacing w:line="300" w:lineRule="auto"/>
        <w:ind w:left="1617" w:leftChars="770" w:firstLine="0"/>
        <w:rPr>
          <w:rFonts w:hAnsi="宋体" w:eastAsia="宋体" w:cs="宋体"/>
          <w:color w:val="auto"/>
          <w:sz w:val="24"/>
          <w:szCs w:val="24"/>
          <w:highlight w:val="none"/>
        </w:rPr>
      </w:pPr>
      <w:r>
        <w:rPr>
          <w:rFonts w:hint="eastAsia" w:hAnsi="宋体" w:eastAsia="宋体" w:cs="宋体"/>
          <w:color w:val="auto"/>
          <w:sz w:val="24"/>
          <w:szCs w:val="24"/>
          <w:highlight w:val="none"/>
        </w:rPr>
        <w:t>施工现场气候条件（除不可抗力停工外）导致的；</w:t>
      </w:r>
    </w:p>
    <w:p w14:paraId="1266357C">
      <w:pPr>
        <w:pStyle w:val="24"/>
        <w:numPr>
          <w:ilvl w:val="0"/>
          <w:numId w:val="17"/>
        </w:numPr>
        <w:adjustRightInd w:val="0"/>
        <w:snapToGrid w:val="0"/>
        <w:spacing w:line="300" w:lineRule="auto"/>
        <w:ind w:left="1617" w:leftChars="770" w:firstLine="0"/>
        <w:rPr>
          <w:rFonts w:hAnsi="宋体" w:eastAsia="宋体" w:cs="宋体"/>
          <w:color w:val="auto"/>
          <w:sz w:val="24"/>
          <w:szCs w:val="24"/>
          <w:highlight w:val="none"/>
        </w:rPr>
      </w:pPr>
      <w:r>
        <w:rPr>
          <w:rFonts w:hint="eastAsia" w:hAnsi="宋体" w:eastAsia="宋体" w:cs="宋体"/>
          <w:color w:val="auto"/>
          <w:sz w:val="24"/>
          <w:szCs w:val="24"/>
          <w:highlight w:val="none"/>
        </w:rPr>
        <w:t>擅自停工的；</w:t>
      </w:r>
    </w:p>
    <w:p w14:paraId="71EA8C7E">
      <w:pPr>
        <w:pStyle w:val="24"/>
        <w:numPr>
          <w:ilvl w:val="0"/>
          <w:numId w:val="17"/>
        </w:numPr>
        <w:adjustRightInd w:val="0"/>
        <w:snapToGrid w:val="0"/>
        <w:spacing w:line="300" w:lineRule="auto"/>
        <w:ind w:left="1617" w:leftChars="770" w:firstLine="0"/>
        <w:rPr>
          <w:rFonts w:hAnsi="宋体" w:eastAsia="宋体" w:cs="宋体"/>
          <w:color w:val="auto"/>
          <w:sz w:val="24"/>
          <w:szCs w:val="24"/>
          <w:highlight w:val="none"/>
        </w:rPr>
      </w:pPr>
      <w:r>
        <w:rPr>
          <w:rFonts w:hint="eastAsia" w:hAnsi="宋体" w:eastAsia="宋体" w:cs="宋体"/>
          <w:color w:val="auto"/>
          <w:sz w:val="24"/>
          <w:szCs w:val="24"/>
          <w:highlight w:val="none"/>
        </w:rPr>
        <w:t>专用条款约定的其他原因。</w:t>
      </w:r>
    </w:p>
    <w:p w14:paraId="02A3769B">
      <w:pPr>
        <w:pStyle w:val="24"/>
        <w:tabs>
          <w:tab w:val="left" w:pos="1980"/>
        </w:tabs>
        <w:adjustRightInd w:val="0"/>
        <w:snapToGrid w:val="0"/>
        <w:spacing w:line="300" w:lineRule="auto"/>
        <w:ind w:left="1617" w:leftChars="770"/>
        <w:rPr>
          <w:rFonts w:hAnsi="宋体" w:eastAsia="宋体" w:cs="宋体"/>
          <w:color w:val="auto"/>
          <w:sz w:val="24"/>
          <w:szCs w:val="24"/>
          <w:highlight w:val="none"/>
        </w:rPr>
      </w:pPr>
      <w:r>
        <w:rPr>
          <w:rFonts w:hint="eastAsia" w:hAnsi="宋体" w:eastAsia="宋体" w:cs="宋体"/>
          <w:color w:val="auto"/>
          <w:sz w:val="24"/>
          <w:szCs w:val="24"/>
          <w:highlight w:val="none"/>
        </w:rPr>
        <w:t>因不可抗力因素造成暂停施工的，按照第31条规定处理。</w:t>
      </w:r>
    </w:p>
    <w:p w14:paraId="18FD62F1">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35.5  </w:t>
      </w:r>
      <w:r>
        <w:rPr>
          <w:rFonts w:hint="eastAsia" w:hAnsi="宋体" w:eastAsia="宋体" w:cs="宋体"/>
          <w:b/>
          <w:bCs/>
          <w:color w:val="auto"/>
          <w:sz w:val="24"/>
          <w:szCs w:val="24"/>
          <w:highlight w:val="none"/>
          <w:u w:val="dotted"/>
        </w:rPr>
        <w:t xml:space="preserve">                                                                                                        </w:t>
      </w:r>
    </w:p>
    <w:p w14:paraId="603F910D">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162" name="00015d"/>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59B9E31B">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wps:txbx>
                      <wps:bodyPr wrap="square"/>
                    </wps:wsp>
                  </a:graphicData>
                </a:graphic>
              </wp:anchor>
            </w:drawing>
          </mc:Choice>
          <mc:Fallback>
            <w:pict>
              <v:rect id="00015d" o:spid="_x0000_s1026" o:spt="1" style="position:absolute;left:0pt;margin-left:-5.25pt;margin-top:0.5pt;height:54.6pt;width:72pt;z-index:251659264;mso-width-relative:page;mso-height-relative:page;" filled="f" stroked="f" coordsize="21600,21600" o:gfxdata="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w4x0/YAAAACQEAAA8AAAAAAAAAAQAgAAAAIgAA&#10;AGRycy9kb3ducmV2LnhtbFBLAQIUABQAAAAIAIdO4kChYD28lgEAADgDAAAOAAAAAAAAAAEAIAAA&#10;ACcBAABkcnMvZTJvRG9jLnhtbFBLBQYAAAAABgAGAFkBAAAvBQAAAAA=&#10;">
                <v:fill on="f" focussize="0,0"/>
                <v:stroke on="f"/>
                <v:imagedata o:title=""/>
                <o:lock v:ext="edit" aspectratio="f"/>
                <v:textbox>
                  <w:txbxContent>
                    <w:p w14:paraId="59B9E31B">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v:textbox>
              </v:rect>
            </w:pict>
          </mc:Fallback>
        </mc:AlternateContent>
      </w:r>
      <w:r>
        <w:rPr>
          <w:rFonts w:hint="eastAsia" w:hAnsi="宋体" w:eastAsia="宋体" w:cs="宋体"/>
          <w:color w:val="auto"/>
          <w:sz w:val="24"/>
          <w:szCs w:val="24"/>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14:paraId="534E3220">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35.6  </w:t>
      </w:r>
      <w:r>
        <w:rPr>
          <w:rFonts w:hint="eastAsia" w:hAnsi="宋体" w:eastAsia="宋体" w:cs="宋体"/>
          <w:b/>
          <w:bCs/>
          <w:color w:val="auto"/>
          <w:sz w:val="24"/>
          <w:szCs w:val="24"/>
          <w:highlight w:val="none"/>
          <w:u w:val="dotted"/>
        </w:rPr>
        <w:t xml:space="preserve">                                                                                                        </w:t>
      </w:r>
    </w:p>
    <w:p w14:paraId="7BC278F4">
      <w:pPr>
        <w:pStyle w:val="24"/>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163" name="00015e"/>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3A960ACA">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wps:wsp>
                  </a:graphicData>
                </a:graphic>
              </wp:anchor>
            </w:drawing>
          </mc:Choice>
          <mc:Fallback>
            <w:pict>
              <v:rect id="00015e" o:spid="_x0000_s1026" o:spt="1" style="position:absolute;left:0pt;margin-left:-9pt;margin-top:0.05pt;height:31.2pt;width:72pt;z-index:251659264;mso-width-relative:page;mso-height-relative:page;" filled="f" stroked="f" coordsize="21600,21600" o:gfxdata="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&#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NwGsnWAAAABwEAAA8AAAAAAAAAAQAgAAAAIgAAAGRy&#10;cy9kb3ducmV2LnhtbFBLAQIUABQAAAAIAIdO4kCJQpPQlQEAADgDAAAOAAAAAAAAAAEAIAAAACUB&#10;AABkcnMvZTJvRG9jLnhtbFBLBQYAAAAABgAGAFkBAAAsBQAAAAA=&#10;">
                <v:fill on="f" focussize="0,0"/>
                <v:stroke on="f"/>
                <v:imagedata o:title=""/>
                <o:lock v:ext="edit" aspectratio="f"/>
                <v:textbox>
                  <w:txbxContent>
                    <w:p w14:paraId="3A960ACA">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rect>
            </w:pict>
          </mc:Fallback>
        </mc:AlternateContent>
      </w:r>
      <w:r>
        <w:rPr>
          <w:rFonts w:hint="eastAsia" w:hAnsi="宋体" w:eastAsia="宋体" w:cs="宋体"/>
          <w:color w:val="auto"/>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14:paraId="2780B2F1">
      <w:pPr>
        <w:pStyle w:val="24"/>
        <w:adjustRightInd w:val="0"/>
        <w:snapToGrid w:val="0"/>
        <w:spacing w:line="300" w:lineRule="auto"/>
        <w:outlineLvl w:val="2"/>
        <w:rPr>
          <w:rFonts w:hAnsi="宋体" w:eastAsia="宋体" w:cs="宋体"/>
          <w:b/>
          <w:bCs/>
          <w:color w:val="auto"/>
          <w:sz w:val="24"/>
          <w:szCs w:val="24"/>
          <w:highlight w:val="none"/>
        </w:rPr>
      </w:pPr>
      <w:bookmarkStart w:id="100" w:name="_Toc46860839"/>
      <w:bookmarkStart w:id="101" w:name="_Toc469384018"/>
      <w:r>
        <w:rPr>
          <w:rFonts w:hint="eastAsia" w:hAnsi="宋体" w:eastAsia="宋体" w:cs="宋体"/>
          <w:b/>
          <w:bCs/>
          <w:color w:val="auto"/>
          <w:sz w:val="24"/>
          <w:szCs w:val="24"/>
          <w:highlight w:val="none"/>
        </w:rPr>
        <w:t>36  工期和工期延误</w:t>
      </w:r>
      <w:bookmarkEnd w:id="100"/>
      <w:bookmarkEnd w:id="101"/>
    </w:p>
    <w:p w14:paraId="6DD56E7F">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36.1     </w:t>
      </w:r>
    </w:p>
    <w:p w14:paraId="249630CB">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164" name="00015f"/>
                <wp:cNvGraphicFramePr/>
                <a:graphic xmlns:a="http://schemas.openxmlformats.org/drawingml/2006/main">
                  <a:graphicData uri="http://schemas.microsoft.com/office/word/2010/wordprocessingShape">
                    <wps:wsp>
                      <wps:cNvSpPr/>
                      <wps:spPr>
                        <a:xfrm>
                          <a:off x="0" y="0"/>
                          <a:ext cx="977900" cy="335914"/>
                        </a:xfrm>
                        <a:prstGeom prst="rect">
                          <a:avLst/>
                        </a:prstGeom>
                        <a:ln>
                          <a:noFill/>
                        </a:ln>
                      </wps:spPr>
                      <wps:txbx>
                        <w:txbxContent>
                          <w:p w14:paraId="0FDFF059"/>
                        </w:txbxContent>
                      </wps:txbx>
                      <wps:bodyPr wrap="square"/>
                    </wps:wsp>
                  </a:graphicData>
                </a:graphic>
              </wp:anchor>
            </w:drawing>
          </mc:Choice>
          <mc:Fallback>
            <w:pict>
              <v:rect id="00015f" o:spid="_x0000_s1026" o:spt="1" style="position:absolute;left:0pt;margin-left:-9pt;margin-top:31pt;height:26.45pt;width:77pt;z-index:251659264;mso-width-relative:page;mso-height-relative:page;" filled="f" stroked="f" coordsize="21600,21600" o:gfxdata="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bGiG52gAAAAoBAAAPAAAAAAAAAAEAIAAAACIA&#10;AABkcnMvZG93bnJldi54bWxQSwECFAAUAAAACACHTuJAHhSegZUBAAA4AwAADgAAAAAAAAABACAA&#10;AAApAQAAZHJzL2Uyb0RvYy54bWxQSwUGAAAAAAYABgBZAQAAMAUAAAAA&#10;">
                <v:fill on="f" focussize="0,0"/>
                <v:stroke on="f"/>
                <v:imagedata o:title=""/>
                <o:lock v:ext="edit" aspectratio="f"/>
                <v:textbox>
                  <w:txbxContent>
                    <w:p w14:paraId="0FDFF059"/>
                  </w:txbxContent>
                </v:textbox>
              </v:rect>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165" name="000160"/>
                <wp:cNvGraphicFramePr/>
                <a:graphic xmlns:a="http://schemas.openxmlformats.org/drawingml/2006/main">
                  <a:graphicData uri="http://schemas.microsoft.com/office/word/2010/wordprocessingShape">
                    <wps:wsp>
                      <wps:cNvSpPr/>
                      <wps:spPr>
                        <a:xfrm>
                          <a:off x="0" y="0"/>
                          <a:ext cx="800100" cy="459739"/>
                        </a:xfrm>
                        <a:prstGeom prst="rect">
                          <a:avLst/>
                        </a:prstGeom>
                        <a:ln>
                          <a:noFill/>
                        </a:ln>
                      </wps:spPr>
                      <wps:txbx>
                        <w:txbxContent>
                          <w:p w14:paraId="0D028AB6">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wps:wsp>
                  </a:graphicData>
                </a:graphic>
              </wp:anchor>
            </w:drawing>
          </mc:Choice>
          <mc:Fallback>
            <w:pict>
              <v:rect id="000160" o:spid="_x0000_s1026" o:spt="1" style="position:absolute;left:0pt;margin-left:-9pt;margin-top:2.5pt;height:36.2pt;width:63pt;z-index:251659264;mso-width-relative:page;mso-height-relative:page;" filled="f" stroked="f" coordsize="21600,21600" o:gfxdata="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&#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ZGSev2AAAAAgBAAAPAAAAAAAAAAEAIAAAACIAAABk&#10;cnMvZG93bnJldi54bWxQSwECFAAUAAAACACHTuJADl6cppQBAAA4AwAADgAAAAAAAAABACAAAAAn&#10;AQAAZHJzL2Uyb0RvYy54bWxQSwUGAAAAAAYABgBZAQAALQUAAAAA&#10;">
                <v:fill on="f" focussize="0,0"/>
                <v:stroke on="f"/>
                <v:imagedata o:title=""/>
                <o:lock v:ext="edit" aspectratio="f"/>
                <v:textbox>
                  <w:txbxContent>
                    <w:p w14:paraId="0D028AB6">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rect>
            </w:pict>
          </mc:Fallback>
        </mc:AlternateContent>
      </w:r>
      <w:r>
        <w:rPr>
          <w:rFonts w:hint="eastAsia" w:ascii="宋体" w:hAnsi="宋体" w:eastAsia="宋体" w:cs="宋体"/>
          <w:color w:val="auto"/>
          <w:sz w:val="24"/>
          <w:highlight w:val="none"/>
        </w:rPr>
        <w:t>如合同工期与广东省建设工程工期定额规定不一致的，需说明与省工期定额规定不一致的原因，并制定保障措施，确保质量、施工安全。</w:t>
      </w:r>
    </w:p>
    <w:p w14:paraId="29A0191E">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36.2 </w:t>
      </w:r>
      <w:r>
        <w:rPr>
          <w:rFonts w:hint="eastAsia" w:hAnsi="宋体" w:eastAsia="宋体" w:cs="宋体"/>
          <w:color w:val="auto"/>
          <w:sz w:val="24"/>
          <w:szCs w:val="24"/>
          <w:highlight w:val="none"/>
          <w:u w:val="dotted"/>
        </w:rPr>
        <w:t xml:space="preserve">                                                                          </w:t>
      </w:r>
    </w:p>
    <w:p w14:paraId="01B2AF14">
      <w:pPr>
        <w:pStyle w:val="24"/>
        <w:adjustRightInd w:val="0"/>
        <w:snapToGrid w:val="0"/>
        <w:spacing w:line="300" w:lineRule="auto"/>
        <w:ind w:left="1679" w:leftChars="771" w:hanging="60" w:hangingChars="25"/>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166" name="000161"/>
                <wp:cNvGraphicFramePr/>
                <a:graphic xmlns:a="http://schemas.openxmlformats.org/drawingml/2006/main">
                  <a:graphicData uri="http://schemas.microsoft.com/office/word/2010/wordprocessingShape">
                    <wps:wsp>
                      <wps:cNvSpPr/>
                      <wps:spPr>
                        <a:xfrm>
                          <a:off x="0" y="0"/>
                          <a:ext cx="800100" cy="459739"/>
                        </a:xfrm>
                        <a:prstGeom prst="rect">
                          <a:avLst/>
                        </a:prstGeom>
                        <a:ln>
                          <a:noFill/>
                        </a:ln>
                      </wps:spPr>
                      <wps:txbx>
                        <w:txbxContent>
                          <w:p w14:paraId="2E8962CC">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wps:wsp>
                  </a:graphicData>
                </a:graphic>
              </wp:anchor>
            </w:drawing>
          </mc:Choice>
          <mc:Fallback>
            <w:pict>
              <v:rect id="000161" o:spid="_x0000_s1026" o:spt="1" style="position:absolute;left:0pt;margin-left:-9pt;margin-top:2.5pt;height:36.2pt;width:63pt;z-index:251659264;mso-width-relative:page;mso-height-relative:page;" filled="f" stroked="f" coordsize="21600,21600" o:gfxdata="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GRknr9gAAAAIAQAADwAAAAAAAAABACAAAAAiAAAA&#10;ZHJzL2Rvd25yZXYueG1sUEsBAhQAFAAAAAgAh07iQCFyq+yVAQAAOAMAAA4AAAAAAAAAAQAgAAAA&#10;JwEAAGRycy9lMm9Eb2MueG1sUEsFBgAAAAAGAAYAWQEAAC4FAAAAAA==&#10;">
                <v:fill on="f" focussize="0,0"/>
                <v:stroke on="f"/>
                <v:imagedata o:title=""/>
                <o:lock v:ext="edit" aspectratio="f"/>
                <v:textbox>
                  <w:txbxContent>
                    <w:p w14:paraId="2E8962CC">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rect>
            </w:pict>
          </mc:Fallback>
        </mc:AlternateContent>
      </w:r>
      <w:r>
        <w:rPr>
          <w:rFonts w:hint="eastAsia" w:hAnsi="宋体" w:eastAsia="宋体" w:cs="宋体"/>
          <w:color w:val="auto"/>
          <w:sz w:val="24"/>
          <w:szCs w:val="24"/>
          <w:highlight w:val="none"/>
        </w:rPr>
        <w:t>合同双方当事人应在专用条款中约定合同工程的工期，工期从开工日期开始计算。合同中包括有多个单位工程的，应在专用条款中约定各单位工程的工期。</w:t>
      </w:r>
    </w:p>
    <w:p w14:paraId="69C2544D">
      <w:pPr>
        <w:pStyle w:val="24"/>
        <w:adjustRightInd w:val="0"/>
        <w:snapToGrid w:val="0"/>
        <w:spacing w:line="300" w:lineRule="auto"/>
        <w:ind w:right="-2"/>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36.3  </w:t>
      </w:r>
      <w:r>
        <w:rPr>
          <w:rFonts w:hint="eastAsia" w:hAnsi="宋体" w:eastAsia="宋体" w:cs="宋体"/>
          <w:b/>
          <w:bCs/>
          <w:color w:val="auto"/>
          <w:sz w:val="24"/>
          <w:szCs w:val="24"/>
          <w:highlight w:val="none"/>
          <w:u w:val="dotted"/>
        </w:rPr>
        <w:t xml:space="preserve">                                                                                                       </w:t>
      </w:r>
    </w:p>
    <w:p w14:paraId="09930997">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167" name="000162"/>
                <wp:cNvGraphicFramePr/>
                <a:graphic xmlns:a="http://schemas.openxmlformats.org/drawingml/2006/main">
                  <a:graphicData uri="http://schemas.microsoft.com/office/word/2010/wordprocessingShape">
                    <wps:wsp>
                      <wps:cNvSpPr/>
                      <wps:spPr>
                        <a:xfrm>
                          <a:off x="0" y="0"/>
                          <a:ext cx="800100" cy="261620"/>
                        </a:xfrm>
                        <a:prstGeom prst="rect">
                          <a:avLst/>
                        </a:prstGeom>
                        <a:ln>
                          <a:noFill/>
                        </a:ln>
                      </wps:spPr>
                      <wps:txbx>
                        <w:txbxContent>
                          <w:p w14:paraId="2AB3560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wps:wsp>
                  </a:graphicData>
                </a:graphic>
              </wp:anchor>
            </w:drawing>
          </mc:Choice>
          <mc:Fallback>
            <w:pict>
              <v:rect id="000162" o:spid="_x0000_s1026" o:spt="1" style="position:absolute;left:0pt;margin-left:-9pt;margin-top:1.3pt;height:20.6pt;width:63pt;z-index:251659264;mso-width-relative:page;mso-height-relative:page;" filled="f" stroked="f" coordsize="21600,21600" o:gfxdata="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n/u+H1wAAAAgBAAAPAAAAAAAAAAEAIAAAACIAAABkcnMv&#10;ZG93bnJldi54bWxQSwECFAAUAAAACACHTuJAPs3aHpIBAAA4AwAADgAAAAAAAAABACAAAAAmAQAA&#10;ZHJzL2Uyb0RvYy54bWxQSwUGAAAAAAYABgBZAQAAKgUAAAAA&#10;">
                <v:fill on="f" focussize="0,0"/>
                <v:stroke on="f"/>
                <v:imagedata o:title=""/>
                <o:lock v:ext="edit" aspectratio="f"/>
                <v:textbox>
                  <w:txbxContent>
                    <w:p w14:paraId="2AB3560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rect>
            </w:pict>
          </mc:Fallback>
        </mc:AlternateContent>
      </w:r>
      <w:r>
        <w:rPr>
          <w:rFonts w:hint="eastAsia" w:ascii="宋体" w:hAnsi="宋体" w:eastAsia="宋体" w:cs="宋体"/>
          <w:color w:val="auto"/>
          <w:sz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14:paraId="7A873E1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 发包人未能按照专用条款的约定提供施工设计图纸及其它开工条件；</w:t>
      </w:r>
    </w:p>
    <w:p w14:paraId="24ACDEC7">
      <w:pPr>
        <w:pStyle w:val="24"/>
        <w:adjustRightInd w:val="0"/>
        <w:snapToGrid w:val="0"/>
        <w:spacing w:line="300" w:lineRule="auto"/>
        <w:ind w:left="1680" w:leftChars="800"/>
        <w:rPr>
          <w:rFonts w:hAnsi="宋体" w:eastAsia="宋体" w:cs="宋体"/>
          <w:color w:val="auto"/>
          <w:sz w:val="24"/>
          <w:szCs w:val="24"/>
          <w:highlight w:val="none"/>
        </w:rPr>
      </w:pPr>
      <w:r>
        <w:rPr>
          <w:rFonts w:hint="eastAsia" w:hAnsi="宋体" w:eastAsia="宋体" w:cs="宋体"/>
          <w:color w:val="auto"/>
          <w:sz w:val="24"/>
          <w:szCs w:val="24"/>
          <w:highlight w:val="none"/>
        </w:rPr>
        <w:t>（2）发包人未能按照专用条款约定的时间支付工程预付款、绿色施工安全防护费和进度款；</w:t>
      </w:r>
    </w:p>
    <w:p w14:paraId="3774B412">
      <w:pPr>
        <w:pStyle w:val="24"/>
        <w:adjustRightInd w:val="0"/>
        <w:snapToGrid w:val="0"/>
        <w:spacing w:line="300" w:lineRule="auto"/>
        <w:ind w:left="2339" w:leftChars="771" w:hanging="720" w:hangingChars="300"/>
        <w:rPr>
          <w:rFonts w:hAnsi="宋体" w:eastAsia="宋体" w:cs="宋体"/>
          <w:color w:val="auto"/>
          <w:sz w:val="24"/>
          <w:szCs w:val="24"/>
          <w:highlight w:val="none"/>
        </w:rPr>
      </w:pPr>
      <w:r>
        <w:rPr>
          <w:rFonts w:hint="eastAsia" w:hAnsi="宋体" w:eastAsia="宋体" w:cs="宋体"/>
          <w:color w:val="auto"/>
          <w:sz w:val="24"/>
          <w:szCs w:val="24"/>
          <w:highlight w:val="none"/>
        </w:rPr>
        <w:t>（3） 发包人代表或施工现场发包人雇用的其他人员造成的人</w:t>
      </w:r>
    </w:p>
    <w:p w14:paraId="63F1677F">
      <w:pPr>
        <w:pStyle w:val="24"/>
        <w:adjustRightInd w:val="0"/>
        <w:snapToGrid w:val="0"/>
        <w:spacing w:line="300" w:lineRule="auto"/>
        <w:ind w:left="2339" w:leftChars="771" w:hanging="720" w:hangingChars="300"/>
        <w:rPr>
          <w:rFonts w:hAnsi="宋体" w:eastAsia="宋体" w:cs="宋体"/>
          <w:color w:val="auto"/>
          <w:sz w:val="24"/>
          <w:szCs w:val="24"/>
          <w:highlight w:val="none"/>
        </w:rPr>
      </w:pPr>
      <w:r>
        <w:rPr>
          <w:rFonts w:hint="eastAsia" w:hAnsi="宋体" w:eastAsia="宋体" w:cs="宋体"/>
          <w:color w:val="auto"/>
          <w:sz w:val="24"/>
          <w:szCs w:val="24"/>
          <w:highlight w:val="none"/>
        </w:rPr>
        <w:t>为因素；</w:t>
      </w:r>
    </w:p>
    <w:p w14:paraId="4C124EE9">
      <w:pPr>
        <w:pStyle w:val="24"/>
        <w:adjustRightInd w:val="0"/>
        <w:snapToGrid w:val="0"/>
        <w:spacing w:line="300" w:lineRule="auto"/>
        <w:ind w:left="2339" w:leftChars="771" w:hanging="720" w:hangingChars="300"/>
        <w:rPr>
          <w:rFonts w:hAnsi="宋体" w:eastAsia="宋体" w:cs="宋体"/>
          <w:color w:val="auto"/>
          <w:sz w:val="24"/>
          <w:szCs w:val="24"/>
          <w:highlight w:val="none"/>
        </w:rPr>
      </w:pPr>
      <w:r>
        <w:rPr>
          <w:rFonts w:hint="eastAsia" w:hAnsi="宋体" w:eastAsia="宋体" w:cs="宋体"/>
          <w:color w:val="auto"/>
          <w:sz w:val="24"/>
          <w:szCs w:val="24"/>
          <w:highlight w:val="none"/>
        </w:rPr>
        <w:t>（4） 监理工程师未按照合同约定及时提供所需指令、回复</w:t>
      </w:r>
    </w:p>
    <w:p w14:paraId="72E45076">
      <w:pPr>
        <w:pStyle w:val="24"/>
        <w:adjustRightInd w:val="0"/>
        <w:snapToGrid w:val="0"/>
        <w:spacing w:line="300" w:lineRule="auto"/>
        <w:ind w:left="2339" w:leftChars="771" w:hanging="720" w:hangingChars="300"/>
        <w:rPr>
          <w:rFonts w:hAnsi="宋体" w:eastAsia="宋体" w:cs="宋体"/>
          <w:color w:val="auto"/>
          <w:sz w:val="24"/>
          <w:szCs w:val="24"/>
          <w:highlight w:val="none"/>
        </w:rPr>
      </w:pPr>
      <w:r>
        <w:rPr>
          <w:rFonts w:hint="eastAsia" w:hAnsi="宋体" w:eastAsia="宋体" w:cs="宋体"/>
          <w:color w:val="auto"/>
          <w:sz w:val="24"/>
          <w:szCs w:val="24"/>
          <w:highlight w:val="none"/>
        </w:rPr>
        <w:t>等；</w:t>
      </w:r>
    </w:p>
    <w:p w14:paraId="18C475A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（5） 工程变更（含增加合同工作内容、改变合同的任何一项工作等）；</w:t>
      </w:r>
    </w:p>
    <w:p w14:paraId="6E14C4D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（6） 工程量增加；</w:t>
      </w:r>
    </w:p>
    <w:p w14:paraId="2EFB8EC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（7） 一周内非承包人原因停水、停电、停气造成停工累计超过8小时；</w:t>
      </w:r>
    </w:p>
    <w:p w14:paraId="30EF094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（8） 不可抗力；</w:t>
      </w:r>
    </w:p>
    <w:p w14:paraId="035892BF">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（9） 发包人风险事件；</w:t>
      </w:r>
    </w:p>
    <w:p w14:paraId="01A34DCC">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（10）因发包人的原因导致的暂停施工；</w:t>
      </w:r>
    </w:p>
    <w:p w14:paraId="4D763E8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（11）非承包人失误、违约，以及监理工程师同意的工期顺延。</w:t>
      </w:r>
    </w:p>
    <w:p w14:paraId="378D76F7">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（12）发包人造成工期延误的其他原因。</w:t>
      </w:r>
    </w:p>
    <w:p w14:paraId="6AB372E3">
      <w:pPr>
        <w:pStyle w:val="24"/>
        <w:adjustRightInd w:val="0"/>
        <w:snapToGrid w:val="0"/>
        <w:spacing w:line="300" w:lineRule="auto"/>
        <w:ind w:right="-2"/>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36.4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098BDF1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168" name="000163"/>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099F3831">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wps:txbx>
                      <wps:bodyPr wrap="square"/>
                    </wps:wsp>
                  </a:graphicData>
                </a:graphic>
              </wp:anchor>
            </w:drawing>
          </mc:Choice>
          <mc:Fallback>
            <w:pict>
              <v:rect id="000163" o:spid="_x0000_s1026" o:spt="1" style="position:absolute;left:0pt;margin-left:-9pt;margin-top:4.9pt;height:31.2pt;width:72pt;z-index:251659264;mso-width-relative:page;mso-height-relative:page;" filled="f" stroked="f" coordsize="21600,21600" o:gfxdata="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TcOBXYAAAACAEAAA8AAAAAAAAAAQAgAAAAIgAA&#10;AGRycy9kb3ducmV2LnhtbFBLAQIUABQAAAAIAIdO4kDO8++plgEAADgDAAAOAAAAAAAAAAEAIAAA&#10;ACcBAABkcnMvZTJvRG9jLnhtbFBLBQYAAAAABgAGAFkBAAAvBQAAAAA=&#10;">
                <v:fill on="f" focussize="0,0"/>
                <v:stroke on="f"/>
                <v:imagedata o:title=""/>
                <o:lock v:ext="edit" aspectratio="f"/>
                <v:textbox>
                  <w:txbxContent>
                    <w:p w14:paraId="099F3831">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rect>
            </w:pict>
          </mc:Fallback>
        </mc:AlternateContent>
      </w:r>
      <w:r>
        <w:rPr>
          <w:rFonts w:hint="eastAsia" w:hAnsi="宋体" w:eastAsia="宋体" w:cs="宋体"/>
          <w:color w:val="auto"/>
          <w:sz w:val="24"/>
          <w:szCs w:val="24"/>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14:paraId="22B33193">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36.5 </w:t>
      </w:r>
      <w:r>
        <w:rPr>
          <w:rFonts w:hint="eastAsia" w:hAnsi="宋体" w:eastAsia="宋体" w:cs="宋体"/>
          <w:b/>
          <w:bCs/>
          <w:color w:val="auto"/>
          <w:sz w:val="24"/>
          <w:szCs w:val="24"/>
          <w:highlight w:val="none"/>
          <w:u w:val="dotted"/>
        </w:rPr>
        <w:t xml:space="preserve">                                                                                                        </w:t>
      </w:r>
    </w:p>
    <w:p w14:paraId="2A61DB70">
      <w:pPr>
        <w:pStyle w:val="24"/>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169" name="000164"/>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411B2BA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wps:wsp>
                  </a:graphicData>
                </a:graphic>
              </wp:anchor>
            </w:drawing>
          </mc:Choice>
          <mc:Fallback>
            <w:pict>
              <v:rect id="000164" o:spid="_x0000_s1026" o:spt="1" style="position:absolute;left:0pt;margin-left:-9pt;margin-top:3.7pt;height:31.2pt;width:72pt;z-index:251659264;mso-width-relative:page;mso-height-relative:page;" filled="f" stroked="f" coordsize="21600,21600" o:gfxdata="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HlEeXYAAAACAEAAA8AAAAAAAAAAQAgAAAAIgAA&#10;AGRycy9kb3ducmV2LnhtbFBLAQIUABQAAAAIAIdO4kAy9zIGlgEAADgDAAAOAAAAAAAAAAEAIAAA&#10;ACcBAABkcnMvZTJvRG9jLnhtbFBLBQYAAAAABgAGAFkBAAAvBQAAAAA=&#10;">
                <v:fill on="f" focussize="0,0"/>
                <v:stroke on="f"/>
                <v:imagedata o:title=""/>
                <o:lock v:ext="edit" aspectratio="f"/>
                <v:textbox>
                  <w:txbxContent>
                    <w:p w14:paraId="411B2BA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rect>
            </w:pict>
          </mc:Fallback>
        </mc:AlternateContent>
      </w:r>
      <w:r>
        <w:rPr>
          <w:rFonts w:hint="eastAsia" w:hAnsi="宋体" w:eastAsia="宋体" w:cs="宋体"/>
          <w:color w:val="auto"/>
          <w:sz w:val="24"/>
          <w:szCs w:val="24"/>
          <w:highlight w:val="none"/>
        </w:rPr>
        <w:t>如果工期顺延事件持续发生时，承包人应每隔7天向监理工程师发出工期顺延意向书，并在工期顺延事件终结后的14天内，向监理工程师提交最终工期顺延报告和详细资料。</w:t>
      </w:r>
    </w:p>
    <w:p w14:paraId="5B853C1B">
      <w:pPr>
        <w:pStyle w:val="24"/>
        <w:adjustRightInd w:val="0"/>
        <w:snapToGrid w:val="0"/>
        <w:spacing w:line="300" w:lineRule="auto"/>
        <w:ind w:right="-2"/>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36.6  </w:t>
      </w:r>
      <w:r>
        <w:rPr>
          <w:rFonts w:hint="eastAsia" w:hAnsi="宋体" w:eastAsia="宋体" w:cs="宋体"/>
          <w:b/>
          <w:bCs/>
          <w:color w:val="auto"/>
          <w:sz w:val="24"/>
          <w:szCs w:val="24"/>
          <w:highlight w:val="none"/>
          <w:u w:val="dotted"/>
        </w:rPr>
        <w:t xml:space="preserve">                                                                                                        </w:t>
      </w:r>
    </w:p>
    <w:p w14:paraId="09AE174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170" name="000165"/>
                <wp:cNvGraphicFramePr/>
                <a:graphic xmlns:a="http://schemas.openxmlformats.org/drawingml/2006/main">
                  <a:graphicData uri="http://schemas.microsoft.com/office/word/2010/wordprocessingShape">
                    <wps:wsp>
                      <wps:cNvSpPr/>
                      <wps:spPr>
                        <a:xfrm>
                          <a:off x="0" y="0"/>
                          <a:ext cx="914400" cy="483869"/>
                        </a:xfrm>
                        <a:prstGeom prst="rect">
                          <a:avLst/>
                        </a:prstGeom>
                        <a:ln>
                          <a:noFill/>
                        </a:ln>
                      </wps:spPr>
                      <wps:txbx>
                        <w:txbxContent>
                          <w:p w14:paraId="6D18550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wps:wsp>
                  </a:graphicData>
                </a:graphic>
              </wp:anchor>
            </w:drawing>
          </mc:Choice>
          <mc:Fallback>
            <w:pict>
              <v:rect id="000165" o:spid="_x0000_s1026" o:spt="1" style="position:absolute;left:0pt;margin-left:-9pt;margin-top:3.6pt;height:38.1pt;width:72pt;z-index:251659264;mso-width-relative:page;mso-height-relative:page;" filled="f" stroked="f" coordsize="21600,21600" o:gfxdata="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SuwkjYAAAACAEAAA8AAAAAAAAAAQAgAAAAIgAA&#10;AGRycy9kb3ducmV2LnhtbFBLAQIUABQAAAAIAIdO4kCTlbxDlgEAADgDAAAOAAAAAAAAAAEAIAAA&#10;ACcBAABkcnMvZTJvRG9jLnhtbFBLBQYAAAAABgAGAFkBAAAvBQAAAAA=&#10;">
                <v:fill on="f" focussize="0,0"/>
                <v:stroke on="f"/>
                <v:imagedata o:title=""/>
                <o:lock v:ext="edit" aspectratio="f"/>
                <v:textbox>
                  <w:txbxContent>
                    <w:p w14:paraId="6D18550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rect>
            </w:pict>
          </mc:Fallback>
        </mc:AlternateContent>
      </w:r>
      <w:r>
        <w:rPr>
          <w:rFonts w:hint="eastAsia" w:hAnsi="宋体" w:eastAsia="宋体" w:cs="宋体"/>
          <w:color w:val="auto"/>
          <w:sz w:val="24"/>
          <w:szCs w:val="24"/>
          <w:highlight w:val="none"/>
        </w:rPr>
        <w:t xml:space="preserve">如果承包人未能在第36.4款和第36.5款（发生时）规定的时间内提交（最终）工期顺延报告和详细资料，则视为该事件不影响施工进度或承包人放弃顺延工期的权利。 </w:t>
      </w:r>
    </w:p>
    <w:p w14:paraId="3E0708A6">
      <w:pPr>
        <w:pStyle w:val="24"/>
        <w:adjustRightInd w:val="0"/>
        <w:snapToGrid w:val="0"/>
        <w:spacing w:line="300" w:lineRule="auto"/>
        <w:ind w:right="-2"/>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36.7  </w:t>
      </w:r>
      <w:r>
        <w:rPr>
          <w:rFonts w:hint="eastAsia" w:hAnsi="宋体" w:eastAsia="宋体" w:cs="宋体"/>
          <w:b/>
          <w:bCs/>
          <w:color w:val="auto"/>
          <w:sz w:val="24"/>
          <w:szCs w:val="24"/>
          <w:highlight w:val="none"/>
          <w:u w:val="dotted"/>
        </w:rPr>
        <w:t xml:space="preserve">                                                                                                        </w:t>
      </w:r>
    </w:p>
    <w:p w14:paraId="571659E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171" name="000166"/>
                <wp:cNvGraphicFramePr/>
                <a:graphic xmlns:a="http://schemas.openxmlformats.org/drawingml/2006/main">
                  <a:graphicData uri="http://schemas.microsoft.com/office/word/2010/wordprocessingShape">
                    <wps:wsp>
                      <wps:cNvSpPr/>
                      <wps:spPr>
                        <a:xfrm>
                          <a:off x="0" y="0"/>
                          <a:ext cx="914400" cy="483869"/>
                        </a:xfrm>
                        <a:prstGeom prst="rect">
                          <a:avLst/>
                        </a:prstGeom>
                        <a:ln>
                          <a:noFill/>
                        </a:ln>
                      </wps:spPr>
                      <wps:txbx>
                        <w:txbxContent>
                          <w:p w14:paraId="5E91AE74">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wps:txbx>
                      <wps:bodyPr wrap="square"/>
                    </wps:wsp>
                  </a:graphicData>
                </a:graphic>
              </wp:anchor>
            </w:drawing>
          </mc:Choice>
          <mc:Fallback>
            <w:pict>
              <v:rect id="000166" o:spid="_x0000_s1026" o:spt="1" style="position:absolute;left:0pt;margin-left:-9pt;margin-top:3.6pt;height:38.1pt;width:72pt;z-index:251659264;mso-width-relative:page;mso-height-relative:page;" filled="f" stroked="f" coordsize="21600,21600" o:gfxdata="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lK7CSNgAAAAIAQAADwAAAAAAAAABACAAAAAiAAAA&#10;ZHJzL2Rvd25yZXYueG1sUEsBAhQAFAAAAAgAh07iQNoC8dyVAQAAOAMAAA4AAAAAAAAAAQAgAAAA&#10;JwEAAGRycy9lMm9Eb2MueG1sUEsFBgAAAAAGAAYAWQEAAC4FAAAAAA==&#10;">
                <v:fill on="f" focussize="0,0"/>
                <v:stroke on="f"/>
                <v:imagedata o:title=""/>
                <o:lock v:ext="edit" aspectratio="f"/>
                <v:textbox>
                  <w:txbxContent>
                    <w:p w14:paraId="5E91AE74">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rect>
            </w:pict>
          </mc:Fallback>
        </mc:AlternateContent>
      </w:r>
      <w:r>
        <w:rPr>
          <w:rFonts w:hint="eastAsia" w:hAnsi="宋体" w:eastAsia="宋体" w:cs="宋体"/>
          <w:color w:val="auto"/>
          <w:sz w:val="24"/>
          <w:szCs w:val="24"/>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14:paraId="01E9FB37">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如果监理工程师在收到上述报告和资料后的28天内未予核实也未对承包人作出进一步要求，则视为监理工程师已认可承包人上述报告中提出的顺延工期天数。</w:t>
      </w:r>
    </w:p>
    <w:p w14:paraId="73D0C681">
      <w:pPr>
        <w:pStyle w:val="24"/>
        <w:adjustRightInd w:val="0"/>
        <w:snapToGrid w:val="0"/>
        <w:spacing w:line="300" w:lineRule="auto"/>
        <w:ind w:left="1626" w:leftChars="1" w:hanging="1624" w:hangingChars="674"/>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36.8  </w:t>
      </w:r>
      <w:r>
        <w:rPr>
          <w:rFonts w:hint="eastAsia" w:hAnsi="宋体" w:eastAsia="宋体" w:cs="宋体"/>
          <w:b/>
          <w:bCs/>
          <w:color w:val="auto"/>
          <w:sz w:val="24"/>
          <w:szCs w:val="24"/>
          <w:highlight w:val="none"/>
          <w:u w:val="dotted"/>
        </w:rPr>
        <w:t xml:space="preserve">                                                                                                        </w:t>
      </w:r>
    </w:p>
    <w:p w14:paraId="124E129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172" name="000167"/>
                <wp:cNvGraphicFramePr/>
                <a:graphic xmlns:a="http://schemas.openxmlformats.org/drawingml/2006/main">
                  <a:graphicData uri="http://schemas.microsoft.com/office/word/2010/wordprocessingShape">
                    <wps:wsp>
                      <wps:cNvSpPr/>
                      <wps:spPr>
                        <a:xfrm>
                          <a:off x="0" y="0"/>
                          <a:ext cx="914400" cy="593725"/>
                        </a:xfrm>
                        <a:prstGeom prst="rect">
                          <a:avLst/>
                        </a:prstGeom>
                        <a:ln>
                          <a:noFill/>
                        </a:ln>
                      </wps:spPr>
                      <wps:txbx>
                        <w:txbxContent>
                          <w:p w14:paraId="6F19DF3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wps:wsp>
                  </a:graphicData>
                </a:graphic>
              </wp:anchor>
            </w:drawing>
          </mc:Choice>
          <mc:Fallback>
            <w:pict>
              <v:rect id="000167" o:spid="_x0000_s1026" o:spt="1" style="position:absolute;left:0pt;margin-left:-9pt;margin-top:3.6pt;height:46.75pt;width:72pt;z-index:251659264;mso-width-relative:page;mso-height-relative:page;" filled="f" stroked="f" coordsize="21600,21600" o:gfxdata="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Ax9M+2QAAAAkBAAAPAAAAAAAAAAEAIAAAACIA&#10;AABkcnMvZG93bnJldi54bWxQSwECFAAUAAAACACHTuJAGwLkKpYBAAA4AwAADgAAAAAAAAABACAA&#10;AAAoAQAAZHJzL2Uyb0RvYy54bWxQSwUGAAAAAAYABgBZAQAAMAUAAAAA&#10;">
                <v:fill on="f" focussize="0,0"/>
                <v:stroke on="f"/>
                <v:imagedata o:title=""/>
                <o:lock v:ext="edit" aspectratio="f"/>
                <v:textbox>
                  <w:txbxContent>
                    <w:p w14:paraId="6F19DF3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rect>
            </w:pict>
          </mc:Fallback>
        </mc:AlternateContent>
      </w:r>
      <w:r>
        <w:rPr>
          <w:rFonts w:hint="eastAsia" w:hAnsi="宋体" w:eastAsia="宋体" w:cs="宋体"/>
          <w:color w:val="auto"/>
          <w:sz w:val="24"/>
          <w:szCs w:val="24"/>
          <w:highlight w:val="none"/>
        </w:rPr>
        <w:t>承包人未能按照合同进度计划完成工作，或因承包人的原因造成工期延误，发包人可按照本条规定的时限和第66.2款规定要求承包人支付该支付期的误期赔偿费。</w:t>
      </w:r>
    </w:p>
    <w:p w14:paraId="1CE89FA2">
      <w:pPr>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36.9  </w:t>
      </w:r>
      <w:r>
        <w:rPr>
          <w:rFonts w:hint="eastAsia" w:ascii="宋体" w:hAnsi="宋体" w:eastAsia="宋体" w:cs="宋体"/>
          <w:b/>
          <w:bCs/>
          <w:color w:val="auto"/>
          <w:sz w:val="24"/>
          <w:highlight w:val="none"/>
          <w:u w:val="dotted"/>
        </w:rPr>
        <w:t xml:space="preserve">                                                                                </w:t>
      </w:r>
    </w:p>
    <w:p w14:paraId="5817F4D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-63500</wp:posOffset>
                </wp:positionH>
                <wp:positionV relativeFrom="paragraph">
                  <wp:posOffset>65405</wp:posOffset>
                </wp:positionV>
                <wp:extent cx="923290" cy="454025"/>
                <wp:effectExtent l="0" t="0" r="0" b="0"/>
                <wp:wrapNone/>
                <wp:docPr id="1173" name="000168"/>
                <wp:cNvGraphicFramePr/>
                <a:graphic xmlns:a="http://schemas.openxmlformats.org/drawingml/2006/main">
                  <a:graphicData uri="http://schemas.microsoft.com/office/word/2010/wordprocessingShape">
                    <wps:wsp>
                      <wps:cNvSpPr/>
                      <wps:spPr>
                        <a:xfrm>
                          <a:off x="0" y="0"/>
                          <a:ext cx="923290" cy="454025"/>
                        </a:xfrm>
                        <a:prstGeom prst="rect">
                          <a:avLst/>
                        </a:prstGeom>
                        <a:ln>
                          <a:noFill/>
                        </a:ln>
                      </wps:spPr>
                      <wps:txbx>
                        <w:txbxContent>
                          <w:p w14:paraId="03540962">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wps:wsp>
                  </a:graphicData>
                </a:graphic>
              </wp:anchor>
            </w:drawing>
          </mc:Choice>
          <mc:Fallback>
            <w:pict>
              <v:rect id="000168" o:spid="_x0000_s1026" o:spt="1" style="position:absolute;left:0pt;margin-left:-5pt;margin-top:5.15pt;height:35.75pt;width:72.7pt;z-index:251659264;mso-width-relative:page;mso-height-relative:page;" filled="f" stroked="f" coordsize="21600,21600" o:gfxdata="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dsna2QAAAAkBAAAPAAAAAAAAAAEAIAAAACIA&#10;AABkcnMvZG93bnJldi54bWxQSwECFAAUAAAACACHTuJAkDFlsJYBAAA4AwAADgAAAAAAAAABACAA&#10;AAAoAQAAZHJzL2Uyb0RvYy54bWxQSwUGAAAAAAYABgBZAQAAMAUAAAAA&#10;">
                <v:fill on="f" focussize="0,0"/>
                <v:stroke on="f"/>
                <v:imagedata o:title=""/>
                <o:lock v:ext="edit" aspectratio="f"/>
                <v:textbox>
                  <w:txbxContent>
                    <w:p w14:paraId="03540962">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rect>
            </w:pict>
          </mc:Fallback>
        </mc:AlternateContent>
      </w:r>
      <w:r>
        <w:rPr>
          <w:rFonts w:hint="eastAsia" w:hAnsi="宋体" w:eastAsia="宋体" w:cs="宋体"/>
          <w:color w:val="auto"/>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47575116">
      <w:pPr>
        <w:pStyle w:val="24"/>
        <w:adjustRightInd w:val="0"/>
        <w:snapToGrid w:val="0"/>
        <w:spacing w:line="300" w:lineRule="auto"/>
        <w:ind w:left="1619" w:leftChars="771"/>
        <w:rPr>
          <w:rFonts w:hAnsi="宋体" w:eastAsia="宋体" w:cs="宋体"/>
          <w:color w:val="auto"/>
          <w:sz w:val="24"/>
          <w:szCs w:val="24"/>
          <w:highlight w:val="none"/>
        </w:rPr>
      </w:pPr>
    </w:p>
    <w:p w14:paraId="3975DAF8">
      <w:pPr>
        <w:pStyle w:val="24"/>
        <w:tabs>
          <w:tab w:val="left" w:pos="540"/>
        </w:tabs>
        <w:adjustRightInd w:val="0"/>
        <w:snapToGrid w:val="0"/>
        <w:spacing w:before="240" w:beforeLines="100"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AE03709">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02" w:name="_Toc46860840"/>
      <w:bookmarkStart w:id="103" w:name="_Toc469384019"/>
      <w:r>
        <w:rPr>
          <w:rFonts w:hint="eastAsia" w:hAnsi="宋体" w:eastAsia="宋体" w:cs="宋体"/>
          <w:b/>
          <w:bCs/>
          <w:color w:val="auto"/>
          <w:sz w:val="24"/>
          <w:szCs w:val="24"/>
          <w:highlight w:val="none"/>
        </w:rPr>
        <w:t>37  加快进度</w:t>
      </w:r>
      <w:bookmarkEnd w:id="102"/>
      <w:bookmarkEnd w:id="103"/>
    </w:p>
    <w:p w14:paraId="3A4FE597">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174" name="000169"/>
                <wp:cNvGraphicFramePr/>
                <a:graphic xmlns:a="http://schemas.openxmlformats.org/drawingml/2006/main">
                  <a:graphicData uri="http://schemas.microsoft.com/office/word/2010/wordprocessingShape">
                    <wps:wsp>
                      <wps:cNvSpPr/>
                      <wps:spPr>
                        <a:xfrm>
                          <a:off x="0" y="0"/>
                          <a:ext cx="914400" cy="540385"/>
                        </a:xfrm>
                        <a:prstGeom prst="rect">
                          <a:avLst/>
                        </a:prstGeom>
                        <a:ln>
                          <a:noFill/>
                        </a:ln>
                      </wps:spPr>
                      <wps:txbx>
                        <w:txbxContent>
                          <w:p w14:paraId="3CCF5AC1">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wps:wsp>
                  </a:graphicData>
                </a:graphic>
              </wp:anchor>
            </w:drawing>
          </mc:Choice>
          <mc:Fallback>
            <w:pict>
              <v:rect id="000169" o:spid="_x0000_s1026" o:spt="1" style="position:absolute;left:0pt;margin-left:-9pt;margin-top:12.65pt;height:42.55pt;width:72pt;z-index:251659264;mso-width-relative:page;mso-height-relative:page;" filled="f" stroked="f" coordsize="21600,21600" o:gfxdata="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XGjrUdoAAAAKAQAADwAAAAAAAAABACAAAAAi&#10;AAAAZHJzL2Rvd25yZXYueG1sUEsBAhQAFAAAAAgAh07iQGD+cguWAQAAOAMAAA4AAAAAAAAAAQAg&#10;AAAAKQEAAGRycy9lMm9Eb2MueG1sUEsFBgAAAAAGAAYAWQEAADEFAAAAAA==&#10;">
                <v:fill on="f" focussize="0,0"/>
                <v:stroke on="f"/>
                <v:imagedata o:title=""/>
                <o:lock v:ext="edit" aspectratio="f"/>
                <v:textbox>
                  <w:txbxContent>
                    <w:p w14:paraId="3CCF5AC1">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v:textbox>
              </v:rect>
            </w:pict>
          </mc:Fallback>
        </mc:AlternateContent>
      </w:r>
      <w:r>
        <w:rPr>
          <w:rFonts w:hint="eastAsia" w:hAnsi="宋体" w:eastAsia="宋体" w:cs="宋体"/>
          <w:b/>
          <w:bCs/>
          <w:color w:val="auto"/>
          <w:sz w:val="24"/>
          <w:szCs w:val="24"/>
          <w:highlight w:val="none"/>
        </w:rPr>
        <w:t xml:space="preserve">37.1     </w:t>
      </w:r>
    </w:p>
    <w:p w14:paraId="0F3A21FD">
      <w:pPr>
        <w:pStyle w:val="24"/>
        <w:adjustRightInd w:val="0"/>
        <w:snapToGrid w:val="0"/>
        <w:spacing w:line="300" w:lineRule="auto"/>
        <w:ind w:left="1619" w:leftChars="771"/>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在非发包人延误工期的情况下，如果监理工程师书面指出承包人实施合同工程或其任何部分的进度过慢，迟于进度计划或不能按期竣工，则承包人应按照第33.4款规定采取改进措施，加快工程进度。</w:t>
      </w:r>
    </w:p>
    <w:p w14:paraId="50A0D23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14:paraId="5200D22B">
      <w:pPr>
        <w:pStyle w:val="24"/>
        <w:tabs>
          <w:tab w:val="left" w:pos="13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175" name="00016a"/>
                <wp:cNvGraphicFramePr/>
                <a:graphic xmlns:a="http://schemas.openxmlformats.org/drawingml/2006/main">
                  <a:graphicData uri="http://schemas.microsoft.com/office/word/2010/wordprocessingShape">
                    <wps:wsp>
                      <wps:cNvSpPr/>
                      <wps:spPr>
                        <a:xfrm>
                          <a:off x="0" y="0"/>
                          <a:ext cx="914400" cy="494665"/>
                        </a:xfrm>
                        <a:prstGeom prst="rect">
                          <a:avLst/>
                        </a:prstGeom>
                        <a:ln>
                          <a:noFill/>
                        </a:ln>
                      </wps:spPr>
                      <wps:txbx>
                        <w:txbxContent>
                          <w:p w14:paraId="321ECFC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wps:txbx>
                      <wps:bodyPr wrap="square"/>
                    </wps:wsp>
                  </a:graphicData>
                </a:graphic>
              </wp:anchor>
            </w:drawing>
          </mc:Choice>
          <mc:Fallback>
            <w:pict>
              <v:rect id="00016a" o:spid="_x0000_s1026" o:spt="1" style="position:absolute;left:0pt;margin-left:-9pt;margin-top:21.9pt;height:38.95pt;width:72pt;z-index:251659264;mso-width-relative:page;mso-height-relative:page;" filled="f" stroked="f" coordsize="21600,21600" o:gfxdata="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3+pSN2gAAAAoBAAAPAAAAAAAAAAEAIAAAACIA&#10;AABkcnMvZG93bnJldi54bWxQSwECFAAUAAAACACHTuJAC6crXZUBAAA4AwAADgAAAAAAAAABACAA&#10;AAApAQAAZHJzL2Uyb0RvYy54bWxQSwUGAAAAAAYABgBZAQAAMAUAAAAA&#10;">
                <v:fill on="f" focussize="0,0"/>
                <v:stroke on="f"/>
                <v:imagedata o:title=""/>
                <o:lock v:ext="edit" aspectratio="f"/>
                <v:textbox>
                  <w:txbxContent>
                    <w:p w14:paraId="321ECFC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v:textbox>
              </v:rect>
            </w:pict>
          </mc:Fallback>
        </mc:AlternateContent>
      </w:r>
      <w:r>
        <w:rPr>
          <w:rFonts w:hint="eastAsia" w:hAnsi="宋体" w:eastAsia="宋体" w:cs="宋体"/>
          <w:b/>
          <w:bCs/>
          <w:color w:val="auto"/>
          <w:sz w:val="24"/>
          <w:szCs w:val="24"/>
          <w:highlight w:val="none"/>
        </w:rPr>
        <w:t xml:space="preserve">37.2  </w:t>
      </w:r>
      <w:r>
        <w:rPr>
          <w:rFonts w:hint="eastAsia" w:hAnsi="宋体" w:eastAsia="宋体" w:cs="宋体"/>
          <w:b/>
          <w:bCs/>
          <w:color w:val="auto"/>
          <w:sz w:val="24"/>
          <w:szCs w:val="24"/>
          <w:highlight w:val="none"/>
          <w:u w:val="dotted"/>
        </w:rPr>
        <w:t xml:space="preserve">                                                                                                        </w:t>
      </w:r>
    </w:p>
    <w:p w14:paraId="5C04CA0D">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14:paraId="1F9F4676">
      <w:pPr>
        <w:pStyle w:val="24"/>
        <w:numPr>
          <w:ilvl w:val="0"/>
          <w:numId w:val="18"/>
        </w:numPr>
        <w:tabs>
          <w:tab w:val="left" w:pos="198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加快进度拟采取的措施；</w:t>
      </w:r>
    </w:p>
    <w:p w14:paraId="3EBABCF0">
      <w:pPr>
        <w:pStyle w:val="24"/>
        <w:numPr>
          <w:ilvl w:val="0"/>
          <w:numId w:val="18"/>
        </w:numPr>
        <w:tabs>
          <w:tab w:val="left" w:pos="198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加快进度后的进度计划,以及与原计划的对比；</w:t>
      </w:r>
    </w:p>
    <w:p w14:paraId="36F4329F">
      <w:pPr>
        <w:pStyle w:val="24"/>
        <w:numPr>
          <w:ilvl w:val="0"/>
          <w:numId w:val="18"/>
        </w:numPr>
        <w:tabs>
          <w:tab w:val="left" w:pos="198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加快进度所需的合同价款增加额（含第66.1款规定的提前竣工奖）。该增加额按照第72.2款、第72.3款和第72.5款规定计算。</w:t>
      </w:r>
    </w:p>
    <w:p w14:paraId="1A12629B">
      <w:pPr>
        <w:pStyle w:val="24"/>
        <w:adjustRightInd w:val="0"/>
        <w:snapToGrid w:val="0"/>
        <w:spacing w:line="300" w:lineRule="auto"/>
        <w:ind w:left="1617" w:leftChars="770" w:firstLine="1"/>
        <w:rPr>
          <w:rFonts w:hAnsi="宋体" w:eastAsia="宋体" w:cs="宋体"/>
          <w:color w:val="auto"/>
          <w:sz w:val="24"/>
          <w:szCs w:val="24"/>
          <w:highlight w:val="none"/>
        </w:rPr>
      </w:pPr>
      <w:r>
        <w:rPr>
          <w:rFonts w:hint="eastAsia" w:hAnsi="宋体" w:eastAsia="宋体" w:cs="宋体"/>
          <w:color w:val="auto"/>
          <w:sz w:val="24"/>
          <w:szCs w:val="24"/>
          <w:highlight w:val="none"/>
        </w:rPr>
        <w:t>发包人应在接到建议书后的7天内予以答复。如果发包人接受了该建议书，则监理工程师应以书面形式发出变更指令，相应调整工期；造价工程师应核实并相应调整合同价款。</w:t>
      </w:r>
    </w:p>
    <w:p w14:paraId="25D28553">
      <w:pPr>
        <w:pStyle w:val="24"/>
        <w:adjustRightInd w:val="0"/>
        <w:snapToGrid w:val="0"/>
        <w:spacing w:line="300" w:lineRule="auto"/>
        <w:ind w:right="-240"/>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CB49552">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04" w:name="_Toc469384020"/>
      <w:bookmarkStart w:id="105" w:name="_Toc46860841"/>
      <w:r>
        <w:rPr>
          <w:rFonts w:hint="eastAsia" w:hAnsi="宋体" w:eastAsia="宋体" w:cs="宋体"/>
          <w:b/>
          <w:bCs/>
          <w:color w:val="auto"/>
          <w:sz w:val="24"/>
          <w:szCs w:val="24"/>
          <w:highlight w:val="none"/>
        </w:rPr>
        <w:t>38  竣工日期</w:t>
      </w:r>
      <w:bookmarkEnd w:id="104"/>
      <w:bookmarkEnd w:id="105"/>
    </w:p>
    <w:p w14:paraId="4166FA41">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176" name="00016b"/>
                <wp:cNvGraphicFramePr/>
                <a:graphic xmlns:a="http://schemas.openxmlformats.org/drawingml/2006/main">
                  <a:graphicData uri="http://schemas.microsoft.com/office/word/2010/wordprocessingShape">
                    <wps:wsp>
                      <wps:cNvSpPr/>
                      <wps:spPr>
                        <a:xfrm>
                          <a:off x="0" y="0"/>
                          <a:ext cx="977900" cy="396240"/>
                        </a:xfrm>
                        <a:prstGeom prst="rect">
                          <a:avLst/>
                        </a:prstGeom>
                        <a:ln>
                          <a:noFill/>
                        </a:ln>
                      </wps:spPr>
                      <wps:txbx>
                        <w:txbxContent>
                          <w:p w14:paraId="785ADBC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wps:wsp>
                  </a:graphicData>
                </a:graphic>
              </wp:anchor>
            </w:drawing>
          </mc:Choice>
          <mc:Fallback>
            <w:pict>
              <v:rect id="00016b" o:spid="_x0000_s1026" o:spt="1" style="position:absolute;left:0pt;margin-left:-10.5pt;margin-top:10.7pt;height:31.2pt;width:77pt;z-index:251659264;mso-width-relative:page;mso-height-relative:page;" filled="f" stroked="f" coordsize="21600,21600" o:gfxdata="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xNWextoAAAAJAQAADwAAAAAAAAABACAAAAAi&#10;AAAAZHJzL2Rvd25yZXYueG1sUEsBAhQAFAAAAAgAh07iQBTijyqWAQAAOAMAAA4AAAAAAAAAAQAg&#10;AAAAKQEAAGRycy9lMm9Eb2MueG1sUEsFBgAAAAAGAAYAWQEAADEFAAAAAA==&#10;">
                <v:fill on="f" focussize="0,0"/>
                <v:stroke on="f"/>
                <v:imagedata o:title=""/>
                <o:lock v:ext="edit" aspectratio="f"/>
                <v:textbox>
                  <w:txbxContent>
                    <w:p w14:paraId="785ADBC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rect>
            </w:pict>
          </mc:Fallback>
        </mc:AlternateContent>
      </w:r>
      <w:r>
        <w:rPr>
          <w:rFonts w:hint="eastAsia" w:hAnsi="宋体" w:eastAsia="宋体" w:cs="宋体"/>
          <w:b/>
          <w:bCs/>
          <w:color w:val="auto"/>
          <w:sz w:val="24"/>
          <w:szCs w:val="24"/>
          <w:highlight w:val="none"/>
        </w:rPr>
        <w:t xml:space="preserve">38.1   </w:t>
      </w:r>
    </w:p>
    <w:p w14:paraId="3BC28EE9">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合同双方当事人应在协议书和专用条款中约定合同工程的计划竣工日期。</w:t>
      </w:r>
    </w:p>
    <w:p w14:paraId="4CDF455F">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38.2  </w:t>
      </w:r>
      <w:r>
        <w:rPr>
          <w:rFonts w:hint="eastAsia" w:hAnsi="宋体" w:eastAsia="宋体" w:cs="宋体"/>
          <w:b/>
          <w:bCs/>
          <w:color w:val="auto"/>
          <w:sz w:val="24"/>
          <w:szCs w:val="24"/>
          <w:highlight w:val="none"/>
          <w:u w:val="dotted"/>
        </w:rPr>
        <w:t xml:space="preserve">                                                                                                        </w:t>
      </w:r>
    </w:p>
    <w:p w14:paraId="619CBF6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177" name="00016c"/>
                <wp:cNvGraphicFramePr/>
                <a:graphic xmlns:a="http://schemas.openxmlformats.org/drawingml/2006/main">
                  <a:graphicData uri="http://schemas.microsoft.com/office/word/2010/wordprocessingShape">
                    <wps:wsp>
                      <wps:cNvSpPr/>
                      <wps:spPr>
                        <a:xfrm>
                          <a:off x="0" y="0"/>
                          <a:ext cx="977900" cy="396240"/>
                        </a:xfrm>
                        <a:prstGeom prst="rect">
                          <a:avLst/>
                        </a:prstGeom>
                        <a:ln>
                          <a:noFill/>
                        </a:ln>
                      </wps:spPr>
                      <wps:txbx>
                        <w:txbxContent>
                          <w:p w14:paraId="3D9D2F4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wps:wsp>
                  </a:graphicData>
                </a:graphic>
              </wp:anchor>
            </w:drawing>
          </mc:Choice>
          <mc:Fallback>
            <w:pict>
              <v:rect id="00016c" o:spid="_x0000_s1026" o:spt="1" style="position:absolute;left:0pt;margin-left:-9pt;margin-top:0.45pt;height:31.2pt;width:77pt;z-index:251659264;mso-width-relative:page;mso-height-relative:page;" filled="f" stroked="f" coordsize="21600,21600" o:gfxdata="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&#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CgGItcAAAAHAQAADwAAAAAAAAABACAAAAAiAAAA&#10;ZHJzL2Rvd25yZXYueG1sUEsBAhQAFAAAAAgAh07iQKe/MkCWAQAAOAMAAA4AAAAAAAAAAQAgAAAA&#10;JgEAAGRycy9lMm9Eb2MueG1sUEsFBgAAAAAGAAYAWQEAAC4FAAAAAA==&#10;">
                <v:fill on="f" focussize="0,0"/>
                <v:stroke on="f"/>
                <v:imagedata o:title=""/>
                <o:lock v:ext="edit" aspectratio="f"/>
                <v:textbox>
                  <w:txbxContent>
                    <w:p w14:paraId="3D9D2F4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rect>
            </w:pict>
          </mc:Fallback>
        </mc:AlternateContent>
      </w:r>
      <w:r>
        <w:rPr>
          <w:rFonts w:hint="eastAsia" w:hAnsi="宋体" w:eastAsia="宋体" w:cs="宋体"/>
          <w:color w:val="auto"/>
          <w:sz w:val="24"/>
          <w:szCs w:val="24"/>
          <w:highlight w:val="none"/>
        </w:rPr>
        <w:t>除发生不可抗力事件致使发包人不能按时竣工验收外，实际竣工日期按照下列情况分别确定：</w:t>
      </w:r>
    </w:p>
    <w:p w14:paraId="70754248">
      <w:pPr>
        <w:pStyle w:val="24"/>
        <w:numPr>
          <w:ilvl w:val="0"/>
          <w:numId w:val="19"/>
        </w:numPr>
        <w:tabs>
          <w:tab w:val="left" w:pos="1980"/>
          <w:tab w:val="left" w:pos="2160"/>
        </w:tabs>
        <w:adjustRightInd w:val="0"/>
        <w:snapToGrid w:val="0"/>
        <w:spacing w:line="300" w:lineRule="auto"/>
        <w:ind w:left="1619" w:leftChars="771" w:firstLine="0"/>
        <w:rPr>
          <w:rFonts w:hAnsi="宋体" w:eastAsia="宋体" w:cs="宋体"/>
          <w:color w:val="auto"/>
          <w:sz w:val="24"/>
          <w:szCs w:val="24"/>
          <w:highlight w:val="none"/>
        </w:rPr>
      </w:pPr>
      <w:r>
        <w:rPr>
          <w:rFonts w:hint="eastAsia" w:hAnsi="宋体" w:eastAsia="宋体" w:cs="宋体"/>
          <w:color w:val="auto"/>
          <w:sz w:val="24"/>
          <w:szCs w:val="24"/>
          <w:highlight w:val="none"/>
        </w:rPr>
        <w:t>工程经竣工验收合格的，以承包人提交竣工验收申请报告之日为实际竣工日期；</w:t>
      </w:r>
    </w:p>
    <w:p w14:paraId="0E7E94D8">
      <w:pPr>
        <w:pStyle w:val="24"/>
        <w:tabs>
          <w:tab w:val="left" w:pos="1980"/>
          <w:tab w:val="left" w:pos="2160"/>
        </w:tabs>
        <w:adjustRightInd w:val="0"/>
        <w:snapToGrid w:val="0"/>
        <w:spacing w:line="300" w:lineRule="auto"/>
        <w:ind w:left="1613"/>
        <w:rPr>
          <w:rFonts w:hAnsi="宋体" w:eastAsia="宋体" w:cs="宋体"/>
          <w:color w:val="auto"/>
          <w:sz w:val="24"/>
          <w:szCs w:val="24"/>
          <w:highlight w:val="none"/>
        </w:rPr>
      </w:pPr>
      <w:r>
        <w:rPr>
          <w:rFonts w:hint="eastAsia" w:hAnsi="宋体" w:eastAsia="宋体" w:cs="宋体"/>
          <w:color w:val="auto"/>
          <w:sz w:val="24"/>
          <w:szCs w:val="24"/>
          <w:highlight w:val="none"/>
        </w:rPr>
        <w:t>(2)承包人已按照第57.2款规定提交竣工验收申请报告，但发包人未按照第58.3款规定完成合同工程验收的，以承包人提交竣工验收申请报告之日为实际竣工日期；</w:t>
      </w:r>
    </w:p>
    <w:p w14:paraId="792E2A1D">
      <w:pPr>
        <w:pStyle w:val="24"/>
        <w:tabs>
          <w:tab w:val="left" w:pos="1980"/>
          <w:tab w:val="left" w:pos="2160"/>
        </w:tabs>
        <w:adjustRightInd w:val="0"/>
        <w:snapToGrid w:val="0"/>
        <w:spacing w:line="300" w:lineRule="auto"/>
        <w:ind w:left="1617"/>
        <w:rPr>
          <w:rFonts w:hAnsi="宋体" w:eastAsia="宋体" w:cs="宋体"/>
          <w:color w:val="auto"/>
          <w:sz w:val="24"/>
          <w:szCs w:val="24"/>
          <w:highlight w:val="none"/>
        </w:rPr>
      </w:pPr>
      <w:r>
        <w:rPr>
          <w:rFonts w:hint="eastAsia" w:hAnsi="宋体" w:eastAsia="宋体" w:cs="宋体"/>
          <w:color w:val="auto"/>
          <w:sz w:val="24"/>
          <w:szCs w:val="24"/>
          <w:highlight w:val="none"/>
        </w:rPr>
        <w:t>(3)工程未经竣工验收，发包人擅自使用的，以转移占有工程之日为实际竣工日期。</w:t>
      </w:r>
    </w:p>
    <w:p w14:paraId="4D28260B">
      <w:pPr>
        <w:pStyle w:val="24"/>
        <w:adjustRightInd w:val="0"/>
        <w:snapToGrid w:val="0"/>
        <w:spacing w:line="300" w:lineRule="auto"/>
        <w:ind w:left="1626" w:leftChars="1" w:hanging="1624" w:hangingChars="674"/>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38.3  </w:t>
      </w:r>
      <w:r>
        <w:rPr>
          <w:rFonts w:hint="eastAsia" w:hAnsi="宋体" w:eastAsia="宋体" w:cs="宋体"/>
          <w:b/>
          <w:bCs/>
          <w:color w:val="auto"/>
          <w:sz w:val="24"/>
          <w:szCs w:val="24"/>
          <w:highlight w:val="none"/>
          <w:u w:val="dotted"/>
        </w:rPr>
        <w:t xml:space="preserve">                                                                                                        </w:t>
      </w:r>
    </w:p>
    <w:p w14:paraId="4F0DD591">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178" name="00016d"/>
                <wp:cNvGraphicFramePr/>
                <a:graphic xmlns:a="http://schemas.openxmlformats.org/drawingml/2006/main">
                  <a:graphicData uri="http://schemas.microsoft.com/office/word/2010/wordprocessingShape">
                    <wps:wsp>
                      <wps:cNvSpPr/>
                      <wps:spPr>
                        <a:xfrm>
                          <a:off x="0" y="0"/>
                          <a:ext cx="914400" cy="455930"/>
                        </a:xfrm>
                        <a:prstGeom prst="rect">
                          <a:avLst/>
                        </a:prstGeom>
                        <a:ln>
                          <a:noFill/>
                        </a:ln>
                      </wps:spPr>
                      <wps:txbx>
                        <w:txbxContent>
                          <w:p w14:paraId="01A6742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wps:wsp>
                  </a:graphicData>
                </a:graphic>
              </wp:anchor>
            </w:drawing>
          </mc:Choice>
          <mc:Fallback>
            <w:pict>
              <v:rect id="00016d" o:spid="_x0000_s1026" o:spt="1" style="position:absolute;left:0pt;margin-left:-9pt;margin-top:3.75pt;height:35.9pt;width:72pt;z-index:251659264;mso-width-relative:page;mso-height-relative:page;" filled="f" stroked="f" coordsize="21600,21600" o:gfxdata="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mKUxF2QAAAAgBAAAPAAAAAAAAAAEAIAAAACIA&#10;AABkcnMvZG93bnJldi54bWxQSwECFAAUAAAACACHTuJAH9jVzpYBAAA4AwAADgAAAAAAAAABACAA&#10;AAAoAQAAZHJzL2Uyb0RvYy54bWxQSwUGAAAAAAYABgBZAQAAMAUAAAAA&#10;">
                <v:fill on="f" focussize="0,0"/>
                <v:stroke on="f"/>
                <v:imagedata o:title=""/>
                <o:lock v:ext="edit" aspectratio="f"/>
                <v:textbox>
                  <w:txbxContent>
                    <w:p w14:paraId="01A6742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rect>
            </w:pict>
          </mc:Fallback>
        </mc:AlternateContent>
      </w:r>
      <w:r>
        <w:rPr>
          <w:rFonts w:hint="eastAsia" w:ascii="宋体" w:hAnsi="宋体" w:eastAsia="宋体" w:cs="宋体"/>
          <w:color w:val="auto"/>
          <w:sz w:val="24"/>
          <w:highlight w:val="none"/>
        </w:rPr>
        <w:t>因发包人的原因导致实际竣工日期迟于计划竣工日期的，发包人应承担由此增加的费用和（或）延误的工期，并向承包人支付合理利润。</w:t>
      </w:r>
    </w:p>
    <w:p w14:paraId="0BE0480E">
      <w:pPr>
        <w:spacing w:line="300" w:lineRule="auto"/>
        <w:ind w:left="1619" w:leftChars="771" w:firstLine="60" w:firstLineChars="25"/>
        <w:rPr>
          <w:rFonts w:ascii="宋体" w:hAnsi="宋体" w:eastAsia="宋体" w:cs="宋体"/>
          <w:caps/>
          <w:color w:val="auto"/>
          <w:sz w:val="24"/>
          <w:highlight w:val="none"/>
        </w:rPr>
      </w:pPr>
      <w:r>
        <w:rPr>
          <w:rFonts w:hint="eastAsia" w:ascii="宋体" w:hAnsi="宋体" w:eastAsia="宋体" w:cs="宋体"/>
          <w:color w:val="auto"/>
          <w:sz w:val="24"/>
          <w:highlight w:val="none"/>
        </w:rPr>
        <w:t>因承包人的原因导致实际竣工日期迟于计划竣工日期的，承包人应按照第40条规定</w:t>
      </w:r>
      <w:r>
        <w:rPr>
          <w:rFonts w:hint="eastAsia" w:ascii="宋体" w:hAnsi="宋体" w:eastAsia="宋体" w:cs="宋体"/>
          <w:caps/>
          <w:color w:val="auto"/>
          <w:sz w:val="24"/>
          <w:highlight w:val="none"/>
        </w:rPr>
        <w:t>赔偿发包人由此造成的损失，并向发包人支付误期赔偿费。</w:t>
      </w:r>
    </w:p>
    <w:p w14:paraId="781C9D27">
      <w:pPr>
        <w:spacing w:line="300" w:lineRule="auto"/>
        <w:rPr>
          <w:rFonts w:ascii="宋体" w:hAnsi="宋体" w:eastAsia="宋体" w:cs="宋体"/>
          <w:caps/>
          <w:color w:val="auto"/>
          <w:sz w:val="24"/>
          <w:highlight w:val="none"/>
          <w:u w:val="single"/>
        </w:rPr>
      </w:pPr>
      <w:r>
        <w:rPr>
          <w:rFonts w:hint="eastAsia" w:ascii="宋体" w:hAnsi="宋体" w:eastAsia="宋体" w:cs="宋体"/>
          <w:b/>
          <w:bCs/>
          <w:caps/>
          <w:color w:val="auto"/>
          <w:sz w:val="24"/>
          <w:highlight w:val="none"/>
          <w:u w:val="single"/>
        </w:rPr>
        <w:t xml:space="preserve">                                                                                    </w:t>
      </w:r>
      <w:r>
        <w:rPr>
          <w:rFonts w:hint="eastAsia" w:ascii="宋体" w:hAnsi="宋体" w:eastAsia="宋体" w:cs="宋体"/>
          <w:caps/>
          <w:color w:val="auto"/>
          <w:sz w:val="24"/>
          <w:highlight w:val="none"/>
          <w:u w:val="single"/>
        </w:rPr>
        <w:t xml:space="preserve">                     </w:t>
      </w:r>
    </w:p>
    <w:p w14:paraId="079AAF9C">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06" w:name="_Toc469384021"/>
      <w:bookmarkStart w:id="107" w:name="_Toc46860842"/>
      <w:r>
        <w:rPr>
          <w:rFonts w:hint="eastAsia" w:hAnsi="宋体" w:eastAsia="宋体" w:cs="宋体"/>
          <w:b/>
          <w:bCs/>
          <w:color w:val="auto"/>
          <w:sz w:val="24"/>
          <w:szCs w:val="24"/>
          <w:highlight w:val="none"/>
        </w:rPr>
        <w:t>39  提前竣工</w:t>
      </w:r>
      <w:bookmarkEnd w:id="106"/>
      <w:bookmarkEnd w:id="107"/>
    </w:p>
    <w:p w14:paraId="6E20AD12">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39.1   </w:t>
      </w:r>
    </w:p>
    <w:p w14:paraId="554DE3D9">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179" name="00016e"/>
                <wp:cNvGraphicFramePr/>
                <a:graphic xmlns:a="http://schemas.openxmlformats.org/drawingml/2006/main">
                  <a:graphicData uri="http://schemas.microsoft.com/office/word/2010/wordprocessingShape">
                    <wps:wsp>
                      <wps:cNvSpPr/>
                      <wps:spPr>
                        <a:xfrm>
                          <a:off x="0" y="0"/>
                          <a:ext cx="977900" cy="396240"/>
                        </a:xfrm>
                        <a:prstGeom prst="rect">
                          <a:avLst/>
                        </a:prstGeom>
                        <a:ln>
                          <a:noFill/>
                        </a:ln>
                      </wps:spPr>
                      <wps:txbx>
                        <w:txbxContent>
                          <w:p w14:paraId="324B057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wps:wsp>
                  </a:graphicData>
                </a:graphic>
              </wp:anchor>
            </w:drawing>
          </mc:Choice>
          <mc:Fallback>
            <w:pict>
              <v:rect id="00016e" o:spid="_x0000_s1026" o:spt="1" style="position:absolute;left:0pt;margin-left:-5.25pt;margin-top:2.4pt;height:31.2pt;width:77pt;z-index:251659264;mso-width-relative:page;mso-height-relative:page;" filled="f" stroked="f" coordsize="21600,21600" o:gfxdata="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gkvgDYAAAACAEAAA8AAAAAAAAAAQAgAAAAIgAA&#10;AGRycy9kb3ducmV2LnhtbFBLAQIUABQAAAAIAIdO4kA8suVmlgEAADgDAAAOAAAAAAAAAAEAIAAA&#10;ACcBAABkcnMvZTJvRG9jLnhtbFBLBQYAAAAABgAGAFkBAAAvBQAAAAA=&#10;">
                <v:fill on="f" focussize="0,0"/>
                <v:stroke on="f"/>
                <v:imagedata o:title=""/>
                <o:lock v:ext="edit" aspectratio="f"/>
                <v:textbox>
                  <w:txbxContent>
                    <w:p w14:paraId="324B057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rect>
            </w:pict>
          </mc:Fallback>
        </mc:AlternateContent>
      </w:r>
      <w:r>
        <w:rPr>
          <w:rFonts w:hint="eastAsia" w:hAnsi="宋体" w:eastAsia="宋体" w:cs="宋体"/>
          <w:color w:val="auto"/>
          <w:sz w:val="24"/>
          <w:szCs w:val="24"/>
          <w:highlight w:val="none"/>
        </w:rPr>
        <w:t>发包人要求承包人提前竣工，或承包人按照第37.2款规定提交提前竣工建议书为发包人接受的，监理工程师应与承包人商定采取加快工程进度的措施，并修订合同工程进度计划。</w:t>
      </w:r>
    </w:p>
    <w:p w14:paraId="575E8A9A">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39.2  </w:t>
      </w:r>
      <w:r>
        <w:rPr>
          <w:rFonts w:hint="eastAsia" w:hAnsi="宋体" w:eastAsia="宋体" w:cs="宋体"/>
          <w:b/>
          <w:bCs/>
          <w:color w:val="auto"/>
          <w:sz w:val="24"/>
          <w:szCs w:val="24"/>
          <w:highlight w:val="none"/>
          <w:u w:val="dotted"/>
        </w:rPr>
        <w:t xml:space="preserve">                                                                                                        </w:t>
      </w:r>
    </w:p>
    <w:p w14:paraId="35679D84">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180" name="00016f"/>
                <wp:cNvGraphicFramePr/>
                <a:graphic xmlns:a="http://schemas.openxmlformats.org/drawingml/2006/main">
                  <a:graphicData uri="http://schemas.microsoft.com/office/word/2010/wordprocessingShape">
                    <wps:wsp>
                      <wps:cNvSpPr/>
                      <wps:spPr>
                        <a:xfrm>
                          <a:off x="0" y="0"/>
                          <a:ext cx="977900" cy="396240"/>
                        </a:xfrm>
                        <a:prstGeom prst="rect">
                          <a:avLst/>
                        </a:prstGeom>
                        <a:ln>
                          <a:noFill/>
                        </a:ln>
                      </wps:spPr>
                      <wps:txbx>
                        <w:txbxContent>
                          <w:p w14:paraId="7C889E7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wps:wsp>
                  </a:graphicData>
                </a:graphic>
              </wp:anchor>
            </w:drawing>
          </mc:Choice>
          <mc:Fallback>
            <w:pict>
              <v:rect id="00016f" o:spid="_x0000_s1026" o:spt="1" style="position:absolute;left:0pt;margin-left:-9pt;margin-top:0.45pt;height:31.2pt;width:77pt;z-index:251659264;mso-width-relative:page;mso-height-relative:page;" filled="f" stroked="f" coordsize="21600,21600" o:gfxdata="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CgGItcAAAAHAQAADwAAAAAAAAABACAAAAAiAAAA&#10;ZHJzL2Rvd25yZXYueG1sUEsBAhQAFAAAAAgAh07iQBPoEIaWAQAAOAMAAA4AAAAAAAAAAQAgAAAA&#10;JgEAAGRycy9lMm9Eb2MueG1sUEsFBgAAAAAGAAYAWQEAAC4FAAAAAA==&#10;">
                <v:fill on="f" focussize="0,0"/>
                <v:stroke on="f"/>
                <v:imagedata o:title=""/>
                <o:lock v:ext="edit" aspectratio="f"/>
                <v:textbox>
                  <w:txbxContent>
                    <w:p w14:paraId="7C889E7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rect>
            </w:pict>
          </mc:Fallback>
        </mc:AlternateContent>
      </w:r>
      <w:r>
        <w:rPr>
          <w:rFonts w:hint="eastAsia" w:hAnsi="宋体" w:eastAsia="宋体" w:cs="宋体"/>
          <w:color w:val="auto"/>
          <w:sz w:val="24"/>
          <w:szCs w:val="24"/>
          <w:highlight w:val="none"/>
        </w:rPr>
        <w:t>提前竣工天数按照第38.2款规定确定的计划竣工天数减去实际竣工天数计算，其公式为：</w:t>
      </w:r>
    </w:p>
    <w:p w14:paraId="2DE8ADDE">
      <w:pPr>
        <w:pStyle w:val="24"/>
        <w:adjustRightInd w:val="0"/>
        <w:snapToGrid w:val="0"/>
        <w:spacing w:line="300" w:lineRule="auto"/>
        <w:ind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w:t>提前竣工天数=计划竣工天数 — 实际竣工天数</w:t>
      </w:r>
    </w:p>
    <w:p w14:paraId="6AE6EFED">
      <w:pPr>
        <w:pStyle w:val="24"/>
        <w:tabs>
          <w:tab w:val="left" w:pos="1980"/>
          <w:tab w:val="left" w:pos="2160"/>
        </w:tabs>
        <w:adjustRightInd w:val="0"/>
        <w:snapToGrid w:val="0"/>
        <w:spacing w:line="300" w:lineRule="auto"/>
        <w:ind w:left="1616"/>
        <w:rPr>
          <w:rFonts w:hAnsi="宋体" w:eastAsia="宋体" w:cs="宋体"/>
          <w:color w:val="auto"/>
          <w:sz w:val="24"/>
          <w:szCs w:val="24"/>
          <w:highlight w:val="none"/>
        </w:rPr>
      </w:pPr>
      <w:r>
        <w:rPr>
          <w:rFonts w:hint="eastAsia" w:hAnsi="宋体" w:eastAsia="宋体" w:cs="宋体"/>
          <w:color w:val="auto"/>
          <w:sz w:val="24"/>
          <w:szCs w:val="24"/>
          <w:highlight w:val="none"/>
        </w:rPr>
        <w:t>合同工程提前竣工，发包人应承担承包人由此增加的费用，并按照第66.1款规定向承包人支付提前竣工奖。</w:t>
      </w:r>
    </w:p>
    <w:p w14:paraId="6467E67D">
      <w:pPr>
        <w:pStyle w:val="24"/>
        <w:tabs>
          <w:tab w:val="left" w:pos="540"/>
        </w:tabs>
        <w:adjustRightInd w:val="0"/>
        <w:snapToGrid w:val="0"/>
        <w:spacing w:before="240" w:beforeLines="100" w:line="300" w:lineRule="auto"/>
        <w:rPr>
          <w:rFonts w:hAnsi="宋体" w:eastAsia="宋体" w:cs="宋体"/>
          <w:b/>
          <w:bCs/>
          <w:caps/>
          <w:color w:val="auto"/>
          <w:sz w:val="24"/>
          <w:szCs w:val="24"/>
          <w:highlight w:val="none"/>
          <w:u w:val="single"/>
        </w:rPr>
      </w:pPr>
      <w:r>
        <w:rPr>
          <w:rFonts w:hint="eastAsia" w:hAnsi="宋体" w:eastAsia="宋体" w:cs="宋体"/>
          <w:b/>
          <w:bCs/>
          <w:caps/>
          <w:color w:val="auto"/>
          <w:sz w:val="24"/>
          <w:szCs w:val="24"/>
          <w:highlight w:val="none"/>
          <w:u w:val="single"/>
        </w:rPr>
        <w:t xml:space="preserve">                                                                                </w:t>
      </w:r>
    </w:p>
    <w:p w14:paraId="59B7CB01">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08" w:name="_Toc46860843"/>
      <w:bookmarkStart w:id="109" w:name="_Toc469384022"/>
      <w:r>
        <w:rPr>
          <w:rFonts w:hint="eastAsia" w:hAnsi="宋体" w:eastAsia="宋体" w:cs="宋体"/>
          <w:b/>
          <w:bCs/>
          <w:color w:val="auto"/>
          <w:sz w:val="24"/>
          <w:szCs w:val="24"/>
          <w:highlight w:val="none"/>
        </w:rPr>
        <w:t>40  误期赔偿</w:t>
      </w:r>
      <w:bookmarkEnd w:id="108"/>
      <w:bookmarkEnd w:id="109"/>
    </w:p>
    <w:p w14:paraId="5763EAFC">
      <w:pPr>
        <w:spacing w:line="300" w:lineRule="auto"/>
        <w:rPr>
          <w:rFonts w:ascii="宋体" w:hAnsi="宋体" w:eastAsia="宋体" w:cs="宋体"/>
          <w:b/>
          <w:bCs/>
          <w:caps/>
          <w:color w:val="auto"/>
          <w:sz w:val="24"/>
          <w:highlight w:val="none"/>
        </w:rPr>
      </w:pPr>
      <w:r>
        <w:rPr>
          <w:rFonts w:hint="eastAsia" w:ascii="宋体" w:hAnsi="宋体" w:eastAsia="宋体" w:cs="宋体"/>
          <w:b/>
          <w:bCs/>
          <w:color w:val="auto"/>
          <w:sz w:val="24"/>
          <w:highlight w:val="none"/>
        </w:rPr>
        <w:t>40.1</w:t>
      </w:r>
    </w:p>
    <w:p w14:paraId="5D385313">
      <w:pPr>
        <w:spacing w:line="300" w:lineRule="auto"/>
        <w:ind w:left="1619" w:leftChars="771"/>
        <w:rPr>
          <w:rFonts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102235</wp:posOffset>
                </wp:positionV>
                <wp:extent cx="977900" cy="328295"/>
                <wp:effectExtent l="0" t="0" r="0" b="0"/>
                <wp:wrapNone/>
                <wp:docPr id="1181" name="000170"/>
                <wp:cNvGraphicFramePr/>
                <a:graphic xmlns:a="http://schemas.openxmlformats.org/drawingml/2006/main">
                  <a:graphicData uri="http://schemas.microsoft.com/office/word/2010/wordprocessingShape">
                    <wps:wsp>
                      <wps:cNvSpPr/>
                      <wps:spPr>
                        <a:xfrm>
                          <a:off x="0" y="0"/>
                          <a:ext cx="977900" cy="328295"/>
                        </a:xfrm>
                        <a:prstGeom prst="rect">
                          <a:avLst/>
                        </a:prstGeom>
                        <a:ln>
                          <a:noFill/>
                        </a:ln>
                      </wps:spPr>
                      <wps:txbx>
                        <w:txbxContent>
                          <w:p w14:paraId="4796027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wps:wsp>
                  </a:graphicData>
                </a:graphic>
              </wp:anchor>
            </w:drawing>
          </mc:Choice>
          <mc:Fallback>
            <w:pict>
              <v:rect id="000170" o:spid="_x0000_s1026" o:spt="1" style="position:absolute;left:0pt;margin-left:-10.5pt;margin-top:8.05pt;height:25.85pt;width:77pt;z-index:251659264;mso-width-relative:page;mso-height-relative:page;" filled="f" stroked="f" coordsize="21600,21600" o:gfxdata="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fXRo/ZAAAACQEAAA8AAAAAAAAAAQAgAAAAIgAA&#10;AGRycy9kb3ducmV2LnhtbFBLAQIUABQAAAAIAIdO4kBv/dF2lQEAADgDAAAOAAAAAAAAAAEAIAAA&#10;ACgBAABkcnMvZTJvRG9jLnhtbFBLBQYAAAAABgAGAFkBAAAvBQAAAAA=&#10;">
                <v:fill on="f" focussize="0,0"/>
                <v:stroke on="f"/>
                <v:imagedata o:title=""/>
                <o:lock v:ext="edit" aspectratio="f"/>
                <v:textbox>
                  <w:txbxContent>
                    <w:p w14:paraId="4796027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rect>
            </w:pict>
          </mc:Fallback>
        </mc:AlternateContent>
      </w:r>
      <w:r>
        <w:rPr>
          <w:rFonts w:hint="eastAsia" w:ascii="宋体" w:hAnsi="宋体" w:eastAsia="宋体" w:cs="宋体"/>
          <w:caps/>
          <w:color w:val="auto"/>
          <w:sz w:val="24"/>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1FC83C51">
      <w:pPr>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40.2  </w:t>
      </w:r>
      <w:r>
        <w:rPr>
          <w:rFonts w:hint="eastAsia" w:ascii="宋体" w:hAnsi="宋体" w:eastAsia="宋体" w:cs="宋体"/>
          <w:b/>
          <w:bCs/>
          <w:color w:val="auto"/>
          <w:sz w:val="24"/>
          <w:highlight w:val="none"/>
          <w:u w:val="dotted"/>
        </w:rPr>
        <w:t xml:space="preserve">                                                                                                        </w:t>
      </w:r>
    </w:p>
    <w:p w14:paraId="26CEC899">
      <w:pPr>
        <w:spacing w:line="300" w:lineRule="auto"/>
        <w:ind w:left="1619" w:leftChars="771"/>
        <w:rPr>
          <w:rFonts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182" name="000171"/>
                <wp:cNvGraphicFramePr/>
                <a:graphic xmlns:a="http://schemas.openxmlformats.org/drawingml/2006/main">
                  <a:graphicData uri="http://schemas.microsoft.com/office/word/2010/wordprocessingShape">
                    <wps:wsp>
                      <wps:cNvSpPr/>
                      <wps:spPr>
                        <a:xfrm>
                          <a:off x="0" y="0"/>
                          <a:ext cx="1071245" cy="791845"/>
                        </a:xfrm>
                        <a:prstGeom prst="rect">
                          <a:avLst/>
                        </a:prstGeom>
                        <a:ln>
                          <a:noFill/>
                        </a:ln>
                      </wps:spPr>
                      <wps:txbx>
                        <w:txbxContent>
                          <w:p w14:paraId="791E420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14:paraId="5D4971E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wps:wsp>
                  </a:graphicData>
                </a:graphic>
              </wp:anchor>
            </w:drawing>
          </mc:Choice>
          <mc:Fallback>
            <w:pict>
              <v:rect id="000171" o:spid="_x0000_s1026" o:spt="1" style="position:absolute;left:0pt;margin-left:-9pt;margin-top:2.5pt;height:62.35pt;width:84.35pt;z-index:251659264;mso-width-relative:page;mso-height-relative:page;" filled="f" stroked="f" coordsize="21600,21600" o:gfxdata="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wXQQGNoAAAAJAQAADwAAAAAAAAABACAAAAAi&#10;AAAAZHJzL2Rvd25yZXYueG1sUEsBAhQAFAAAAAgAh07iQOJkY5WWAQAAOQMAAA4AAAAAAAAAAQAg&#10;AAAAKQEAAGRycy9lMm9Eb2MueG1sUEsFBgAAAAAGAAYAWQEAADEFAAAAAA==&#10;">
                <v:fill on="f" focussize="0,0"/>
                <v:stroke on="f"/>
                <v:imagedata o:title=""/>
                <o:lock v:ext="edit" aspectratio="f"/>
                <v:textbox>
                  <w:txbxContent>
                    <w:p w14:paraId="791E420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14:paraId="5D4971E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rect>
            </w:pict>
          </mc:Fallback>
        </mc:AlternateContent>
      </w:r>
      <w:r>
        <w:rPr>
          <w:rFonts w:hint="eastAsia" w:ascii="宋体" w:hAnsi="宋体" w:eastAsia="宋体" w:cs="宋体"/>
          <w:caps/>
          <w:color w:val="auto"/>
          <w:sz w:val="24"/>
          <w:highlight w:val="none"/>
        </w:rPr>
        <w:t>误期（实际延误天数）按照实际施工天数减去计划施工天数计算，其公式为：</w:t>
      </w:r>
    </w:p>
    <w:p w14:paraId="754C4CCA">
      <w:pPr>
        <w:spacing w:line="300" w:lineRule="auto"/>
        <w:ind w:firstLine="1680" w:firstLineChars="700"/>
        <w:rPr>
          <w:rFonts w:ascii="宋体" w:hAnsi="宋体" w:eastAsia="宋体" w:cs="宋体"/>
          <w:caps/>
          <w:color w:val="auto"/>
          <w:sz w:val="24"/>
          <w:highlight w:val="none"/>
        </w:rPr>
      </w:pPr>
      <w:r>
        <w:rPr>
          <w:rFonts w:hint="eastAsia" w:ascii="宋体" w:hAnsi="宋体" w:eastAsia="宋体" w:cs="宋体"/>
          <w:caps/>
          <w:color w:val="auto"/>
          <w:sz w:val="24"/>
          <w:highlight w:val="none"/>
        </w:rPr>
        <w:t>实际延误天数＝实际施工天数 － 计划施工天数</w:t>
      </w:r>
    </w:p>
    <w:p w14:paraId="6FF2AD9D">
      <w:pPr>
        <w:spacing w:line="300" w:lineRule="auto"/>
        <w:ind w:left="1680" w:leftChars="800"/>
        <w:rPr>
          <w:rFonts w:ascii="宋体" w:hAnsi="宋体" w:eastAsia="宋体" w:cs="宋体"/>
          <w:caps/>
          <w:color w:val="auto"/>
          <w:sz w:val="24"/>
          <w:highlight w:val="none"/>
        </w:rPr>
      </w:pPr>
      <w:r>
        <w:rPr>
          <w:rFonts w:hint="eastAsia" w:ascii="宋体" w:hAnsi="宋体" w:eastAsia="宋体" w:cs="宋体"/>
          <w:caps/>
          <w:color w:val="auto"/>
          <w:sz w:val="24"/>
          <w:highlight w:val="none"/>
        </w:rPr>
        <w:t>合同工程发生误期，承包人应赔偿发包人由此造成的损失，并按照第66.2款规定向发包人支付误期赔偿费。</w:t>
      </w:r>
    </w:p>
    <w:p w14:paraId="2A99E81B">
      <w:pPr>
        <w:pStyle w:val="24"/>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2AD6D0D">
      <w:pPr>
        <w:pStyle w:val="24"/>
        <w:adjustRightInd w:val="0"/>
        <w:snapToGrid w:val="0"/>
        <w:spacing w:line="300" w:lineRule="auto"/>
        <w:ind w:firstLine="2768" w:firstLineChars="1149"/>
        <w:outlineLvl w:val="1"/>
        <w:rPr>
          <w:rFonts w:hAnsi="宋体" w:eastAsia="宋体" w:cs="宋体"/>
          <w:b/>
          <w:bCs/>
          <w:color w:val="auto"/>
          <w:sz w:val="24"/>
          <w:szCs w:val="24"/>
          <w:highlight w:val="none"/>
        </w:rPr>
      </w:pPr>
      <w:bookmarkStart w:id="110" w:name="_Toc469384023"/>
      <w:bookmarkStart w:id="111" w:name="_Toc46860844"/>
      <w:r>
        <w:rPr>
          <w:rFonts w:hint="eastAsia" w:hAnsi="宋体" w:eastAsia="宋体" w:cs="宋体"/>
          <w:b/>
          <w:bCs/>
          <w:color w:val="auto"/>
          <w:sz w:val="24"/>
          <w:szCs w:val="24"/>
          <w:highlight w:val="none"/>
        </w:rPr>
        <w:t>五、质量与安全</w:t>
      </w:r>
      <w:bookmarkEnd w:id="110"/>
      <w:bookmarkEnd w:id="111"/>
    </w:p>
    <w:p w14:paraId="729F736A">
      <w:pPr>
        <w:pStyle w:val="24"/>
        <w:adjustRightInd w:val="0"/>
        <w:snapToGrid w:val="0"/>
        <w:spacing w:line="300" w:lineRule="auto"/>
        <w:outlineLvl w:val="2"/>
        <w:rPr>
          <w:rFonts w:hAnsi="宋体" w:eastAsia="宋体" w:cs="宋体"/>
          <w:b/>
          <w:bCs/>
          <w:color w:val="auto"/>
          <w:sz w:val="24"/>
          <w:szCs w:val="24"/>
          <w:highlight w:val="none"/>
        </w:rPr>
      </w:pPr>
      <w:bookmarkStart w:id="112" w:name="_Toc469384024"/>
      <w:bookmarkStart w:id="113" w:name="_Toc46860845"/>
      <w:r>
        <w:rPr>
          <w:rFonts w:hint="eastAsia" w:hAnsi="宋体" w:eastAsia="宋体" w:cs="宋体"/>
          <w:b/>
          <w:bCs/>
          <w:color w:val="auto"/>
          <w:sz w:val="24"/>
          <w:szCs w:val="24"/>
          <w:highlight w:val="none"/>
        </w:rPr>
        <w:t>★41  质量与安全管理</w:t>
      </w:r>
      <w:bookmarkEnd w:id="112"/>
      <w:bookmarkEnd w:id="113"/>
    </w:p>
    <w:p w14:paraId="058836D3">
      <w:pPr>
        <w:tabs>
          <w:tab w:val="left" w:pos="78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41.1 </w:t>
      </w:r>
      <w:r>
        <w:rPr>
          <w:rFonts w:hint="eastAsia" w:ascii="宋体" w:hAnsi="宋体" w:eastAsia="宋体" w:cs="宋体"/>
          <w:b/>
          <w:bCs/>
          <w:color w:val="auto"/>
          <w:sz w:val="24"/>
          <w:highlight w:val="none"/>
        </w:rPr>
        <w:tab/>
      </w:r>
    </w:p>
    <w:p w14:paraId="084BF35D">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183" name="000172"/>
                <wp:cNvGraphicFramePr/>
                <a:graphic xmlns:a="http://schemas.openxmlformats.org/drawingml/2006/main">
                  <a:graphicData uri="http://schemas.microsoft.com/office/word/2010/wordprocessingShape">
                    <wps:wsp>
                      <wps:cNvSpPr/>
                      <wps:spPr>
                        <a:xfrm>
                          <a:off x="0" y="0"/>
                          <a:ext cx="914400" cy="526415"/>
                        </a:xfrm>
                        <a:prstGeom prst="rect">
                          <a:avLst/>
                        </a:prstGeom>
                        <a:ln>
                          <a:noFill/>
                        </a:ln>
                      </wps:spPr>
                      <wps:txbx>
                        <w:txbxContent>
                          <w:p w14:paraId="6BD489B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wps:wsp>
                  </a:graphicData>
                </a:graphic>
              </wp:anchor>
            </w:drawing>
          </mc:Choice>
          <mc:Fallback>
            <w:pict>
              <v:rect id="000172" o:spid="_x0000_s1026" o:spt="1" style="position:absolute;left:0pt;margin-left:-9pt;margin-top:-0.5pt;height:41.45pt;width:72pt;z-index:251659264;mso-width-relative:page;mso-height-relative:page;" filled="f" stroked="f" coordsize="21600,21600" o:gfxdata="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OKJqzYAAAACQEAAA8AAAAAAAAAAQAgAAAAIgAA&#10;AGRycy9kb3ducmV2LnhtbFBLAQIUABQAAAAIAIdO4kB85l51lgEAADgDAAAOAAAAAAAAAAEAIAAA&#10;ACcBAABkcnMvZTJvRG9jLnhtbFBLBQYAAAAABgAGAFkBAAAvBQAAAAA=&#10;">
                <v:fill on="f" focussize="0,0"/>
                <v:stroke on="f"/>
                <v:imagedata o:title=""/>
                <o:lock v:ext="edit" aspectratio="f"/>
                <v:textbox>
                  <w:txbxContent>
                    <w:p w14:paraId="6BD489B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rect>
            </w:pict>
          </mc:Fallback>
        </mc:AlternateContent>
      </w:r>
      <w:r>
        <w:rPr>
          <w:rFonts w:hint="eastAsia" w:hAnsi="宋体" w:eastAsia="宋体" w:cs="宋体"/>
          <w:color w:val="auto"/>
          <w:sz w:val="24"/>
          <w:szCs w:val="24"/>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2136A09E">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41.2  </w:t>
      </w:r>
      <w:r>
        <w:rPr>
          <w:rFonts w:hint="eastAsia" w:ascii="宋体" w:hAnsi="宋体" w:eastAsia="宋体" w:cs="宋体"/>
          <w:b/>
          <w:bCs/>
          <w:color w:val="auto"/>
          <w:sz w:val="24"/>
          <w:highlight w:val="none"/>
          <w:u w:val="dotted"/>
        </w:rPr>
        <w:t xml:space="preserve">                                                                               </w:t>
      </w:r>
    </w:p>
    <w:p w14:paraId="07FEBDC9">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184" name="000173"/>
                <wp:cNvGraphicFramePr/>
                <a:graphic xmlns:a="http://schemas.openxmlformats.org/drawingml/2006/main">
                  <a:graphicData uri="http://schemas.microsoft.com/office/word/2010/wordprocessingShape">
                    <wps:wsp>
                      <wps:cNvSpPr/>
                      <wps:spPr>
                        <a:xfrm>
                          <a:off x="0" y="0"/>
                          <a:ext cx="914400" cy="410210"/>
                        </a:xfrm>
                        <a:prstGeom prst="rect">
                          <a:avLst/>
                        </a:prstGeom>
                        <a:ln>
                          <a:noFill/>
                        </a:ln>
                      </wps:spPr>
                      <wps:txbx>
                        <w:txbxContent>
                          <w:p w14:paraId="43662EF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wps:wsp>
                  </a:graphicData>
                </a:graphic>
              </wp:anchor>
            </w:drawing>
          </mc:Choice>
          <mc:Fallback>
            <w:pict>
              <v:rect id="000173" o:spid="_x0000_s1026" o:spt="1" style="position:absolute;left:0pt;margin-left:-9pt;margin-top:2.8pt;height:32.3pt;width:72pt;z-index:251659264;mso-width-relative:page;mso-height-relative:page;" filled="f" stroked="f" coordsize="21600,21600" o:gfxdata="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sXY9TYAAAACAEAAA8AAAAAAAAAAQAgAAAAIgAA&#10;AGRycy9kb3ducmV2LnhtbFBLAQIUABQAAAAIAIdO4kDt17/plgEAADgDAAAOAAAAAAAAAAEAIAAA&#10;ACcBAABkcnMvZTJvRG9jLnhtbFBLBQYAAAAABgAGAFkBAAAvBQAAAAA=&#10;">
                <v:fill on="f" focussize="0,0"/>
                <v:stroke on="f"/>
                <v:imagedata o:title=""/>
                <o:lock v:ext="edit" aspectratio="f"/>
                <v:textbox>
                  <w:txbxContent>
                    <w:p w14:paraId="43662EF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rect>
            </w:pict>
          </mc:Fallback>
        </mc:AlternateContent>
      </w:r>
      <w:r>
        <w:rPr>
          <w:rFonts w:hint="eastAsia" w:ascii="宋体" w:hAnsi="宋体" w:eastAsia="宋体" w:cs="宋体"/>
          <w:color w:val="auto"/>
          <w:sz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2BEAF1B3">
      <w:pPr>
        <w:pStyle w:val="6"/>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185" name="000174"/>
                <wp:cNvGraphicFramePr/>
                <a:graphic xmlns:a="http://schemas.openxmlformats.org/drawingml/2006/main">
                  <a:graphicData uri="http://schemas.microsoft.com/office/word/2010/wordprocessingShape">
                    <wps:wsp>
                      <wps:cNvSpPr/>
                      <wps:spPr>
                        <a:xfrm>
                          <a:off x="0" y="0"/>
                          <a:ext cx="914400" cy="342899"/>
                        </a:xfrm>
                        <a:prstGeom prst="rect">
                          <a:avLst/>
                        </a:prstGeom>
                        <a:ln>
                          <a:noFill/>
                        </a:ln>
                      </wps:spPr>
                      <wps:txbx>
                        <w:txbxContent>
                          <w:p w14:paraId="612BBA6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wps:wsp>
                  </a:graphicData>
                </a:graphic>
              </wp:anchor>
            </w:drawing>
          </mc:Choice>
          <mc:Fallback>
            <w:pict>
              <v:rect id="000174" o:spid="_x0000_s1026" o:spt="1" style="position:absolute;left:0pt;margin-left:-9pt;margin-top:21.85pt;height:27pt;width:72pt;z-index:251659264;mso-width-relative:page;mso-height-relative:page;" filled="f" stroked="f" coordsize="21600,21600" o:gfxdata="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X3YKtoAAAAJAQAADwAAAAAAAAABACAAAAAi&#10;AAAAZHJzL2Rvd25yZXYueG1sUEsBAhQAFAAAAAgAh07iQMH8DVOWAQAAOAMAAA4AAAAAAAAAAQAg&#10;AAAAKQEAAGRycy9lMm9Eb2MueG1sUEsFBgAAAAAGAAYAWQEAADEFAAAAAA==&#10;">
                <v:fill on="f" focussize="0,0"/>
                <v:stroke on="f"/>
                <v:imagedata o:title=""/>
                <o:lock v:ext="edit" aspectratio="f"/>
                <v:textbox>
                  <w:txbxContent>
                    <w:p w14:paraId="612BBA6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rect>
            </w:pict>
          </mc:Fallback>
        </mc:AlternateContent>
      </w:r>
      <w:r>
        <w:rPr>
          <w:rFonts w:hint="eastAsia" w:ascii="宋体" w:hAnsi="宋体" w:eastAsia="宋体" w:cs="宋体"/>
          <w:b/>
          <w:bCs/>
          <w:color w:val="auto"/>
          <w:sz w:val="24"/>
          <w:highlight w:val="none"/>
        </w:rPr>
        <w:t xml:space="preserve">41.3  </w:t>
      </w:r>
      <w:r>
        <w:rPr>
          <w:rFonts w:hint="eastAsia" w:ascii="宋体" w:hAnsi="宋体" w:eastAsia="宋体" w:cs="宋体"/>
          <w:b/>
          <w:bCs/>
          <w:color w:val="auto"/>
          <w:sz w:val="24"/>
          <w:highlight w:val="none"/>
          <w:u w:val="dotted"/>
        </w:rPr>
        <w:t xml:space="preserve">                                                                                                       </w:t>
      </w:r>
    </w:p>
    <w:p w14:paraId="379E2A38">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0B1D46A7">
      <w:pPr>
        <w:pStyle w:val="6"/>
        <w:adjustRightInd w:val="0"/>
        <w:snapToGrid w:val="0"/>
        <w:spacing w:line="30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186" name="000175"/>
                <wp:cNvGraphicFramePr/>
                <a:graphic xmlns:a="http://schemas.openxmlformats.org/drawingml/2006/main">
                  <a:graphicData uri="http://schemas.microsoft.com/office/word/2010/wordprocessingShape">
                    <wps:wsp>
                      <wps:cNvSpPr/>
                      <wps:spPr>
                        <a:xfrm>
                          <a:off x="0" y="0"/>
                          <a:ext cx="914400" cy="389890"/>
                        </a:xfrm>
                        <a:prstGeom prst="rect">
                          <a:avLst/>
                        </a:prstGeom>
                        <a:ln>
                          <a:noFill/>
                        </a:ln>
                      </wps:spPr>
                      <wps:txbx>
                        <w:txbxContent>
                          <w:p w14:paraId="2F7A25D7">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wps:wsp>
                  </a:graphicData>
                </a:graphic>
              </wp:anchor>
            </w:drawing>
          </mc:Choice>
          <mc:Fallback>
            <w:pict>
              <v:rect id="000175" o:spid="_x0000_s1026" o:spt="1" style="position:absolute;left:0pt;margin-left:-9.1pt;margin-top:22pt;height:30.7pt;width:72pt;z-index:251659264;mso-width-relative:page;mso-height-relative:page;" filled="f" stroked="f" coordsize="21600,21600" o:gfxdata="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UT73raAAAACgEAAA8AAAAAAAAAAQAgAAAA&#10;IgAAAGRycy9kb3ducmV2LnhtbFBLAQIUABQAAAAIAIdO4kDQAYiJlwEAADgDAAAOAAAAAAAAAAEA&#10;IAAAACkBAABkcnMvZTJvRG9jLnhtbFBLBQYAAAAABgAGAFkBAAAyBQAAAAA=&#10;">
                <v:fill on="f" focussize="0,0"/>
                <v:stroke on="f"/>
                <v:imagedata o:title=""/>
                <o:lock v:ext="edit" aspectratio="f"/>
                <v:textbox>
                  <w:txbxContent>
                    <w:p w14:paraId="2F7A25D7">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rect>
            </w:pict>
          </mc:Fallback>
        </mc:AlternateContent>
      </w:r>
      <w:r>
        <w:rPr>
          <w:rFonts w:hint="eastAsia" w:ascii="宋体" w:hAnsi="宋体" w:eastAsia="宋体" w:cs="宋体"/>
          <w:b/>
          <w:bCs/>
          <w:color w:val="auto"/>
          <w:sz w:val="24"/>
          <w:highlight w:val="none"/>
        </w:rPr>
        <w:t xml:space="preserve">41.4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u w:val="dotted"/>
        </w:rPr>
        <w:t xml:space="preserve">                                                                                                       </w:t>
      </w:r>
    </w:p>
    <w:p w14:paraId="5239AD97">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38C858E7">
      <w:pPr>
        <w:pStyle w:val="6"/>
        <w:adjustRightInd w:val="0"/>
        <w:snapToGrid w:val="0"/>
        <w:spacing w:line="300" w:lineRule="auto"/>
        <w:ind w:left="1619" w:leftChars="771" w:firstLine="0" w:firstLineChars="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因承包人原因造成工程质量未达到合同约定标准的，发包人有权要求承包人返工直至工程质量达到合同约定的标准为止，并由承包人承担由此增加的费用和延误工期的责任。</w:t>
      </w:r>
    </w:p>
    <w:p w14:paraId="6B3DD933">
      <w:pPr>
        <w:pStyle w:val="6"/>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41.5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u w:val="dotted"/>
        </w:rPr>
        <w:t xml:space="preserve">                                                                                </w:t>
      </w:r>
    </w:p>
    <w:p w14:paraId="1A027186">
      <w:pPr>
        <w:autoSpaceDE w:val="0"/>
        <w:autoSpaceDN w:val="0"/>
        <w:adjustRightInd w:val="0"/>
        <w:spacing w:line="300" w:lineRule="auto"/>
        <w:ind w:left="1495" w:leftChars="712"/>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187" name="000176"/>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59370789">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wps:txbx>
                      <wps:bodyPr wrap="square"/>
                    </wps:wsp>
                  </a:graphicData>
                </a:graphic>
              </wp:anchor>
            </w:drawing>
          </mc:Choice>
          <mc:Fallback>
            <w:pict>
              <v:rect id="000176" o:spid="_x0000_s1026" o:spt="1" style="position:absolute;left:0pt;margin-left:-9pt;margin-top:1.1pt;height:46.8pt;width:72pt;z-index:251659264;mso-width-relative:page;mso-height-relative:page;" filled="f" stroked="f" coordsize="21600,21600" o:gfxdata="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Y4VFd2AAAAAgBAAAPAAAAAAAAAAEAIAAAACIA&#10;AABkcnMvZG93bnJldi54bWxQSwECFAAUAAAACACHTuJAxzbGkZcBAAA4AwAADgAAAAAAAAABACAA&#10;AAAnAQAAZHJzL2Uyb0RvYy54bWxQSwUGAAAAAAYABgBZAQAAMAUAAAAA&#10;">
                <v:fill on="f" focussize="0,0"/>
                <v:stroke on="f"/>
                <v:imagedata o:title=""/>
                <o:lock v:ext="edit" aspectratio="f"/>
                <v:textbox>
                  <w:txbxContent>
                    <w:p w14:paraId="59370789">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v:textbox>
              </v:rect>
            </w:pict>
          </mc:Fallback>
        </mc:AlternateContent>
      </w:r>
      <w:r>
        <w:rPr>
          <w:rFonts w:hint="eastAsia" w:ascii="宋体" w:hAnsi="宋体" w:eastAsia="宋体" w:cs="宋体"/>
          <w:color w:val="auto"/>
          <w:kern w:val="0"/>
          <w:sz w:val="24"/>
          <w:highlight w:val="none"/>
        </w:rPr>
        <w:t>因发包人原因造成工程质量未达到合同约定标准的，由发包人承担由此增加的费用和延误工期的责任，增加的费用按本合同相关条款以及投标报价或预算的计价原则计算。</w:t>
      </w:r>
    </w:p>
    <w:p w14:paraId="33216EE1">
      <w:pPr>
        <w:autoSpaceDE w:val="0"/>
        <w:autoSpaceDN w:val="0"/>
        <w:adjustRightInd w:val="0"/>
        <w:spacing w:line="300" w:lineRule="auto"/>
        <w:jc w:val="left"/>
        <w:rPr>
          <w:rFonts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41.6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u w:val="dotted"/>
        </w:rPr>
        <w:t xml:space="preserve">                                                                               </w:t>
      </w:r>
    </w:p>
    <w:p w14:paraId="10509ECC">
      <w:pPr>
        <w:autoSpaceDE w:val="0"/>
        <w:autoSpaceDN w:val="0"/>
        <w:adjustRightInd w:val="0"/>
        <w:spacing w:line="300" w:lineRule="auto"/>
        <w:ind w:left="1346" w:leftChars="641"/>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188" name="000177"/>
                <wp:cNvGraphicFramePr/>
                <a:graphic xmlns:a="http://schemas.openxmlformats.org/drawingml/2006/main">
                  <a:graphicData uri="http://schemas.microsoft.com/office/word/2010/wordprocessingShape">
                    <wps:wsp>
                      <wps:cNvSpPr/>
                      <wps:spPr>
                        <a:xfrm>
                          <a:off x="0" y="0"/>
                          <a:ext cx="800100" cy="495300"/>
                        </a:xfrm>
                        <a:prstGeom prst="rect">
                          <a:avLst/>
                        </a:prstGeom>
                        <a:ln>
                          <a:noFill/>
                        </a:ln>
                      </wps:spPr>
                      <wps:txbx>
                        <w:txbxContent>
                          <w:p w14:paraId="1443B840">
                            <w:pPr>
                              <w:rPr>
                                <w:color w:val="FF0000"/>
                              </w:rPr>
                            </w:pPr>
                            <w:r>
                              <w:rPr>
                                <w:rFonts w:hint="eastAsia" w:ascii="楷体_GB2312" w:hAnsi="宋体" w:eastAsia="楷体_GB2312" w:cs="楷体_GB2312"/>
                                <w:b/>
                                <w:bCs/>
                                <w:sz w:val="18"/>
                                <w:szCs w:val="18"/>
                              </w:rPr>
                              <w:t>监理人的质量检查和检验</w:t>
                            </w:r>
                          </w:p>
                        </w:txbxContent>
                      </wps:txbx>
                      <wps:bodyPr wrap="square"/>
                    </wps:wsp>
                  </a:graphicData>
                </a:graphic>
              </wp:anchor>
            </w:drawing>
          </mc:Choice>
          <mc:Fallback>
            <w:pict>
              <v:rect id="000177" o:spid="_x0000_s1026" o:spt="1" style="position:absolute;left:0pt;margin-left:-9pt;margin-top:1.3pt;height:39pt;width:63pt;z-index:251659264;mso-width-relative:page;mso-height-relative:page;" filled="f" stroked="f" coordsize="21600,21600" o:gfxdata="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dqgwi9YAAAAIAQAADwAAAAAAAAABACAAAAAiAAAAZHJz&#10;L2Rvd25yZXYueG1sUEsBAhQAFAAAAAgAh07iQBFY17mUAQAAOAMAAA4AAAAAAAAAAQAgAAAAJQEA&#10;AGRycy9lMm9Eb2MueG1sUEsFBgAAAAAGAAYAWQEAACsFAAAAAA==&#10;">
                <v:fill on="f" focussize="0,0"/>
                <v:stroke on="f"/>
                <v:imagedata o:title=""/>
                <o:lock v:ext="edit" aspectratio="f"/>
                <v:textbox>
                  <w:txbxContent>
                    <w:p w14:paraId="1443B840">
                      <w:pPr>
                        <w:rPr>
                          <w:color w:val="FF0000"/>
                        </w:rPr>
                      </w:pPr>
                      <w:r>
                        <w:rPr>
                          <w:rFonts w:hint="eastAsia" w:ascii="楷体_GB2312" w:hAnsi="宋体" w:eastAsia="楷体_GB2312" w:cs="楷体_GB2312"/>
                          <w:b/>
                          <w:bCs/>
                          <w:sz w:val="18"/>
                          <w:szCs w:val="18"/>
                        </w:rPr>
                        <w:t>监理人的质量检查和检验</w:t>
                      </w:r>
                    </w:p>
                  </w:txbxContent>
                </v:textbox>
              </v:rect>
            </w:pict>
          </mc:Fallback>
        </mc:AlternateContent>
      </w:r>
      <w:r>
        <w:rPr>
          <w:rFonts w:hint="eastAsia" w:ascii="宋体" w:hAnsi="宋体" w:eastAsia="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6F93338">
      <w:pPr>
        <w:pStyle w:val="6"/>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3725D4C4">
      <w:pPr>
        <w:pStyle w:val="6"/>
        <w:adjustRightInd w:val="0"/>
        <w:snapToGrid w:val="0"/>
        <w:spacing w:line="300" w:lineRule="auto"/>
        <w:ind w:firstLine="482"/>
        <w:outlineLvl w:val="2"/>
        <w:rPr>
          <w:rFonts w:ascii="宋体" w:hAnsi="宋体" w:eastAsia="宋体" w:cs="宋体"/>
          <w:b/>
          <w:bCs/>
          <w:color w:val="auto"/>
          <w:sz w:val="24"/>
          <w:highlight w:val="none"/>
        </w:rPr>
      </w:pPr>
      <w:bookmarkStart w:id="114" w:name="_Toc469384025"/>
      <w:bookmarkStart w:id="115" w:name="_Toc46860846"/>
      <w:r>
        <w:rPr>
          <w:rFonts w:hint="eastAsia" w:ascii="宋体" w:hAnsi="宋体" w:eastAsia="宋体" w:cs="宋体"/>
          <w:b/>
          <w:bCs/>
          <w:color w:val="auto"/>
          <w:sz w:val="24"/>
          <w:highlight w:val="none"/>
        </w:rPr>
        <w:t>★42  质量标准</w:t>
      </w:r>
      <w:bookmarkEnd w:id="114"/>
      <w:bookmarkEnd w:id="115"/>
    </w:p>
    <w:p w14:paraId="27CA7DBE">
      <w:pPr>
        <w:adjustRightInd w:val="0"/>
        <w:snapToGrid w:val="0"/>
        <w:spacing w:line="300" w:lineRule="auto"/>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42.1 </w:t>
      </w:r>
    </w:p>
    <w:p w14:paraId="6482063A">
      <w:pPr>
        <w:adjustRightInd w:val="0"/>
        <w:snapToGrid w:val="0"/>
        <w:spacing w:line="300" w:lineRule="auto"/>
        <w:ind w:left="1619" w:leftChars="771"/>
        <w:jc w:val="left"/>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189" name="000178"/>
                <wp:cNvGraphicFramePr/>
                <a:graphic xmlns:a="http://schemas.openxmlformats.org/drawingml/2006/main">
                  <a:graphicData uri="http://schemas.microsoft.com/office/word/2010/wordprocessingShape">
                    <wps:wsp>
                      <wps:cNvSpPr/>
                      <wps:spPr>
                        <a:xfrm>
                          <a:off x="0" y="0"/>
                          <a:ext cx="914400" cy="389890"/>
                        </a:xfrm>
                        <a:prstGeom prst="rect">
                          <a:avLst/>
                        </a:prstGeom>
                        <a:ln>
                          <a:noFill/>
                        </a:ln>
                      </wps:spPr>
                      <wps:txbx>
                        <w:txbxContent>
                          <w:p w14:paraId="76ACE6C0">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wps:wsp>
                  </a:graphicData>
                </a:graphic>
              </wp:anchor>
            </w:drawing>
          </mc:Choice>
          <mc:Fallback>
            <w:pict>
              <v:rect id="000178" o:spid="_x0000_s1026" o:spt="1" style="position:absolute;left:0pt;margin-left:-9pt;margin-top:0.65pt;height:30.7pt;width:72pt;z-index:251659264;mso-width-relative:page;mso-height-relative:page;" filled="f" stroked="f" coordsize="21600,21600" o:gfxdata="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61jnzYAAAACAEAAA8AAAAAAAAAAQAgAAAAIgAA&#10;AGRycy9kb3ducmV2LnhtbFBLAQIUABQAAAAIAIdO4kBovDNRlgEAADgDAAAOAAAAAAAAAAEAIAAA&#10;ACcBAABkcnMvZTJvRG9jLnhtbFBLBQYAAAAABgAGAFkBAAAvBQAAAAA=&#10;">
                <v:fill on="f" focussize="0,0"/>
                <v:stroke on="f"/>
                <v:imagedata o:title=""/>
                <o:lock v:ext="edit" aspectratio="f"/>
                <v:textbox>
                  <w:txbxContent>
                    <w:p w14:paraId="76ACE6C0">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rect>
            </w:pict>
          </mc:Fallback>
        </mc:AlternateContent>
      </w:r>
      <w:r>
        <w:rPr>
          <w:rFonts w:hint="eastAsia" w:ascii="宋体" w:hAnsi="宋体" w:eastAsia="宋体" w:cs="宋体"/>
          <w:color w:val="auto"/>
          <w:sz w:val="24"/>
          <w:highlight w:val="none"/>
        </w:rPr>
        <w:t>合同双方当事人应在专用条款中约定工程质量标准，但不得低于国家或行业的强制性标准。工程质量应当达到专用条款约定的质量标准。</w:t>
      </w:r>
    </w:p>
    <w:p w14:paraId="503D860A">
      <w:pPr>
        <w:adjustRightInd w:val="0"/>
        <w:snapToGrid w:val="0"/>
        <w:spacing w:line="300" w:lineRule="auto"/>
        <w:ind w:left="1619" w:leftChars="771"/>
        <w:jc w:val="left"/>
        <w:rPr>
          <w:rFonts w:ascii="宋体" w:hAnsi="宋体" w:eastAsia="宋体" w:cs="宋体"/>
          <w:color w:val="auto"/>
          <w:sz w:val="24"/>
          <w:highlight w:val="none"/>
        </w:rPr>
      </w:pPr>
      <w:r>
        <w:rPr>
          <w:rFonts w:hint="eastAsia" w:ascii="宋体" w:hAnsi="宋体" w:eastAsia="宋体" w:cs="宋体"/>
          <w:color w:val="auto"/>
          <w:sz w:val="24"/>
          <w:highlight w:val="none"/>
        </w:rPr>
        <w:t>工程质量验收，按照合同约定的标准执行；合同没有约定的，按照国家或行业的质量验收标准执行。</w:t>
      </w:r>
    </w:p>
    <w:p w14:paraId="474E331A">
      <w:pPr>
        <w:adjustRightInd w:val="0"/>
        <w:snapToGrid w:val="0"/>
        <w:spacing w:line="30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255905</wp:posOffset>
                </wp:positionV>
                <wp:extent cx="977900" cy="471805"/>
                <wp:effectExtent l="0" t="0" r="0" b="0"/>
                <wp:wrapNone/>
                <wp:docPr id="1190" name="000179"/>
                <wp:cNvGraphicFramePr/>
                <a:graphic xmlns:a="http://schemas.openxmlformats.org/drawingml/2006/main">
                  <a:graphicData uri="http://schemas.microsoft.com/office/word/2010/wordprocessingShape">
                    <wps:wsp>
                      <wps:cNvSpPr/>
                      <wps:spPr>
                        <a:xfrm>
                          <a:off x="0" y="0"/>
                          <a:ext cx="977900" cy="471804"/>
                        </a:xfrm>
                        <a:prstGeom prst="rect">
                          <a:avLst/>
                        </a:prstGeom>
                        <a:ln>
                          <a:noFill/>
                        </a:ln>
                      </wps:spPr>
                      <wps:txbx>
                        <w:txbxContent>
                          <w:p w14:paraId="6C70F906">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wps:wsp>
                  </a:graphicData>
                </a:graphic>
              </wp:anchor>
            </w:drawing>
          </mc:Choice>
          <mc:Fallback>
            <w:pict>
              <v:rect id="000179" o:spid="_x0000_s1026" o:spt="1" style="position:absolute;left:0pt;margin-left:-9pt;margin-top:20.15pt;height:37.15pt;width:77pt;z-index:251659264;mso-width-relative:page;mso-height-relative:page;" filled="f" stroked="f" coordsize="21600,21600" o:gfxdata="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JZrf3aAAAACgEAAA8AAAAAAAAAAQAgAAAAIgAA&#10;AGRycy9kb3ducmV2LnhtbFBLAQIUABQAAAAIAIdO4kCZvXUzlAEAADgDAAAOAAAAAAAAAAEAIAAA&#10;ACkBAABkcnMvZTJvRG9jLnhtbFBLBQYAAAAABgAGAFkBAAAvBQAAAAA=&#10;">
                <v:fill on="f" focussize="0,0"/>
                <v:stroke on="f"/>
                <v:imagedata o:title=""/>
                <o:lock v:ext="edit" aspectratio="f"/>
                <v:textbox>
                  <w:txbxContent>
                    <w:p w14:paraId="6C70F906">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rect>
            </w:pict>
          </mc:Fallback>
        </mc:AlternateContent>
      </w:r>
      <w:r>
        <w:rPr>
          <w:rFonts w:hint="eastAsia" w:ascii="宋体" w:hAnsi="宋体" w:eastAsia="宋体" w:cs="宋体"/>
          <w:b/>
          <w:bCs/>
          <w:color w:val="auto"/>
          <w:sz w:val="24"/>
          <w:highlight w:val="none"/>
        </w:rPr>
        <w:t>42.2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327B7073">
      <w:pPr>
        <w:adjustRightInd w:val="0"/>
        <w:snapToGrid w:val="0"/>
        <w:spacing w:line="300" w:lineRule="auto"/>
        <w:ind w:left="1620"/>
        <w:jc w:val="left"/>
        <w:rPr>
          <w:rFonts w:ascii="宋体" w:hAnsi="宋体" w:eastAsia="宋体" w:cs="宋体"/>
          <w:color w:val="auto"/>
          <w:sz w:val="24"/>
          <w:highlight w:val="none"/>
        </w:rPr>
      </w:pPr>
      <w:r>
        <w:rPr>
          <w:rFonts w:hint="eastAsia" w:ascii="宋体" w:hAnsi="宋体" w:eastAsia="宋体" w:cs="宋体"/>
          <w:color w:val="auto"/>
          <w:sz w:val="24"/>
          <w:highlight w:val="none"/>
        </w:rPr>
        <w:t>承包人对合同工程的质量向发包人负责，其职责包括但不限于下列内容：</w:t>
      </w:r>
    </w:p>
    <w:p w14:paraId="6CB08B1C">
      <w:pPr>
        <w:adjustRightInd w:val="0"/>
        <w:snapToGrid w:val="0"/>
        <w:spacing w:line="300" w:lineRule="auto"/>
        <w:ind w:left="1620"/>
        <w:jc w:val="left"/>
        <w:rPr>
          <w:rFonts w:ascii="宋体" w:hAnsi="宋体" w:eastAsia="宋体" w:cs="宋体"/>
          <w:color w:val="auto"/>
          <w:sz w:val="24"/>
          <w:highlight w:val="none"/>
        </w:rPr>
      </w:pPr>
      <w:r>
        <w:rPr>
          <w:rFonts w:hint="eastAsia" w:ascii="宋体" w:hAnsi="宋体" w:eastAsia="宋体" w:cs="宋体"/>
          <w:color w:val="auto"/>
          <w:sz w:val="24"/>
          <w:highlight w:val="none"/>
        </w:rPr>
        <w:t>(1) 编制施工技术方案，确定施工技术措施；</w:t>
      </w:r>
    </w:p>
    <w:p w14:paraId="4AF00B64">
      <w:pPr>
        <w:adjustRightInd w:val="0"/>
        <w:snapToGrid w:val="0"/>
        <w:spacing w:line="300" w:lineRule="auto"/>
        <w:ind w:left="1620"/>
        <w:jc w:val="left"/>
        <w:rPr>
          <w:rFonts w:ascii="宋体" w:hAnsi="宋体" w:eastAsia="宋体" w:cs="宋体"/>
          <w:color w:val="auto"/>
          <w:sz w:val="24"/>
          <w:highlight w:val="none"/>
        </w:rPr>
      </w:pPr>
      <w:r>
        <w:rPr>
          <w:rFonts w:hint="eastAsia" w:ascii="宋体" w:hAnsi="宋体" w:eastAsia="宋体" w:cs="宋体"/>
          <w:color w:val="auto"/>
          <w:sz w:val="24"/>
          <w:highlight w:val="none"/>
        </w:rPr>
        <w:t>(2) 提供和组织足够的工程技术人员，检查和控制工程施工质量；</w:t>
      </w:r>
    </w:p>
    <w:p w14:paraId="473C8A8B">
      <w:pPr>
        <w:adjustRightInd w:val="0"/>
        <w:snapToGrid w:val="0"/>
        <w:spacing w:line="300" w:lineRule="auto"/>
        <w:ind w:left="1621"/>
        <w:jc w:val="left"/>
        <w:rPr>
          <w:rFonts w:ascii="宋体" w:hAnsi="宋体" w:eastAsia="宋体" w:cs="宋体"/>
          <w:color w:val="auto"/>
          <w:sz w:val="24"/>
          <w:highlight w:val="none"/>
        </w:rPr>
      </w:pPr>
      <w:r>
        <w:rPr>
          <w:rFonts w:hint="eastAsia" w:ascii="宋体" w:hAnsi="宋体" w:eastAsia="宋体" w:cs="宋体"/>
          <w:color w:val="auto"/>
          <w:sz w:val="24"/>
          <w:highlight w:val="none"/>
        </w:rPr>
        <w:t>(3) 控制施工所用的材料和工程设备，使其符合标准与规范、设计要求及合同约定的标准；</w:t>
      </w:r>
    </w:p>
    <w:p w14:paraId="17A6247C">
      <w:pPr>
        <w:tabs>
          <w:tab w:val="right" w:pos="9864"/>
        </w:tabs>
        <w:adjustRightInd w:val="0"/>
        <w:snapToGrid w:val="0"/>
        <w:spacing w:line="300" w:lineRule="auto"/>
        <w:ind w:firstLine="1620" w:firstLineChars="675"/>
        <w:jc w:val="left"/>
        <w:rPr>
          <w:rFonts w:ascii="宋体" w:hAnsi="宋体" w:eastAsia="宋体" w:cs="宋体"/>
          <w:color w:val="auto"/>
          <w:sz w:val="24"/>
          <w:highlight w:val="none"/>
        </w:rPr>
      </w:pPr>
      <w:r>
        <w:rPr>
          <w:rFonts w:hint="eastAsia" w:ascii="宋体" w:hAnsi="宋体" w:eastAsia="宋体" w:cs="宋体"/>
          <w:color w:val="auto"/>
          <w:sz w:val="24"/>
          <w:highlight w:val="none"/>
        </w:rPr>
        <w:t>(4) 负责合同工程施工中出现质量问题或竣工验收不合格的返修工作；</w:t>
      </w:r>
    </w:p>
    <w:p w14:paraId="48AAA416">
      <w:pPr>
        <w:adjustRightInd w:val="0"/>
        <w:snapToGrid w:val="0"/>
        <w:spacing w:line="300" w:lineRule="auto"/>
        <w:ind w:left="1617"/>
        <w:jc w:val="left"/>
        <w:rPr>
          <w:rFonts w:ascii="宋体" w:hAnsi="宋体" w:eastAsia="宋体" w:cs="宋体"/>
          <w:color w:val="auto"/>
          <w:sz w:val="24"/>
          <w:highlight w:val="none"/>
        </w:rPr>
      </w:pPr>
      <w:r>
        <w:rPr>
          <w:rFonts w:hint="eastAsia" w:ascii="宋体" w:hAnsi="宋体" w:eastAsia="宋体" w:cs="宋体"/>
          <w:color w:val="auto"/>
          <w:sz w:val="24"/>
          <w:highlight w:val="none"/>
        </w:rPr>
        <w:t>(5) 参加合同工程的所有验收工作，包括隐蔽验收、中间验收；参加竣工验收，组织分包人参加工程验收工作；</w:t>
      </w:r>
    </w:p>
    <w:p w14:paraId="125EC4F4">
      <w:pPr>
        <w:adjustRightInd w:val="0"/>
        <w:snapToGrid w:val="0"/>
        <w:spacing w:line="300" w:lineRule="auto"/>
        <w:ind w:left="1620"/>
        <w:jc w:val="left"/>
        <w:rPr>
          <w:rFonts w:ascii="宋体" w:hAnsi="宋体" w:eastAsia="宋体" w:cs="宋体"/>
          <w:color w:val="auto"/>
          <w:sz w:val="24"/>
          <w:highlight w:val="none"/>
        </w:rPr>
      </w:pPr>
      <w:r>
        <w:rPr>
          <w:rFonts w:hint="eastAsia" w:ascii="宋体" w:hAnsi="宋体" w:eastAsia="宋体" w:cs="宋体"/>
          <w:color w:val="auto"/>
          <w:sz w:val="24"/>
          <w:highlight w:val="none"/>
        </w:rPr>
        <w:t>(6) 承担质量保修期的工程保修责任；</w:t>
      </w:r>
    </w:p>
    <w:p w14:paraId="0FB988F2">
      <w:pPr>
        <w:adjustRightInd w:val="0"/>
        <w:snapToGrid w:val="0"/>
        <w:spacing w:line="300" w:lineRule="auto"/>
        <w:ind w:left="1620"/>
        <w:jc w:val="left"/>
        <w:rPr>
          <w:rFonts w:ascii="宋体" w:hAnsi="宋体" w:eastAsia="宋体" w:cs="宋体"/>
          <w:color w:val="auto"/>
          <w:sz w:val="24"/>
          <w:highlight w:val="none"/>
        </w:rPr>
      </w:pPr>
      <w:r>
        <w:rPr>
          <w:rFonts w:hint="eastAsia" w:ascii="宋体" w:hAnsi="宋体" w:eastAsia="宋体" w:cs="宋体"/>
          <w:color w:val="auto"/>
          <w:sz w:val="24"/>
          <w:highlight w:val="none"/>
        </w:rPr>
        <w:t>(7) 承担其他工程质量责任。</w:t>
      </w:r>
    </w:p>
    <w:p w14:paraId="217CF6DB">
      <w:pPr>
        <w:pStyle w:val="6"/>
        <w:rPr>
          <w:rFonts w:ascii="宋体" w:hAnsi="宋体" w:eastAsia="宋体" w:cs="宋体"/>
          <w:color w:val="auto"/>
          <w:highlight w:val="none"/>
        </w:rPr>
      </w:pPr>
    </w:p>
    <w:p w14:paraId="4A0E3C63">
      <w:pPr>
        <w:pStyle w:val="6"/>
        <w:rPr>
          <w:rFonts w:ascii="宋体" w:hAnsi="宋体" w:eastAsia="宋体" w:cs="宋体"/>
          <w:color w:val="auto"/>
          <w:highlight w:val="none"/>
        </w:rPr>
      </w:pPr>
    </w:p>
    <w:p w14:paraId="5F21FA55">
      <w:pPr>
        <w:pStyle w:val="6"/>
        <w:rPr>
          <w:rFonts w:ascii="宋体" w:hAnsi="宋体" w:eastAsia="宋体" w:cs="宋体"/>
          <w:color w:val="auto"/>
          <w:highlight w:val="none"/>
        </w:rPr>
      </w:pPr>
    </w:p>
    <w:p w14:paraId="31EF2948">
      <w:pPr>
        <w:pStyle w:val="6"/>
        <w:rPr>
          <w:rFonts w:ascii="宋体" w:hAnsi="宋体" w:eastAsia="宋体" w:cs="宋体"/>
          <w:color w:val="auto"/>
          <w:highlight w:val="none"/>
        </w:rPr>
      </w:pPr>
    </w:p>
    <w:p w14:paraId="14BCA38D">
      <w:pPr>
        <w:adjustRightInd w:val="0"/>
        <w:snapToGrid w:val="0"/>
        <w:spacing w:line="300" w:lineRule="auto"/>
        <w:jc w:val="left"/>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191" name="00017a"/>
                <wp:cNvGraphicFramePr/>
                <a:graphic xmlns:a="http://schemas.openxmlformats.org/drawingml/2006/main">
                  <a:graphicData uri="http://schemas.microsoft.com/office/word/2010/wordprocessingShape">
                    <wps:wsp>
                      <wps:cNvSpPr/>
                      <wps:spPr>
                        <a:xfrm>
                          <a:off x="0" y="0"/>
                          <a:ext cx="1028700" cy="245745"/>
                        </a:xfrm>
                        <a:prstGeom prst="rect">
                          <a:avLst/>
                        </a:prstGeom>
                        <a:ln>
                          <a:noFill/>
                        </a:ln>
                      </wps:spPr>
                      <wps:txbx>
                        <w:txbxContent>
                          <w:p w14:paraId="3EBF8EB1">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wps:wsp>
                  </a:graphicData>
                </a:graphic>
              </wp:anchor>
            </w:drawing>
          </mc:Choice>
          <mc:Fallback>
            <w:pict>
              <v:rect id="00017a" o:spid="_x0000_s1026" o:spt="1" style="position:absolute;left:0pt;margin-left:-9pt;margin-top:22.95pt;height:19.35pt;width:81pt;z-index:251659264;mso-width-relative:page;mso-height-relative:page;" filled="f" stroked="f" coordsize="21600,21600" o:gfxdata="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CHhUtoAAAAJAQAADwAAAAAAAAABACAAAAAi&#10;AAAAZHJzL2Rvd25yZXYueG1sUEsBAhQAFAAAAAgAh07iQCQzG/uWAQAAOQMAAA4AAAAAAAAAAQAg&#10;AAAAKQEAAGRycy9lMm9Eb2MueG1sUEsFBgAAAAAGAAYAWQEAADEFAAAAAA==&#10;">
                <v:fill on="f" focussize="0,0"/>
                <v:stroke on="f"/>
                <v:imagedata o:title=""/>
                <o:lock v:ext="edit" aspectratio="f"/>
                <v:textbox>
                  <w:txbxContent>
                    <w:p w14:paraId="3EBF8EB1">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rect>
            </w:pict>
          </mc:Fallback>
        </mc:AlternateContent>
      </w:r>
      <w:r>
        <w:rPr>
          <w:rFonts w:hint="eastAsia" w:ascii="宋体" w:hAnsi="宋体" w:eastAsia="宋体" w:cs="宋体"/>
          <w:b/>
          <w:bCs/>
          <w:color w:val="auto"/>
          <w:sz w:val="24"/>
          <w:highlight w:val="none"/>
        </w:rPr>
        <w:t xml:space="preserve">42.3 </w:t>
      </w:r>
      <w:r>
        <w:rPr>
          <w:rFonts w:hint="eastAsia" w:ascii="宋体" w:hAnsi="宋体" w:eastAsia="宋体" w:cs="宋体"/>
          <w:b/>
          <w:bCs/>
          <w:color w:val="auto"/>
          <w:sz w:val="24"/>
          <w:highlight w:val="none"/>
          <w:u w:val="dotted"/>
        </w:rPr>
        <w:t xml:space="preserve">                                                                                                        </w:t>
      </w:r>
    </w:p>
    <w:p w14:paraId="0CD9E6BB">
      <w:pPr>
        <w:pStyle w:val="35"/>
        <w:adjustRightInd w:val="0"/>
        <w:snapToGrid w:val="0"/>
        <w:spacing w:line="300" w:lineRule="auto"/>
        <w:ind w:left="1619" w:leftChars="771"/>
        <w:rPr>
          <w:rFonts w:ascii="宋体" w:eastAsia="宋体" w:cs="宋体"/>
          <w:color w:val="auto"/>
          <w:highlight w:val="none"/>
        </w:rPr>
      </w:pPr>
      <w:r>
        <w:rPr>
          <w:rFonts w:hint="eastAsia" w:ascii="宋体" w:eastAsia="宋体" w:cs="宋体"/>
          <w:color w:val="auto"/>
          <w:highlight w:val="none"/>
        </w:rPr>
        <w:t>承包人应建立健全完善的质量保证体系。</w:t>
      </w:r>
    </w:p>
    <w:p w14:paraId="70896504">
      <w:pPr>
        <w:autoSpaceDE w:val="0"/>
        <w:autoSpaceDN w:val="0"/>
        <w:adjustRightInd w:val="0"/>
        <w:spacing w:line="300" w:lineRule="auto"/>
        <w:ind w:left="1556" w:leftChars="74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（1）承包人应向发包人和监理人提交工程质量保证体系及措施文件，建立完善的质量检查制度，并提交相应的工程质量文件。对于发包人和监理人违反法律规定和合同约定的错误指示，承包人有权拒绝实施。</w:t>
      </w:r>
    </w:p>
    <w:p w14:paraId="2184A564">
      <w:pPr>
        <w:pStyle w:val="35"/>
        <w:adjustRightInd w:val="0"/>
        <w:snapToGrid w:val="0"/>
        <w:spacing w:line="300" w:lineRule="auto"/>
        <w:ind w:left="1418" w:leftChars="675"/>
        <w:rPr>
          <w:rFonts w:ascii="宋体" w:eastAsia="宋体" w:cs="宋体"/>
          <w:color w:val="auto"/>
          <w:highlight w:val="none"/>
        </w:rPr>
      </w:pPr>
      <w:r>
        <w:rPr>
          <w:rFonts w:hint="eastAsia" w:ascii="宋体" w:eastAsia="宋体" w:cs="宋体"/>
          <w:color w:val="auto"/>
          <w:highlight w:val="none"/>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33B5E8E1">
      <w:pPr>
        <w:adjustRightInd w:val="0"/>
        <w:snapToGrid w:val="0"/>
        <w:spacing w:line="300" w:lineRule="auto"/>
        <w:jc w:val="left"/>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192" name="00017b"/>
                <wp:cNvGraphicFramePr/>
                <a:graphic xmlns:a="http://schemas.openxmlformats.org/drawingml/2006/main">
                  <a:graphicData uri="http://schemas.microsoft.com/office/word/2010/wordprocessingShape">
                    <wps:wsp>
                      <wps:cNvSpPr/>
                      <wps:spPr>
                        <a:xfrm>
                          <a:off x="0" y="0"/>
                          <a:ext cx="967739" cy="449580"/>
                        </a:xfrm>
                        <a:prstGeom prst="rect">
                          <a:avLst/>
                        </a:prstGeom>
                        <a:ln>
                          <a:noFill/>
                        </a:ln>
                      </wps:spPr>
                      <wps:txbx>
                        <w:txbxContent>
                          <w:p w14:paraId="365BAE24">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wps:wsp>
                  </a:graphicData>
                </a:graphic>
              </wp:anchor>
            </w:drawing>
          </mc:Choice>
          <mc:Fallback>
            <w:pict>
              <v:rect id="00017b" o:spid="_x0000_s1026" o:spt="1" style="position:absolute;left:0pt;margin-left:-9pt;margin-top:21.75pt;height:35.4pt;width:76.2pt;z-index:251659264;mso-width-relative:page;mso-height-relative:page;" filled="f" stroked="f" coordsize="21600,21600" o:gfxdata="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w+zV+tsAAAAKAQAADwAAAAAAAAABACAA&#10;AAAiAAAAZHJzL2Rvd25yZXYueG1sUEsBAhQAFAAAAAgAh07iQBgAz2CYAQAAOAMAAA4AAAAAAAAA&#10;AQAgAAAAKgEAAGRycy9lMm9Eb2MueG1sUEsFBgAAAAAGAAYAWQEAADQFAAAAAA==&#10;">
                <v:fill on="f" focussize="0,0"/>
                <v:stroke on="f"/>
                <v:imagedata o:title=""/>
                <o:lock v:ext="edit" aspectratio="f"/>
                <v:textbox>
                  <w:txbxContent>
                    <w:p w14:paraId="365BAE24">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rect>
            </w:pict>
          </mc:Fallback>
        </mc:AlternateContent>
      </w:r>
      <w:r>
        <w:rPr>
          <w:rFonts w:hint="eastAsia" w:ascii="宋体" w:hAnsi="宋体" w:eastAsia="宋体" w:cs="宋体"/>
          <w:b/>
          <w:bCs/>
          <w:color w:val="auto"/>
          <w:sz w:val="24"/>
          <w:highlight w:val="none"/>
        </w:rPr>
        <w:t xml:space="preserve">42.4 </w:t>
      </w:r>
      <w:r>
        <w:rPr>
          <w:rFonts w:hint="eastAsia" w:ascii="宋体" w:hAnsi="宋体" w:eastAsia="宋体" w:cs="宋体"/>
          <w:b/>
          <w:bCs/>
          <w:color w:val="auto"/>
          <w:sz w:val="24"/>
          <w:highlight w:val="none"/>
          <w:u w:val="dotted"/>
        </w:rPr>
        <w:t xml:space="preserve">                                                                                                        </w:t>
      </w:r>
    </w:p>
    <w:p w14:paraId="524A3BCB">
      <w:pPr>
        <w:adjustRightInd w:val="0"/>
        <w:snapToGrid w:val="0"/>
        <w:spacing w:line="300" w:lineRule="auto"/>
        <w:ind w:left="1619" w:leftChars="771"/>
        <w:jc w:val="left"/>
        <w:rPr>
          <w:rFonts w:ascii="宋体" w:hAnsi="宋体" w:eastAsia="宋体" w:cs="宋体"/>
          <w:color w:val="auto"/>
          <w:sz w:val="24"/>
          <w:highlight w:val="none"/>
        </w:rPr>
      </w:pPr>
      <w:r>
        <w:rPr>
          <w:rFonts w:hint="eastAsia" w:ascii="宋体" w:hAnsi="宋体" w:eastAsia="宋体" w:cs="宋体"/>
          <w:color w:val="auto"/>
          <w:sz w:val="24"/>
          <w:highlight w:val="none"/>
        </w:rPr>
        <w:t>合同双方当事人对工程质量有争议的，按照第86.4款规定调解或认定，所需的费用及由此造成的损失，由责任方承担。双方均有责任的，由双方根据其责任划分分别承担。</w:t>
      </w:r>
    </w:p>
    <w:p w14:paraId="7D342B00">
      <w:pPr>
        <w:adjustRightInd w:val="0"/>
        <w:snapToGrid w:val="0"/>
        <w:spacing w:line="300" w:lineRule="auto"/>
        <w:ind w:left="1619" w:leftChars="771"/>
        <w:jc w:val="left"/>
        <w:rPr>
          <w:rFonts w:ascii="宋体" w:hAnsi="宋体" w:eastAsia="宋体" w:cs="宋体"/>
          <w:color w:val="auto"/>
          <w:sz w:val="24"/>
          <w:highlight w:val="none"/>
        </w:rPr>
      </w:pPr>
    </w:p>
    <w:p w14:paraId="52E13737">
      <w:pPr>
        <w:tabs>
          <w:tab w:val="left" w:pos="1620"/>
        </w:tabs>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7316E0AA">
      <w:pPr>
        <w:pStyle w:val="4"/>
        <w:tabs>
          <w:tab w:val="left" w:pos="420"/>
        </w:tabs>
        <w:spacing w:line="300" w:lineRule="auto"/>
        <w:rPr>
          <w:rFonts w:ascii="宋体" w:hAnsi="宋体" w:eastAsia="宋体" w:cs="宋体"/>
          <w:color w:val="auto"/>
          <w:sz w:val="24"/>
          <w:szCs w:val="24"/>
          <w:highlight w:val="none"/>
        </w:rPr>
      </w:pPr>
      <w:bookmarkStart w:id="116" w:name="_Toc469384026"/>
      <w:bookmarkStart w:id="117" w:name="_Toc46860847"/>
      <w:r>
        <w:rPr>
          <w:rFonts w:hint="eastAsia" w:ascii="宋体" w:hAnsi="宋体" w:eastAsia="宋体" w:cs="宋体"/>
          <w:color w:val="auto"/>
          <w:sz w:val="24"/>
          <w:szCs w:val="24"/>
          <w:highlight w:val="none"/>
        </w:rPr>
        <w:t>★43  工程质量创优</w:t>
      </w:r>
      <w:bookmarkEnd w:id="116"/>
      <w:bookmarkEnd w:id="117"/>
    </w:p>
    <w:p w14:paraId="67412DBF">
      <w:pPr>
        <w:spacing w:line="300" w:lineRule="auto"/>
        <w:rPr>
          <w:rFonts w:ascii="宋体" w:hAnsi="宋体" w:eastAsia="宋体" w:cs="宋体"/>
          <w:b/>
          <w:bCs/>
          <w:caps/>
          <w:color w:val="auto"/>
          <w:sz w:val="24"/>
          <w:highlight w:val="none"/>
        </w:rPr>
      </w:pPr>
      <w:r>
        <w:rPr>
          <w:rFonts w:hint="eastAsia" w:ascii="宋体" w:hAnsi="宋体" w:eastAsia="宋体" w:cs="宋体"/>
          <w:b/>
          <w:bCs/>
          <w:caps/>
          <w:color w:val="auto"/>
          <w:sz w:val="24"/>
          <w:highlight w:val="none"/>
        </w:rPr>
        <w:t>43.1</w:t>
      </w:r>
    </w:p>
    <w:p w14:paraId="0E3DFCBA">
      <w:pPr>
        <w:spacing w:line="300" w:lineRule="auto"/>
        <w:ind w:left="1619" w:leftChars="771"/>
        <w:rPr>
          <w:rFonts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193" name="00017c"/>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2AA954F6">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wps:txbx>
                      <wps:bodyPr wrap="square"/>
                    </wps:wsp>
                  </a:graphicData>
                </a:graphic>
              </wp:anchor>
            </w:drawing>
          </mc:Choice>
          <mc:Fallback>
            <w:pict>
              <v:rect id="00017c" o:spid="_x0000_s1026" o:spt="1" style="position:absolute;left:0pt;margin-left:-9pt;margin-top:3pt;height:39pt;width:72pt;z-index:251659264;mso-width-relative:page;mso-height-relative:page;" filled="f" stroked="f" coordsize="21600,21600" o:gfxdata="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RvY4x1wAAAAgBAAAPAAAAAAAAAAEAIAAAACIAAABk&#10;cnMvZG93bnJldi54bWxQSwECFAAUAAAACACHTuJAdMS3wZUBAAA4AwAADgAAAAAAAAABACAAAAAm&#10;AQAAZHJzL2Uyb0RvYy54bWxQSwUGAAAAAAYABgBZAQAALQUAAAAA&#10;">
                <v:fill on="f" focussize="0,0"/>
                <v:stroke on="f"/>
                <v:imagedata o:title=""/>
                <o:lock v:ext="edit" aspectratio="f"/>
                <v:textbox>
                  <w:txbxContent>
                    <w:p w14:paraId="2AA954F6">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v:textbox>
              </v:rect>
            </w:pict>
          </mc:Fallback>
        </mc:AlternateContent>
      </w:r>
      <w:r>
        <w:rPr>
          <w:rFonts w:hint="eastAsia" w:ascii="宋体" w:hAnsi="宋体" w:eastAsia="宋体" w:cs="宋体"/>
          <w:caps/>
          <w:color w:val="auto"/>
          <w:sz w:val="24"/>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14:paraId="0CAAF8EC">
      <w:pPr>
        <w:spacing w:line="300" w:lineRule="auto"/>
        <w:rPr>
          <w:rFonts w:ascii="宋体" w:hAnsi="宋体" w:eastAsia="宋体" w:cs="宋体"/>
          <w:b/>
          <w:bCs/>
          <w:caps/>
          <w:color w:val="auto"/>
          <w:sz w:val="24"/>
          <w:highlight w:val="none"/>
        </w:rPr>
      </w:pPr>
      <w:r>
        <w:rPr>
          <w:rFonts w:hint="eastAsia" w:ascii="宋体" w:hAnsi="宋体" w:eastAsia="宋体" w:cs="宋体"/>
          <w:b/>
          <w:bCs/>
          <w:color w:val="auto"/>
          <w:sz w:val="24"/>
          <w:highlight w:val="none"/>
        </w:rPr>
        <w:t xml:space="preserve">43.2 </w:t>
      </w:r>
      <w:r>
        <w:rPr>
          <w:rFonts w:hint="eastAsia" w:ascii="宋体" w:hAnsi="宋体" w:eastAsia="宋体" w:cs="宋体"/>
          <w:b/>
          <w:bCs/>
          <w:color w:val="auto"/>
          <w:sz w:val="24"/>
          <w:highlight w:val="none"/>
          <w:u w:val="dotted"/>
        </w:rPr>
        <w:t xml:space="preserve">                                                                              </w:t>
      </w:r>
    </w:p>
    <w:p w14:paraId="57A52691">
      <w:pPr>
        <w:spacing w:line="300" w:lineRule="auto"/>
        <w:ind w:left="1619" w:leftChars="771"/>
        <w:rPr>
          <w:rFonts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194" name="00017d"/>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35324814">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wps:wsp>
                  </a:graphicData>
                </a:graphic>
              </wp:anchor>
            </w:drawing>
          </mc:Choice>
          <mc:Fallback>
            <w:pict>
              <v:rect id="00017d" o:spid="_x0000_s1026" o:spt="1" style="position:absolute;left:0pt;margin-left:-9pt;margin-top:13.45pt;height:39pt;width:72pt;z-index:251659264;mso-width-relative:page;mso-height-relative:page;" filled="f" stroked="f" coordsize="21600,21600" o:gfxdata="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whUo/NsAAAAKAQAADwAAAAAAAAABACAAAAAi&#10;AAAAZHJzL2Rvd25yZXYueG1sUEsBAhQAFAAAAAgAh07iQCxS9A+VAQAAOAMAAA4AAAAAAAAAAQAg&#10;AAAAKgEAAGRycy9lMm9Eb2MueG1sUEsFBgAAAAAGAAYAWQEAADEFAAAAAA==&#10;">
                <v:fill on="f" focussize="0,0"/>
                <v:stroke on="f"/>
                <v:imagedata o:title=""/>
                <o:lock v:ext="edit" aspectratio="f"/>
                <v:textbox>
                  <w:txbxContent>
                    <w:p w14:paraId="35324814">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rect>
            </w:pict>
          </mc:Fallback>
        </mc:AlternateContent>
      </w:r>
      <w:r>
        <w:rPr>
          <w:rFonts w:hint="eastAsia" w:ascii="宋体" w:hAnsi="宋体" w:eastAsia="宋体" w:cs="宋体"/>
          <w:caps/>
          <w:color w:val="auto"/>
          <w:sz w:val="24"/>
          <w:highlight w:val="none"/>
        </w:rPr>
        <w:t>承包人应采取有效措施确保合同工程质量与施工安全，在保证工程质量、施工安全达到国家或行业的强制性标准的前提下，提高工程质量与施工安全管理水平，争取合同工程质量创优。</w:t>
      </w:r>
    </w:p>
    <w:p w14:paraId="18AA5936">
      <w:pPr>
        <w:tabs>
          <w:tab w:val="left" w:pos="1620"/>
        </w:tabs>
        <w:spacing w:line="300" w:lineRule="auto"/>
        <w:rPr>
          <w:rFonts w:ascii="宋体" w:hAnsi="宋体" w:eastAsia="宋体" w:cs="宋体"/>
          <w:b/>
          <w:bCs/>
          <w:color w:val="auto"/>
          <w:sz w:val="24"/>
          <w:highlight w:val="none"/>
          <w:u w:val="single"/>
        </w:rPr>
      </w:pPr>
      <w:r>
        <w:rPr>
          <w:rFonts w:hint="eastAsia" w:ascii="宋体" w:hAnsi="宋体" w:eastAsia="宋体" w:cs="宋体"/>
          <w:b/>
          <w:bCs/>
          <w:caps/>
          <w:color w:val="auto"/>
          <w:sz w:val="24"/>
          <w:highlight w:val="none"/>
          <w:u w:val="single"/>
        </w:rPr>
        <w:t xml:space="preserve">                                                                                             </w:t>
      </w:r>
    </w:p>
    <w:p w14:paraId="55F84E4D">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18" w:name="_Toc469384027"/>
      <w:bookmarkStart w:id="119" w:name="_Toc46860848"/>
      <w:r>
        <w:rPr>
          <w:rFonts w:hint="eastAsia" w:hAnsi="宋体" w:eastAsia="宋体" w:cs="宋体"/>
          <w:b/>
          <w:bCs/>
          <w:color w:val="auto"/>
          <w:sz w:val="24"/>
          <w:szCs w:val="24"/>
          <w:highlight w:val="none"/>
        </w:rPr>
        <w:t>44  工程的照管</w:t>
      </w:r>
      <w:bookmarkEnd w:id="118"/>
      <w:bookmarkEnd w:id="119"/>
    </w:p>
    <w:p w14:paraId="6D0E9BC3">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195" name="00017e"/>
                <wp:cNvGraphicFramePr/>
                <a:graphic xmlns:a="http://schemas.openxmlformats.org/drawingml/2006/main">
                  <a:graphicData uri="http://schemas.microsoft.com/office/word/2010/wordprocessingShape">
                    <wps:wsp>
                      <wps:cNvSpPr/>
                      <wps:spPr>
                        <a:xfrm>
                          <a:off x="0" y="0"/>
                          <a:ext cx="800100" cy="256539"/>
                        </a:xfrm>
                        <a:prstGeom prst="rect">
                          <a:avLst/>
                        </a:prstGeom>
                        <a:ln>
                          <a:noFill/>
                        </a:ln>
                      </wps:spPr>
                      <wps:txbx>
                        <w:txbxContent>
                          <w:p w14:paraId="4304FDC7">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wps:wsp>
                  </a:graphicData>
                </a:graphic>
              </wp:anchor>
            </w:drawing>
          </mc:Choice>
          <mc:Fallback>
            <w:pict>
              <v:rect id="00017e" o:spid="_x0000_s1026" o:spt="1" style="position:absolute;left:0pt;margin-left:-9pt;margin-top:20.8pt;height:20.2pt;width:63pt;z-index:251659264;mso-width-relative:page;mso-height-relative:page;" filled="f" stroked="f" coordsize="21600,21600" o:gfxdata="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&#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fDUtV2AAAAAkBAAAPAAAAAAAAAAEAIAAAACIAAABk&#10;cnMvZG93bnJldi54bWxQSwECFAAUAAAACACHTuJAByOMPpQBAAA4AwAADgAAAAAAAAABACAAAAAn&#10;AQAAZHJzL2Uyb0RvYy54bWxQSwUGAAAAAAYABgBZAQAALQUAAAAA&#10;">
                <v:fill on="f" focussize="0,0"/>
                <v:stroke on="f"/>
                <v:imagedata o:title=""/>
                <o:lock v:ext="edit" aspectratio="f"/>
                <v:textbox>
                  <w:txbxContent>
                    <w:p w14:paraId="4304FDC7">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rect>
            </w:pict>
          </mc:Fallback>
        </mc:AlternateContent>
      </w:r>
      <w:r>
        <w:rPr>
          <w:rFonts w:hint="eastAsia" w:ascii="宋体" w:hAnsi="宋体" w:eastAsia="宋体" w:cs="宋体"/>
          <w:b/>
          <w:bCs/>
          <w:color w:val="auto"/>
          <w:sz w:val="24"/>
          <w:highlight w:val="none"/>
        </w:rPr>
        <w:t xml:space="preserve">44.1  </w:t>
      </w:r>
    </w:p>
    <w:p w14:paraId="669CD5C0">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14:paraId="7BE24572">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1367205F">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196" name="00017f"/>
                <wp:cNvGraphicFramePr/>
                <a:graphic xmlns:a="http://schemas.openxmlformats.org/drawingml/2006/main">
                  <a:graphicData uri="http://schemas.microsoft.com/office/word/2010/wordprocessingShape">
                    <wps:wsp>
                      <wps:cNvSpPr/>
                      <wps:spPr>
                        <a:xfrm>
                          <a:off x="0" y="0"/>
                          <a:ext cx="914400" cy="718185"/>
                        </a:xfrm>
                        <a:prstGeom prst="rect">
                          <a:avLst/>
                        </a:prstGeom>
                        <a:ln>
                          <a:noFill/>
                        </a:ln>
                      </wps:spPr>
                      <wps:txbx>
                        <w:txbxContent>
                          <w:p w14:paraId="2EEC983B">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wps:wsp>
                  </a:graphicData>
                </a:graphic>
              </wp:anchor>
            </w:drawing>
          </mc:Choice>
          <mc:Fallback>
            <w:pict>
              <v:rect id="00017f" o:spid="_x0000_s1026" o:spt="1" style="position:absolute;left:0pt;margin-left:-9pt;margin-top:21.8pt;height:56.55pt;width:72pt;z-index:251659264;mso-width-relative:page;mso-height-relative:page;" filled="f" stroked="f" coordsize="21600,21600" o:gfxdata="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QglTbdsAAAAKAQAADwAAAAAAAAABACAAAAAi&#10;AAAAZHJzL2Rvd25yZXYueG1sUEsBAhQAFAAAAAgAh07iQL0u9viVAQAAOAMAAA4AAAAAAAAAAQAg&#10;AAAAKgEAAGRycy9lMm9Eb2MueG1sUEsFBgAAAAAGAAYAWQEAADEFAAAAAA==&#10;">
                <v:fill on="f" focussize="0,0"/>
                <v:stroke on="f"/>
                <v:imagedata o:title=""/>
                <o:lock v:ext="edit" aspectratio="f"/>
                <v:textbox>
                  <w:txbxContent>
                    <w:p w14:paraId="2EEC983B">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rect>
            </w:pict>
          </mc:Fallback>
        </mc:AlternateContent>
      </w:r>
      <w:r>
        <w:rPr>
          <w:rFonts w:hint="eastAsia" w:ascii="宋体" w:hAnsi="宋体" w:eastAsia="宋体" w:cs="宋体"/>
          <w:b/>
          <w:bCs/>
          <w:color w:val="auto"/>
          <w:sz w:val="24"/>
          <w:highlight w:val="none"/>
        </w:rPr>
        <w:t>44.2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52F283F1">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承包人在负责工程照管期间，如因自身原因造成合同工程或其任何部分，以及材料和工程设备或临时工程的损坏，承包人应自费修复上述损坏，保证合同工程质量达到合同约定的标准。</w:t>
      </w:r>
    </w:p>
    <w:p w14:paraId="600FD2CD">
      <w:pPr>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693CA9A6">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20" w:name="_Toc469384028"/>
      <w:bookmarkStart w:id="121" w:name="_Toc46860849"/>
      <w:r>
        <w:rPr>
          <w:rFonts w:hint="eastAsia" w:hAnsi="宋体" w:eastAsia="宋体" w:cs="宋体"/>
          <w:b/>
          <w:bCs/>
          <w:color w:val="auto"/>
          <w:sz w:val="24"/>
          <w:szCs w:val="24"/>
          <w:highlight w:val="none"/>
        </w:rPr>
        <w:t xml:space="preserve">★45  </w:t>
      </w:r>
      <w:bookmarkEnd w:id="120"/>
      <w:r>
        <w:rPr>
          <w:rFonts w:hint="eastAsia" w:hAnsi="宋体" w:eastAsia="宋体" w:cs="宋体"/>
          <w:b/>
          <w:bCs/>
          <w:color w:val="auto"/>
          <w:sz w:val="24"/>
          <w:szCs w:val="24"/>
          <w:highlight w:val="none"/>
        </w:rPr>
        <w:t>绿色施工安全防护</w:t>
      </w:r>
      <w:bookmarkEnd w:id="121"/>
    </w:p>
    <w:p w14:paraId="6F1125EA">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197" name="000180"/>
                <wp:cNvGraphicFramePr/>
                <a:graphic xmlns:a="http://schemas.openxmlformats.org/drawingml/2006/main">
                  <a:graphicData uri="http://schemas.microsoft.com/office/word/2010/wordprocessingShape">
                    <wps:wsp>
                      <wps:cNvSpPr/>
                      <wps:spPr>
                        <a:xfrm>
                          <a:off x="0" y="0"/>
                          <a:ext cx="977900" cy="688975"/>
                        </a:xfrm>
                        <a:prstGeom prst="rect">
                          <a:avLst/>
                        </a:prstGeom>
                        <a:ln>
                          <a:noFill/>
                        </a:ln>
                      </wps:spPr>
                      <wps:txbx>
                        <w:txbxContent>
                          <w:p w14:paraId="27B07B13">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wps:txbx>
                      <wps:bodyPr wrap="square"/>
                    </wps:wsp>
                  </a:graphicData>
                </a:graphic>
              </wp:anchor>
            </w:drawing>
          </mc:Choice>
          <mc:Fallback>
            <w:pict>
              <v:rect id="000180" o:spid="_x0000_s1026" o:spt="1" style="position:absolute;left:0pt;margin-left:-9pt;margin-top:17.6pt;height:54.25pt;width:77pt;z-index:251659264;mso-width-relative:page;mso-height-relative:page;" filled="f" stroked="f" coordsize="21600,21600" o:gfxdata="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NsuItsAAAAKAQAADwAAAAAAAAABACAAAAAi&#10;AAAAZHJzL2Rvd25yZXYueG1sUEsBAhQAFAAAAAgAh07iQHNeJMmVAQAAOAMAAA4AAAAAAAAAAQAg&#10;AAAAKgEAAGRycy9lMm9Eb2MueG1sUEsFBgAAAAAGAAYAWQEAADEFAAAAAA==&#10;">
                <v:fill on="f" focussize="0,0"/>
                <v:stroke on="f"/>
                <v:imagedata o:title=""/>
                <o:lock v:ext="edit" aspectratio="f"/>
                <v:textbox>
                  <w:txbxContent>
                    <w:p w14:paraId="27B07B13">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v:textbox>
              </v:rect>
            </w:pict>
          </mc:Fallback>
        </mc:AlternateContent>
      </w:r>
      <w:r>
        <w:rPr>
          <w:rFonts w:hint="eastAsia" w:ascii="宋体" w:hAnsi="宋体" w:eastAsia="宋体" w:cs="宋体"/>
          <w:b/>
          <w:bCs/>
          <w:color w:val="auto"/>
          <w:sz w:val="24"/>
          <w:highlight w:val="none"/>
        </w:rPr>
        <w:t xml:space="preserve">45.1 </w:t>
      </w:r>
      <w:r>
        <w:rPr>
          <w:rFonts w:hint="eastAsia" w:ascii="宋体" w:hAnsi="宋体" w:eastAsia="宋体" w:cs="宋体"/>
          <w:b/>
          <w:bCs/>
          <w:color w:val="auto"/>
          <w:sz w:val="24"/>
          <w:highlight w:val="none"/>
        </w:rPr>
        <w:tab/>
      </w:r>
    </w:p>
    <w:p w14:paraId="4EE0D415">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7B8259F5">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31FDBB71">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发包人应组织承包人和有关单位进行安全检查，授权监理工程师按合同约定的绿色施工安全防护内容监督、检查承包人实施绿色施工安全防护，并按照第 80 条规定及时向承包人支付绿色施工安全防护费。</w:t>
      </w:r>
    </w:p>
    <w:p w14:paraId="6F8EC95E">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72E5DC22">
      <w:pPr>
        <w:adjustRightInd w:val="0"/>
        <w:snapToGrid w:val="0"/>
        <w:spacing w:line="300" w:lineRule="auto"/>
        <w:ind w:left="1679" w:hanging="1679" w:hangingChars="697"/>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45.2  </w:t>
      </w:r>
      <w:r>
        <w:rPr>
          <w:rFonts w:hint="eastAsia" w:ascii="宋体" w:hAnsi="宋体" w:eastAsia="宋体" w:cs="宋体"/>
          <w:b/>
          <w:bCs/>
          <w:color w:val="auto"/>
          <w:sz w:val="24"/>
          <w:highlight w:val="none"/>
          <w:u w:val="dotted"/>
        </w:rPr>
        <w:t xml:space="preserve">                                                                               </w:t>
      </w:r>
    </w:p>
    <w:p w14:paraId="605C368B">
      <w:pPr>
        <w:adjustRightInd w:val="0"/>
        <w:snapToGrid w:val="0"/>
        <w:spacing w:line="300" w:lineRule="auto"/>
        <w:ind w:left="1679" w:hanging="1679" w:hangingChars="697"/>
        <w:rPr>
          <w:rFonts w:ascii="宋体" w:hAnsi="宋体" w:eastAsia="宋体" w:cs="宋体"/>
          <w:b/>
          <w:bCs/>
          <w:color w:val="auto"/>
          <w:sz w:val="24"/>
          <w:highlight w:val="none"/>
        </w:rPr>
      </w:pPr>
    </w:p>
    <w:p w14:paraId="73068096">
      <w:pPr>
        <w:adjustRightInd w:val="0"/>
        <w:snapToGrid w:val="0"/>
        <w:spacing w:line="300" w:lineRule="auto"/>
        <w:ind w:left="1739" w:leftChars="828"/>
        <w:jc w:val="left"/>
        <w:rPr>
          <w:rFonts w:ascii="宋体" w:hAnsi="宋体" w:eastAsia="宋体" w:cs="宋体"/>
          <w:color w:val="auto"/>
          <w:sz w:val="24"/>
          <w:highlight w:val="none"/>
        </w:rPr>
      </w:pPr>
      <w:r>
        <w:rPr>
          <w:rFonts w:hint="eastAsia" w:ascii="宋体" w:hAnsi="宋体" w:eastAsia="宋体" w:cs="宋体"/>
          <w:color w:val="auto"/>
          <w:sz w:val="24"/>
          <w:highlight w:val="none"/>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1198" name="000181"/>
                <wp:cNvGraphicFramePr/>
                <a:graphic xmlns:a="http://schemas.openxmlformats.org/drawingml/2006/main">
                  <a:graphicData uri="http://schemas.microsoft.com/office/word/2010/wordprocessingShape">
                    <wps:wsp>
                      <wps:cNvSpPr/>
                      <wps:spPr>
                        <a:xfrm>
                          <a:off x="0" y="0"/>
                          <a:ext cx="977900" cy="607060"/>
                        </a:xfrm>
                        <a:prstGeom prst="rect">
                          <a:avLst/>
                        </a:prstGeom>
                        <a:ln>
                          <a:noFill/>
                        </a:ln>
                      </wps:spPr>
                      <wps:txbx>
                        <w:txbxContent>
                          <w:p w14:paraId="52BD075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wps:wsp>
                  </a:graphicData>
                </a:graphic>
              </wp:anchor>
            </w:drawing>
          </mc:Choice>
          <mc:Fallback>
            <w:pict>
              <v:rect id="000181" o:spid="_x0000_s1026" o:spt="1" style="position:absolute;left:0pt;margin-left:-9pt;margin-top:0.1pt;height:47.8pt;width:77pt;z-index:251659264;mso-width-relative:page;mso-height-relative:page;" filled="f" stroked="f" coordsize="21600,21600" o:gfxdata="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&#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m2uHVNgAAAAHAQAADwAAAAAAAAABACAAAAAiAAAA&#10;ZHJzL2Rvd25yZXYueG1sUEsBAhQAFAAAAAgAh07iQN/p2T+VAQAAOAMAAA4AAAAAAAAAAQAgAAAA&#10;JwEAAGRycy9lMm9Eb2MueG1sUEsFBgAAAAAGAAYAWQEAAC4FAAAAAA==&#10;">
                <v:fill on="f" focussize="0,0"/>
                <v:stroke on="f"/>
                <v:imagedata o:title=""/>
                <o:lock v:ext="edit" aspectratio="f"/>
                <v:textbox>
                  <w:txbxContent>
                    <w:p w14:paraId="52BD075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rect>
            </w:pict>
          </mc:Fallback>
        </mc:AlternateContent>
      </w:r>
    </w:p>
    <w:p w14:paraId="635C50B3">
      <w:pPr>
        <w:adjustRightInd w:val="0"/>
        <w:snapToGrid w:val="0"/>
        <w:spacing w:line="300" w:lineRule="auto"/>
        <w:ind w:left="1739" w:leftChars="828"/>
        <w:jc w:val="left"/>
        <w:rPr>
          <w:rFonts w:ascii="宋体" w:hAnsi="宋体" w:eastAsia="宋体" w:cs="宋体"/>
          <w:color w:val="auto"/>
          <w:sz w:val="24"/>
          <w:highlight w:val="none"/>
        </w:rPr>
      </w:pPr>
      <w:r>
        <w:rPr>
          <w:rFonts w:hint="eastAsia" w:ascii="宋体" w:hAnsi="宋体" w:eastAsia="宋体" w:cs="宋体"/>
          <w:color w:val="auto"/>
          <w:sz w:val="24"/>
          <w:highlight w:val="none"/>
        </w:rPr>
        <w:t>发包人负责协调、监督项目各参建单位按规定落实实名管理，在工程安全文明措施费中明确列支实名管理所需的费用；负责监督施工总承包单位的工人工资支付情况，协调建设项目的工人工资支付事宜。</w:t>
      </w:r>
    </w:p>
    <w:p w14:paraId="1ED01D2A">
      <w:pPr>
        <w:adjustRightInd w:val="0"/>
        <w:snapToGrid w:val="0"/>
        <w:spacing w:line="300" w:lineRule="auto"/>
        <w:ind w:left="1739" w:leftChars="828"/>
        <w:jc w:val="left"/>
        <w:rPr>
          <w:rFonts w:ascii="宋体" w:hAnsi="宋体" w:eastAsia="宋体" w:cs="宋体"/>
          <w:color w:val="auto"/>
          <w:sz w:val="24"/>
          <w:highlight w:val="none"/>
        </w:rPr>
      </w:pPr>
      <w:r>
        <w:rPr>
          <w:rFonts w:hint="eastAsia" w:ascii="宋体" w:hAnsi="宋体" w:eastAsia="宋体" w:cs="宋体"/>
          <w:color w:val="auto"/>
          <w:sz w:val="24"/>
          <w:highlight w:val="none"/>
        </w:rPr>
        <w:t>建筑施工实名制以建设项目为管理单位。施工总承包企业对实名制管理负总责；专业承包企业和劳务分包企业按照合同约定，对本企业施工范围的实名制管理负责。</w:t>
      </w:r>
    </w:p>
    <w:p w14:paraId="68EEF224">
      <w:pPr>
        <w:adjustRightInd w:val="0"/>
        <w:snapToGrid w:val="0"/>
        <w:spacing w:line="300" w:lineRule="auto"/>
        <w:ind w:left="1677" w:leftChars="570" w:hanging="480" w:hangingChars="200"/>
        <w:rPr>
          <w:rFonts w:ascii="宋体" w:hAnsi="宋体" w:eastAsia="宋体" w:cs="宋体"/>
          <w:b/>
          <w:bCs/>
          <w:color w:val="auto"/>
          <w:sz w:val="24"/>
          <w:highlight w:val="none"/>
          <w:u w:val="dotted"/>
        </w:rPr>
      </w:pPr>
      <w:r>
        <w:rPr>
          <w:rFonts w:hint="eastAsia" w:ascii="宋体" w:hAnsi="宋体" w:eastAsia="宋体" w:cs="宋体"/>
          <w:color w:val="auto"/>
          <w:sz w:val="24"/>
          <w:highlight w:val="none"/>
        </w:rPr>
        <w:t xml:space="preserve">    发包人、施工总承包企业、专业承包企业和劳务分包企业存在违反有关文件规定情形的，需承担相应的责任。</w:t>
      </w:r>
    </w:p>
    <w:p w14:paraId="5D852CC3">
      <w:pPr>
        <w:adjustRightInd w:val="0"/>
        <w:snapToGrid w:val="0"/>
        <w:spacing w:line="300" w:lineRule="auto"/>
        <w:rPr>
          <w:rFonts w:ascii="宋体" w:hAnsi="宋体" w:eastAsia="宋体" w:cs="宋体"/>
          <w:color w:val="auto"/>
          <w:sz w:val="24"/>
          <w:highlight w:val="none"/>
        </w:rPr>
      </w:pPr>
    </w:p>
    <w:p w14:paraId="6FA4411B">
      <w:pPr>
        <w:adjustRightInd w:val="0"/>
        <w:snapToGrid w:val="0"/>
        <w:spacing w:line="300" w:lineRule="auto"/>
        <w:ind w:left="1679" w:hanging="1679" w:hangingChars="697"/>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45.3  </w:t>
      </w:r>
      <w:r>
        <w:rPr>
          <w:rFonts w:hint="eastAsia" w:ascii="宋体" w:hAnsi="宋体" w:eastAsia="宋体" w:cs="宋体"/>
          <w:b/>
          <w:bCs/>
          <w:color w:val="auto"/>
          <w:sz w:val="24"/>
          <w:highlight w:val="none"/>
          <w:u w:val="dotted"/>
        </w:rPr>
        <w:t xml:space="preserve">                                                                               </w:t>
      </w:r>
    </w:p>
    <w:p w14:paraId="5E9243E9">
      <w:pPr>
        <w:adjustRightInd w:val="0"/>
        <w:snapToGrid w:val="0"/>
        <w:spacing w:line="300" w:lineRule="auto"/>
        <w:ind w:left="1679" w:hanging="1679" w:hangingChars="697"/>
        <w:rPr>
          <w:rFonts w:ascii="宋体" w:hAnsi="宋体" w:eastAsia="宋体" w:cs="宋体"/>
          <w:b/>
          <w:bCs/>
          <w:color w:val="auto"/>
          <w:sz w:val="24"/>
          <w:highlight w:val="none"/>
        </w:rPr>
      </w:pPr>
    </w:p>
    <w:p w14:paraId="2089C161">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199" name="000182"/>
                <wp:cNvGraphicFramePr/>
                <a:graphic xmlns:a="http://schemas.openxmlformats.org/drawingml/2006/main">
                  <a:graphicData uri="http://schemas.microsoft.com/office/word/2010/wordprocessingShape">
                    <wps:wsp>
                      <wps:cNvSpPr/>
                      <wps:spPr>
                        <a:xfrm>
                          <a:off x="0" y="0"/>
                          <a:ext cx="977900" cy="396240"/>
                        </a:xfrm>
                        <a:prstGeom prst="rect">
                          <a:avLst/>
                        </a:prstGeom>
                        <a:ln>
                          <a:noFill/>
                        </a:ln>
                      </wps:spPr>
                      <wps:txbx>
                        <w:txbxContent>
                          <w:p w14:paraId="3D07F75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wps:txbx>
                      <wps:bodyPr wrap="square"/>
                    </wps:wsp>
                  </a:graphicData>
                </a:graphic>
              </wp:anchor>
            </w:drawing>
          </mc:Choice>
          <mc:Fallback>
            <w:pict>
              <v:rect id="000182" o:spid="_x0000_s1026" o:spt="1" style="position:absolute;left:0pt;margin-left:-9pt;margin-top:0.1pt;height:31.2pt;width:77pt;z-index:251659264;mso-width-relative:page;mso-height-relative:page;" filled="f" stroked="f" coordsize="21600,21600" o:gfxdata="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BUq23XAAAABwEAAA8AAAAAAAAAAQAgAAAAIgAA&#10;AGRycy9kb3ducmV2LnhtbFBLAQIUABQAAAAIAIdO4kCowylulwEAADgDAAAOAAAAAAAAAAEAIAAA&#10;ACYBAABkcnMvZTJvRG9jLnhtbFBLBQYAAAAABgAGAFkBAAAvBQAAAAA=&#10;">
                <v:fill on="f" focussize="0,0"/>
                <v:stroke on="f"/>
                <v:imagedata o:title=""/>
                <o:lock v:ext="edit" aspectratio="f"/>
                <v:textbox>
                  <w:txbxContent>
                    <w:p w14:paraId="3D07F75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v:textbox>
              </v:rect>
            </w:pict>
          </mc:Fallback>
        </mc:AlternateContent>
      </w:r>
      <w:r>
        <w:rPr>
          <w:rFonts w:hint="eastAsia" w:ascii="宋体" w:hAnsi="宋体" w:eastAsia="宋体" w:cs="宋体"/>
          <w:color w:val="auto"/>
          <w:sz w:val="24"/>
          <w:highlight w:val="none"/>
        </w:rPr>
        <w:t>在合同工程实施、完成及保修期间，发包人承担下列责任：</w:t>
      </w:r>
    </w:p>
    <w:p w14:paraId="00737ABB">
      <w:pPr>
        <w:adjustRightInd w:val="0"/>
        <w:snapToGrid w:val="0"/>
        <w:spacing w:line="300" w:lineRule="auto"/>
        <w:ind w:left="1619" w:leftChars="771" w:firstLine="60" w:firstLineChars="25"/>
        <w:rPr>
          <w:rFonts w:ascii="宋体" w:hAnsi="宋体" w:eastAsia="宋体" w:cs="宋体"/>
          <w:color w:val="auto"/>
          <w:sz w:val="24"/>
          <w:highlight w:val="none"/>
        </w:rPr>
      </w:pPr>
      <w:r>
        <w:rPr>
          <w:rFonts w:hint="eastAsia" w:ascii="宋体" w:hAnsi="宋体" w:eastAsia="宋体" w:cs="宋体"/>
          <w:color w:val="auto"/>
          <w:sz w:val="24"/>
          <w:highlight w:val="none"/>
        </w:rPr>
        <w:t>（1）发包人应配合承包人做好绿色施工安全防护工作，定期对其现场机构雇佣的全部人员进行绿色施工安全防护教育和培训。</w:t>
      </w:r>
    </w:p>
    <w:p w14:paraId="0DE967E7">
      <w:pPr>
        <w:adjustRightInd w:val="0"/>
        <w:snapToGrid w:val="0"/>
        <w:spacing w:line="300" w:lineRule="auto"/>
        <w:ind w:left="1575" w:leftChars="750"/>
        <w:rPr>
          <w:rFonts w:ascii="宋体" w:hAnsi="宋体" w:eastAsia="宋体" w:cs="宋体"/>
          <w:color w:val="auto"/>
          <w:sz w:val="24"/>
          <w:highlight w:val="none"/>
        </w:rPr>
      </w:pPr>
      <w:r>
        <w:rPr>
          <w:rFonts w:hint="eastAsia" w:ascii="宋体" w:hAnsi="宋体" w:eastAsia="宋体" w:cs="宋体"/>
          <w:color w:val="auto"/>
          <w:sz w:val="24"/>
          <w:highlight w:val="none"/>
        </w:rPr>
        <w:t>（2）发包人应对其现场机构雇佣的全部人员的安全事故承担责任，但由于承包人原因造成发包人人员安全事故的，应由承包人承担责任。</w:t>
      </w:r>
    </w:p>
    <w:p w14:paraId="717CE0F1">
      <w:pPr>
        <w:adjustRightInd w:val="0"/>
        <w:snapToGrid w:val="0"/>
        <w:spacing w:line="300" w:lineRule="auto"/>
        <w:ind w:left="1574" w:leftChars="743" w:hanging="14" w:hangingChars="6"/>
        <w:rPr>
          <w:rFonts w:ascii="宋体" w:hAnsi="宋体" w:eastAsia="宋体" w:cs="宋体"/>
          <w:color w:val="auto"/>
          <w:sz w:val="24"/>
          <w:highlight w:val="none"/>
        </w:rPr>
      </w:pPr>
      <w:r>
        <w:rPr>
          <w:rFonts w:hint="eastAsia" w:ascii="宋体" w:hAnsi="宋体" w:eastAsia="宋体" w:cs="宋体"/>
          <w:color w:val="auto"/>
          <w:sz w:val="24"/>
          <w:highlight w:val="none"/>
        </w:rPr>
        <w:t>（3）发包人有下列行为之一或由于发包人原因造成安全事故的，由发包人承担责任，由此增加的费用和延误的工期由发包人承担。</w:t>
      </w:r>
    </w:p>
    <w:p w14:paraId="1E5DD9A3">
      <w:pPr>
        <w:tabs>
          <w:tab w:val="left" w:pos="1980"/>
        </w:tabs>
        <w:adjustRightInd w:val="0"/>
        <w:snapToGrid w:val="0"/>
        <w:spacing w:line="300" w:lineRule="auto"/>
        <w:ind w:firstLine="1680" w:firstLineChars="700"/>
        <w:rPr>
          <w:rFonts w:ascii="宋体" w:hAnsi="宋体" w:eastAsia="宋体" w:cs="宋体"/>
          <w:color w:val="auto"/>
          <w:sz w:val="24"/>
          <w:highlight w:val="none"/>
        </w:rPr>
      </w:pPr>
      <w:r>
        <w:rPr>
          <w:rFonts w:hint="eastAsia" w:ascii="宋体" w:hAnsi="宋体" w:eastAsia="宋体" w:cs="宋体"/>
          <w:color w:val="auto"/>
          <w:sz w:val="24"/>
          <w:highlight w:val="none"/>
        </w:rPr>
        <w:t>1）要求承包人违反绿色施工安全防护操作规程施工的；</w:t>
      </w:r>
    </w:p>
    <w:p w14:paraId="5C40980E">
      <w:pPr>
        <w:tabs>
          <w:tab w:val="left" w:pos="1980"/>
        </w:tabs>
        <w:adjustRightInd w:val="0"/>
        <w:snapToGrid w:val="0"/>
        <w:spacing w:line="300" w:lineRule="auto"/>
        <w:ind w:left="1619" w:leftChars="771" w:firstLine="60" w:firstLineChars="25"/>
        <w:rPr>
          <w:rFonts w:ascii="宋体" w:hAnsi="宋体" w:eastAsia="宋体" w:cs="宋体"/>
          <w:color w:val="auto"/>
          <w:sz w:val="24"/>
          <w:highlight w:val="none"/>
        </w:rPr>
      </w:pPr>
      <w:r>
        <w:rPr>
          <w:rFonts w:hint="eastAsia" w:ascii="宋体" w:hAnsi="宋体" w:eastAsia="宋体" w:cs="宋体"/>
          <w:color w:val="auto"/>
          <w:sz w:val="24"/>
          <w:highlight w:val="none"/>
        </w:rPr>
        <w:t>2）对承包人提出不符合国家、省有关安绿色施工安全防护全文明施工法律和强制性标准规定要求的；</w:t>
      </w:r>
    </w:p>
    <w:p w14:paraId="12975666">
      <w:pPr>
        <w:tabs>
          <w:tab w:val="left" w:pos="1980"/>
        </w:tabs>
        <w:adjustRightInd w:val="0"/>
        <w:snapToGrid w:val="0"/>
        <w:spacing w:line="300" w:lineRule="auto"/>
        <w:ind w:left="1676" w:leftChars="798"/>
        <w:rPr>
          <w:rFonts w:ascii="宋体" w:hAnsi="宋体" w:eastAsia="宋体" w:cs="宋体"/>
          <w:color w:val="auto"/>
          <w:sz w:val="24"/>
          <w:highlight w:val="none"/>
        </w:rPr>
      </w:pPr>
      <w:r>
        <w:rPr>
          <w:rFonts w:hint="eastAsia" w:ascii="宋体" w:hAnsi="宋体" w:eastAsia="宋体" w:cs="宋体"/>
          <w:color w:val="auto"/>
          <w:sz w:val="24"/>
          <w:highlight w:val="none"/>
        </w:rPr>
        <w:t>3）明示或暗示承包人购买、租赁、使用不符合安全施工要求的安全防护用具、机械设备、施工机具及配件、消防设施和器材的。</w:t>
      </w:r>
    </w:p>
    <w:p w14:paraId="3AE560F3">
      <w:pPr>
        <w:adjustRightInd w:val="0"/>
        <w:snapToGrid w:val="0"/>
        <w:spacing w:line="300" w:lineRule="auto"/>
        <w:ind w:left="1575" w:leftChars="750"/>
        <w:rPr>
          <w:rFonts w:ascii="宋体" w:hAnsi="宋体" w:eastAsia="宋体" w:cs="宋体"/>
          <w:color w:val="auto"/>
          <w:sz w:val="24"/>
          <w:highlight w:val="none"/>
        </w:rPr>
      </w:pPr>
      <w:r>
        <w:rPr>
          <w:rFonts w:hint="eastAsia" w:ascii="宋体" w:hAnsi="宋体" w:eastAsia="宋体" w:cs="宋体"/>
          <w:color w:val="auto"/>
          <w:sz w:val="24"/>
          <w:highlight w:val="none"/>
        </w:rPr>
        <w:t>（4）发包人应负责赔偿下列情形造成的第三者人身伤亡和财产 损失。</w:t>
      </w:r>
    </w:p>
    <w:p w14:paraId="71CD7D81">
      <w:pPr>
        <w:adjustRightInd w:val="0"/>
        <w:snapToGrid w:val="0"/>
        <w:spacing w:line="300" w:lineRule="auto"/>
        <w:ind w:left="1680" w:leftChars="800"/>
        <w:rPr>
          <w:rFonts w:ascii="宋体" w:hAnsi="宋体" w:eastAsia="宋体" w:cs="宋体"/>
          <w:color w:val="auto"/>
          <w:sz w:val="24"/>
          <w:highlight w:val="none"/>
        </w:rPr>
      </w:pPr>
      <w:r>
        <w:rPr>
          <w:rFonts w:hint="eastAsia" w:ascii="宋体" w:hAnsi="宋体" w:eastAsia="宋体" w:cs="宋体"/>
          <w:color w:val="auto"/>
          <w:sz w:val="24"/>
          <w:highlight w:val="none"/>
        </w:rPr>
        <w:t>1）工程或工程的任何部分对土地的占用所造成的第三者财产损失；</w:t>
      </w:r>
    </w:p>
    <w:p w14:paraId="6AEFDC4D">
      <w:pPr>
        <w:adjustRightInd w:val="0"/>
        <w:snapToGrid w:val="0"/>
        <w:spacing w:line="300" w:lineRule="auto"/>
        <w:ind w:left="1796" w:leftChars="798" w:hanging="120" w:hangingChars="50"/>
        <w:rPr>
          <w:rFonts w:ascii="宋体" w:hAnsi="宋体" w:eastAsia="宋体" w:cs="宋体"/>
          <w:color w:val="auto"/>
          <w:sz w:val="24"/>
          <w:highlight w:val="none"/>
        </w:rPr>
      </w:pPr>
      <w:r>
        <w:rPr>
          <w:rFonts w:hint="eastAsia" w:ascii="宋体" w:hAnsi="宋体" w:eastAsia="宋体" w:cs="宋体"/>
          <w:color w:val="auto"/>
          <w:sz w:val="24"/>
          <w:highlight w:val="none"/>
        </w:rPr>
        <w:t>2）由于发包人原因在施工场地及其毗邻造成的第三者人身伤亡和财产损失。</w:t>
      </w:r>
    </w:p>
    <w:p w14:paraId="1B8876EA">
      <w:pPr>
        <w:adjustRightInd w:val="0"/>
        <w:snapToGrid w:val="0"/>
        <w:spacing w:line="300" w:lineRule="auto"/>
        <w:rPr>
          <w:rFonts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45.4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047E29A0">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200" name="000183"/>
                <wp:cNvGraphicFramePr/>
                <a:graphic xmlns:a="http://schemas.openxmlformats.org/drawingml/2006/main">
                  <a:graphicData uri="http://schemas.microsoft.com/office/word/2010/wordprocessingShape">
                    <wps:wsp>
                      <wps:cNvSpPr/>
                      <wps:spPr>
                        <a:xfrm>
                          <a:off x="0" y="0"/>
                          <a:ext cx="1028700" cy="567055"/>
                        </a:xfrm>
                        <a:prstGeom prst="rect">
                          <a:avLst/>
                        </a:prstGeom>
                        <a:ln>
                          <a:noFill/>
                        </a:ln>
                      </wps:spPr>
                      <wps:txbx>
                        <w:txbxContent>
                          <w:p w14:paraId="2E8B169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wps:wsp>
                  </a:graphicData>
                </a:graphic>
              </wp:anchor>
            </w:drawing>
          </mc:Choice>
          <mc:Fallback>
            <w:pict>
              <v:rect id="000183" o:spid="_x0000_s1026" o:spt="1" style="position:absolute;left:0pt;margin-left:-9pt;margin-top:15.6pt;height:44.65pt;width:81pt;z-index:251659264;mso-width-relative:page;mso-height-relative:page;" filled="f" stroked="f" coordsize="21600,21600" o:gfxdata="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JzkyfaAAAACgEAAA8AAAAAAAAAAQAgAAAAIgAA&#10;AGRycy9kb3ducmV2LnhtbFBLAQIUABQAAAAIAIdO4kAZSyR1lAEAADkDAAAOAAAAAAAAAAEAIAAA&#10;ACkBAABkcnMvZTJvRG9jLnhtbFBLBQYAAAAABgAGAFkBAAAvBQAAAAA=&#10;">
                <v:fill on="f" focussize="0,0"/>
                <v:stroke on="f"/>
                <v:imagedata o:title=""/>
                <o:lock v:ext="edit" aspectratio="f"/>
                <v:textbox>
                  <w:txbxContent>
                    <w:p w14:paraId="2E8B169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rect>
            </w:pict>
          </mc:Fallback>
        </mc:AlternateContent>
      </w:r>
    </w:p>
    <w:p w14:paraId="13917E13">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在合同工程实施、完成及保修期间，承包人承担下列责任：</w:t>
      </w:r>
    </w:p>
    <w:p w14:paraId="7C1F0828">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（1）承包人应严格按照国家、省、市有关绿色施工安全防护的标准、内容与规范制定绿色施工安全防护操作规程，配备必要的安全生产和劳动保护设施，加强对承包人人员的施工安全教育和培训。</w:t>
      </w:r>
    </w:p>
    <w:p w14:paraId="420E13E0">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（2）承包人应对合同工程的绿色施工安全防护负责，采取有效的安全措施消除安全事故隐患，并接受和配合依法实施的监督检查。</w:t>
      </w:r>
    </w:p>
    <w:p w14:paraId="0FDDDE2B">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3F184D20">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（4）承包人应按监理工程师的指令制定应对灾害的紧急预案，并按预案做好安全检查，配置必要的救助物资和器材，切实保护好有关人员的人身和财产安全。</w:t>
      </w:r>
    </w:p>
    <w:p w14:paraId="0F64587B">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（5）承包人违反本条规定或由于承包人原因造成安全事故的，由承包人承担责任，由此增加的费用和延误的工期由承包人承担。</w:t>
      </w:r>
    </w:p>
    <w:p w14:paraId="3C858535">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（6）承包人应对其履行合同所雇佣的全部人员，包括分包人人员的安全事故承担责任，但由于发包人原因造成承包人人员安全事故的，应由发包人承担责任。</w:t>
      </w:r>
    </w:p>
    <w:p w14:paraId="68203CDE">
      <w:pPr>
        <w:adjustRightInd w:val="0"/>
        <w:snapToGrid w:val="0"/>
        <w:spacing w:line="300" w:lineRule="auto"/>
        <w:ind w:left="1619" w:leftChars="771" w:firstLine="60" w:firstLineChars="25"/>
        <w:rPr>
          <w:rFonts w:ascii="宋体" w:hAnsi="宋体" w:eastAsia="宋体" w:cs="宋体"/>
          <w:color w:val="auto"/>
          <w:sz w:val="24"/>
          <w:highlight w:val="none"/>
        </w:rPr>
      </w:pPr>
      <w:r>
        <w:rPr>
          <w:rFonts w:hint="eastAsia" w:ascii="宋体" w:hAnsi="宋体" w:eastAsia="宋体" w:cs="宋体"/>
          <w:color w:val="auto"/>
          <w:sz w:val="24"/>
          <w:highlight w:val="none"/>
        </w:rPr>
        <w:t>（7）由于承包人原因在施工场地内及其毗邻造成的第三者人身伤亡和财产损失，由承包人负责赔偿。</w:t>
      </w:r>
    </w:p>
    <w:p w14:paraId="3402827E">
      <w:pPr>
        <w:adjustRightInd w:val="0"/>
        <w:snapToGrid w:val="0"/>
        <w:spacing w:line="300" w:lineRule="auto"/>
        <w:rPr>
          <w:rFonts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45.5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4A1757BC">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201" name="000184"/>
                <wp:cNvGraphicFramePr/>
                <a:graphic xmlns:a="http://schemas.openxmlformats.org/drawingml/2006/main">
                  <a:graphicData uri="http://schemas.microsoft.com/office/word/2010/wordprocessingShape">
                    <wps:wsp>
                      <wps:cNvSpPr/>
                      <wps:spPr>
                        <a:xfrm>
                          <a:off x="0" y="0"/>
                          <a:ext cx="954405" cy="479425"/>
                        </a:xfrm>
                        <a:prstGeom prst="rect">
                          <a:avLst/>
                        </a:prstGeom>
                        <a:ln>
                          <a:noFill/>
                        </a:ln>
                      </wps:spPr>
                      <wps:txbx>
                        <w:txbxContent>
                          <w:p w14:paraId="1169AFD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wps:wsp>
                  </a:graphicData>
                </a:graphic>
              </wp:anchor>
            </w:drawing>
          </mc:Choice>
          <mc:Fallback>
            <w:pict>
              <v:rect id="000184" o:spid="_x0000_s1026" o:spt="1" style="position:absolute;left:0pt;margin-left:-9pt;margin-top:17.3pt;height:37.75pt;width:75.15pt;z-index:251659264;mso-width-relative:page;mso-height-relative:page;" filled="f" stroked="f" coordsize="21600,21600" o:gfxdata="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89QTK9sAAAAKAQAADwAAAAAAAAABACAAAAAi&#10;AAAAZHJzL2Rvd25yZXYueG1sUEsBAhQAFAAAAAgAh07iQDPfw/GVAQAAOAMAAA4AAAAAAAAAAQAg&#10;AAAAKgEAAGRycy9lMm9Eb2MueG1sUEsFBgAAAAAGAAYAWQEAADEFAAAAAA==&#10;">
                <v:fill on="f" focussize="0,0"/>
                <v:stroke on="f"/>
                <v:imagedata o:title=""/>
                <o:lock v:ext="edit" aspectratio="f"/>
                <v:textbox>
                  <w:txbxContent>
                    <w:p w14:paraId="1169AFD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rect>
            </w:pict>
          </mc:Fallback>
        </mc:AlternateContent>
      </w:r>
    </w:p>
    <w:p w14:paraId="785DF187">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14:paraId="25CD0A70">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45.6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74CA2325">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202" name="000185"/>
                <wp:cNvGraphicFramePr/>
                <a:graphic xmlns:a="http://schemas.openxmlformats.org/drawingml/2006/main">
                  <a:graphicData uri="http://schemas.microsoft.com/office/word/2010/wordprocessingShape">
                    <wps:wsp>
                      <wps:cNvSpPr/>
                      <wps:spPr>
                        <a:xfrm>
                          <a:off x="0" y="0"/>
                          <a:ext cx="800100" cy="720090"/>
                        </a:xfrm>
                        <a:prstGeom prst="rect">
                          <a:avLst/>
                        </a:prstGeom>
                        <a:ln>
                          <a:noFill/>
                        </a:ln>
                      </wps:spPr>
                      <wps:txbx>
                        <w:txbxContent>
                          <w:p w14:paraId="07044CD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wps:wsp>
                  </a:graphicData>
                </a:graphic>
              </wp:anchor>
            </w:drawing>
          </mc:Choice>
          <mc:Fallback>
            <w:pict>
              <v:rect id="000185" o:spid="_x0000_s1026" o:spt="1" style="position:absolute;left:0pt;margin-left:-6.6pt;margin-top:0.9pt;height:56.7pt;width:63pt;z-index:251659264;mso-width-relative:page;mso-height-relative:page;" filled="f" stroked="f" coordsize="21600,21600" o:gfxdata="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Y2zzQNcAAAAJAQAADwAAAAAAAAABACAAAAAiAAAAZHJz&#10;L2Rvd25yZXYueG1sUEsBAhQAFAAAAAgAh07iQO+Oa06TAQAAOAMAAA4AAAAAAAAAAQAgAAAAJgEA&#10;AGRycy9lMm9Eb2MueG1sUEsFBgAAAAAGAAYAWQEAACsFAAAAAA==&#10;">
                <v:fill on="f" focussize="0,0"/>
                <v:stroke on="f"/>
                <v:imagedata o:title=""/>
                <o:lock v:ext="edit" aspectratio="f"/>
                <v:textbox>
                  <w:txbxContent>
                    <w:p w14:paraId="07044CD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rect>
            </w:pict>
          </mc:Fallback>
        </mc:AlternateContent>
      </w:r>
      <w:r>
        <w:rPr>
          <w:rFonts w:hint="eastAsia" w:ascii="宋体" w:hAnsi="宋体" w:eastAsia="宋体" w:cs="宋体"/>
          <w:color w:val="auto"/>
          <w:sz w:val="24"/>
          <w:highlight w:val="none"/>
        </w:rPr>
        <w:t>合同双方当事人不仅应协助现场治安管理机构或联防组织维护施工场地的社会治安，而且应做好包括有关人员现场生活、居住场所在内的施工场地内的治安保卫工作。</w:t>
      </w:r>
    </w:p>
    <w:p w14:paraId="600BFC31">
      <w:pPr>
        <w:adjustRightInd w:val="0"/>
        <w:snapToGrid w:val="0"/>
        <w:spacing w:line="300" w:lineRule="auto"/>
        <w:ind w:left="1575" w:leftChars="750"/>
        <w:rPr>
          <w:rFonts w:ascii="宋体" w:hAnsi="宋体" w:eastAsia="宋体" w:cs="宋体"/>
          <w:color w:val="auto"/>
          <w:sz w:val="24"/>
          <w:highlight w:val="none"/>
        </w:rPr>
      </w:pPr>
      <w:r>
        <w:rPr>
          <w:rFonts w:hint="eastAsia" w:ascii="宋体" w:hAnsi="宋体" w:eastAsia="宋体" w:cs="宋体"/>
          <w:color w:val="auto"/>
          <w:sz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26E06229">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45.7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6AC37BC3">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203" name="000186"/>
                <wp:cNvGraphicFramePr/>
                <a:graphic xmlns:a="http://schemas.openxmlformats.org/drawingml/2006/main">
                  <a:graphicData uri="http://schemas.microsoft.com/office/word/2010/wordprocessingShape">
                    <wps:wsp>
                      <wps:cNvSpPr/>
                      <wps:spPr>
                        <a:xfrm>
                          <a:off x="0" y="0"/>
                          <a:ext cx="873760" cy="650875"/>
                        </a:xfrm>
                        <a:prstGeom prst="rect">
                          <a:avLst/>
                        </a:prstGeom>
                        <a:ln>
                          <a:noFill/>
                        </a:ln>
                      </wps:spPr>
                      <wps:txbx>
                        <w:txbxContent>
                          <w:p w14:paraId="536D322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wps:wsp>
                  </a:graphicData>
                </a:graphic>
              </wp:anchor>
            </w:drawing>
          </mc:Choice>
          <mc:Fallback>
            <w:pict>
              <v:rect id="000186" o:spid="_x0000_s1026" o:spt="1" style="position:absolute;left:0pt;margin-left:-5.8pt;margin-top:1.25pt;height:51.25pt;width:68.8pt;z-index:251659264;mso-width-relative:page;mso-height-relative:page;" filled="f" stroked="f" coordsize="21600,21600" o:gfxdata="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Ud7f7ZAAAACQEAAA8AAAAAAAAAAQAgAAAAIgAA&#10;AGRycy9kb3ducmV2LnhtbFBLAQIUABQAAAAIAIdO4kASkadYlQEAADgDAAAOAAAAAAAAAAEAIAAA&#10;ACgBAABkcnMvZTJvRG9jLnhtbFBLBQYAAAAABgAGAFkBAAAvBQAAAAA=&#10;">
                <v:fill on="f" focussize="0,0"/>
                <v:stroke on="f"/>
                <v:imagedata o:title=""/>
                <o:lock v:ext="edit" aspectratio="f"/>
                <v:textbox>
                  <w:txbxContent>
                    <w:p w14:paraId="536D322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rect>
            </w:pict>
          </mc:Fallback>
        </mc:AlternateContent>
      </w:r>
      <w:r>
        <w:rPr>
          <w:rFonts w:hint="eastAsia" w:ascii="宋体" w:hAnsi="宋体" w:eastAsia="宋体" w:cs="宋体"/>
          <w:color w:val="auto"/>
          <w:sz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14:paraId="31C01867">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45.8  </w:t>
      </w:r>
      <w:r>
        <w:rPr>
          <w:rFonts w:hint="eastAsia" w:ascii="宋体" w:hAnsi="宋体" w:eastAsia="宋体" w:cs="宋体"/>
          <w:b/>
          <w:bCs/>
          <w:color w:val="auto"/>
          <w:sz w:val="24"/>
          <w:highlight w:val="none"/>
          <w:u w:val="dotted"/>
        </w:rPr>
        <w:t xml:space="preserve">                                                                                 </w:t>
      </w:r>
    </w:p>
    <w:p w14:paraId="0E8803FB">
      <w:pPr>
        <w:adjustRightInd w:val="0"/>
        <w:snapToGrid w:val="0"/>
        <w:spacing w:line="300" w:lineRule="auto"/>
        <w:ind w:left="1619" w:leftChars="771"/>
        <w:rPr>
          <w:rFonts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204" name="000187"/>
                <wp:cNvGraphicFramePr/>
                <a:graphic xmlns:a="http://schemas.openxmlformats.org/drawingml/2006/main">
                  <a:graphicData uri="http://schemas.microsoft.com/office/word/2010/wordprocessingShape">
                    <wps:wsp>
                      <wps:cNvSpPr/>
                      <wps:spPr>
                        <a:xfrm>
                          <a:off x="0" y="0"/>
                          <a:ext cx="873760" cy="594360"/>
                        </a:xfrm>
                        <a:prstGeom prst="rect">
                          <a:avLst/>
                        </a:prstGeom>
                        <a:ln>
                          <a:noFill/>
                        </a:ln>
                      </wps:spPr>
                      <wps:txbx>
                        <w:txbxContent>
                          <w:p w14:paraId="624E5458">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wps:txbx>
                      <wps:bodyPr wrap="square"/>
                    </wps:wsp>
                  </a:graphicData>
                </a:graphic>
              </wp:anchor>
            </w:drawing>
          </mc:Choice>
          <mc:Fallback>
            <w:pict>
              <v:rect id="000187" o:spid="_x0000_s1026" o:spt="1" style="position:absolute;left:0pt;margin-left:0pt;margin-top:1.35pt;height:46.8pt;width:68.8pt;z-index:251659264;mso-width-relative:page;mso-height-relative:page;" filled="f" stroked="f" coordsize="21600,21600" o:gfxdata="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CAeTy1gAAAAUBAAAPAAAAAAAAAAEAIAAAACIAAABk&#10;cnMvZG93bnJldi54bWxQSwECFAAUAAAACACHTuJAU7LM1pYBAAA4AwAADgAAAAAAAAABACAAAAAl&#10;AQAAZHJzL2Uyb0RvYy54bWxQSwUGAAAAAAYABgBZAQAALQUAAAAA&#10;">
                <v:fill on="f" focussize="0,0"/>
                <v:stroke on="f"/>
                <v:imagedata o:title=""/>
                <o:lock v:ext="edit" aspectratio="f"/>
                <v:textbox>
                  <w:txbxContent>
                    <w:p w14:paraId="624E5458">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v:textbox>
              </v:rect>
            </w:pict>
          </mc:Fallback>
        </mc:AlternateContent>
      </w:r>
      <w:r>
        <w:rPr>
          <w:rFonts w:hint="eastAsia" w:ascii="宋体" w:hAnsi="宋体" w:eastAsia="宋体" w:cs="宋体"/>
          <w:caps/>
          <w:color w:val="auto"/>
          <w:sz w:val="24"/>
          <w:highlight w:val="none"/>
        </w:rPr>
        <w:t>发包人应配合承包人加强</w:t>
      </w:r>
      <w:r>
        <w:rPr>
          <w:rFonts w:hint="eastAsia" w:ascii="宋体" w:hAnsi="宋体" w:eastAsia="宋体" w:cs="宋体"/>
          <w:color w:val="auto"/>
          <w:sz w:val="24"/>
          <w:highlight w:val="none"/>
        </w:rPr>
        <w:t>绿色施工安全防护</w:t>
      </w:r>
      <w:r>
        <w:rPr>
          <w:rFonts w:hint="eastAsia" w:ascii="宋体" w:hAnsi="宋体" w:eastAsia="宋体" w:cs="宋体"/>
          <w:caps/>
          <w:color w:val="auto"/>
          <w:sz w:val="24"/>
          <w:highlight w:val="none"/>
        </w:rPr>
        <w:t>管理，鼓励承包人实施省、市级或其它级别文明工地。对于工程获得省、市级或其它级别文明工地的，应按照第80条规定向承包人支付文明工地增加费。</w:t>
      </w:r>
    </w:p>
    <w:p w14:paraId="05CA28CF">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45.9 </w:t>
      </w:r>
      <w:r>
        <w:rPr>
          <w:rFonts w:hint="eastAsia" w:ascii="宋体" w:hAnsi="宋体" w:eastAsia="宋体" w:cs="宋体"/>
          <w:b/>
          <w:bCs/>
          <w:color w:val="auto"/>
          <w:sz w:val="24"/>
          <w:highlight w:val="none"/>
          <w:u w:val="dotted"/>
        </w:rPr>
        <w:t xml:space="preserve">                                                                                 </w:t>
      </w:r>
    </w:p>
    <w:p w14:paraId="0B08F5A0">
      <w:pPr>
        <w:spacing w:line="300" w:lineRule="auto"/>
        <w:ind w:left="1620" w:leftChars="200" w:hanging="1200" w:hangingChars="50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205" name="000188"/>
                <wp:cNvGraphicFramePr/>
                <a:graphic xmlns:a="http://schemas.openxmlformats.org/drawingml/2006/main">
                  <a:graphicData uri="http://schemas.microsoft.com/office/word/2010/wordprocessingShape">
                    <wps:wsp>
                      <wps:cNvSpPr/>
                      <wps:spPr>
                        <a:xfrm>
                          <a:off x="0" y="0"/>
                          <a:ext cx="873760" cy="594360"/>
                        </a:xfrm>
                        <a:prstGeom prst="rect">
                          <a:avLst/>
                        </a:prstGeom>
                        <a:ln>
                          <a:noFill/>
                        </a:ln>
                      </wps:spPr>
                      <wps:txbx>
                        <w:txbxContent>
                          <w:p w14:paraId="63117023">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wrap="square"/>
                    </wps:wsp>
                  </a:graphicData>
                </a:graphic>
              </wp:anchor>
            </w:drawing>
          </mc:Choice>
          <mc:Fallback>
            <w:pict>
              <v:rect id="000188" o:spid="_x0000_s1026" o:spt="1" style="position:absolute;left:0pt;margin-left:0pt;margin-top:1.35pt;height:46.8pt;width:68.8pt;z-index:251659264;mso-width-relative:page;mso-height-relative:page;" filled="f" stroked="f" coordsize="21600,21600" o:gfxdata="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&#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CAeTy1gAAAAUBAAAPAAAAAAAAAAEAIAAAACIAAABk&#10;cnMvZG93bnJldi54bWxQSwECFAAUAAAACACHTuJAxZEwGJYBAAA4AwAADgAAAAAAAAABACAAAAAl&#10;AQAAZHJzL2Uyb0RvYy54bWxQSwUGAAAAAAYABgBZAQAALQUAAAAA&#10;">
                <v:fill on="f" focussize="0,0"/>
                <v:stroke on="f"/>
                <v:imagedata o:title=""/>
                <o:lock v:ext="edit" aspectratio="f"/>
                <v:textbox>
                  <w:txbxContent>
                    <w:p w14:paraId="63117023">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rect>
            </w:pict>
          </mc:Fallback>
        </mc:AlternateContent>
      </w:r>
      <w:r>
        <w:rPr>
          <w:rFonts w:hint="eastAsia" w:ascii="宋体" w:hAnsi="宋体" w:eastAsia="宋体" w:cs="宋体"/>
          <w:color w:val="auto"/>
          <w:sz w:val="24"/>
          <w:highlight w:val="none"/>
        </w:rPr>
        <w:t xml:space="preserve">          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430AB25">
      <w:pPr>
        <w:spacing w:line="300" w:lineRule="auto"/>
        <w:ind w:left="1556" w:leftChars="741"/>
        <w:rPr>
          <w:rFonts w:ascii="宋体" w:hAnsi="宋体" w:eastAsia="宋体" w:cs="宋体"/>
          <w:color w:val="auto"/>
          <w:sz w:val="24"/>
          <w:highlight w:val="none"/>
        </w:rPr>
      </w:pPr>
      <w:r>
        <w:rPr>
          <w:rFonts w:hint="eastAsia" w:ascii="宋体" w:hAnsi="宋体" w:eastAsia="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28E27F54">
      <w:pPr>
        <w:spacing w:line="300" w:lineRule="auto"/>
        <w:ind w:left="1556" w:leftChars="741"/>
        <w:rPr>
          <w:rFonts w:ascii="宋体" w:hAnsi="宋体" w:eastAsia="宋体" w:cs="宋体"/>
          <w:color w:val="auto"/>
          <w:sz w:val="24"/>
          <w:highlight w:val="none"/>
        </w:rPr>
      </w:pPr>
      <w:r>
        <w:rPr>
          <w:rFonts w:hint="eastAsia" w:ascii="宋体" w:hAnsi="宋体" w:eastAsia="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3E97EB48">
      <w:pPr>
        <w:adjustRightInd w:val="0"/>
        <w:snapToGrid w:val="0"/>
        <w:spacing w:line="300" w:lineRule="auto"/>
        <w:ind w:left="1556" w:leftChars="741"/>
        <w:rPr>
          <w:rFonts w:ascii="宋体" w:hAnsi="宋体" w:eastAsia="宋体" w:cs="宋体"/>
          <w:color w:val="auto"/>
          <w:sz w:val="24"/>
          <w:highlight w:val="none"/>
        </w:rPr>
      </w:pPr>
      <w:r>
        <w:rPr>
          <w:rFonts w:hint="eastAsia" w:ascii="宋体" w:hAnsi="宋体" w:eastAsia="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24240328">
      <w:pPr>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7E409992">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22" w:name="_Toc469384029"/>
      <w:bookmarkStart w:id="123" w:name="_Toc46860850"/>
      <w:r>
        <w:rPr>
          <w:rFonts w:hint="eastAsia" w:hAnsi="宋体" w:eastAsia="宋体" w:cs="宋体"/>
          <w:b/>
          <w:bCs/>
          <w:color w:val="auto"/>
          <w:sz w:val="24"/>
          <w:szCs w:val="24"/>
          <w:highlight w:val="none"/>
        </w:rPr>
        <w:t>46  测量放线</w:t>
      </w:r>
      <w:bookmarkEnd w:id="122"/>
      <w:bookmarkEnd w:id="123"/>
    </w:p>
    <w:p w14:paraId="5BCDA225">
      <w:pPr>
        <w:pStyle w:val="6"/>
        <w:tabs>
          <w:tab w:val="left" w:pos="1202"/>
        </w:tabs>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206" name="000189"/>
                <wp:cNvGraphicFramePr/>
                <a:graphic xmlns:a="http://schemas.openxmlformats.org/drawingml/2006/main">
                  <a:graphicData uri="http://schemas.microsoft.com/office/word/2010/wordprocessingShape">
                    <wps:wsp>
                      <wps:cNvSpPr/>
                      <wps:spPr>
                        <a:xfrm>
                          <a:off x="0" y="0"/>
                          <a:ext cx="914400" cy="546100"/>
                        </a:xfrm>
                        <a:prstGeom prst="rect">
                          <a:avLst/>
                        </a:prstGeom>
                        <a:ln>
                          <a:noFill/>
                        </a:ln>
                      </wps:spPr>
                      <wps:txbx>
                        <w:txbxContent>
                          <w:p w14:paraId="2E9E56A6">
                            <w:pPr>
                              <w:rPr>
                                <w:rFonts w:ascii="宋体"/>
                                <w:sz w:val="18"/>
                                <w:szCs w:val="18"/>
                              </w:rPr>
                            </w:pPr>
                            <w:r>
                              <w:rPr>
                                <w:rFonts w:hint="eastAsia" w:ascii="楷体_GB2312" w:hAnsi="宋体" w:eastAsia="楷体_GB2312" w:cs="楷体_GB2312"/>
                                <w:b/>
                                <w:bCs/>
                                <w:color w:val="000000"/>
                                <w:sz w:val="18"/>
                                <w:szCs w:val="18"/>
                              </w:rPr>
                              <w:t>测设施工控制网</w:t>
                            </w:r>
                          </w:p>
                        </w:txbxContent>
                      </wps:txbx>
                      <wps:bodyPr wrap="square"/>
                    </wps:wsp>
                  </a:graphicData>
                </a:graphic>
              </wp:anchor>
            </w:drawing>
          </mc:Choice>
          <mc:Fallback>
            <w:pict>
              <v:rect id="000189" o:spid="_x0000_s1026" o:spt="1" style="position:absolute;left:0pt;margin-left:-9pt;margin-top:22.55pt;height:43pt;width:72pt;z-index:251659264;mso-width-relative:page;mso-height-relative:page;" filled="f" stroked="f" coordsize="21600,21600" o:gfxdata="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VyBRI2wAAAAoBAAAPAAAAAAAAAAEAIAAAACIA&#10;AABkcnMvZG93bnJldi54bWxQSwECFAAUAAAACACHTuJAFBXSAZQBAAA4AwAADgAAAAAAAAABACAA&#10;AAAqAQAAZHJzL2Uyb0RvYy54bWxQSwUGAAAAAAYABgBZAQAAMAUAAAAA&#10;">
                <v:fill on="f" focussize="0,0"/>
                <v:stroke on="f"/>
                <v:imagedata o:title=""/>
                <o:lock v:ext="edit" aspectratio="f"/>
                <v:textbox>
                  <w:txbxContent>
                    <w:p w14:paraId="2E9E56A6">
                      <w:pPr>
                        <w:rPr>
                          <w:rFonts w:ascii="宋体"/>
                          <w:sz w:val="18"/>
                          <w:szCs w:val="18"/>
                        </w:rPr>
                      </w:pPr>
                      <w:r>
                        <w:rPr>
                          <w:rFonts w:hint="eastAsia" w:ascii="楷体_GB2312" w:hAnsi="宋体" w:eastAsia="楷体_GB2312" w:cs="楷体_GB2312"/>
                          <w:b/>
                          <w:bCs/>
                          <w:color w:val="000000"/>
                          <w:sz w:val="18"/>
                          <w:szCs w:val="18"/>
                        </w:rPr>
                        <w:t>测设施工控制网</w:t>
                      </w:r>
                    </w:p>
                  </w:txbxContent>
                </v:textbox>
              </v:rect>
            </w:pict>
          </mc:Fallback>
        </mc:AlternateContent>
      </w:r>
      <w:r>
        <w:rPr>
          <w:rFonts w:hint="eastAsia" w:ascii="宋体" w:hAnsi="宋体" w:eastAsia="宋体" w:cs="宋体"/>
          <w:b/>
          <w:bCs/>
          <w:color w:val="auto"/>
          <w:sz w:val="24"/>
          <w:highlight w:val="none"/>
        </w:rPr>
        <w:t>46.1</w:t>
      </w:r>
    </w:p>
    <w:p w14:paraId="5B17DE1F">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3729EECB">
      <w:pPr>
        <w:adjustRightInd w:val="0"/>
        <w:snapToGrid w:val="0"/>
        <w:spacing w:line="300" w:lineRule="auto"/>
        <w:ind w:left="1619" w:leftChars="771"/>
        <w:rPr>
          <w:rFonts w:ascii="宋体" w:hAnsi="宋体" w:eastAsia="宋体" w:cs="宋体"/>
          <w:color w:val="auto"/>
          <w:sz w:val="24"/>
          <w:highlight w:val="none"/>
        </w:rPr>
      </w:pPr>
    </w:p>
    <w:p w14:paraId="4681FA63">
      <w:pPr>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46.2  </w:t>
      </w:r>
      <w:r>
        <w:rPr>
          <w:rFonts w:hint="eastAsia" w:ascii="宋体" w:hAnsi="宋体" w:eastAsia="宋体" w:cs="宋体"/>
          <w:b/>
          <w:bCs/>
          <w:color w:val="auto"/>
          <w:sz w:val="24"/>
          <w:highlight w:val="none"/>
          <w:u w:val="dotted"/>
        </w:rPr>
        <w:t xml:space="preserve">                                                                              </w:t>
      </w:r>
    </w:p>
    <w:p w14:paraId="479FBB80">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213995</wp:posOffset>
                </wp:positionV>
                <wp:extent cx="914400" cy="677545"/>
                <wp:effectExtent l="0" t="0" r="0" b="0"/>
                <wp:wrapNone/>
                <wp:docPr id="1207" name="00018a"/>
                <wp:cNvGraphicFramePr/>
                <a:graphic xmlns:a="http://schemas.openxmlformats.org/drawingml/2006/main">
                  <a:graphicData uri="http://schemas.microsoft.com/office/word/2010/wordprocessingShape">
                    <wps:wsp>
                      <wps:cNvSpPr/>
                      <wps:spPr>
                        <a:xfrm>
                          <a:off x="0" y="0"/>
                          <a:ext cx="914400" cy="677545"/>
                        </a:xfrm>
                        <a:prstGeom prst="rect">
                          <a:avLst/>
                        </a:prstGeom>
                        <a:ln>
                          <a:noFill/>
                        </a:ln>
                      </wps:spPr>
                      <wps:txbx>
                        <w:txbxContent>
                          <w:p w14:paraId="5C3AE367">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wps:wsp>
                  </a:graphicData>
                </a:graphic>
              </wp:anchor>
            </w:drawing>
          </mc:Choice>
          <mc:Fallback>
            <w:pict>
              <v:rect id="00018a" o:spid="_x0000_s1026" o:spt="1" style="position:absolute;left:0pt;margin-left:-9pt;margin-top:16.85pt;height:53.35pt;width:72pt;z-index:251659264;mso-width-relative:page;mso-height-relative:page;" filled="f" stroked="f" coordsize="21600,21600" o:gfxdata="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obLCZ9sAAAAKAQAADwAAAAAAAAABACAAAAAi&#10;AAAAZHJzL2Rvd25yZXYueG1sUEsBAhQAFAAAAAgAh07iQD2lZwuVAQAAOAMAAA4AAAAAAAAAAQAg&#10;AAAAKgEAAGRycy9lMm9Eb2MueG1sUEsFBgAAAAAGAAYAWQEAADEFAAAAAA==&#10;">
                <v:fill on="f" focussize="0,0"/>
                <v:stroke on="f"/>
                <v:imagedata o:title=""/>
                <o:lock v:ext="edit" aspectratio="f"/>
                <v:textbox>
                  <w:txbxContent>
                    <w:p w14:paraId="5C3AE367">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rect>
            </w:pict>
          </mc:Fallback>
        </mc:AlternateContent>
      </w:r>
    </w:p>
    <w:p w14:paraId="2FFEBB54">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承包人应负责施工控制网点的管理。施工控制网点丢失或损坏的，承包人应及时修复。承包人应承担施工控制网点的管理与修复费用，并在工程竣工后将施工控制网点移交发包人。</w:t>
      </w:r>
    </w:p>
    <w:p w14:paraId="50E0BD2B">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监理工程师需要使用施工控制网的，承包人应提供必要的协助，发包人无需为此支付任何费用。</w:t>
      </w:r>
    </w:p>
    <w:p w14:paraId="5E4A19EA">
      <w:pPr>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46.3  </w:t>
      </w:r>
      <w:r>
        <w:rPr>
          <w:rFonts w:hint="eastAsia" w:ascii="宋体" w:hAnsi="宋体" w:eastAsia="宋体" w:cs="宋体"/>
          <w:b/>
          <w:bCs/>
          <w:color w:val="auto"/>
          <w:sz w:val="24"/>
          <w:highlight w:val="none"/>
          <w:u w:val="dotted"/>
        </w:rPr>
        <w:t xml:space="preserve">                                                                              </w:t>
      </w:r>
    </w:p>
    <w:p w14:paraId="17F97E57">
      <w:pPr>
        <w:adjustRightInd w:val="0"/>
        <w:snapToGrid w:val="0"/>
        <w:spacing w:line="300" w:lineRule="auto"/>
        <w:rPr>
          <w:rFonts w:ascii="宋体" w:hAnsi="宋体" w:eastAsia="宋体" w:cs="宋体"/>
          <w:color w:val="auto"/>
          <w:sz w:val="24"/>
          <w:highlight w:val="none"/>
        </w:rPr>
      </w:pPr>
    </w:p>
    <w:p w14:paraId="0A872CF3">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208" name="00018b"/>
                <wp:cNvGraphicFramePr/>
                <a:graphic xmlns:a="http://schemas.openxmlformats.org/drawingml/2006/main">
                  <a:graphicData uri="http://schemas.microsoft.com/office/word/2010/wordprocessingShape">
                    <wps:wsp>
                      <wps:cNvSpPr/>
                      <wps:spPr>
                        <a:xfrm>
                          <a:off x="0" y="0"/>
                          <a:ext cx="914400" cy="541020"/>
                        </a:xfrm>
                        <a:prstGeom prst="rect">
                          <a:avLst/>
                        </a:prstGeom>
                        <a:ln>
                          <a:noFill/>
                        </a:ln>
                      </wps:spPr>
                      <wps:txbx>
                        <w:txbxContent>
                          <w:p w14:paraId="16091527">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wps:txbx>
                      <wps:bodyPr wrap="square"/>
                    </wps:wsp>
                  </a:graphicData>
                </a:graphic>
              </wp:anchor>
            </w:drawing>
          </mc:Choice>
          <mc:Fallback>
            <w:pict>
              <v:rect id="00018b" o:spid="_x0000_s1026" o:spt="1" style="position:absolute;left:0pt;margin-left:-9pt;margin-top:-0.5pt;height:42.6pt;width:72pt;z-index:251659264;mso-width-relative:page;mso-height-relative:page;" filled="f" stroked="f" coordsize="21600,21600" o:gfxdata="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cMFbLdgAAAAJAQAADwAAAAAAAAABACAAAAAiAAAA&#10;ZHJzL2Rvd25yZXYueG1sUEsBAhQAFAAAAAgAh07iQDfw+YyVAQAAOAMAAA4AAAAAAAAAAQAgAAAA&#10;JwEAAGRycy9lMm9Eb2MueG1sUEsFBgAAAAAGAAYAWQEAAC4FAAAAAA==&#10;">
                <v:fill on="f" focussize="0,0"/>
                <v:stroke on="f"/>
                <v:imagedata o:title=""/>
                <o:lock v:ext="edit" aspectratio="f"/>
                <v:textbox>
                  <w:txbxContent>
                    <w:p w14:paraId="16091527">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rect>
            </w:pict>
          </mc:Fallback>
        </mc:AlternateContent>
      </w:r>
      <w:r>
        <w:rPr>
          <w:rFonts w:hint="eastAsia" w:ascii="宋体" w:hAnsi="宋体" w:eastAsia="宋体" w:cs="宋体"/>
          <w:color w:val="auto"/>
          <w:sz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6E162452">
      <w:pPr>
        <w:pStyle w:val="6"/>
        <w:tabs>
          <w:tab w:val="left" w:pos="720"/>
          <w:tab w:val="left" w:pos="1080"/>
        </w:tabs>
        <w:adjustRightInd w:val="0"/>
        <w:snapToGrid w:val="0"/>
        <w:spacing w:line="300" w:lineRule="auto"/>
        <w:ind w:firstLine="482"/>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46.4 </w:t>
      </w:r>
      <w:r>
        <w:rPr>
          <w:rFonts w:hint="eastAsia" w:ascii="宋体" w:hAnsi="宋体" w:eastAsia="宋体" w:cs="宋体"/>
          <w:b/>
          <w:bCs/>
          <w:color w:val="auto"/>
          <w:sz w:val="24"/>
          <w:highlight w:val="none"/>
          <w:u w:val="dotted"/>
        </w:rPr>
        <w:t xml:space="preserve">                                                                               </w:t>
      </w:r>
    </w:p>
    <w:p w14:paraId="756ADF95">
      <w:pPr>
        <w:spacing w:line="300" w:lineRule="auto"/>
        <w:rPr>
          <w:rFonts w:ascii="宋体" w:hAnsi="宋体" w:eastAsia="宋体" w:cs="宋体"/>
          <w:color w:val="auto"/>
          <w:sz w:val="24"/>
          <w:highlight w:val="none"/>
        </w:rPr>
      </w:pPr>
    </w:p>
    <w:p w14:paraId="5763C0C8">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209" name="00018c"/>
                <wp:cNvGraphicFramePr/>
                <a:graphic xmlns:a="http://schemas.openxmlformats.org/drawingml/2006/main">
                  <a:graphicData uri="http://schemas.microsoft.com/office/word/2010/wordprocessingShape">
                    <wps:wsp>
                      <wps:cNvSpPr/>
                      <wps:spPr>
                        <a:xfrm>
                          <a:off x="0" y="0"/>
                          <a:ext cx="914400" cy="375920"/>
                        </a:xfrm>
                        <a:prstGeom prst="rect">
                          <a:avLst/>
                        </a:prstGeom>
                        <a:ln>
                          <a:noFill/>
                        </a:ln>
                      </wps:spPr>
                      <wps:txbx>
                        <w:txbxContent>
                          <w:p w14:paraId="4399D8D4">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wrap="square"/>
                    </wps:wsp>
                  </a:graphicData>
                </a:graphic>
              </wp:anchor>
            </w:drawing>
          </mc:Choice>
          <mc:Fallback>
            <w:pict>
              <v:rect id="00018c" o:spid="_x0000_s1026" o:spt="1" style="position:absolute;left:0pt;margin-left:-5.25pt;margin-top:0.65pt;height:29.6pt;width:72pt;z-index:251659264;mso-width-relative:page;mso-height-relative:page;" filled="f" stroked="f" coordsize="21600,21600" o:gfxdata="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rYtBo9cAAAAIAQAADwAAAAAAAAABACAAAAAiAAAA&#10;ZHJzL2Rvd25yZXYueG1sUEsBAhQAFAAAAAgAh07iQA1Unt+WAQAAOAMAAA4AAAAAAAAAAQAgAAAA&#10;JgEAAGRycy9lMm9Eb2MueG1sUEsFBgAAAAAGAAYAWQEAAC4FAAAAAA==&#10;">
                <v:fill on="f" focussize="0,0"/>
                <v:stroke on="f"/>
                <v:imagedata o:title=""/>
                <o:lock v:ext="edit" aspectratio="f"/>
                <v:textbox>
                  <w:txbxContent>
                    <w:p w14:paraId="4399D8D4">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rect>
            </w:pict>
          </mc:Fallback>
        </mc:AlternateContent>
      </w:r>
      <w:r>
        <w:rPr>
          <w:rFonts w:hint="eastAsia" w:ascii="宋体" w:hAnsi="宋体" w:eastAsia="宋体" w:cs="宋体"/>
          <w:color w:val="auto"/>
          <w:sz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54F85F11">
      <w:pPr>
        <w:pStyle w:val="6"/>
        <w:tabs>
          <w:tab w:val="left" w:pos="720"/>
          <w:tab w:val="left" w:pos="108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46.5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210" name="00018d"/>
                <wp:cNvGraphicFramePr/>
                <a:graphic xmlns:a="http://schemas.openxmlformats.org/drawingml/2006/main">
                  <a:graphicData uri="http://schemas.microsoft.com/office/word/2010/wordprocessingShape">
                    <wps:wsp>
                      <wps:cNvSpPr/>
                      <wps:spPr>
                        <a:xfrm>
                          <a:off x="0" y="0"/>
                          <a:ext cx="914400" cy="448310"/>
                        </a:xfrm>
                        <a:prstGeom prst="rect">
                          <a:avLst/>
                        </a:prstGeom>
                        <a:ln>
                          <a:noFill/>
                        </a:ln>
                      </wps:spPr>
                      <wps:txbx>
                        <w:txbxContent>
                          <w:p w14:paraId="69922144">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wps:wsp>
                  </a:graphicData>
                </a:graphic>
              </wp:anchor>
            </w:drawing>
          </mc:Choice>
          <mc:Fallback>
            <w:pict>
              <v:rect id="00018d" o:spid="_x0000_s1026" o:spt="1" style="position:absolute;left:0pt;margin-left:-9pt;margin-top:21.9pt;height:35.3pt;width:72pt;z-index:251659264;mso-width-relative:page;mso-height-relative:page;" filled="f" stroked="f" coordsize="21600,21600" o:gfxdata="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IuVn7aAAAACgEAAA8AAAAAAAAAAQAgAAAAIgAA&#10;AGRycy9kb3ducmV2LnhtbFBLAQIUABQAAAAIAIdO4kBEE2iLlAEAADgDAAAOAAAAAAAAAAEAIAAA&#10;ACkBAABkcnMvZTJvRG9jLnhtbFBLBQYAAAAABgAGAFkBAAAvBQAAAAA=&#10;">
                <v:fill on="f" focussize="0,0"/>
                <v:stroke on="f"/>
                <v:imagedata o:title=""/>
                <o:lock v:ext="edit" aspectratio="f"/>
                <v:textbox>
                  <w:txbxContent>
                    <w:p w14:paraId="69922144">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rect>
            </w:pict>
          </mc:Fallback>
        </mc:AlternateContent>
      </w:r>
      <w:r>
        <w:rPr>
          <w:rFonts w:hint="eastAsia" w:ascii="宋体" w:hAnsi="宋体" w:eastAsia="宋体" w:cs="宋体"/>
          <w:b/>
          <w:bCs/>
          <w:color w:val="auto"/>
          <w:sz w:val="24"/>
          <w:highlight w:val="none"/>
          <w:u w:val="dotted"/>
        </w:rPr>
        <w:t xml:space="preserve">      </w:t>
      </w:r>
    </w:p>
    <w:p w14:paraId="571448EB">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60051FBE">
      <w:pPr>
        <w:pStyle w:val="6"/>
        <w:tabs>
          <w:tab w:val="left" w:pos="2070"/>
        </w:tabs>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6E3B3896">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24" w:name="_Toc469384030"/>
      <w:bookmarkStart w:id="125" w:name="_Toc46860851"/>
      <w:r>
        <w:rPr>
          <w:rFonts w:hint="eastAsia" w:hAnsi="宋体" w:eastAsia="宋体" w:cs="宋体"/>
          <w:b/>
          <w:bCs/>
          <w:color w:val="auto"/>
          <w:sz w:val="24"/>
          <w:szCs w:val="24"/>
          <w:highlight w:val="none"/>
        </w:rPr>
        <w:t>47  钻孔与勘探性开挖</w:t>
      </w:r>
      <w:bookmarkEnd w:id="124"/>
      <w:bookmarkEnd w:id="125"/>
    </w:p>
    <w:p w14:paraId="11E7A6B3">
      <w:pPr>
        <w:pStyle w:val="6"/>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211" name="00018e"/>
                <wp:cNvGraphicFramePr/>
                <a:graphic xmlns:a="http://schemas.openxmlformats.org/drawingml/2006/main">
                  <a:graphicData uri="http://schemas.microsoft.com/office/word/2010/wordprocessingShape">
                    <wps:wsp>
                      <wps:cNvSpPr/>
                      <wps:spPr>
                        <a:xfrm>
                          <a:off x="0" y="0"/>
                          <a:ext cx="914400" cy="648335"/>
                        </a:xfrm>
                        <a:prstGeom prst="rect">
                          <a:avLst/>
                        </a:prstGeom>
                        <a:ln>
                          <a:noFill/>
                        </a:ln>
                      </wps:spPr>
                      <wps:txbx>
                        <w:txbxContent>
                          <w:p w14:paraId="05FA31BE">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wps:wsp>
                  </a:graphicData>
                </a:graphic>
              </wp:anchor>
            </w:drawing>
          </mc:Choice>
          <mc:Fallback>
            <w:pict>
              <v:rect id="00018e" o:spid="_x0000_s1026" o:spt="1" style="position:absolute;left:0pt;margin-left:-10.5pt;margin-top:22.45pt;height:51.05pt;width:72pt;z-index:251659264;mso-width-relative:page;mso-height-relative:page;" filled="f" stroked="f" coordsize="21600,21600" o:gfxdata="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6Zm9sAAAAKAQAADwAAAAAAAAABACAAAAAi&#10;AAAAZHJzL2Rvd25yZXYueG1sUEsBAhQAFAAAAAgAh07iQNk0arWVAQAAOAMAAA4AAAAAAAAAAQAg&#10;AAAAKgEAAGRycy9lMm9Eb2MueG1sUEsFBgAAAAAGAAYAWQEAADEFAAAAAA==&#10;">
                <v:fill on="f" focussize="0,0"/>
                <v:stroke on="f"/>
                <v:imagedata o:title=""/>
                <o:lock v:ext="edit" aspectratio="f"/>
                <v:textbox>
                  <w:txbxContent>
                    <w:p w14:paraId="05FA31BE">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rect>
            </w:pict>
          </mc:Fallback>
        </mc:AlternateContent>
      </w:r>
      <w:r>
        <w:rPr>
          <w:rFonts w:hint="eastAsia" w:ascii="宋体" w:hAnsi="宋体" w:eastAsia="宋体" w:cs="宋体"/>
          <w:b/>
          <w:bCs/>
          <w:color w:val="auto"/>
          <w:sz w:val="24"/>
          <w:highlight w:val="none"/>
        </w:rPr>
        <w:t>47.1</w:t>
      </w:r>
    </w:p>
    <w:p w14:paraId="5E63363D">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14:paraId="6B4B5DCE">
      <w:pPr>
        <w:pStyle w:val="6"/>
        <w:tabs>
          <w:tab w:val="left" w:pos="720"/>
          <w:tab w:val="left" w:pos="1080"/>
        </w:tabs>
        <w:adjustRightInd w:val="0"/>
        <w:snapToGrid w:val="0"/>
        <w:spacing w:line="30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212" name="00018f"/>
                <wp:cNvGraphicFramePr/>
                <a:graphic xmlns:a="http://schemas.openxmlformats.org/drawingml/2006/main">
                  <a:graphicData uri="http://schemas.microsoft.com/office/word/2010/wordprocessingShape">
                    <wps:wsp>
                      <wps:cNvSpPr/>
                      <wps:spPr>
                        <a:xfrm>
                          <a:off x="0" y="0"/>
                          <a:ext cx="914400" cy="699135"/>
                        </a:xfrm>
                        <a:prstGeom prst="rect">
                          <a:avLst/>
                        </a:prstGeom>
                        <a:ln>
                          <a:noFill/>
                        </a:ln>
                      </wps:spPr>
                      <wps:txbx>
                        <w:txbxContent>
                          <w:p w14:paraId="5F44CC60">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60A26288">
                            <w:pPr>
                              <w:spacing w:line="200" w:lineRule="exact"/>
                              <w:rPr>
                                <w:sz w:val="18"/>
                                <w:szCs w:val="18"/>
                              </w:rPr>
                            </w:pPr>
                          </w:p>
                        </w:txbxContent>
                      </wps:txbx>
                      <wps:bodyPr wrap="square"/>
                    </wps:wsp>
                  </a:graphicData>
                </a:graphic>
              </wp:anchor>
            </w:drawing>
          </mc:Choice>
          <mc:Fallback>
            <w:pict>
              <v:rect id="00018f" o:spid="_x0000_s1026" o:spt="1" style="position:absolute;left:0pt;margin-left:-10.5pt;margin-top:15.7pt;height:55.05pt;width:72pt;z-index:251659264;mso-width-relative:page;mso-height-relative:page;" filled="f" stroked="f" coordsize="21600,21600" o:gfxdata="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iSbD99oAAAAKAQAADwAAAAAAAAABACAAAAAi&#10;AAAAZHJzL2Rvd25yZXYueG1sUEsBAhQAFAAAAAgAh07iQD8Jq1CWAQAAOAMAAA4AAAAAAAAAAQAg&#10;AAAAKQEAAGRycy9lMm9Eb2MueG1sUEsFBgAAAAAGAAYAWQEAADEFAAAAAA==&#10;">
                <v:fill on="f" focussize="0,0"/>
                <v:stroke on="f"/>
                <v:imagedata o:title=""/>
                <o:lock v:ext="edit" aspectratio="f"/>
                <v:textbox>
                  <w:txbxContent>
                    <w:p w14:paraId="5F44CC60">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60A26288">
                      <w:pPr>
                        <w:spacing w:line="200" w:lineRule="exact"/>
                        <w:rPr>
                          <w:sz w:val="18"/>
                          <w:szCs w:val="18"/>
                        </w:rPr>
                      </w:pPr>
                    </w:p>
                  </w:txbxContent>
                </v:textbox>
              </v:rect>
            </w:pict>
          </mc:Fallback>
        </mc:AlternateContent>
      </w:r>
      <w:r>
        <w:rPr>
          <w:rFonts w:hint="eastAsia" w:ascii="宋体" w:hAnsi="宋体" w:eastAsia="宋体" w:cs="宋体"/>
          <w:b/>
          <w:bCs/>
          <w:color w:val="auto"/>
          <w:sz w:val="24"/>
          <w:highlight w:val="none"/>
        </w:rPr>
        <w:t xml:space="preserve">47.2 </w:t>
      </w:r>
      <w:r>
        <w:rPr>
          <w:rFonts w:hint="eastAsia" w:ascii="宋体" w:hAnsi="宋体" w:eastAsia="宋体" w:cs="宋体"/>
          <w:b/>
          <w:bCs/>
          <w:color w:val="auto"/>
          <w:sz w:val="24"/>
          <w:highlight w:val="none"/>
          <w:u w:val="dotted"/>
        </w:rPr>
        <w:t xml:space="preserve">                                                                               </w:t>
      </w:r>
    </w:p>
    <w:p w14:paraId="66B4B80C">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除工程量清单中已列有此类工作的支付项目和额度外，此项工作所发生的一切费用，经造价工程师核实后，由合同双方当事人按照第72条规定办理。</w:t>
      </w:r>
    </w:p>
    <w:p w14:paraId="63DA09A8">
      <w:pPr>
        <w:pStyle w:val="24"/>
        <w:tabs>
          <w:tab w:val="left" w:pos="540"/>
        </w:tabs>
        <w:adjustRightInd w:val="0"/>
        <w:snapToGrid w:val="0"/>
        <w:spacing w:before="240" w:beforeLines="100"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3C7BF4D2">
      <w:pPr>
        <w:pStyle w:val="6"/>
        <w:adjustRightInd w:val="0"/>
        <w:snapToGrid w:val="0"/>
        <w:spacing w:line="300" w:lineRule="auto"/>
        <w:ind w:firstLine="482"/>
        <w:outlineLvl w:val="2"/>
        <w:rPr>
          <w:rFonts w:ascii="宋体" w:hAnsi="宋体" w:eastAsia="宋体" w:cs="宋体"/>
          <w:b/>
          <w:bCs/>
          <w:color w:val="auto"/>
          <w:sz w:val="24"/>
          <w:highlight w:val="none"/>
        </w:rPr>
      </w:pPr>
      <w:bookmarkStart w:id="126" w:name="_Toc46860852"/>
      <w:bookmarkStart w:id="127" w:name="_Toc469384031"/>
      <w:r>
        <w:rPr>
          <w:rFonts w:hint="eastAsia" w:ascii="宋体" w:hAnsi="宋体" w:eastAsia="宋体" w:cs="宋体"/>
          <w:b/>
          <w:bCs/>
          <w:color w:val="auto"/>
          <w:sz w:val="24"/>
          <w:highlight w:val="none"/>
        </w:rPr>
        <w:t>48  发包人供应材料和工程设备</w:t>
      </w:r>
      <w:bookmarkEnd w:id="126"/>
      <w:bookmarkEnd w:id="127"/>
    </w:p>
    <w:p w14:paraId="13D23FB6">
      <w:pPr>
        <w:pStyle w:val="6"/>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213" name="000190"/>
                <wp:cNvGraphicFramePr/>
                <a:graphic xmlns:a="http://schemas.openxmlformats.org/drawingml/2006/main">
                  <a:graphicData uri="http://schemas.microsoft.com/office/word/2010/wordprocessingShape">
                    <wps:wsp>
                      <wps:cNvSpPr/>
                      <wps:spPr>
                        <a:xfrm>
                          <a:off x="0" y="0"/>
                          <a:ext cx="914400" cy="514985"/>
                        </a:xfrm>
                        <a:prstGeom prst="rect">
                          <a:avLst/>
                        </a:prstGeom>
                        <a:ln>
                          <a:noFill/>
                        </a:ln>
                      </wps:spPr>
                      <wps:txbx>
                        <w:txbxContent>
                          <w:p w14:paraId="1F6FCB40">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wps:wsp>
                  </a:graphicData>
                </a:graphic>
              </wp:anchor>
            </w:drawing>
          </mc:Choice>
          <mc:Fallback>
            <w:pict>
              <v:rect id="000190" o:spid="_x0000_s1026" o:spt="1" style="position:absolute;left:0pt;margin-left:-9pt;margin-top:21.95pt;height:40.55pt;width:72pt;z-index:251659264;mso-width-relative:page;mso-height-relative:page;" filled="f" stroked="f" coordsize="21600,21600" o:gfxdata="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6jbcJ2gAAAAoBAAAPAAAAAAAAAAEAIAAAACIA&#10;AABkcnMvZG93bnJldi54bWxQSwECFAAUAAAACACHTuJAHM/i35UBAAA4AwAADgAAAAAAAAABACAA&#10;AAApAQAAZHJzL2Uyb0RvYy54bWxQSwUGAAAAAAYABgBZAQAAMAUAAAAA&#10;">
                <v:fill on="f" focussize="0,0"/>
                <v:stroke on="f"/>
                <v:imagedata o:title=""/>
                <o:lock v:ext="edit" aspectratio="f"/>
                <v:textbox>
                  <w:txbxContent>
                    <w:p w14:paraId="1F6FCB40">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rect>
            </w:pict>
          </mc:Fallback>
        </mc:AlternateContent>
      </w:r>
      <w:r>
        <w:rPr>
          <w:rFonts w:hint="eastAsia" w:ascii="宋体" w:hAnsi="宋体" w:eastAsia="宋体" w:cs="宋体"/>
          <w:b/>
          <w:bCs/>
          <w:color w:val="auto"/>
          <w:sz w:val="24"/>
          <w:highlight w:val="none"/>
        </w:rPr>
        <w:t>48.1</w:t>
      </w:r>
    </w:p>
    <w:p w14:paraId="34B22FC4">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765432CA">
      <w:pPr>
        <w:pStyle w:val="6"/>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48.2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11F8C448">
      <w:pPr>
        <w:pStyle w:val="6"/>
        <w:adjustRightInd w:val="0"/>
        <w:snapToGrid w:val="0"/>
        <w:spacing w:line="300" w:lineRule="auto"/>
        <w:ind w:left="1575" w:leftChars="750" w:firstLine="0" w:firstLineChars="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214" name="000191"/>
                <wp:cNvGraphicFramePr/>
                <a:graphic xmlns:a="http://schemas.openxmlformats.org/drawingml/2006/main">
                  <a:graphicData uri="http://schemas.microsoft.com/office/word/2010/wordprocessingShape">
                    <wps:wsp>
                      <wps:cNvSpPr/>
                      <wps:spPr>
                        <a:xfrm>
                          <a:off x="0" y="0"/>
                          <a:ext cx="914400" cy="514985"/>
                        </a:xfrm>
                        <a:prstGeom prst="rect">
                          <a:avLst/>
                        </a:prstGeom>
                        <a:ln>
                          <a:noFill/>
                        </a:ln>
                      </wps:spPr>
                      <wps:txbx>
                        <w:txbxContent>
                          <w:p w14:paraId="15C76431">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wps:txbx>
                      <wps:bodyPr wrap="square"/>
                    </wps:wsp>
                  </a:graphicData>
                </a:graphic>
              </wp:anchor>
            </w:drawing>
          </mc:Choice>
          <mc:Fallback>
            <w:pict>
              <v:rect id="000191" o:spid="_x0000_s1026" o:spt="1" style="position:absolute;left:0pt;margin-left:-5.25pt;margin-top:3.75pt;height:40.55pt;width:72pt;z-index:251659264;mso-width-relative:page;mso-height-relative:page;" filled="f" stroked="f" coordsize="21600,21600" o:gfxdata="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peATPZAAAACAEAAA8AAAAAAAAAAQAgAAAAIgAA&#10;AGRycy9kb3ducmV2LnhtbFBLAQIUABQAAAAIAIdO4kALAMHUlQEAADgDAAAOAAAAAAAAAAEAIAAA&#10;ACgBAABkcnMvZTJvRG9jLnhtbFBLBQYAAAAABgAGAFkBAAAvBQAAAAA=&#10;">
                <v:fill on="f" focussize="0,0"/>
                <v:stroke on="f"/>
                <v:imagedata o:title=""/>
                <o:lock v:ext="edit" aspectratio="f"/>
                <v:textbox>
                  <w:txbxContent>
                    <w:p w14:paraId="15C76431">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v:textbox>
              </v:rect>
            </w:pict>
          </mc:Fallback>
        </mc:AlternateContent>
      </w:r>
      <w:r>
        <w:rPr>
          <w:rFonts w:hint="eastAsia" w:ascii="宋体" w:hAnsi="宋体" w:eastAsia="宋体" w:cs="宋体"/>
          <w:color w:val="auto"/>
          <w:sz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6B3DE577">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48.3  </w:t>
      </w:r>
      <w:r>
        <w:rPr>
          <w:rFonts w:hint="eastAsia" w:ascii="宋体" w:hAnsi="宋体" w:eastAsia="宋体" w:cs="宋体"/>
          <w:b/>
          <w:bCs/>
          <w:color w:val="auto"/>
          <w:sz w:val="24"/>
          <w:highlight w:val="none"/>
          <w:u w:val="dotted"/>
        </w:rPr>
        <w:t xml:space="preserve">                                                                                                        </w:t>
      </w:r>
    </w:p>
    <w:p w14:paraId="66047EBF">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215" name="000192"/>
                <wp:cNvGraphicFramePr/>
                <a:graphic xmlns:a="http://schemas.openxmlformats.org/drawingml/2006/main">
                  <a:graphicData uri="http://schemas.microsoft.com/office/word/2010/wordprocessingShape">
                    <wps:wsp>
                      <wps:cNvSpPr/>
                      <wps:spPr>
                        <a:xfrm>
                          <a:off x="0" y="0"/>
                          <a:ext cx="967739" cy="452755"/>
                        </a:xfrm>
                        <a:prstGeom prst="rect">
                          <a:avLst/>
                        </a:prstGeom>
                        <a:ln>
                          <a:noFill/>
                        </a:ln>
                      </wps:spPr>
                      <wps:txbx>
                        <w:txbxContent>
                          <w:p w14:paraId="70EF4F6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wps:txbx>
                      <wps:bodyPr wrap="square"/>
                    </wps:wsp>
                  </a:graphicData>
                </a:graphic>
              </wp:anchor>
            </w:drawing>
          </mc:Choice>
          <mc:Fallback>
            <w:pict>
              <v:rect id="000192" o:spid="_x0000_s1026" o:spt="1" style="position:absolute;left:0pt;margin-left:-9pt;margin-top:0.2pt;height:35.65pt;width:76.2pt;z-index:251659264;mso-width-relative:page;mso-height-relative:page;" filled="f" stroked="f" coordsize="21600,21600" o:gfxdata="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fNAh2AAAAAcBAAAPAAAAAAAAAAEAIAAAACIA&#10;AABkcnMvZG93bnJldi54bWxQSwECFAAUAAAACACHTuJApZDI5pcBAAA4AwAADgAAAAAAAAABACAA&#10;AAAnAQAAZHJzL2Uyb0RvYy54bWxQSwUGAAAAAAYABgBZAQAAMAUAAAAA&#10;">
                <v:fill on="f" focussize="0,0"/>
                <v:stroke on="f"/>
                <v:imagedata o:title=""/>
                <o:lock v:ext="edit" aspectratio="f"/>
                <v:textbox>
                  <w:txbxContent>
                    <w:p w14:paraId="70EF4F6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v:textbox>
              </v:rect>
            </w:pict>
          </mc:Fallback>
        </mc:AlternateContent>
      </w:r>
      <w:r>
        <w:rPr>
          <w:rFonts w:hint="eastAsia" w:ascii="宋体" w:hAnsi="宋体" w:eastAsia="宋体" w:cs="宋体"/>
          <w:color w:val="auto"/>
          <w:sz w:val="24"/>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14:paraId="1412B99A">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48.4  </w:t>
      </w:r>
      <w:r>
        <w:rPr>
          <w:rFonts w:hint="eastAsia" w:ascii="宋体" w:hAnsi="宋体" w:eastAsia="宋体" w:cs="宋体"/>
          <w:b/>
          <w:bCs/>
          <w:color w:val="auto"/>
          <w:sz w:val="24"/>
          <w:highlight w:val="none"/>
          <w:u w:val="dotted"/>
        </w:rPr>
        <w:t xml:space="preserve">                                                                                                        </w:t>
      </w:r>
    </w:p>
    <w:p w14:paraId="4C4E0CE9">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216" name="000193"/>
                <wp:cNvGraphicFramePr/>
                <a:graphic xmlns:a="http://schemas.openxmlformats.org/drawingml/2006/main">
                  <a:graphicData uri="http://schemas.microsoft.com/office/word/2010/wordprocessingShape">
                    <wps:wsp>
                      <wps:cNvSpPr/>
                      <wps:spPr>
                        <a:xfrm>
                          <a:off x="0" y="0"/>
                          <a:ext cx="914400" cy="1019175"/>
                        </a:xfrm>
                        <a:prstGeom prst="rect">
                          <a:avLst/>
                        </a:prstGeom>
                        <a:ln>
                          <a:noFill/>
                        </a:ln>
                      </wps:spPr>
                      <wps:txbx>
                        <w:txbxContent>
                          <w:p w14:paraId="71B97C6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wps:txbx>
                      <wps:bodyPr wrap="square"/>
                    </wps:wsp>
                  </a:graphicData>
                </a:graphic>
              </wp:anchor>
            </w:drawing>
          </mc:Choice>
          <mc:Fallback>
            <w:pict>
              <v:rect id="000193" o:spid="_x0000_s1026" o:spt="1" style="position:absolute;left:0pt;margin-left:-9pt;margin-top:0.7pt;height:80.25pt;width:72pt;z-index:251659264;mso-width-relative:page;mso-height-relative:page;" filled="f" stroked="f" coordsize="21600,21600" o:gfxdata="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JHmFtgAAAAJAQAADwAAAAAAAAABACAAAAAiAAAA&#10;ZHJzL2Rvd25yZXYueG1sUEsBAhQAFAAAAAgAh07iQJJSXBeVAQAAOQMAAA4AAAAAAAAAAQAgAAAA&#10;JwEAAGRycy9lMm9Eb2MueG1sUEsFBgAAAAAGAAYAWQEAAC4FAAAAAA==&#10;">
                <v:fill on="f" focussize="0,0"/>
                <v:stroke on="f"/>
                <v:imagedata o:title=""/>
                <o:lock v:ext="edit" aspectratio="f"/>
                <v:textbox>
                  <w:txbxContent>
                    <w:p w14:paraId="71B97C6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v:textbox>
              </v:rect>
            </w:pict>
          </mc:Fallback>
        </mc:AlternateContent>
      </w:r>
      <w:r>
        <w:rPr>
          <w:rFonts w:hint="eastAsia" w:ascii="宋体" w:hAnsi="宋体" w:eastAsia="宋体" w:cs="宋体"/>
          <w:color w:val="auto"/>
          <w:sz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3D51FB52">
      <w:pPr>
        <w:pStyle w:val="6"/>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48.5  </w:t>
      </w:r>
      <w:r>
        <w:rPr>
          <w:rFonts w:hint="eastAsia" w:ascii="宋体" w:hAnsi="宋体" w:eastAsia="宋体" w:cs="宋体"/>
          <w:color w:val="auto"/>
          <w:sz w:val="24"/>
          <w:highlight w:val="none"/>
          <w:u w:val="dotted"/>
        </w:rPr>
        <w:t xml:space="preserve">                                                                                                        </w:t>
      </w:r>
    </w:p>
    <w:p w14:paraId="301946C4">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217" name="000194"/>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5759FBA2">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wps:txbx>
                      <wps:bodyPr wrap="square"/>
                    </wps:wsp>
                  </a:graphicData>
                </a:graphic>
              </wp:anchor>
            </w:drawing>
          </mc:Choice>
          <mc:Fallback>
            <w:pict>
              <v:rect id="000194" o:spid="_x0000_s1026" o:spt="1" style="position:absolute;left:0pt;margin-left:-9pt;margin-top:0.7pt;height:46.8pt;width:72pt;z-index:251659264;mso-width-relative:page;mso-height-relative:page;" filled="f" stroked="f" coordsize="21600,21600" o:gfxdata="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BNFHH2AAAAAgBAAAPAAAAAAAAAAEAIAAAACIA&#10;AABkcnMvZG93bnJldi54bWxQSwECFAAUAAAACACHTuJAXG1QhJcBAAA4AwAADgAAAAAAAAABACAA&#10;AAAnAQAAZHJzL2Uyb0RvYy54bWxQSwUGAAAAAAYABgBZAQAAMAUAAAAA&#10;">
                <v:fill on="f" focussize="0,0"/>
                <v:stroke on="f"/>
                <v:imagedata o:title=""/>
                <o:lock v:ext="edit" aspectratio="f"/>
                <v:textbox>
                  <w:txbxContent>
                    <w:p w14:paraId="5759FBA2">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v:textbox>
              </v:rect>
            </w:pict>
          </mc:Fallback>
        </mc:AlternateContent>
      </w:r>
      <w:r>
        <w:rPr>
          <w:rFonts w:hint="eastAsia" w:ascii="宋体" w:hAnsi="宋体" w:eastAsia="宋体" w:cs="宋体"/>
          <w:color w:val="auto"/>
          <w:sz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7F1FC3CA">
      <w:pPr>
        <w:pStyle w:val="6"/>
        <w:adjustRightInd w:val="0"/>
        <w:snapToGrid w:val="0"/>
        <w:spacing w:line="300" w:lineRule="auto"/>
        <w:ind w:firstLine="482"/>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48.6  </w:t>
      </w:r>
      <w:r>
        <w:rPr>
          <w:rFonts w:hint="eastAsia" w:ascii="宋体" w:hAnsi="宋体" w:eastAsia="宋体" w:cs="宋体"/>
          <w:b/>
          <w:bCs/>
          <w:color w:val="auto"/>
          <w:sz w:val="24"/>
          <w:highlight w:val="none"/>
          <w:u w:val="dotted"/>
        </w:rPr>
        <w:t xml:space="preserve">                                                                                                        </w:t>
      </w:r>
    </w:p>
    <w:p w14:paraId="2DAC9C20">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218" name="000195"/>
                <wp:cNvGraphicFramePr/>
                <a:graphic xmlns:a="http://schemas.openxmlformats.org/drawingml/2006/main">
                  <a:graphicData uri="http://schemas.microsoft.com/office/word/2010/wordprocessingShape">
                    <wps:wsp>
                      <wps:cNvSpPr/>
                      <wps:spPr>
                        <a:xfrm>
                          <a:off x="0" y="0"/>
                          <a:ext cx="914400" cy="908684"/>
                        </a:xfrm>
                        <a:prstGeom prst="rect">
                          <a:avLst/>
                        </a:prstGeom>
                        <a:ln>
                          <a:noFill/>
                        </a:ln>
                      </wps:spPr>
                      <wps:txbx>
                        <w:txbxContent>
                          <w:p w14:paraId="2578F7F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wps:txbx>
                      <wps:bodyPr wrap="square"/>
                    </wps:wsp>
                  </a:graphicData>
                </a:graphic>
              </wp:anchor>
            </w:drawing>
          </mc:Choice>
          <mc:Fallback>
            <w:pict>
              <v:rect id="000195" o:spid="_x0000_s1026" o:spt="1" style="position:absolute;left:0pt;margin-left:-9pt;margin-top:1.45pt;height:71.55pt;width:72pt;z-index:251659264;mso-width-relative:page;mso-height-relative:page;" filled="f" stroked="f" coordsize="21600,21600" o:gfxdata="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0kfIstgAAAAJAQAADwAAAAAAAAABACAAAAAiAAAA&#10;ZHJzL2Rvd25yZXYueG1sUEsBAhQAFAAAAAgAh07iQARIW9eVAQAAOAMAAA4AAAAAAAAAAQAgAAAA&#10;JwEAAGRycy9lMm9Eb2MueG1sUEsFBgAAAAAGAAYAWQEAAC4FAAAAAA==&#10;">
                <v:fill on="f" focussize="0,0"/>
                <v:stroke on="f"/>
                <v:imagedata o:title=""/>
                <o:lock v:ext="edit" aspectratio="f"/>
                <v:textbox>
                  <w:txbxContent>
                    <w:p w14:paraId="2578F7F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v:textbox>
              </v:rect>
            </w:pict>
          </mc:Fallback>
        </mc:AlternateContent>
      </w:r>
      <w:r>
        <w:rPr>
          <w:rFonts w:hint="eastAsia" w:ascii="宋体" w:hAnsi="宋体" w:eastAsia="宋体" w:cs="宋体"/>
          <w:color w:val="auto"/>
          <w:sz w:val="24"/>
          <w:highlight w:val="none"/>
        </w:rPr>
        <w:t>发包人供应的材料和工程设备与一览表不符时，发包人应按照下列规定承担相应责任：</w:t>
      </w:r>
    </w:p>
    <w:p w14:paraId="04660471">
      <w:pPr>
        <w:pStyle w:val="6"/>
        <w:numPr>
          <w:ilvl w:val="0"/>
          <w:numId w:val="20"/>
        </w:numPr>
        <w:tabs>
          <w:tab w:val="left" w:pos="1080"/>
          <w:tab w:val="left" w:pos="2160"/>
        </w:tabs>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材料和工程设备的单价与一览表不符，由发包人承担所有价差；</w:t>
      </w:r>
    </w:p>
    <w:p w14:paraId="1F6E8F5F">
      <w:pPr>
        <w:pStyle w:val="6"/>
        <w:numPr>
          <w:ilvl w:val="0"/>
          <w:numId w:val="20"/>
        </w:numPr>
        <w:tabs>
          <w:tab w:val="left" w:pos="1080"/>
          <w:tab w:val="left" w:pos="1620"/>
        </w:tabs>
        <w:adjustRightInd w:val="0"/>
        <w:snapToGrid w:val="0"/>
        <w:spacing w:line="300" w:lineRule="auto"/>
        <w:ind w:left="1617" w:leftChars="769" w:hanging="2" w:hangingChars="1"/>
        <w:rPr>
          <w:rFonts w:ascii="宋体" w:hAnsi="宋体" w:eastAsia="宋体" w:cs="宋体"/>
          <w:color w:val="auto"/>
          <w:sz w:val="24"/>
          <w:highlight w:val="none"/>
        </w:rPr>
      </w:pPr>
      <w:r>
        <w:rPr>
          <w:rFonts w:hint="eastAsia" w:ascii="宋体" w:hAnsi="宋体" w:eastAsia="宋体" w:cs="宋体"/>
          <w:color w:val="auto"/>
          <w:sz w:val="24"/>
          <w:highlight w:val="none"/>
        </w:rPr>
        <w:t>材料和工程设备的品种、规格、型号、质量标准与一览表不符，承包人可以拒绝接受保管，由发包人运出施工场地并重新采购；</w:t>
      </w:r>
    </w:p>
    <w:p w14:paraId="7F3BD17D">
      <w:pPr>
        <w:pStyle w:val="6"/>
        <w:numPr>
          <w:ilvl w:val="0"/>
          <w:numId w:val="20"/>
        </w:numPr>
        <w:tabs>
          <w:tab w:val="left" w:pos="1080"/>
          <w:tab w:val="left" w:pos="1620"/>
        </w:tabs>
        <w:adjustRightInd w:val="0"/>
        <w:snapToGrid w:val="0"/>
        <w:spacing w:line="300" w:lineRule="auto"/>
        <w:ind w:left="1617" w:leftChars="769" w:hanging="2" w:hangingChars="1"/>
        <w:rPr>
          <w:rFonts w:ascii="宋体" w:hAnsi="宋体" w:eastAsia="宋体" w:cs="宋体"/>
          <w:color w:val="auto"/>
          <w:sz w:val="24"/>
          <w:highlight w:val="none"/>
        </w:rPr>
      </w:pPr>
      <w:r>
        <w:rPr>
          <w:rFonts w:hint="eastAsia" w:ascii="宋体" w:hAnsi="宋体" w:eastAsia="宋体" w:cs="宋体"/>
          <w:color w:val="auto"/>
          <w:sz w:val="24"/>
          <w:highlight w:val="none"/>
        </w:rPr>
        <w:t>材料和工程设备的品种、规格、型号、质量标准与一览表不符，经发包人同意，承包人可代为调剂替换，由发包人承担相应费用；</w:t>
      </w:r>
    </w:p>
    <w:p w14:paraId="1716F74E">
      <w:pPr>
        <w:pStyle w:val="6"/>
        <w:numPr>
          <w:ilvl w:val="0"/>
          <w:numId w:val="20"/>
        </w:numPr>
        <w:tabs>
          <w:tab w:val="clear" w:pos="1560"/>
        </w:tabs>
        <w:adjustRightInd w:val="0"/>
        <w:snapToGrid w:val="0"/>
        <w:spacing w:line="300" w:lineRule="auto"/>
        <w:ind w:left="1618" w:leftChars="770" w:hanging="1" w:firstLineChars="0"/>
        <w:rPr>
          <w:rFonts w:ascii="宋体" w:hAnsi="宋体" w:eastAsia="宋体" w:cs="宋体"/>
          <w:color w:val="auto"/>
          <w:sz w:val="24"/>
          <w:highlight w:val="none"/>
        </w:rPr>
      </w:pPr>
      <w:r>
        <w:rPr>
          <w:rFonts w:hint="eastAsia" w:ascii="宋体" w:hAnsi="宋体" w:eastAsia="宋体" w:cs="宋体"/>
          <w:color w:val="auto"/>
          <w:sz w:val="24"/>
          <w:highlight w:val="none"/>
        </w:rPr>
        <w:t>交货地点与一览表不符，除合同双方当事人协商确定外，由发包人重新运至一览表指定地点，并承担由此增加的费用和（或）延误的工期；</w:t>
      </w:r>
    </w:p>
    <w:p w14:paraId="759C2F2E">
      <w:pPr>
        <w:pStyle w:val="6"/>
        <w:tabs>
          <w:tab w:val="left" w:pos="2160"/>
        </w:tabs>
        <w:adjustRightInd w:val="0"/>
        <w:snapToGrid w:val="0"/>
        <w:spacing w:line="300" w:lineRule="auto"/>
        <w:ind w:left="1678" w:leftChars="750" w:hanging="103" w:hangingChars="43"/>
        <w:rPr>
          <w:rFonts w:ascii="宋体" w:hAnsi="宋体" w:eastAsia="宋体" w:cs="宋体"/>
          <w:color w:val="auto"/>
          <w:sz w:val="24"/>
          <w:highlight w:val="none"/>
        </w:rPr>
      </w:pPr>
      <w:r>
        <w:rPr>
          <w:rFonts w:hint="eastAsia" w:ascii="宋体" w:hAnsi="宋体" w:eastAsia="宋体" w:cs="宋体"/>
          <w:color w:val="auto"/>
          <w:sz w:val="24"/>
          <w:highlight w:val="none"/>
        </w:rPr>
        <w:t>(5)供应数量少于一览表约定的数量时，由发包人补齐；多于一览表约定的数量时，发包人应将多出的部分运出施工场地；</w:t>
      </w:r>
    </w:p>
    <w:p w14:paraId="43D977AA">
      <w:pPr>
        <w:pStyle w:val="6"/>
        <w:tabs>
          <w:tab w:val="left" w:pos="1980"/>
        </w:tabs>
        <w:adjustRightInd w:val="0"/>
        <w:snapToGrid w:val="0"/>
        <w:spacing w:line="300" w:lineRule="auto"/>
        <w:ind w:left="1680" w:leftChars="800"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(6)交货时间早于一览表约定计划和第48.2款交货日期，由发包人承担由此发生的保管费；交货时间迟于一览表约定计划和第48.2款交货日期，由发包人承担由此增加的费用和（或）延误的工期。</w:t>
      </w:r>
    </w:p>
    <w:p w14:paraId="44352466">
      <w:pPr>
        <w:pStyle w:val="6"/>
        <w:tabs>
          <w:tab w:val="left" w:pos="216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48.7 </w:t>
      </w:r>
      <w:r>
        <w:rPr>
          <w:rFonts w:hint="eastAsia" w:ascii="宋体" w:hAnsi="宋体" w:eastAsia="宋体" w:cs="宋体"/>
          <w:b/>
          <w:bCs/>
          <w:color w:val="auto"/>
          <w:sz w:val="24"/>
          <w:highlight w:val="none"/>
          <w:u w:val="dotted"/>
        </w:rPr>
        <w:t xml:space="preserve">                                                                                 </w:t>
      </w:r>
    </w:p>
    <w:p w14:paraId="1F61CFFF">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219" name="000196"/>
                <wp:cNvGraphicFramePr/>
                <a:graphic xmlns:a="http://schemas.openxmlformats.org/drawingml/2006/main">
                  <a:graphicData uri="http://schemas.microsoft.com/office/word/2010/wordprocessingShape">
                    <wps:wsp>
                      <wps:cNvSpPr/>
                      <wps:spPr>
                        <a:xfrm>
                          <a:off x="0" y="0"/>
                          <a:ext cx="914400" cy="611505"/>
                        </a:xfrm>
                        <a:prstGeom prst="rect">
                          <a:avLst/>
                        </a:prstGeom>
                        <a:ln>
                          <a:noFill/>
                        </a:ln>
                      </wps:spPr>
                      <wps:txbx>
                        <w:txbxContent>
                          <w:p w14:paraId="51B228F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wps:wsp>
                  </a:graphicData>
                </a:graphic>
              </wp:anchor>
            </w:drawing>
          </mc:Choice>
          <mc:Fallback>
            <w:pict>
              <v:rect id="000196" o:spid="_x0000_s1026" o:spt="1" style="position:absolute;left:0pt;margin-left:-9pt;margin-top:1.35pt;height:48.15pt;width:72pt;z-index:251659264;mso-width-relative:page;mso-height-relative:page;" filled="f" stroked="f" coordsize="21600,21600" o:gfxdata="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&#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dE3mKtgAAAAIAQAADwAAAAAAAAABACAAAAAiAAAA&#10;ZHJzL2Rvd25yZXYueG1sUEsBAhQAFAAAAAgAh07iQKEWzEmVAQAAOAMAAA4AAAAAAAAAAQAgAAAA&#10;JwEAAGRycy9lMm9Eb2MueG1sUEsFBgAAAAAGAAYAWQEAAC4FAAAAAA==&#10;">
                <v:fill on="f" focussize="0,0"/>
                <v:stroke on="f"/>
                <v:imagedata o:title=""/>
                <o:lock v:ext="edit" aspectratio="f"/>
                <v:textbox>
                  <w:txbxContent>
                    <w:p w14:paraId="51B228F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rect>
            </w:pict>
          </mc:Fallback>
        </mc:AlternateContent>
      </w:r>
      <w:r>
        <w:rPr>
          <w:rFonts w:hint="eastAsia" w:ascii="宋体" w:hAnsi="宋体" w:eastAsia="宋体" w:cs="宋体"/>
          <w:color w:val="auto"/>
          <w:sz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2B66937B">
      <w:pPr>
        <w:pStyle w:val="6"/>
        <w:adjustRightInd w:val="0"/>
        <w:snapToGrid w:val="0"/>
        <w:spacing w:before="120" w:beforeLines="50"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48.8  </w:t>
      </w:r>
      <w:r>
        <w:rPr>
          <w:rFonts w:hint="eastAsia" w:ascii="宋体" w:hAnsi="宋体" w:eastAsia="宋体" w:cs="宋体"/>
          <w:b/>
          <w:bCs/>
          <w:color w:val="auto"/>
          <w:sz w:val="24"/>
          <w:highlight w:val="none"/>
          <w:u w:val="dotted"/>
        </w:rPr>
        <w:t xml:space="preserve">                                                                                                        </w:t>
      </w:r>
    </w:p>
    <w:p w14:paraId="50F71636">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220" name="000197"/>
                <wp:cNvGraphicFramePr/>
                <a:graphic xmlns:a="http://schemas.openxmlformats.org/drawingml/2006/main">
                  <a:graphicData uri="http://schemas.microsoft.com/office/word/2010/wordprocessingShape">
                    <wps:wsp>
                      <wps:cNvSpPr/>
                      <wps:spPr>
                        <a:xfrm>
                          <a:off x="0" y="0"/>
                          <a:ext cx="1028700" cy="297180"/>
                        </a:xfrm>
                        <a:prstGeom prst="rect">
                          <a:avLst/>
                        </a:prstGeom>
                        <a:ln>
                          <a:noFill/>
                        </a:ln>
                      </wps:spPr>
                      <wps:txbx>
                        <w:txbxContent>
                          <w:p w14:paraId="3B8E74DB">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wps:wsp>
                  </a:graphicData>
                </a:graphic>
              </wp:anchor>
            </w:drawing>
          </mc:Choice>
          <mc:Fallback>
            <w:pict>
              <v:rect id="000197" o:spid="_x0000_s1026" o:spt="1" style="position:absolute;left:0pt;margin-left:-9pt;margin-top:0.6pt;height:23.4pt;width:81pt;z-index:251659264;mso-width-relative:page;mso-height-relative:page;" filled="f" stroked="f" coordsize="21600,21600" o:gfxdata="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&#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gYRuC1wAAAAgBAAAPAAAAAAAAAAEAIAAAACIAAABk&#10;cnMvZG93bnJldi54bWxQSwECFAAUAAAACACHTuJAUaB3PJUBAAA5AwAADgAAAAAAAAABACAAAAAm&#10;AQAAZHJzL2Uyb0RvYy54bWxQSwUGAAAAAAYABgBZAQAALQUAAAAA&#10;">
                <v:fill on="f" focussize="0,0"/>
                <v:stroke on="f"/>
                <v:imagedata o:title=""/>
                <o:lock v:ext="edit" aspectratio="f"/>
                <v:textbox>
                  <w:txbxContent>
                    <w:p w14:paraId="3B8E74DB">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rect>
            </w:pict>
          </mc:Fallback>
        </mc:AlternateContent>
      </w:r>
      <w:r>
        <w:rPr>
          <w:rFonts w:hint="eastAsia" w:ascii="宋体" w:hAnsi="宋体" w:eastAsia="宋体" w:cs="宋体"/>
          <w:color w:val="auto"/>
          <w:sz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6E7F1E73">
      <w:pPr>
        <w:pStyle w:val="6"/>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1A25CA6E">
      <w:pPr>
        <w:pStyle w:val="6"/>
        <w:adjustRightInd w:val="0"/>
        <w:snapToGrid w:val="0"/>
        <w:spacing w:line="300" w:lineRule="auto"/>
        <w:ind w:firstLine="482"/>
        <w:outlineLvl w:val="2"/>
        <w:rPr>
          <w:rFonts w:ascii="宋体" w:hAnsi="宋体" w:eastAsia="宋体" w:cs="宋体"/>
          <w:b/>
          <w:bCs/>
          <w:color w:val="auto"/>
          <w:sz w:val="24"/>
          <w:highlight w:val="none"/>
        </w:rPr>
      </w:pPr>
      <w:bookmarkStart w:id="128" w:name="_Toc469384032"/>
      <w:bookmarkStart w:id="129" w:name="_Toc46860853"/>
      <w:r>
        <w:rPr>
          <w:rFonts w:hint="eastAsia" w:ascii="宋体" w:hAnsi="宋体" w:eastAsia="宋体" w:cs="宋体"/>
          <w:b/>
          <w:bCs/>
          <w:color w:val="auto"/>
          <w:sz w:val="24"/>
          <w:highlight w:val="none"/>
        </w:rPr>
        <w:t>49  承包人采购材料和工程设备</w:t>
      </w:r>
      <w:bookmarkEnd w:id="128"/>
      <w:bookmarkEnd w:id="129"/>
    </w:p>
    <w:p w14:paraId="1CE0AF92">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49.1 </w:t>
      </w:r>
    </w:p>
    <w:p w14:paraId="71F29D72">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221" name="000198"/>
                <wp:cNvGraphicFramePr/>
                <a:graphic xmlns:a="http://schemas.openxmlformats.org/drawingml/2006/main">
                  <a:graphicData uri="http://schemas.microsoft.com/office/word/2010/wordprocessingShape">
                    <wps:wsp>
                      <wps:cNvSpPr/>
                      <wps:spPr>
                        <a:xfrm>
                          <a:off x="0" y="0"/>
                          <a:ext cx="914400" cy="486410"/>
                        </a:xfrm>
                        <a:prstGeom prst="rect">
                          <a:avLst/>
                        </a:prstGeom>
                        <a:ln>
                          <a:noFill/>
                        </a:ln>
                      </wps:spPr>
                      <wps:txbx>
                        <w:txbxContent>
                          <w:p w14:paraId="65C5A2F2">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wps:wsp>
                  </a:graphicData>
                </a:graphic>
              </wp:anchor>
            </w:drawing>
          </mc:Choice>
          <mc:Fallback>
            <w:pict>
              <v:rect id="000198" o:spid="_x0000_s1026" o:spt="1" style="position:absolute;left:0pt;margin-left:-9pt;margin-top:1.35pt;height:38.3pt;width:72pt;z-index:251659264;mso-width-relative:page;mso-height-relative:page;" filled="f" stroked="f" coordsize="21600,21600" o:gfxdata="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3Hf1rZAAAACAEAAA8AAAAAAAAAAQAgAAAAIgAA&#10;AGRycy9kb3ducmV2LnhtbFBLAQIUABQAAAAIAIdO4kBmHvxxlQEAADgDAAAOAAAAAAAAAAEAIAAA&#10;ACgBAABkcnMvZTJvRG9jLnhtbFBLBQYAAAAABgAGAFkBAAAvBQAAAAA=&#10;">
                <v:fill on="f" focussize="0,0"/>
                <v:stroke on="f"/>
                <v:imagedata o:title=""/>
                <o:lock v:ext="edit" aspectratio="f"/>
                <v:textbox>
                  <w:txbxContent>
                    <w:p w14:paraId="65C5A2F2">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rect>
            </w:pict>
          </mc:Fallback>
        </mc:AlternateContent>
      </w:r>
      <w:r>
        <w:rPr>
          <w:rFonts w:hint="eastAsia" w:ascii="宋体" w:hAnsi="宋体" w:eastAsia="宋体" w:cs="宋体"/>
          <w:color w:val="auto"/>
          <w:sz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60F5F60C">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49.2 </w:t>
      </w:r>
      <w:r>
        <w:rPr>
          <w:rFonts w:hint="eastAsia" w:ascii="宋体" w:hAnsi="宋体" w:eastAsia="宋体" w:cs="宋体"/>
          <w:b/>
          <w:bCs/>
          <w:color w:val="auto"/>
          <w:sz w:val="24"/>
          <w:highlight w:val="none"/>
          <w:u w:val="dotted"/>
        </w:rPr>
        <w:t xml:space="preserve">                                                                               </w:t>
      </w:r>
    </w:p>
    <w:p w14:paraId="2B67E0A2">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222" name="000199"/>
                <wp:cNvGraphicFramePr/>
                <a:graphic xmlns:a="http://schemas.openxmlformats.org/drawingml/2006/main">
                  <a:graphicData uri="http://schemas.microsoft.com/office/word/2010/wordprocessingShape">
                    <wps:wsp>
                      <wps:cNvSpPr/>
                      <wps:spPr>
                        <a:xfrm>
                          <a:off x="0" y="0"/>
                          <a:ext cx="914400" cy="486410"/>
                        </a:xfrm>
                        <a:prstGeom prst="rect">
                          <a:avLst/>
                        </a:prstGeom>
                        <a:ln>
                          <a:noFill/>
                        </a:ln>
                      </wps:spPr>
                      <wps:txbx>
                        <w:txbxContent>
                          <w:p w14:paraId="52982B46">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wps:wsp>
                  </a:graphicData>
                </a:graphic>
              </wp:anchor>
            </w:drawing>
          </mc:Choice>
          <mc:Fallback>
            <w:pict>
              <v:rect id="000199" o:spid="_x0000_s1026" o:spt="1" style="position:absolute;left:0pt;margin-left:-9pt;margin-top:1.35pt;height:38.3pt;width:72pt;z-index:251659264;mso-width-relative:page;mso-height-relative:page;" filled="f" stroked="f" coordsize="21600,21600" o:gfxdata="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3Hf1rZAAAACAEAAA8AAAAAAAAAAQAgAAAAIgAA&#10;AGRycy9kb3ducmV2LnhtbFBLAQIUABQAAAAIAIdO4kBJMss7lQEAADgDAAAOAAAAAAAAAAEAIAAA&#10;ACgBAABkcnMvZTJvRG9jLnhtbFBLBQYAAAAABgAGAFkBAAAvBQAAAAA=&#10;">
                <v:fill on="f" focussize="0,0"/>
                <v:stroke on="f"/>
                <v:imagedata o:title=""/>
                <o:lock v:ext="edit" aspectratio="f"/>
                <v:textbox>
                  <w:txbxContent>
                    <w:p w14:paraId="52982B46">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rect>
            </w:pict>
          </mc:Fallback>
        </mc:AlternateContent>
      </w:r>
      <w:r>
        <w:rPr>
          <w:rFonts w:hint="eastAsia" w:ascii="宋体" w:hAnsi="宋体" w:eastAsia="宋体" w:cs="宋体"/>
          <w:color w:val="auto"/>
          <w:sz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14:paraId="0507561A">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49.3  </w:t>
      </w:r>
      <w:r>
        <w:rPr>
          <w:rFonts w:hint="eastAsia" w:ascii="宋体" w:hAnsi="宋体" w:eastAsia="宋体" w:cs="宋体"/>
          <w:b/>
          <w:bCs/>
          <w:color w:val="auto"/>
          <w:sz w:val="24"/>
          <w:highlight w:val="none"/>
          <w:u w:val="dotted"/>
        </w:rPr>
        <w:t xml:space="preserve">                                                                                                        </w:t>
      </w:r>
    </w:p>
    <w:p w14:paraId="4A2BC9CE">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223" name="00019a"/>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4925AFE7">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wps:wsp>
                  </a:graphicData>
                </a:graphic>
              </wp:anchor>
            </w:drawing>
          </mc:Choice>
          <mc:Fallback>
            <w:pict>
              <v:rect id="00019a" o:spid="_x0000_s1026" o:spt="1" style="position:absolute;left:0pt;margin-left:-9pt;margin-top:0.1pt;height:62.4pt;width:72pt;z-index:251659264;mso-width-relative:page;mso-height-relative:page;" filled="f" stroked="f" coordsize="21600,21600" o:gfxdata="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2HpDJdcAAAAIAQAADwAAAAAAAAABACAAAAAiAAAA&#10;ZHJzL2Rvd25yZXYueG1sUEsBAhQAFAAAAAgAh07iQCtKGeaWAQAAOAMAAA4AAAAAAAAAAQAgAAAA&#10;JgEAAGRycy9lMm9Eb2MueG1sUEsFBgAAAAAGAAYAWQEAAC4FAAAAAA==&#10;">
                <v:fill on="f" focussize="0,0"/>
                <v:stroke on="f"/>
                <v:imagedata o:title=""/>
                <o:lock v:ext="edit" aspectratio="f"/>
                <v:textbox>
                  <w:txbxContent>
                    <w:p w14:paraId="4925AFE7">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rect>
            </w:pict>
          </mc:Fallback>
        </mc:AlternateContent>
      </w:r>
      <w:r>
        <w:rPr>
          <w:rFonts w:hint="eastAsia" w:ascii="宋体" w:hAnsi="宋体" w:eastAsia="宋体" w:cs="宋体"/>
          <w:color w:val="auto"/>
          <w:sz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3130CEA3">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49.4  </w:t>
      </w:r>
      <w:r>
        <w:rPr>
          <w:rFonts w:hint="eastAsia" w:ascii="宋体" w:hAnsi="宋体" w:eastAsia="宋体" w:cs="宋体"/>
          <w:b/>
          <w:bCs/>
          <w:color w:val="auto"/>
          <w:sz w:val="24"/>
          <w:highlight w:val="none"/>
          <w:u w:val="dotted"/>
        </w:rPr>
        <w:t xml:space="preserve">                                                                                                        </w:t>
      </w:r>
    </w:p>
    <w:p w14:paraId="7C9E167E">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224" name="00019b"/>
                <wp:cNvGraphicFramePr/>
                <a:graphic xmlns:a="http://schemas.openxmlformats.org/drawingml/2006/main">
                  <a:graphicData uri="http://schemas.microsoft.com/office/word/2010/wordprocessingShape">
                    <wps:wsp>
                      <wps:cNvSpPr/>
                      <wps:spPr>
                        <a:xfrm>
                          <a:off x="0" y="0"/>
                          <a:ext cx="914400" cy="792480"/>
                        </a:xfrm>
                        <a:prstGeom prst="rect">
                          <a:avLst/>
                        </a:prstGeom>
                        <a:ln>
                          <a:noFill/>
                        </a:ln>
                      </wps:spPr>
                      <wps:txbx>
                        <w:txbxContent>
                          <w:p w14:paraId="47EDEB8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wps:wsp>
                  </a:graphicData>
                </a:graphic>
              </wp:anchor>
            </w:drawing>
          </mc:Choice>
          <mc:Fallback>
            <w:pict>
              <v:rect id="00019b" o:spid="_x0000_s1026" o:spt="1" style="position:absolute;left:0pt;margin-left:-9pt;margin-top:-0.4pt;height:62.4pt;width:72pt;z-index:251659264;mso-width-relative:page;mso-height-relative:page;" filled="f" stroked="f" coordsize="21600,21600" o:gfxdata="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NdAGtcAAAAJAQAADwAAAAAAAAABACAAAAAiAAAA&#10;ZHJzL2Rvd25yZXYueG1sUEsBAhQAFAAAAAgAh07iQMZPyhiWAQAAOAMAAA4AAAAAAAAAAQAgAAAA&#10;JgEAAGRycy9lMm9Eb2MueG1sUEsFBgAAAAAGAAYAWQEAAC4FAAAAAA==&#10;">
                <v:fill on="f" focussize="0,0"/>
                <v:stroke on="f"/>
                <v:imagedata o:title=""/>
                <o:lock v:ext="edit" aspectratio="f"/>
                <v:textbox>
                  <w:txbxContent>
                    <w:p w14:paraId="47EDEB8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rect>
            </w:pict>
          </mc:Fallback>
        </mc:AlternateContent>
      </w:r>
      <w:r>
        <w:rPr>
          <w:rFonts w:hint="eastAsia" w:ascii="宋体" w:hAnsi="宋体" w:eastAsia="宋体" w:cs="宋体"/>
          <w:color w:val="auto"/>
          <w:sz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63E2956D">
      <w:pPr>
        <w:pStyle w:val="6"/>
        <w:adjustRightInd w:val="0"/>
        <w:snapToGrid w:val="0"/>
        <w:spacing w:line="30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225" name="00019c"/>
                <wp:cNvGraphicFramePr/>
                <a:graphic xmlns:a="http://schemas.openxmlformats.org/drawingml/2006/main">
                  <a:graphicData uri="http://schemas.microsoft.com/office/word/2010/wordprocessingShape">
                    <wps:wsp>
                      <wps:cNvSpPr/>
                      <wps:spPr>
                        <a:xfrm>
                          <a:off x="0" y="0"/>
                          <a:ext cx="914400" cy="441960"/>
                        </a:xfrm>
                        <a:prstGeom prst="rect">
                          <a:avLst/>
                        </a:prstGeom>
                        <a:ln>
                          <a:noFill/>
                        </a:ln>
                      </wps:spPr>
                      <wps:txbx>
                        <w:txbxContent>
                          <w:p w14:paraId="5103B09A">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wps:wsp>
                  </a:graphicData>
                </a:graphic>
              </wp:anchor>
            </w:drawing>
          </mc:Choice>
          <mc:Fallback>
            <w:pict>
              <v:rect id="00019c" o:spid="_x0000_s1026" o:spt="1" style="position:absolute;left:0pt;margin-left:-9pt;margin-top:19.1pt;height:34.8pt;width:72pt;z-index:251659264;mso-width-relative:page;mso-height-relative:page;" filled="f" stroked="f" coordsize="21600,21600" o:gfxdata="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7ucYNoAAAAKAQAADwAAAAAAAAABACAAAAAi&#10;AAAAZHJzL2Rvd25yZXYueG1sUEsBAhQAFAAAAAgAh07iQEs/dJ2WAQAAOAMAAA4AAAAAAAAAAQAg&#10;AAAAKQEAAGRycy9lMm9Eb2MueG1sUEsFBgAAAAAGAAYAWQEAADEFAAAAAA==&#10;">
                <v:fill on="f" focussize="0,0"/>
                <v:stroke on="f"/>
                <v:imagedata o:title=""/>
                <o:lock v:ext="edit" aspectratio="f"/>
                <v:textbox>
                  <w:txbxContent>
                    <w:p w14:paraId="5103B09A">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rect>
            </w:pict>
          </mc:Fallback>
        </mc:AlternateContent>
      </w:r>
      <w:r>
        <w:rPr>
          <w:rFonts w:hint="eastAsia" w:ascii="宋体" w:hAnsi="宋体" w:eastAsia="宋体" w:cs="宋体"/>
          <w:b/>
          <w:bCs/>
          <w:color w:val="auto"/>
          <w:sz w:val="24"/>
          <w:highlight w:val="none"/>
        </w:rPr>
        <w:t xml:space="preserve">49.5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160DA41">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14:paraId="7DE7F2B9">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49.6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68E210E0">
      <w:pPr>
        <w:pStyle w:val="6"/>
        <w:tabs>
          <w:tab w:val="left" w:pos="1260"/>
        </w:tabs>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226" name="00019d"/>
                <wp:cNvGraphicFramePr/>
                <a:graphic xmlns:a="http://schemas.openxmlformats.org/drawingml/2006/main">
                  <a:graphicData uri="http://schemas.microsoft.com/office/word/2010/wordprocessingShape">
                    <wps:wsp>
                      <wps:cNvSpPr/>
                      <wps:spPr>
                        <a:xfrm>
                          <a:off x="0" y="0"/>
                          <a:ext cx="914400" cy="410845"/>
                        </a:xfrm>
                        <a:prstGeom prst="rect">
                          <a:avLst/>
                        </a:prstGeom>
                        <a:ln>
                          <a:noFill/>
                        </a:ln>
                      </wps:spPr>
                      <wps:txbx>
                        <w:txbxContent>
                          <w:p w14:paraId="78E7D4C6">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wps:wsp>
                  </a:graphicData>
                </a:graphic>
              </wp:anchor>
            </w:drawing>
          </mc:Choice>
          <mc:Fallback>
            <w:pict>
              <v:rect id="00019d" o:spid="_x0000_s1026" o:spt="1" style="position:absolute;left:0pt;margin-left:-9pt;margin-top:3.6pt;height:32.35pt;width:72pt;z-index:251659264;mso-width-relative:page;mso-height-relative:page;" filled="f" stroked="f" coordsize="21600,21600" o:gfxdata="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JxzL51wAAAAgBAAAPAAAAAAAAAAEAIAAAACIAAABk&#10;cnMvZG93bnJldi54bWxQSwECFAAUAAAACACHTuJAUZg12ZUBAAA4AwAADgAAAAAAAAABACAAAAAm&#10;AQAAZHJzL2Uyb0RvYy54bWxQSwUGAAAAAAYABgBZAQAALQUAAAAA&#10;">
                <v:fill on="f" focussize="0,0"/>
                <v:stroke on="f"/>
                <v:imagedata o:title=""/>
                <o:lock v:ext="edit" aspectratio="f"/>
                <v:textbox>
                  <w:txbxContent>
                    <w:p w14:paraId="78E7D4C6">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rect>
            </w:pict>
          </mc:Fallback>
        </mc:AlternateContent>
      </w:r>
      <w:r>
        <w:rPr>
          <w:rFonts w:hint="eastAsia" w:ascii="宋体" w:hAnsi="宋体" w:eastAsia="宋体" w:cs="宋体"/>
          <w:color w:val="auto"/>
          <w:sz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1197DC3C">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49.7  </w:t>
      </w:r>
      <w:r>
        <w:rPr>
          <w:rFonts w:hint="eastAsia" w:ascii="宋体" w:hAnsi="宋体" w:eastAsia="宋体" w:cs="宋体"/>
          <w:b/>
          <w:bCs/>
          <w:color w:val="auto"/>
          <w:sz w:val="24"/>
          <w:highlight w:val="none"/>
          <w:u w:val="dotted"/>
        </w:rPr>
        <w:t xml:space="preserve">                                                                                                       </w:t>
      </w:r>
    </w:p>
    <w:p w14:paraId="25AD5005">
      <w:pPr>
        <w:pStyle w:val="6"/>
        <w:tabs>
          <w:tab w:val="left" w:pos="1800"/>
        </w:tabs>
        <w:adjustRightInd w:val="0"/>
        <w:snapToGrid w:val="0"/>
        <w:spacing w:before="120" w:beforeLines="50"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227" name="00019e"/>
                <wp:cNvGraphicFramePr/>
                <a:graphic xmlns:a="http://schemas.openxmlformats.org/drawingml/2006/main">
                  <a:graphicData uri="http://schemas.microsoft.com/office/word/2010/wordprocessingShape">
                    <wps:wsp>
                      <wps:cNvSpPr/>
                      <wps:spPr>
                        <a:xfrm>
                          <a:off x="0" y="0"/>
                          <a:ext cx="914400" cy="819150"/>
                        </a:xfrm>
                        <a:prstGeom prst="rect">
                          <a:avLst/>
                        </a:prstGeom>
                        <a:ln>
                          <a:noFill/>
                        </a:ln>
                      </wps:spPr>
                      <wps:txbx>
                        <w:txbxContent>
                          <w:p w14:paraId="790CEDB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wps:wsp>
                  </a:graphicData>
                </a:graphic>
              </wp:anchor>
            </w:drawing>
          </mc:Choice>
          <mc:Fallback>
            <w:pict>
              <v:rect id="00019e" o:spid="_x0000_s1026" o:spt="1" style="position:absolute;left:0pt;margin-left:-9pt;margin-top:2.4pt;height:64.5pt;width:72pt;z-index:251659264;mso-width-relative:page;mso-height-relative:page;" filled="f" stroked="f" coordsize="21600,21600" o:gfxdata="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EbJOLZAAAACQEAAA8AAAAAAAAAAQAgAAAAIgAA&#10;AGRycy9kb3ducmV2LnhtbFBLAQIUABQAAAAIAIdO4kCFuOEvlQEAADgDAAAOAAAAAAAAAAEAIAAA&#10;ACgBAABkcnMvZTJvRG9jLnhtbFBLBQYAAAAABgAGAFkBAAAvBQAAAAA=&#10;">
                <v:fill on="f" focussize="0,0"/>
                <v:stroke on="f"/>
                <v:imagedata o:title=""/>
                <o:lock v:ext="edit" aspectratio="f"/>
                <v:textbox>
                  <w:txbxContent>
                    <w:p w14:paraId="790CEDB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rect>
            </w:pict>
          </mc:Fallback>
        </mc:AlternateContent>
      </w:r>
      <w:r>
        <w:rPr>
          <w:rFonts w:hint="eastAsia" w:ascii="宋体" w:hAnsi="宋体" w:eastAsia="宋体" w:cs="宋体"/>
          <w:color w:val="auto"/>
          <w:sz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4D42C1D3">
      <w:pPr>
        <w:pStyle w:val="6"/>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206375</wp:posOffset>
                </wp:positionV>
                <wp:extent cx="914400" cy="711835"/>
                <wp:effectExtent l="0" t="0" r="0" b="0"/>
                <wp:wrapNone/>
                <wp:docPr id="1228" name="00019f"/>
                <wp:cNvGraphicFramePr/>
                <a:graphic xmlns:a="http://schemas.openxmlformats.org/drawingml/2006/main">
                  <a:graphicData uri="http://schemas.microsoft.com/office/word/2010/wordprocessingShape">
                    <wps:wsp>
                      <wps:cNvSpPr/>
                      <wps:spPr>
                        <a:xfrm>
                          <a:off x="0" y="0"/>
                          <a:ext cx="914400" cy="711835"/>
                        </a:xfrm>
                        <a:prstGeom prst="rect">
                          <a:avLst/>
                        </a:prstGeom>
                        <a:ln>
                          <a:noFill/>
                        </a:ln>
                      </wps:spPr>
                      <wps:txbx>
                        <w:txbxContent>
                          <w:p w14:paraId="408E53A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wps:wsp>
                  </a:graphicData>
                </a:graphic>
              </wp:anchor>
            </w:drawing>
          </mc:Choice>
          <mc:Fallback>
            <w:pict>
              <v:rect id="00019f" o:spid="_x0000_s1026" o:spt="1" style="position:absolute;left:0pt;margin-left:-9pt;margin-top:16.25pt;height:56.05pt;width:72pt;z-index:251659264;mso-width-relative:page;mso-height-relative:page;" filled="f" stroked="f" coordsize="21600,21600" o:gfxdata="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IqCCtsAAAAKAQAADwAAAAAAAAABACAAAAAi&#10;AAAAZHJzL2Rvd25yZXYueG1sUEsBAhQAFAAAAAgAh07iQLQwpSaVAQAAOAMAAA4AAAAAAAAAAQAg&#10;AAAAKgEAAGRycy9lMm9Eb2MueG1sUEsFBgAAAAAGAAYAWQEAADEFAAAAAA==&#10;">
                <v:fill on="f" focussize="0,0"/>
                <v:stroke on="f"/>
                <v:imagedata o:title=""/>
                <o:lock v:ext="edit" aspectratio="f"/>
                <v:textbox>
                  <w:txbxContent>
                    <w:p w14:paraId="408E53A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rect>
            </w:pict>
          </mc:Fallback>
        </mc:AlternateContent>
      </w:r>
      <w:r>
        <w:rPr>
          <w:rFonts w:hint="eastAsia" w:ascii="宋体" w:hAnsi="宋体" w:eastAsia="宋体" w:cs="宋体"/>
          <w:b/>
          <w:bCs/>
          <w:color w:val="auto"/>
          <w:sz w:val="24"/>
          <w:highlight w:val="none"/>
        </w:rPr>
        <w:t xml:space="preserve">49.8  </w:t>
      </w:r>
      <w:r>
        <w:rPr>
          <w:rFonts w:hint="eastAsia" w:ascii="宋体" w:hAnsi="宋体" w:eastAsia="宋体" w:cs="宋体"/>
          <w:b/>
          <w:bCs/>
          <w:color w:val="auto"/>
          <w:sz w:val="24"/>
          <w:highlight w:val="none"/>
          <w:u w:val="dotted"/>
        </w:rPr>
        <w:t xml:space="preserve">                                                                                                        </w:t>
      </w:r>
    </w:p>
    <w:p w14:paraId="35BA1F37">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承包人采购材料和工程设备的，除专用条款另有约定外，发包人不得指定生产厂家或供应商。</w:t>
      </w:r>
    </w:p>
    <w:p w14:paraId="2E2FBB48">
      <w:pPr>
        <w:pStyle w:val="6"/>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4672BA21">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30" w:name="_Toc46860854"/>
      <w:bookmarkStart w:id="131" w:name="_Toc469384033"/>
      <w:r>
        <w:rPr>
          <w:rFonts w:hint="eastAsia" w:hAnsi="宋体" w:eastAsia="宋体" w:cs="宋体"/>
          <w:b/>
          <w:bCs/>
          <w:color w:val="auto"/>
          <w:sz w:val="24"/>
          <w:szCs w:val="24"/>
          <w:highlight w:val="none"/>
        </w:rPr>
        <w:t>50  材料和工程设备的检验试验</w:t>
      </w:r>
      <w:bookmarkEnd w:id="130"/>
      <w:bookmarkEnd w:id="131"/>
    </w:p>
    <w:p w14:paraId="401AB2A4">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50.1</w:t>
      </w:r>
    </w:p>
    <w:p w14:paraId="249E6BBF">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1229" name="0001a0"/>
                <wp:cNvGraphicFramePr/>
                <a:graphic xmlns:a="http://schemas.openxmlformats.org/drawingml/2006/main">
                  <a:graphicData uri="http://schemas.microsoft.com/office/word/2010/wordprocessingShape">
                    <wps:wsp>
                      <wps:cNvSpPr/>
                      <wps:spPr>
                        <a:xfrm>
                          <a:off x="0" y="0"/>
                          <a:ext cx="914400" cy="506095"/>
                        </a:xfrm>
                        <a:prstGeom prst="rect">
                          <a:avLst/>
                        </a:prstGeom>
                        <a:ln>
                          <a:noFill/>
                        </a:ln>
                      </wps:spPr>
                      <wps:txbx>
                        <w:txbxContent>
                          <w:p w14:paraId="0FD520E2">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wps:wsp>
                  </a:graphicData>
                </a:graphic>
              </wp:anchor>
            </w:drawing>
          </mc:Choice>
          <mc:Fallback>
            <w:pict>
              <v:rect id="0001a0" o:spid="_x0000_s1026" o:spt="1" style="position:absolute;left:0pt;margin-left:-9pt;margin-top:0.05pt;height:39.85pt;width:72pt;z-index:251659264;mso-width-relative:page;mso-height-relative:page;" filled="f" stroked="f" coordsize="21600,21600" o:gfxdata="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Br4mVPXAAAABwEAAA8AAAAAAAAAAQAgAAAAIgAAAGRy&#10;cy9kb3ducmV2LnhtbFBLAQIUABQAAAAIAIdO4kDxLTzQlAEAADgDAAAOAAAAAAAAAAEAIAAAACYB&#10;AABkcnMvZTJvRG9jLnhtbFBLBQYAAAAABgAGAFkBAAAsBQAAAAA=&#10;">
                <v:fill on="f" focussize="0,0"/>
                <v:stroke on="f"/>
                <v:imagedata o:title=""/>
                <o:lock v:ext="edit" aspectratio="f"/>
                <v:textbox>
                  <w:txbxContent>
                    <w:p w14:paraId="0FD520E2">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rect>
            </w:pict>
          </mc:Fallback>
        </mc:AlternateContent>
      </w:r>
      <w:r>
        <w:rPr>
          <w:rFonts w:hint="eastAsia" w:ascii="宋体" w:hAnsi="宋体" w:eastAsia="宋体" w:cs="宋体"/>
          <w:color w:val="auto"/>
          <w:sz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14:paraId="2987344F">
      <w:pPr>
        <w:pStyle w:val="6"/>
        <w:tabs>
          <w:tab w:val="left" w:pos="360"/>
          <w:tab w:val="left" w:pos="720"/>
        </w:tabs>
        <w:adjustRightInd w:val="0"/>
        <w:snapToGrid w:val="0"/>
        <w:spacing w:line="300" w:lineRule="auto"/>
        <w:ind w:firstLine="482"/>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50.2  </w:t>
      </w:r>
      <w:r>
        <w:rPr>
          <w:rFonts w:hint="eastAsia" w:ascii="宋体" w:hAnsi="宋体" w:eastAsia="宋体" w:cs="宋体"/>
          <w:b/>
          <w:bCs/>
          <w:color w:val="auto"/>
          <w:sz w:val="24"/>
          <w:highlight w:val="none"/>
          <w:u w:val="dotted"/>
        </w:rPr>
        <w:t xml:space="preserve">                                                                              </w:t>
      </w:r>
    </w:p>
    <w:p w14:paraId="3CA40F89">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1230" name="0001a1"/>
                <wp:cNvGraphicFramePr/>
                <a:graphic xmlns:a="http://schemas.openxmlformats.org/drawingml/2006/main">
                  <a:graphicData uri="http://schemas.microsoft.com/office/word/2010/wordprocessingShape">
                    <wps:wsp>
                      <wps:cNvSpPr/>
                      <wps:spPr>
                        <a:xfrm>
                          <a:off x="0" y="0"/>
                          <a:ext cx="914400" cy="572770"/>
                        </a:xfrm>
                        <a:prstGeom prst="rect">
                          <a:avLst/>
                        </a:prstGeom>
                        <a:ln>
                          <a:noFill/>
                        </a:ln>
                      </wps:spPr>
                      <wps:txbx>
                        <w:txbxContent>
                          <w:p w14:paraId="5035E3D0">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wps:wsp>
                  </a:graphicData>
                </a:graphic>
              </wp:anchor>
            </w:drawing>
          </mc:Choice>
          <mc:Fallback>
            <w:pict>
              <v:rect id="0001a1" o:spid="_x0000_s1026" o:spt="1" style="position:absolute;left:0pt;margin-left:-9pt;margin-top:12.15pt;height:45.1pt;width:72pt;z-index:251659264;mso-width-relative:page;mso-height-relative:page;" filled="f" stroked="f" coordsize="21600,21600" o:gfxdata="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5sRdsAAAAKAQAADwAAAAAAAAABACAAAAAi&#10;AAAAZHJzL2Rvd25yZXYueG1sUEsBAhQAFAAAAAgAh07iQP8GkJqVAQAAOAMAAA4AAAAAAAAAAQAg&#10;AAAAKgEAAGRycy9lMm9Eb2MueG1sUEsFBgAAAAAGAAYAWQEAADEFAAAAAA==&#10;">
                <v:fill on="f" focussize="0,0"/>
                <v:stroke on="f"/>
                <v:imagedata o:title=""/>
                <o:lock v:ext="edit" aspectratio="f"/>
                <v:textbox>
                  <w:txbxContent>
                    <w:p w14:paraId="5035E3D0">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rect>
            </w:pict>
          </mc:Fallback>
        </mc:AlternateContent>
      </w:r>
    </w:p>
    <w:p w14:paraId="63EBC410">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材料和工程设备等产品的检验试验，包括见证取样和不见证取样两种情形：</w:t>
      </w:r>
    </w:p>
    <w:p w14:paraId="032C41EC">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14:paraId="0F405883">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3BEA14FC">
      <w:pPr>
        <w:pStyle w:val="6"/>
        <w:adjustRightInd w:val="0"/>
        <w:snapToGrid w:val="0"/>
        <w:spacing w:line="300" w:lineRule="auto"/>
        <w:ind w:left="1619" w:leftChars="1" w:hanging="1617" w:hangingChars="671"/>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50.3 </w:t>
      </w:r>
      <w:r>
        <w:rPr>
          <w:rFonts w:hint="eastAsia" w:ascii="宋体" w:hAnsi="宋体" w:eastAsia="宋体" w:cs="宋体"/>
          <w:b/>
          <w:bCs/>
          <w:color w:val="auto"/>
          <w:sz w:val="24"/>
          <w:highlight w:val="none"/>
          <w:u w:val="dotted"/>
        </w:rPr>
        <w:t xml:space="preserve">                                                                               </w:t>
      </w:r>
    </w:p>
    <w:p w14:paraId="6683E33F">
      <w:pPr>
        <w:pStyle w:val="6"/>
        <w:adjustRightInd w:val="0"/>
        <w:snapToGrid w:val="0"/>
        <w:spacing w:line="300" w:lineRule="auto"/>
        <w:ind w:left="1575" w:leftChars="750"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1231" name="0001a2"/>
                <wp:cNvGraphicFramePr/>
                <a:graphic xmlns:a="http://schemas.openxmlformats.org/drawingml/2006/main">
                  <a:graphicData uri="http://schemas.microsoft.com/office/word/2010/wordprocessingShape">
                    <wps:wsp>
                      <wps:cNvSpPr/>
                      <wps:spPr>
                        <a:xfrm>
                          <a:off x="0" y="0"/>
                          <a:ext cx="914400" cy="557530"/>
                        </a:xfrm>
                        <a:prstGeom prst="rect">
                          <a:avLst/>
                        </a:prstGeom>
                        <a:ln>
                          <a:noFill/>
                        </a:ln>
                      </wps:spPr>
                      <wps:txbx>
                        <w:txbxContent>
                          <w:p w14:paraId="5ED6282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wps:wsp>
                  </a:graphicData>
                </a:graphic>
              </wp:anchor>
            </w:drawing>
          </mc:Choice>
          <mc:Fallback>
            <w:pict>
              <v:rect id="0001a2" o:spid="_x0000_s1026" o:spt="1" style="position:absolute;left:0pt;margin-left:-5.25pt;margin-top:0.9pt;height:43.9pt;width:72pt;z-index:251659264;mso-width-relative:page;mso-height-relative:page;" filled="f" stroked="f" coordsize="21600,21600" o:gfxdata="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kCYkP9cAAAAIAQAADwAAAAAAAAABACAAAAAiAAAA&#10;ZHJzL2Rvd25yZXYueG1sUEsBAhQAFAAAAAgAh07iQNFdp7iWAQAAOAMAAA4AAAAAAAAAAQAgAAAA&#10;JgEAAGRycy9lMm9Eb2MueG1sUEsFBgAAAAAGAAYAWQEAAC4FAAAAAA==&#10;">
                <v:fill on="f" focussize="0,0"/>
                <v:stroke on="f"/>
                <v:imagedata o:title=""/>
                <o:lock v:ext="edit" aspectratio="f"/>
                <v:textbox>
                  <w:txbxContent>
                    <w:p w14:paraId="5ED6282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rect>
            </w:pict>
          </mc:Fallback>
        </mc:AlternateContent>
      </w:r>
      <w:r>
        <w:rPr>
          <w:rFonts w:hint="eastAsia" w:ascii="宋体" w:hAnsi="宋体" w:eastAsia="宋体" w:cs="宋体"/>
          <w:color w:val="auto"/>
          <w:sz w:val="24"/>
          <w:highlight w:val="none"/>
        </w:rPr>
        <w:t>材料和工程设备等产品检验试验合格的，可在合同工程中使用。材料和工程设备等产品检验试验不合格的，禁止在合同工程中使用，并及时清出施工场地。</w:t>
      </w:r>
    </w:p>
    <w:p w14:paraId="70F1CF0B">
      <w:pPr>
        <w:pStyle w:val="6"/>
        <w:tabs>
          <w:tab w:val="left" w:pos="540"/>
        </w:tabs>
        <w:adjustRightInd w:val="0"/>
        <w:snapToGrid w:val="0"/>
        <w:spacing w:line="300" w:lineRule="auto"/>
        <w:ind w:firstLine="482"/>
        <w:rPr>
          <w:rFonts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50.4  </w:t>
      </w:r>
      <w:r>
        <w:rPr>
          <w:rFonts w:hint="eastAsia" w:ascii="宋体" w:hAnsi="宋体" w:eastAsia="宋体" w:cs="宋体"/>
          <w:b/>
          <w:bCs/>
          <w:color w:val="auto"/>
          <w:sz w:val="24"/>
          <w:highlight w:val="none"/>
          <w:u w:val="dotted"/>
        </w:rPr>
        <w:t xml:space="preserve">                                                                              </w:t>
      </w:r>
    </w:p>
    <w:p w14:paraId="63D7F782">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1232" name="0001a3"/>
                <wp:cNvGraphicFramePr/>
                <a:graphic xmlns:a="http://schemas.openxmlformats.org/drawingml/2006/main">
                  <a:graphicData uri="http://schemas.microsoft.com/office/word/2010/wordprocessingShape">
                    <wps:wsp>
                      <wps:cNvSpPr/>
                      <wps:spPr>
                        <a:xfrm>
                          <a:off x="0" y="0"/>
                          <a:ext cx="914400" cy="555625"/>
                        </a:xfrm>
                        <a:prstGeom prst="rect">
                          <a:avLst/>
                        </a:prstGeom>
                        <a:ln>
                          <a:noFill/>
                        </a:ln>
                      </wps:spPr>
                      <wps:txbx>
                        <w:txbxContent>
                          <w:p w14:paraId="2B62C2E7">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wps:wsp>
                  </a:graphicData>
                </a:graphic>
              </wp:anchor>
            </w:drawing>
          </mc:Choice>
          <mc:Fallback>
            <w:pict>
              <v:rect id="0001a3" o:spid="_x0000_s1026" o:spt="1" style="position:absolute;left:0pt;margin-left:-9pt;margin-top:1.2pt;height:43.75pt;width:72pt;z-index:251659264;mso-width-relative:page;mso-height-relative:page;" filled="f" stroked="f" coordsize="21600,21600" o:gfxdata="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ySifD9gAAAAIAQAADwAAAAAAAAABACAAAAAiAAAA&#10;ZHJzL2Rvd25yZXYueG1sUEsBAhQAFAAAAAgAh07iQNFSKsaVAQAAOAMAAA4AAAAAAAAAAQAgAAAA&#10;JwEAAGRycy9lMm9Eb2MueG1sUEsFBgAAAAAGAAYAWQEAAC4FAAAAAA==&#10;">
                <v:fill on="f" focussize="0,0"/>
                <v:stroke on="f"/>
                <v:imagedata o:title=""/>
                <o:lock v:ext="edit" aspectratio="f"/>
                <v:textbox>
                  <w:txbxContent>
                    <w:p w14:paraId="2B62C2E7">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rect>
            </w:pict>
          </mc:Fallback>
        </mc:AlternateContent>
      </w:r>
      <w:r>
        <w:rPr>
          <w:rFonts w:hint="eastAsia" w:ascii="宋体" w:hAnsi="宋体" w:eastAsia="宋体" w:cs="宋体"/>
          <w:color w:val="auto"/>
          <w:sz w:val="24"/>
          <w:highlight w:val="none"/>
        </w:rPr>
        <w:t>除合同价款已包括外，材料和工程设备等产品的检验试验费，按照实际发生的费用计算。</w:t>
      </w:r>
    </w:p>
    <w:p w14:paraId="12732AD0">
      <w:pPr>
        <w:pStyle w:val="6"/>
        <w:tabs>
          <w:tab w:val="left" w:pos="1620"/>
          <w:tab w:val="left" w:pos="1980"/>
          <w:tab w:val="left" w:pos="2160"/>
        </w:tabs>
        <w:adjustRightInd w:val="0"/>
        <w:snapToGrid w:val="0"/>
        <w:spacing w:line="300" w:lineRule="auto"/>
        <w:ind w:left="1617"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（1）现场使用前材料和工程设备等产品的检验试验，发包人供应的，检验试验费由发包人承担；承包人采购的，检验试验费由承包人承担。</w:t>
      </w:r>
    </w:p>
    <w:p w14:paraId="7D4142A2">
      <w:pPr>
        <w:pStyle w:val="6"/>
        <w:tabs>
          <w:tab w:val="left" w:pos="1620"/>
          <w:tab w:val="left" w:pos="2160"/>
          <w:tab w:val="left" w:pos="2520"/>
        </w:tabs>
        <w:adjustRightInd w:val="0"/>
        <w:snapToGrid w:val="0"/>
        <w:spacing w:line="300" w:lineRule="auto"/>
        <w:ind w:left="1619" w:firstLine="0" w:firstLineChars="0"/>
        <w:rPr>
          <w:rFonts w:ascii="宋体" w:hAnsi="宋体" w:eastAsia="宋体" w:cs="宋体"/>
          <w:b/>
          <w:bCs/>
          <w:color w:val="auto"/>
          <w:sz w:val="24"/>
          <w:highlight w:val="none"/>
        </w:rPr>
      </w:pPr>
      <w:r>
        <w:rPr>
          <w:rFonts w:hint="eastAsia" w:ascii="宋体" w:hAnsi="宋体" w:eastAsia="宋体" w:cs="宋体"/>
          <w:color w:val="auto"/>
          <w:sz w:val="24"/>
          <w:highlight w:val="none"/>
        </w:rPr>
        <w:t>（2）施工过程中材料和工程设备等产品的检验试验，合格的，检验试验费由发包人承担。不合格的，发包人供应的，检验试验费由发包人承担；承包人采购的，检验试验费由承包人承担。</w:t>
      </w:r>
    </w:p>
    <w:p w14:paraId="33C4873E">
      <w:pPr>
        <w:pStyle w:val="6"/>
        <w:tabs>
          <w:tab w:val="left" w:pos="1620"/>
          <w:tab w:val="left" w:pos="1980"/>
          <w:tab w:val="left" w:pos="2520"/>
          <w:tab w:val="left" w:pos="270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50.5 </w:t>
      </w:r>
      <w:r>
        <w:rPr>
          <w:rFonts w:hint="eastAsia" w:ascii="宋体" w:hAnsi="宋体" w:eastAsia="宋体" w:cs="宋体"/>
          <w:b/>
          <w:bCs/>
          <w:color w:val="auto"/>
          <w:sz w:val="24"/>
          <w:highlight w:val="none"/>
          <w:u w:val="dotted"/>
        </w:rPr>
        <w:t xml:space="preserve">                                                                                                        </w:t>
      </w:r>
    </w:p>
    <w:p w14:paraId="63F7433B">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1233" name="0001a4"/>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55993D9D">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wps:wsp>
                  </a:graphicData>
                </a:graphic>
              </wp:anchor>
            </w:drawing>
          </mc:Choice>
          <mc:Fallback>
            <w:pict>
              <v:rect id="0001a4" o:spid="_x0000_s1026" o:spt="1" style="position:absolute;left:0pt;margin-left:-9pt;margin-top:0.65pt;height:31.2pt;width:72pt;z-index:251659264;mso-width-relative:page;mso-height-relative:page;" filled="f" stroked="f" coordsize="21600,21600" o:gfxdata="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2I7pGdcAAAAIAQAADwAAAAAAAAABACAAAAAiAAAA&#10;ZHJzL2Rvd25yZXYueG1sUEsBAhQAFAAAAAgAh07iQPF15VaWAQAAOAMAAA4AAAAAAAAAAQAgAAAA&#10;JgEAAGRycy9lMm9Eb2MueG1sUEsFBgAAAAAGAAYAWQEAAC4FAAAAAA==&#10;">
                <v:fill on="f" focussize="0,0"/>
                <v:stroke on="f"/>
                <v:imagedata o:title=""/>
                <o:lock v:ext="edit" aspectratio="f"/>
                <v:textbox>
                  <w:txbxContent>
                    <w:p w14:paraId="55993D9D">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rect>
            </w:pict>
          </mc:Fallback>
        </mc:AlternateContent>
      </w:r>
      <w:r>
        <w:rPr>
          <w:rFonts w:hint="eastAsia" w:ascii="宋体" w:hAnsi="宋体" w:eastAsia="宋体" w:cs="宋体"/>
          <w:color w:val="auto"/>
          <w:sz w:val="24"/>
          <w:highlight w:val="none"/>
        </w:rPr>
        <w:t>监理工程师对承包人自行检验试验结果有疑问的，或重新查验检验试验结果的，可要求承包人共同对材料和工程设备等产品再次检验试验。</w:t>
      </w:r>
    </w:p>
    <w:p w14:paraId="15556A95">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（1）合格的，再次检验试验费和（或）延误的工期由发包人承担，并向承包人支付合理利润。</w:t>
      </w:r>
    </w:p>
    <w:p w14:paraId="1BA57A79">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（2）不合格的，发包人供应的，再次检验试验费和（或）延误的工期由发包人承担，并向承包人支付合理利润；承包人采购的，再次检验试验费和（或）延误的工期由承包人承担。</w:t>
      </w:r>
    </w:p>
    <w:p w14:paraId="26EDC342">
      <w:pPr>
        <w:pStyle w:val="6"/>
        <w:tabs>
          <w:tab w:val="left" w:pos="540"/>
        </w:tabs>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50.6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1234" name="0001a5"/>
                <wp:cNvGraphicFramePr/>
                <a:graphic xmlns:a="http://schemas.openxmlformats.org/drawingml/2006/main">
                  <a:graphicData uri="http://schemas.microsoft.com/office/word/2010/wordprocessingShape">
                    <wps:wsp>
                      <wps:cNvSpPr/>
                      <wps:spPr>
                        <a:xfrm>
                          <a:off x="0" y="0"/>
                          <a:ext cx="914400" cy="690244"/>
                        </a:xfrm>
                        <a:prstGeom prst="rect">
                          <a:avLst/>
                        </a:prstGeom>
                        <a:ln>
                          <a:noFill/>
                        </a:ln>
                      </wps:spPr>
                      <wps:txbx>
                        <w:txbxContent>
                          <w:p w14:paraId="342E653D">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wps:wsp>
                  </a:graphicData>
                </a:graphic>
              </wp:anchor>
            </w:drawing>
          </mc:Choice>
          <mc:Fallback>
            <w:pict>
              <v:rect id="0001a5" o:spid="_x0000_s1026" o:spt="1" style="position:absolute;left:0pt;margin-left:-9pt;margin-top:19.3pt;height:54.35pt;width:72pt;z-index:251659264;mso-width-relative:page;mso-height-relative:page;" filled="f" stroked="f" coordsize="21600,21600" o:gfxdata="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3LBttsAAAAKAQAADwAAAAAAAAABACAAAAAi&#10;AAAAZHJzL2Rvd25yZXYueG1sUEsBAhQAFAAAAAgAh07iQPHw2/mVAQAAOAMAAA4AAAAAAAAAAQAg&#10;AAAAKgEAAGRycy9lMm9Eb2MueG1sUEsFBgAAAAAGAAYAWQEAADEFAAAAAA==&#10;">
                <v:fill on="f" focussize="0,0"/>
                <v:stroke on="f"/>
                <v:imagedata o:title=""/>
                <o:lock v:ext="edit" aspectratio="f"/>
                <v:textbox>
                  <w:txbxContent>
                    <w:p w14:paraId="342E653D">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rect>
            </w:pict>
          </mc:Fallback>
        </mc:AlternateContent>
      </w:r>
      <w:r>
        <w:rPr>
          <w:rFonts w:hint="eastAsia" w:ascii="宋体" w:hAnsi="宋体" w:eastAsia="宋体" w:cs="宋体"/>
          <w:b/>
          <w:bCs/>
          <w:color w:val="auto"/>
          <w:sz w:val="24"/>
          <w:highlight w:val="none"/>
          <w:u w:val="dotted"/>
        </w:rPr>
        <w:t xml:space="preserve">    </w:t>
      </w:r>
    </w:p>
    <w:p w14:paraId="44CF32E8">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合同双方当事人对材料和工程设备等产品质量有争议的，所需的检验试验费由责任方承担。双方均有责任的，由双方根据其责任划分分别承担。</w:t>
      </w:r>
    </w:p>
    <w:p w14:paraId="24AEA850">
      <w:pPr>
        <w:pStyle w:val="6"/>
        <w:adjustRightInd w:val="0"/>
        <w:snapToGrid w:val="0"/>
        <w:spacing w:line="300" w:lineRule="auto"/>
        <w:ind w:firstLine="482"/>
        <w:rPr>
          <w:rFonts w:ascii="宋体" w:hAnsi="宋体" w:eastAsia="宋体" w:cs="宋体"/>
          <w:color w:val="auto"/>
          <w:sz w:val="24"/>
          <w:highlight w:val="none"/>
          <w:u w:val="single"/>
        </w:rPr>
      </w:pP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3717918B">
      <w:pPr>
        <w:pStyle w:val="6"/>
        <w:adjustRightInd w:val="0"/>
        <w:snapToGrid w:val="0"/>
        <w:spacing w:line="300" w:lineRule="auto"/>
        <w:ind w:firstLine="482"/>
        <w:outlineLvl w:val="2"/>
        <w:rPr>
          <w:rFonts w:ascii="宋体" w:hAnsi="宋体" w:eastAsia="宋体" w:cs="宋体"/>
          <w:b/>
          <w:bCs/>
          <w:color w:val="auto"/>
          <w:sz w:val="24"/>
          <w:highlight w:val="none"/>
        </w:rPr>
      </w:pPr>
      <w:bookmarkStart w:id="132" w:name="_Toc469384034"/>
      <w:bookmarkStart w:id="133" w:name="_Toc46860855"/>
      <w:r>
        <w:rPr>
          <w:rFonts w:hint="eastAsia" w:ascii="宋体" w:hAnsi="宋体" w:eastAsia="宋体" w:cs="宋体"/>
          <w:b/>
          <w:bCs/>
          <w:color w:val="auto"/>
          <w:sz w:val="24"/>
          <w:highlight w:val="none"/>
        </w:rPr>
        <w:t>51  施工设备和临时设施</w:t>
      </w:r>
      <w:bookmarkEnd w:id="132"/>
      <w:bookmarkEnd w:id="133"/>
    </w:p>
    <w:p w14:paraId="7CF2FE7E">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51.1 </w:t>
      </w:r>
    </w:p>
    <w:p w14:paraId="00F924FD">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235" name="0001a6"/>
                <wp:cNvGraphicFramePr/>
                <a:graphic xmlns:a="http://schemas.openxmlformats.org/drawingml/2006/main">
                  <a:graphicData uri="http://schemas.microsoft.com/office/word/2010/wordprocessingShape">
                    <wps:wsp>
                      <wps:cNvSpPr/>
                      <wps:spPr>
                        <a:xfrm>
                          <a:off x="0" y="0"/>
                          <a:ext cx="988060" cy="753110"/>
                        </a:xfrm>
                        <a:prstGeom prst="rect">
                          <a:avLst/>
                        </a:prstGeom>
                        <a:ln>
                          <a:noFill/>
                        </a:ln>
                      </wps:spPr>
                      <wps:txbx>
                        <w:txbxContent>
                          <w:p w14:paraId="086771B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wps:wsp>
                  </a:graphicData>
                </a:graphic>
              </wp:anchor>
            </w:drawing>
          </mc:Choice>
          <mc:Fallback>
            <w:pict>
              <v:rect id="0001a6" o:spid="_x0000_s1026" o:spt="1" style="position:absolute;left:0pt;margin-left:-5.8pt;margin-top:0.45pt;height:59.3pt;width:77.8pt;z-index:251659264;mso-width-relative:page;mso-height-relative:page;" filled="f" stroked="f" coordsize="21600,21600" o:gfxdata="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k72qT2QAAAAgBAAAPAAAAAAAAAAEAIAAAACIA&#10;AABkcnMvZG93bnJldi54bWxQSwECFAAUAAAACACHTuJAVBZpPpYBAAA4AwAADgAAAAAAAAABACAA&#10;AAAoAQAAZHJzL2Uyb0RvYy54bWxQSwUGAAAAAAYABgBZAQAAMAUAAAAA&#10;">
                <v:fill on="f" focussize="0,0"/>
                <v:stroke on="f"/>
                <v:imagedata o:title=""/>
                <o:lock v:ext="edit" aspectratio="f"/>
                <v:textbox>
                  <w:txbxContent>
                    <w:p w14:paraId="086771B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rect>
            </w:pict>
          </mc:Fallback>
        </mc:AlternateContent>
      </w:r>
      <w:r>
        <w:rPr>
          <w:rFonts w:hint="eastAsia" w:ascii="宋体" w:hAnsi="宋体" w:eastAsia="宋体" w:cs="宋体"/>
          <w:color w:val="auto"/>
          <w:sz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14:paraId="66B8EEE5">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进入施工场地的承包人施工设备，需经监理工程师核查后才能投入使用。承包人更换合同约定自身施工设备的，应经监理工程师同意并由其报发包人批准后方可实施。</w:t>
      </w:r>
    </w:p>
    <w:p w14:paraId="330AC446">
      <w:pPr>
        <w:pStyle w:val="6"/>
        <w:tabs>
          <w:tab w:val="left" w:pos="540"/>
        </w:tabs>
        <w:adjustRightInd w:val="0"/>
        <w:snapToGrid w:val="0"/>
        <w:spacing w:line="30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236" name="0001a7"/>
                <wp:cNvGraphicFramePr/>
                <a:graphic xmlns:a="http://schemas.openxmlformats.org/drawingml/2006/main">
                  <a:graphicData uri="http://schemas.microsoft.com/office/word/2010/wordprocessingShape">
                    <wps:wsp>
                      <wps:cNvSpPr/>
                      <wps:spPr>
                        <a:xfrm>
                          <a:off x="0" y="0"/>
                          <a:ext cx="873760" cy="685800"/>
                        </a:xfrm>
                        <a:prstGeom prst="rect">
                          <a:avLst/>
                        </a:prstGeom>
                        <a:ln>
                          <a:noFill/>
                        </a:ln>
                      </wps:spPr>
                      <wps:txbx>
                        <w:txbxContent>
                          <w:p w14:paraId="4F1D38C9">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14:paraId="6C13B369">
                            <w:pPr>
                              <w:spacing w:line="240" w:lineRule="exact"/>
                              <w:rPr>
                                <w:sz w:val="18"/>
                                <w:szCs w:val="18"/>
                              </w:rPr>
                            </w:pPr>
                          </w:p>
                        </w:txbxContent>
                      </wps:txbx>
                      <wps:bodyPr wrap="square"/>
                    </wps:wsp>
                  </a:graphicData>
                </a:graphic>
              </wp:anchor>
            </w:drawing>
          </mc:Choice>
          <mc:Fallback>
            <w:pict>
              <v:rect id="0001a7" o:spid="_x0000_s1026" o:spt="1" style="position:absolute;left:0pt;margin-left:-5.25pt;margin-top:17pt;height:54pt;width:68.8pt;z-index:251659264;mso-width-relative:page;mso-height-relative:page;" filled="f" stroked="f" coordsize="21600,21600" o:gfxdata="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KAqTwzbAAAACgEAAA8AAAAAAAAAAQAgAAAA&#10;IgAAAGRycy9kb3ducmV2LnhtbFBLAQIUABQAAAAIAIdO4kBGzdr+lgEAADgDAAAOAAAAAAAAAAEA&#10;IAAAACoBAABkcnMvZTJvRG9jLnhtbFBLBQYAAAAABgAGAFkBAAAyBQAAAAA=&#10;">
                <v:fill on="f" focussize="0,0"/>
                <v:stroke on="f"/>
                <v:imagedata o:title=""/>
                <o:lock v:ext="edit" aspectratio="f"/>
                <v:textbox>
                  <w:txbxContent>
                    <w:p w14:paraId="4F1D38C9">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14:paraId="6C13B369">
                      <w:pPr>
                        <w:spacing w:line="240" w:lineRule="exact"/>
                        <w:rPr>
                          <w:sz w:val="18"/>
                          <w:szCs w:val="18"/>
                        </w:rPr>
                      </w:pPr>
                    </w:p>
                  </w:txbxContent>
                </v:textbox>
              </v:rect>
            </w:pict>
          </mc:Fallback>
        </mc:AlternateContent>
      </w:r>
      <w:r>
        <w:rPr>
          <w:rFonts w:hint="eastAsia" w:ascii="宋体" w:hAnsi="宋体" w:eastAsia="宋体" w:cs="宋体"/>
          <w:b/>
          <w:bCs/>
          <w:color w:val="auto"/>
          <w:sz w:val="24"/>
          <w:highlight w:val="none"/>
        </w:rPr>
        <w:t xml:space="preserve">51.2 </w:t>
      </w:r>
      <w:r>
        <w:rPr>
          <w:rFonts w:hint="eastAsia" w:ascii="宋体" w:hAnsi="宋体" w:eastAsia="宋体" w:cs="宋体"/>
          <w:color w:val="auto"/>
          <w:sz w:val="24"/>
          <w:highlight w:val="none"/>
          <w:u w:val="dotted"/>
        </w:rPr>
        <w:t xml:space="preserve">                                                                                                        </w:t>
      </w:r>
    </w:p>
    <w:p w14:paraId="618A3D5D">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如果发包人提供施工设备或临时设施的，合同双方当事人应在专用条款中约定施工设备或临时设施的品种、规格、型号和提供的时间、地点等内容。</w:t>
      </w:r>
    </w:p>
    <w:p w14:paraId="42617D2B">
      <w:pPr>
        <w:pStyle w:val="6"/>
        <w:tabs>
          <w:tab w:val="left" w:pos="54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51.3 </w:t>
      </w:r>
      <w:r>
        <w:rPr>
          <w:rFonts w:hint="eastAsia" w:ascii="宋体" w:hAnsi="宋体" w:eastAsia="宋体" w:cs="宋体"/>
          <w:b/>
          <w:bCs/>
          <w:color w:val="auto"/>
          <w:sz w:val="24"/>
          <w:highlight w:val="none"/>
          <w:u w:val="dotted"/>
        </w:rPr>
        <w:t xml:space="preserve">                                                                                                        </w:t>
      </w:r>
    </w:p>
    <w:p w14:paraId="0A1AD257">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237" name="0001a8"/>
                <wp:cNvGraphicFramePr/>
                <a:graphic xmlns:a="http://schemas.openxmlformats.org/drawingml/2006/main">
                  <a:graphicData uri="http://schemas.microsoft.com/office/word/2010/wordprocessingShape">
                    <wps:wsp>
                      <wps:cNvSpPr/>
                      <wps:spPr>
                        <a:xfrm>
                          <a:off x="0" y="0"/>
                          <a:ext cx="873760" cy="659765"/>
                        </a:xfrm>
                        <a:prstGeom prst="rect">
                          <a:avLst/>
                        </a:prstGeom>
                        <a:ln>
                          <a:noFill/>
                        </a:ln>
                      </wps:spPr>
                      <wps:txbx>
                        <w:txbxContent>
                          <w:p w14:paraId="3EB60FFB">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wps:wsp>
                  </a:graphicData>
                </a:graphic>
              </wp:anchor>
            </w:drawing>
          </mc:Choice>
          <mc:Fallback>
            <w:pict>
              <v:rect id="0001a8" o:spid="_x0000_s1026" o:spt="1" style="position:absolute;left:0pt;margin-left:-5.8pt;margin-top:0.7pt;height:51.95pt;width:68.8pt;z-index:251659264;mso-width-relative:page;mso-height-relative:page;" filled="f" stroked="f" coordsize="21600,21600" o:gfxdata="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UjKOQ2QAAAAkBAAAPAAAAAAAAAAEAIAAAACIA&#10;AABkcnMvZG93bnJldi54bWxQSwECFAAUAAAACACHTuJA9lF3+5YBAAA4AwAADgAAAAAAAAABACAA&#10;AAAoAQAAZHJzL2Uyb0RvYy54bWxQSwUGAAAAAAYABgBZAQAAMAUAAAAA&#10;">
                <v:fill on="f" focussize="0,0"/>
                <v:stroke on="f"/>
                <v:imagedata o:title=""/>
                <o:lock v:ext="edit" aspectratio="f"/>
                <v:textbox>
                  <w:txbxContent>
                    <w:p w14:paraId="3EB60FFB">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rect>
            </w:pict>
          </mc:Fallback>
        </mc:AlternateContent>
      </w:r>
      <w:r>
        <w:rPr>
          <w:rFonts w:hint="eastAsia" w:ascii="宋体" w:hAnsi="宋体" w:eastAsia="宋体" w:cs="宋体"/>
          <w:color w:val="auto"/>
          <w:sz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14:paraId="41B940B8">
      <w:pPr>
        <w:pStyle w:val="6"/>
        <w:tabs>
          <w:tab w:val="left" w:pos="54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51.4  </w:t>
      </w:r>
      <w:r>
        <w:rPr>
          <w:rFonts w:hint="eastAsia" w:ascii="宋体" w:hAnsi="宋体" w:eastAsia="宋体" w:cs="宋体"/>
          <w:b/>
          <w:bCs/>
          <w:color w:val="auto"/>
          <w:sz w:val="24"/>
          <w:highlight w:val="none"/>
          <w:u w:val="dotted"/>
        </w:rPr>
        <w:t xml:space="preserve">                                                                                                        </w:t>
      </w:r>
    </w:p>
    <w:p w14:paraId="26AF790B">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238" name="0001a9"/>
                <wp:cNvGraphicFramePr/>
                <a:graphic xmlns:a="http://schemas.openxmlformats.org/drawingml/2006/main">
                  <a:graphicData uri="http://schemas.microsoft.com/office/word/2010/wordprocessingShape">
                    <wps:wsp>
                      <wps:cNvSpPr/>
                      <wps:spPr>
                        <a:xfrm>
                          <a:off x="0" y="0"/>
                          <a:ext cx="914400" cy="659130"/>
                        </a:xfrm>
                        <a:prstGeom prst="rect">
                          <a:avLst/>
                        </a:prstGeom>
                        <a:ln>
                          <a:noFill/>
                        </a:ln>
                      </wps:spPr>
                      <wps:txbx>
                        <w:txbxContent>
                          <w:p w14:paraId="63FB9F4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wps:wsp>
                  </a:graphicData>
                </a:graphic>
              </wp:anchor>
            </w:drawing>
          </mc:Choice>
          <mc:Fallback>
            <w:pict>
              <v:rect id="0001a9" o:spid="_x0000_s1026" o:spt="1" style="position:absolute;left:0pt;margin-left:-9pt;margin-top:3.65pt;height:51.9pt;width:72pt;z-index:251659264;mso-width-relative:page;mso-height-relative:page;" filled="f" stroked="f" coordsize="21600,21600" o:gfxdata="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RjQtnYAAAACQEAAA8AAAAAAAAAAQAgAAAAIgAA&#10;AGRycy9kb3ducmV2LnhtbFBLAQIUABQAAAAIAIdO4kDrzqtElgEAADgDAAAOAAAAAAAAAAEAIAAA&#10;ACcBAABkcnMvZTJvRG9jLnhtbFBLBQYAAAAABgAGAFkBAAAvBQAAAAA=&#10;">
                <v:fill on="f" focussize="0,0"/>
                <v:stroke on="f"/>
                <v:imagedata o:title=""/>
                <o:lock v:ext="edit" aspectratio="f"/>
                <v:textbox>
                  <w:txbxContent>
                    <w:p w14:paraId="63FB9F4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rect>
            </w:pict>
          </mc:Fallback>
        </mc:AlternateContent>
      </w:r>
      <w:r>
        <w:rPr>
          <w:rFonts w:hint="eastAsia" w:ascii="宋体" w:hAnsi="宋体" w:eastAsia="宋体" w:cs="宋体"/>
          <w:color w:val="auto"/>
          <w:sz w:val="24"/>
          <w:highlight w:val="none"/>
        </w:rPr>
        <w:t>外，承包人不得将上述施工设备和临时设施中的任何部分运出施工场地或挪作他用。</w:t>
      </w:r>
    </w:p>
    <w:p w14:paraId="61D6C1E5">
      <w:pPr>
        <w:pStyle w:val="24"/>
        <w:tabs>
          <w:tab w:val="left" w:pos="540"/>
        </w:tabs>
        <w:adjustRightInd w:val="0"/>
        <w:snapToGrid w:val="0"/>
        <w:spacing w:before="240" w:beforeLines="100"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EB0B779">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34" w:name="_Toc46860856"/>
      <w:bookmarkStart w:id="135" w:name="_Toc469384035"/>
    </w:p>
    <w:p w14:paraId="72F6F1CB">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r>
        <w:rPr>
          <w:rFonts w:hint="eastAsia" w:hAnsi="宋体" w:eastAsia="宋体" w:cs="宋体"/>
          <w:b/>
          <w:bCs/>
          <w:color w:val="auto"/>
          <w:sz w:val="24"/>
          <w:szCs w:val="24"/>
          <w:highlight w:val="none"/>
        </w:rPr>
        <w:t>★52  工程质量检查</w:t>
      </w:r>
      <w:bookmarkEnd w:id="134"/>
      <w:bookmarkEnd w:id="135"/>
    </w:p>
    <w:p w14:paraId="693E04EB">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52.1 </w:t>
      </w:r>
    </w:p>
    <w:p w14:paraId="0B5DB977">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239" name="0001aa"/>
                <wp:cNvGraphicFramePr/>
                <a:graphic xmlns:a="http://schemas.openxmlformats.org/drawingml/2006/main">
                  <a:graphicData uri="http://schemas.microsoft.com/office/word/2010/wordprocessingShape">
                    <wps:wsp>
                      <wps:cNvSpPr/>
                      <wps:spPr>
                        <a:xfrm>
                          <a:off x="0" y="0"/>
                          <a:ext cx="988060" cy="522605"/>
                        </a:xfrm>
                        <a:prstGeom prst="rect">
                          <a:avLst/>
                        </a:prstGeom>
                        <a:ln>
                          <a:noFill/>
                        </a:ln>
                      </wps:spPr>
                      <wps:txbx>
                        <w:txbxContent>
                          <w:p w14:paraId="39E7D58B">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14:paraId="3EB28FF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14:paraId="7208459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wrap="square"/>
                    </wps:wsp>
                  </a:graphicData>
                </a:graphic>
              </wp:anchor>
            </w:drawing>
          </mc:Choice>
          <mc:Fallback>
            <w:pict>
              <v:rect id="0001aa" o:spid="_x0000_s1026" o:spt="1" style="position:absolute;left:0pt;margin-left:-5.8pt;margin-top:0.45pt;height:41.15pt;width:77.8pt;z-index:251659264;mso-width-relative:page;mso-height-relative:page;" filled="f" stroked="f" coordsize="21600,21600" o:gfxdata="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9QpOtdgAAAAHAQAADwAAAAAAAAABACAAAAAiAAAA&#10;ZHJzL2Rvd25yZXYueG1sUEsBAhQAFAAAAAgAh07iQMz5n7qVAQAAOAMAAA4AAAAAAAAAAQAgAAAA&#10;JwEAAGRycy9lMm9Eb2MueG1sUEsFBgAAAAAGAAYAWQEAAC4FAAAAAA==&#10;">
                <v:fill on="f" focussize="0,0"/>
                <v:stroke on="f"/>
                <v:imagedata o:title=""/>
                <o:lock v:ext="edit" aspectratio="f"/>
                <v:textbox>
                  <w:txbxContent>
                    <w:p w14:paraId="39E7D58B">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14:paraId="3EB28FF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14:paraId="7208459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rect>
            </w:pict>
          </mc:Fallback>
        </mc:AlternateContent>
      </w:r>
      <w:r>
        <w:rPr>
          <w:rFonts w:hint="eastAsia" w:ascii="宋体" w:hAnsi="宋体" w:eastAsia="宋体" w:cs="宋体"/>
          <w:color w:val="auto"/>
          <w:sz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7884430B">
      <w:pPr>
        <w:pStyle w:val="6"/>
        <w:tabs>
          <w:tab w:val="left" w:pos="54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52.2 </w:t>
      </w:r>
      <w:r>
        <w:rPr>
          <w:rFonts w:hint="eastAsia" w:ascii="宋体" w:hAnsi="宋体" w:eastAsia="宋体" w:cs="宋体"/>
          <w:b/>
          <w:bCs/>
          <w:color w:val="auto"/>
          <w:sz w:val="24"/>
          <w:highlight w:val="none"/>
          <w:u w:val="dotted"/>
        </w:rPr>
        <w:t xml:space="preserve">                                                                                                        </w:t>
      </w:r>
    </w:p>
    <w:p w14:paraId="3B3103A9">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240" name="0001ab"/>
                <wp:cNvGraphicFramePr/>
                <a:graphic xmlns:a="http://schemas.openxmlformats.org/drawingml/2006/main">
                  <a:graphicData uri="http://schemas.microsoft.com/office/word/2010/wordprocessingShape">
                    <wps:wsp>
                      <wps:cNvSpPr/>
                      <wps:spPr>
                        <a:xfrm>
                          <a:off x="0" y="0"/>
                          <a:ext cx="873760" cy="448310"/>
                        </a:xfrm>
                        <a:prstGeom prst="rect">
                          <a:avLst/>
                        </a:prstGeom>
                        <a:ln>
                          <a:noFill/>
                        </a:ln>
                      </wps:spPr>
                      <wps:txbx>
                        <w:txbxContent>
                          <w:p w14:paraId="2AB80296">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wrap="square"/>
                    </wps:wsp>
                  </a:graphicData>
                </a:graphic>
              </wp:anchor>
            </w:drawing>
          </mc:Choice>
          <mc:Fallback>
            <w:pict>
              <v:rect id="0001ab" o:spid="_x0000_s1026" o:spt="1" style="position:absolute;left:0pt;margin-left:-5.8pt;margin-top:0.7pt;height:35.3pt;width:68.8pt;z-index:251659264;mso-width-relative:page;mso-height-relative:page;" filled="f" stroked="f" coordsize="21600,21600" o:gfxdata="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SlPbHNcAAAAIAQAADwAAAAAAAAABACAAAAAiAAAA&#10;ZHJzL2Rvd25yZXYueG1sUEsBAhQAFAAAAAgAh07iQIF6CM+WAQAAOAMAAA4AAAAAAAAAAQAgAAAA&#10;JgEAAGRycy9lMm9Eb2MueG1sUEsFBgAAAAAGAAYAWQEAAC4FAAAAAA==&#10;">
                <v:fill on="f" focussize="0,0"/>
                <v:stroke on="f"/>
                <v:imagedata o:title=""/>
                <o:lock v:ext="edit" aspectratio="f"/>
                <v:textbox>
                  <w:txbxContent>
                    <w:p w14:paraId="2AB80296">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rect>
            </w:pict>
          </mc:Fallback>
        </mc:AlternateContent>
      </w:r>
      <w:r>
        <w:rPr>
          <w:rFonts w:hint="eastAsia" w:ascii="宋体" w:hAnsi="宋体" w:eastAsia="宋体" w:cs="宋体"/>
          <w:color w:val="auto"/>
          <w:sz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39CCC3E0">
      <w:pPr>
        <w:adjustRightInd w:val="0"/>
        <w:snapToGrid w:val="0"/>
        <w:spacing w:line="300" w:lineRule="auto"/>
        <w:ind w:left="1619" w:leftChars="771"/>
        <w:rPr>
          <w:rFonts w:ascii="宋体" w:hAnsi="宋体" w:eastAsia="宋体" w:cs="宋体"/>
          <w:color w:val="auto"/>
          <w:sz w:val="24"/>
          <w:highlight w:val="none"/>
        </w:rPr>
      </w:pPr>
    </w:p>
    <w:p w14:paraId="4AEE5CCA">
      <w:pPr>
        <w:pStyle w:val="6"/>
        <w:tabs>
          <w:tab w:val="left" w:pos="54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52.3 </w:t>
      </w:r>
      <w:r>
        <w:rPr>
          <w:rFonts w:hint="eastAsia" w:ascii="宋体" w:hAnsi="宋体" w:eastAsia="宋体" w:cs="宋体"/>
          <w:b/>
          <w:bCs/>
          <w:color w:val="auto"/>
          <w:sz w:val="24"/>
          <w:highlight w:val="none"/>
          <w:u w:val="dotted"/>
        </w:rPr>
        <w:t xml:space="preserve">                                                                                                        </w:t>
      </w:r>
    </w:p>
    <w:p w14:paraId="0043E018">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241" name="0001ac"/>
                <wp:cNvGraphicFramePr/>
                <a:graphic xmlns:a="http://schemas.openxmlformats.org/drawingml/2006/main">
                  <a:graphicData uri="http://schemas.microsoft.com/office/word/2010/wordprocessingShape">
                    <wps:wsp>
                      <wps:cNvSpPr/>
                      <wps:spPr>
                        <a:xfrm>
                          <a:off x="0" y="0"/>
                          <a:ext cx="873760" cy="659765"/>
                        </a:xfrm>
                        <a:prstGeom prst="rect">
                          <a:avLst/>
                        </a:prstGeom>
                        <a:ln>
                          <a:noFill/>
                        </a:ln>
                      </wps:spPr>
                      <wps:txbx>
                        <w:txbxContent>
                          <w:p w14:paraId="6D2FC46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wps:wsp>
                  </a:graphicData>
                </a:graphic>
              </wp:anchor>
            </w:drawing>
          </mc:Choice>
          <mc:Fallback>
            <w:pict>
              <v:rect id="0001ac" o:spid="_x0000_s1026" o:spt="1" style="position:absolute;left:0pt;margin-left:-5.8pt;margin-top:0.7pt;height:51.95pt;width:68.8pt;z-index:251659264;mso-width-relative:page;mso-height-relative:page;" filled="f" stroked="f" coordsize="21600,21600" o:gfxdata="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UjKOQ2QAAAAkBAAAPAAAAAAAAAAEAIAAAACIA&#10;AABkcnMvZG93bnJldi54bWxQSwECFAAUAAAACACHTuJAVWF/pJYBAAA4AwAADgAAAAAAAAABACAA&#10;AAAoAQAAZHJzL2Uyb0RvYy54bWxQSwUGAAAAAAYABgBZAQAAMAUAAAAA&#10;">
                <v:fill on="f" focussize="0,0"/>
                <v:stroke on="f"/>
                <v:imagedata o:title=""/>
                <o:lock v:ext="edit" aspectratio="f"/>
                <v:textbox>
                  <w:txbxContent>
                    <w:p w14:paraId="6D2FC46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rect>
            </w:pict>
          </mc:Fallback>
        </mc:AlternateContent>
      </w:r>
      <w:r>
        <w:rPr>
          <w:rFonts w:hint="eastAsia" w:ascii="宋体" w:hAnsi="宋体" w:eastAsia="宋体" w:cs="宋体"/>
          <w:color w:val="auto"/>
          <w:sz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67B8BBCC">
      <w:pPr>
        <w:pStyle w:val="6"/>
        <w:tabs>
          <w:tab w:val="left" w:pos="54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52.4  </w:t>
      </w:r>
      <w:r>
        <w:rPr>
          <w:rFonts w:hint="eastAsia" w:ascii="宋体" w:hAnsi="宋体" w:eastAsia="宋体" w:cs="宋体"/>
          <w:b/>
          <w:bCs/>
          <w:color w:val="auto"/>
          <w:sz w:val="24"/>
          <w:highlight w:val="none"/>
          <w:u w:val="dotted"/>
        </w:rPr>
        <w:t xml:space="preserve">                                                                                                        </w:t>
      </w:r>
    </w:p>
    <w:p w14:paraId="3FDB2B90">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242" name="0001ad"/>
                <wp:cNvGraphicFramePr/>
                <a:graphic xmlns:a="http://schemas.openxmlformats.org/drawingml/2006/main">
                  <a:graphicData uri="http://schemas.microsoft.com/office/word/2010/wordprocessingShape">
                    <wps:wsp>
                      <wps:cNvSpPr/>
                      <wps:spPr>
                        <a:xfrm>
                          <a:off x="0" y="0"/>
                          <a:ext cx="914400" cy="440054"/>
                        </a:xfrm>
                        <a:prstGeom prst="rect">
                          <a:avLst/>
                        </a:prstGeom>
                        <a:ln>
                          <a:noFill/>
                        </a:ln>
                      </wps:spPr>
                      <wps:txbx>
                        <w:txbxContent>
                          <w:p w14:paraId="10E7902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wps:wsp>
                  </a:graphicData>
                </a:graphic>
              </wp:anchor>
            </w:drawing>
          </mc:Choice>
          <mc:Fallback>
            <w:pict>
              <v:rect id="0001ad" o:spid="_x0000_s1026" o:spt="1" style="position:absolute;left:0pt;margin-left:-9pt;margin-top:3.65pt;height:34.65pt;width:72pt;z-index:251659264;mso-width-relative:page;mso-height-relative:page;" filled="f" stroked="f" coordsize="21600,21600" o:gfxdata="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BI5nO1wAAAAgBAAAPAAAAAAAAAAEAIAAAACIAAABkcnMv&#10;ZG93bnJldi54bWxQSwECFAAUAAAACACHTuJAFa8SwpIBAAA4AwAADgAAAAAAAAABACAAAAAmAQAA&#10;ZHJzL2Uyb0RvYy54bWxQSwUGAAAAAAYABgBZAQAAKgUAAAAA&#10;">
                <v:fill on="f" focussize="0,0"/>
                <v:stroke on="f"/>
                <v:imagedata o:title=""/>
                <o:lock v:ext="edit" aspectratio="f"/>
                <v:textbox>
                  <w:txbxContent>
                    <w:p w14:paraId="10E7902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rect>
            </w:pict>
          </mc:Fallback>
        </mc:AlternateContent>
      </w:r>
      <w:r>
        <w:rPr>
          <w:rFonts w:hint="eastAsia" w:ascii="宋体" w:hAnsi="宋体" w:eastAsia="宋体" w:cs="宋体"/>
          <w:color w:val="auto"/>
          <w:sz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14:paraId="4857CA04">
      <w:pPr>
        <w:pStyle w:val="6"/>
        <w:tabs>
          <w:tab w:val="left" w:pos="54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52.5  </w:t>
      </w:r>
      <w:r>
        <w:rPr>
          <w:rFonts w:hint="eastAsia" w:ascii="宋体" w:hAnsi="宋体" w:eastAsia="宋体" w:cs="宋体"/>
          <w:b/>
          <w:bCs/>
          <w:color w:val="auto"/>
          <w:sz w:val="24"/>
          <w:highlight w:val="none"/>
          <w:u w:val="dotted"/>
        </w:rPr>
        <w:t xml:space="preserve">                                                                                                        </w:t>
      </w:r>
    </w:p>
    <w:p w14:paraId="5F76E3A9">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243" name="0001ae"/>
                <wp:cNvGraphicFramePr/>
                <a:graphic xmlns:a="http://schemas.openxmlformats.org/drawingml/2006/main">
                  <a:graphicData uri="http://schemas.microsoft.com/office/word/2010/wordprocessingShape">
                    <wps:wsp>
                      <wps:cNvSpPr/>
                      <wps:spPr>
                        <a:xfrm>
                          <a:off x="0" y="0"/>
                          <a:ext cx="914400" cy="440054"/>
                        </a:xfrm>
                        <a:prstGeom prst="rect">
                          <a:avLst/>
                        </a:prstGeom>
                        <a:ln>
                          <a:noFill/>
                        </a:ln>
                      </wps:spPr>
                      <wps:txbx>
                        <w:txbxContent>
                          <w:p w14:paraId="1000672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wps:wsp>
                  </a:graphicData>
                </a:graphic>
              </wp:anchor>
            </w:drawing>
          </mc:Choice>
          <mc:Fallback>
            <w:pict>
              <v:rect id="0001ae" o:spid="_x0000_s1026" o:spt="1" style="position:absolute;left:0pt;margin-left:-9pt;margin-top:3.65pt;height:34.65pt;width:72pt;z-index:251659264;mso-width-relative:page;mso-height-relative:page;" filled="f" stroked="f" coordsize="21600,21600" o:gfxdata="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BI5nO1wAAAAgBAAAPAAAAAAAAAAEAIAAAACIAAABkcnMv&#10;ZG93bnJldi54bWxQSwECFAAUAAAACACHTuJApvKvqJIBAAA4AwAADgAAAAAAAAABACAAAAAmAQAA&#10;ZHJzL2Uyb0RvYy54bWxQSwUGAAAAAAYABgBZAQAAKgUAAAAA&#10;">
                <v:fill on="f" focussize="0,0"/>
                <v:stroke on="f"/>
                <v:imagedata o:title=""/>
                <o:lock v:ext="edit" aspectratio="f"/>
                <v:textbox>
                  <w:txbxContent>
                    <w:p w14:paraId="1000672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rect>
            </w:pict>
          </mc:Fallback>
        </mc:AlternateContent>
      </w:r>
      <w:r>
        <w:rPr>
          <w:rFonts w:hint="eastAsia" w:ascii="宋体" w:hAnsi="宋体" w:eastAsia="宋体" w:cs="宋体"/>
          <w:color w:val="auto"/>
          <w:sz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4D065D98">
      <w:pPr>
        <w:pStyle w:val="6"/>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577F3F0B">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36" w:name="_Toc46860857"/>
      <w:bookmarkStart w:id="137" w:name="_Toc469384036"/>
      <w:r>
        <w:rPr>
          <w:rFonts w:hint="eastAsia" w:hAnsi="宋体" w:eastAsia="宋体" w:cs="宋体"/>
          <w:b/>
          <w:bCs/>
          <w:color w:val="auto"/>
          <w:sz w:val="24"/>
          <w:szCs w:val="24"/>
          <w:highlight w:val="none"/>
        </w:rPr>
        <w:t>★53  隐蔽工程和中间验收</w:t>
      </w:r>
      <w:bookmarkEnd w:id="136"/>
      <w:bookmarkEnd w:id="137"/>
    </w:p>
    <w:p w14:paraId="664734CD">
      <w:pPr>
        <w:pStyle w:val="6"/>
        <w:tabs>
          <w:tab w:val="left" w:pos="132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53.1</w:t>
      </w:r>
    </w:p>
    <w:p w14:paraId="168349AC">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244" name="0001af"/>
                <wp:cNvGraphicFramePr/>
                <a:graphic xmlns:a="http://schemas.openxmlformats.org/drawingml/2006/main">
                  <a:graphicData uri="http://schemas.microsoft.com/office/word/2010/wordprocessingShape">
                    <wps:wsp>
                      <wps:cNvSpPr/>
                      <wps:spPr>
                        <a:xfrm>
                          <a:off x="0" y="0"/>
                          <a:ext cx="873760" cy="454660"/>
                        </a:xfrm>
                        <a:prstGeom prst="rect">
                          <a:avLst/>
                        </a:prstGeom>
                        <a:ln>
                          <a:noFill/>
                        </a:ln>
                      </wps:spPr>
                      <wps:txbx>
                        <w:txbxContent>
                          <w:p w14:paraId="7660D30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wps:wsp>
                  </a:graphicData>
                </a:graphic>
              </wp:anchor>
            </w:drawing>
          </mc:Choice>
          <mc:Fallback>
            <w:pict>
              <v:rect id="0001af" o:spid="_x0000_s1026" o:spt="1" style="position:absolute;left:0pt;margin-left:-5.8pt;margin-top:1.4pt;height:35.8pt;width:68.8pt;z-index:251659264;mso-width-relative:page;mso-height-relative:page;" filled="f" stroked="f" coordsize="21600,21600" o:gfxdata="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pBUBY9gAAAAIAQAADwAAAAAAAAABACAAAAAiAAAA&#10;ZHJzL2Rvd25yZXYueG1sUEsBAhQAFAAAAAgAh07iQLse/eiVAQAAOAMAAA4AAAAAAAAAAQAgAAAA&#10;JwEAAGRycy9lMm9Eb2MueG1sUEsFBgAAAAAGAAYAWQEAAC4FAAAAAA==&#10;">
                <v:fill on="f" focussize="0,0"/>
                <v:stroke on="f"/>
                <v:imagedata o:title=""/>
                <o:lock v:ext="edit" aspectratio="f"/>
                <v:textbox>
                  <w:txbxContent>
                    <w:p w14:paraId="7660D30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rect>
            </w:pict>
          </mc:Fallback>
        </mc:AlternateContent>
      </w:r>
      <w:r>
        <w:rPr>
          <w:rFonts w:hint="eastAsia" w:ascii="宋体" w:hAnsi="宋体" w:eastAsia="宋体" w:cs="宋体"/>
          <w:color w:val="auto"/>
          <w:sz w:val="24"/>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18383236">
      <w:pPr>
        <w:pStyle w:val="6"/>
        <w:tabs>
          <w:tab w:val="left" w:pos="720"/>
        </w:tabs>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53.2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A2E0915">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50800</wp:posOffset>
                </wp:positionV>
                <wp:extent cx="914400" cy="466725"/>
                <wp:effectExtent l="0" t="0" r="0" b="0"/>
                <wp:wrapNone/>
                <wp:docPr id="1245" name="0001b0"/>
                <wp:cNvGraphicFramePr/>
                <a:graphic xmlns:a="http://schemas.openxmlformats.org/drawingml/2006/main">
                  <a:graphicData uri="http://schemas.microsoft.com/office/word/2010/wordprocessingShape">
                    <wps:wsp>
                      <wps:cNvSpPr/>
                      <wps:spPr>
                        <a:xfrm>
                          <a:off x="0" y="0"/>
                          <a:ext cx="914400" cy="466725"/>
                        </a:xfrm>
                        <a:prstGeom prst="rect">
                          <a:avLst/>
                        </a:prstGeom>
                        <a:ln>
                          <a:noFill/>
                        </a:ln>
                      </wps:spPr>
                      <wps:txbx>
                        <w:txbxContent>
                          <w:p w14:paraId="2618129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wps:wsp>
                  </a:graphicData>
                </a:graphic>
              </wp:anchor>
            </w:drawing>
          </mc:Choice>
          <mc:Fallback>
            <w:pict>
              <v:rect id="0001b0" o:spid="_x0000_s1026" o:spt="1" style="position:absolute;left:0pt;margin-left:-9pt;margin-top:4pt;height:36.75pt;width:72pt;z-index:251659264;mso-width-relative:page;mso-height-relative:page;" filled="f" stroked="f" coordsize="21600,21600" o:gfxdata="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KM+pM1wAAAAgBAAAPAAAAAAAAAAEAIAAAACIAAABk&#10;cnMvZG93bnJldi54bWxQSwECFAAUAAAACACHTuJAjDJhfZUBAAA4AwAADgAAAAAAAAABACAAAAAm&#10;AQAAZHJzL2Uyb0RvYy54bWxQSwUGAAAAAAYABgBZAQAALQUAAAAA&#10;">
                <v:fill on="f" focussize="0,0"/>
                <v:stroke on="f"/>
                <v:imagedata o:title=""/>
                <o:lock v:ext="edit" aspectratio="f"/>
                <v:textbox>
                  <w:txbxContent>
                    <w:p w14:paraId="2618129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rect>
            </w:pict>
          </mc:Fallback>
        </mc:AlternateContent>
      </w:r>
      <w:r>
        <w:rPr>
          <w:rFonts w:hint="eastAsia" w:ascii="宋体" w:hAnsi="宋体" w:eastAsia="宋体" w:cs="宋体"/>
          <w:color w:val="auto"/>
          <w:sz w:val="24"/>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14:paraId="4A138DBB">
      <w:pPr>
        <w:pStyle w:val="6"/>
        <w:tabs>
          <w:tab w:val="left" w:pos="720"/>
        </w:tabs>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53.3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1C206D05">
      <w:pPr>
        <w:pStyle w:val="6"/>
        <w:tabs>
          <w:tab w:val="left" w:pos="2160"/>
        </w:tabs>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246" name="0001b1"/>
                <wp:cNvGraphicFramePr/>
                <a:graphic xmlns:a="http://schemas.openxmlformats.org/drawingml/2006/main">
                  <a:graphicData uri="http://schemas.microsoft.com/office/word/2010/wordprocessingShape">
                    <wps:wsp>
                      <wps:cNvSpPr/>
                      <wps:spPr>
                        <a:xfrm>
                          <a:off x="0" y="0"/>
                          <a:ext cx="914400" cy="476249"/>
                        </a:xfrm>
                        <a:prstGeom prst="rect">
                          <a:avLst/>
                        </a:prstGeom>
                        <a:ln>
                          <a:noFill/>
                        </a:ln>
                      </wps:spPr>
                      <wps:txbx>
                        <w:txbxContent>
                          <w:p w14:paraId="305D643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wps:wsp>
                  </a:graphicData>
                </a:graphic>
              </wp:anchor>
            </w:drawing>
          </mc:Choice>
          <mc:Fallback>
            <w:pict>
              <v:rect id="0001b1" o:spid="_x0000_s1026" o:spt="1" style="position:absolute;left:0pt;margin-left:-9pt;margin-top:0.3pt;height:37.5pt;width:72pt;z-index:251659264;mso-width-relative:page;mso-height-relative:page;" filled="f" stroked="f" coordsize="21600,21600" o:gfxdata="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O8GJI1wAAAAcBAAAPAAAAAAAAAAEAIAAAACIAAABk&#10;cnMvZG93bnJldi54bWxQSwECFAAUAAAACACHTuJAmGeY7JUBAAA4AwAADgAAAAAAAAABACAAAAAm&#10;AQAAZHJzL2Uyb0RvYy54bWxQSwUGAAAAAAYABgBZAQAALQUAAAAA&#10;">
                <v:fill on="f" focussize="0,0"/>
                <v:stroke on="f"/>
                <v:imagedata o:title=""/>
                <o:lock v:ext="edit" aspectratio="f"/>
                <v:textbox>
                  <w:txbxContent>
                    <w:p w14:paraId="305D643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rect>
            </w:pict>
          </mc:Fallback>
        </mc:AlternateContent>
      </w:r>
      <w:r>
        <w:rPr>
          <w:rFonts w:hint="eastAsia" w:ascii="宋体" w:hAnsi="宋体" w:eastAsia="宋体" w:cs="宋体"/>
          <w:color w:val="auto"/>
          <w:sz w:val="24"/>
          <w:highlight w:val="none"/>
        </w:rPr>
        <w:t>验收合格的，监理工程师应在验收记录上签字，并形成验收文件，承包人可进行隐蔽或继续施工。验收合格24小时后，监理工程师仍不在验收记录上签字，视为监理工程师已认可验收记录。</w:t>
      </w:r>
    </w:p>
    <w:p w14:paraId="0B7BB35B">
      <w:pPr>
        <w:pStyle w:val="6"/>
        <w:tabs>
          <w:tab w:val="left" w:pos="2160"/>
        </w:tabs>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验收不合格的，承包人应按照监理工程师的指令修改后重新验收，由此增加的费用和（或）延误的工期由承包人承担。</w:t>
      </w:r>
    </w:p>
    <w:p w14:paraId="16E9347A">
      <w:pPr>
        <w:pStyle w:val="6"/>
        <w:tabs>
          <w:tab w:val="left" w:pos="540"/>
        </w:tabs>
        <w:adjustRightInd w:val="0"/>
        <w:snapToGrid w:val="0"/>
        <w:spacing w:line="30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247" name="0001b2"/>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4EE51A2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wps:wsp>
                  </a:graphicData>
                </a:graphic>
              </wp:anchor>
            </w:drawing>
          </mc:Choice>
          <mc:Fallback>
            <w:pict>
              <v:rect id="0001b2" o:spid="_x0000_s1026" o:spt="1" style="position:absolute;left:0pt;margin-left:-9pt;margin-top:19.3pt;height:31.2pt;width:72pt;z-index:251659264;mso-width-relative:page;mso-height-relative:page;" filled="f" stroked="f" coordsize="21600,21600" o:gfxdata="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UG1Ng9oAAAAKAQAADwAAAAAAAAABACAAAAAi&#10;AAAAZHJzL2Rvd25yZXYueG1sUEsBAhQAFAAAAAgAh07iQEaC1AyWAQAAOAMAAA4AAAAAAAAAAQAg&#10;AAAAKQEAAGRycy9lMm9Eb2MueG1sUEsFBgAAAAAGAAYAWQEAADEFAAAAAA==&#10;">
                <v:fill on="f" focussize="0,0"/>
                <v:stroke on="f"/>
                <v:imagedata o:title=""/>
                <o:lock v:ext="edit" aspectratio="f"/>
                <v:textbox>
                  <w:txbxContent>
                    <w:p w14:paraId="4EE51A2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rect>
            </w:pict>
          </mc:Fallback>
        </mc:AlternateContent>
      </w:r>
      <w:r>
        <w:rPr>
          <w:rFonts w:hint="eastAsia" w:ascii="宋体" w:hAnsi="宋体" w:eastAsia="宋体" w:cs="宋体"/>
          <w:b/>
          <w:bCs/>
          <w:color w:val="auto"/>
          <w:sz w:val="24"/>
          <w:highlight w:val="none"/>
        </w:rPr>
        <w:t xml:space="preserve">53.4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25C9E01D">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如监理工程师有指令，承包人应对隐蔽工程进行拍摄或照相，保证监理工程师能充分检查和测量隐蔽的工程。</w:t>
      </w:r>
    </w:p>
    <w:p w14:paraId="6D2E2EA9">
      <w:pPr>
        <w:pStyle w:val="6"/>
        <w:tabs>
          <w:tab w:val="left" w:pos="540"/>
        </w:tabs>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248" name="0001b3"/>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6AC210BA">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wps:txbx>
                      <wps:bodyPr wrap="square"/>
                    </wps:wsp>
                  </a:graphicData>
                </a:graphic>
              </wp:anchor>
            </w:drawing>
          </mc:Choice>
          <mc:Fallback>
            <w:pict>
              <v:rect id="0001b3" o:spid="_x0000_s1026" o:spt="1" style="position:absolute;left:0pt;margin-left:-9pt;margin-top:19.3pt;height:31.2pt;width:72pt;z-index:251659264;mso-width-relative:page;mso-height-relative:page;" filled="f" stroked="f" coordsize="21600,21600" o:gfxdata="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UG1Ng9oAAAAKAQAADwAAAAAAAAABACAAAAAi&#10;AAAAZHJzL2Rvd25yZXYueG1sUEsBAhQAFAAAAAgAh07iQCGL3oWWAQAAOAMAAA4AAAAAAAAAAQAg&#10;AAAAKQEAAGRycy9lMm9Eb2MueG1sUEsFBgAAAAAGAAYAWQEAADEFAAAAAA==&#10;">
                <v:fill on="f" focussize="0,0"/>
                <v:stroke on="f"/>
                <v:imagedata o:title=""/>
                <o:lock v:ext="edit" aspectratio="f"/>
                <v:textbox>
                  <w:txbxContent>
                    <w:p w14:paraId="6AC210BA">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rect>
            </w:pict>
          </mc:Fallback>
        </mc:AlternateContent>
      </w:r>
      <w:r>
        <w:rPr>
          <w:rFonts w:hint="eastAsia" w:ascii="宋体" w:hAnsi="宋体" w:eastAsia="宋体" w:cs="宋体"/>
          <w:b/>
          <w:bCs/>
          <w:color w:val="auto"/>
          <w:sz w:val="24"/>
          <w:highlight w:val="none"/>
        </w:rPr>
        <w:t xml:space="preserve">53.5  </w:t>
      </w:r>
      <w:r>
        <w:rPr>
          <w:rFonts w:hint="eastAsia" w:ascii="宋体" w:hAnsi="宋体" w:eastAsia="宋体" w:cs="宋体"/>
          <w:b/>
          <w:bCs/>
          <w:color w:val="auto"/>
          <w:sz w:val="24"/>
          <w:highlight w:val="none"/>
          <w:u w:val="dotted"/>
        </w:rPr>
        <w:t xml:space="preserve">                                                                                                       </w:t>
      </w:r>
    </w:p>
    <w:p w14:paraId="41E118C6">
      <w:pPr>
        <w:pStyle w:val="6"/>
        <w:adjustRightInd w:val="0"/>
        <w:snapToGrid w:val="0"/>
        <w:spacing w:line="300" w:lineRule="auto"/>
        <w:ind w:left="1619" w:leftChars="771" w:firstLine="0" w:firstLineChars="0"/>
        <w:rPr>
          <w:rFonts w:ascii="宋体" w:hAnsi="宋体" w:eastAsia="宋体" w:cs="宋体"/>
          <w:color w:val="auto"/>
          <w:sz w:val="24"/>
          <w:highlight w:val="none"/>
          <w:u w:val="single"/>
        </w:rPr>
      </w:pPr>
      <w:r>
        <w:rPr>
          <w:rFonts w:hint="eastAsia" w:ascii="宋体" w:hAnsi="宋体" w:eastAsia="宋体" w:cs="宋体"/>
          <w:color w:val="auto"/>
          <w:sz w:val="24"/>
          <w:highlight w:val="none"/>
        </w:rPr>
        <w:t>承包人未通知监理工程师到场验收，私自将隐蔽工程覆盖的，监理工程师有权指令承包人进行钻孔探测或剥露验收，由此增加的费用和（或）延误的工期由承包人承担。</w:t>
      </w:r>
    </w:p>
    <w:p w14:paraId="37F42772">
      <w:pPr>
        <w:pStyle w:val="6"/>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75EDE6E5">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38" w:name="_Toc46860858"/>
      <w:bookmarkStart w:id="139" w:name="_Toc469384037"/>
      <w:r>
        <w:rPr>
          <w:rFonts w:hint="eastAsia" w:hAnsi="宋体" w:eastAsia="宋体" w:cs="宋体"/>
          <w:b/>
          <w:bCs/>
          <w:color w:val="auto"/>
          <w:sz w:val="24"/>
          <w:szCs w:val="24"/>
          <w:highlight w:val="none"/>
        </w:rPr>
        <w:t>★54  重新验收和额外检查检验</w:t>
      </w:r>
      <w:bookmarkEnd w:id="138"/>
      <w:bookmarkEnd w:id="139"/>
    </w:p>
    <w:p w14:paraId="1E0B9B43">
      <w:pPr>
        <w:pStyle w:val="6"/>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245745</wp:posOffset>
                </wp:positionV>
                <wp:extent cx="800100" cy="285750"/>
                <wp:effectExtent l="0" t="0" r="0" b="0"/>
                <wp:wrapNone/>
                <wp:docPr id="1249" name="0001b4"/>
                <wp:cNvGraphicFramePr/>
                <a:graphic xmlns:a="http://schemas.openxmlformats.org/drawingml/2006/main">
                  <a:graphicData uri="http://schemas.microsoft.com/office/word/2010/wordprocessingShape">
                    <wps:wsp>
                      <wps:cNvSpPr/>
                      <wps:spPr>
                        <a:xfrm>
                          <a:off x="0" y="0"/>
                          <a:ext cx="800100" cy="285749"/>
                        </a:xfrm>
                        <a:prstGeom prst="rect">
                          <a:avLst/>
                        </a:prstGeom>
                        <a:ln>
                          <a:noFill/>
                        </a:ln>
                      </wps:spPr>
                      <wps:txbx>
                        <w:txbxContent>
                          <w:p w14:paraId="2E0F4BC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wps:wsp>
                  </a:graphicData>
                </a:graphic>
              </wp:anchor>
            </w:drawing>
          </mc:Choice>
          <mc:Fallback>
            <w:pict>
              <v:rect id="0001b4" o:spid="_x0000_s1026" o:spt="1" style="position:absolute;left:0pt;margin-left:-9pt;margin-top:19.35pt;height:22.5pt;width:63pt;z-index:251659264;mso-width-relative:page;mso-height-relative:page;" filled="f" stroked="f" coordsize="21600,21600" o:gfxdata="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&#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ii5spdkAAAAJAQAADwAAAAAAAAABACAAAAAiAAAA&#10;ZHJzL2Rvd25yZXYueG1sUEsBAhQAFAAAAAgAh07iQDshBCeUAQAAOAMAAA4AAAAAAAAAAQAgAAAA&#10;KAEAAGRycy9lMm9Eb2MueG1sUEsFBgAAAAAGAAYAWQEAAC4FAAAAAA==&#10;">
                <v:fill on="f" focussize="0,0"/>
                <v:stroke on="f"/>
                <v:imagedata o:title=""/>
                <o:lock v:ext="edit" aspectratio="f"/>
                <v:textbox>
                  <w:txbxContent>
                    <w:p w14:paraId="2E0F4BC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rect>
            </w:pict>
          </mc:Fallback>
        </mc:AlternateContent>
      </w:r>
      <w:r>
        <w:rPr>
          <w:rFonts w:hint="eastAsia" w:ascii="宋体" w:hAnsi="宋体" w:eastAsia="宋体" w:cs="宋体"/>
          <w:b/>
          <w:bCs/>
          <w:color w:val="auto"/>
          <w:sz w:val="24"/>
          <w:highlight w:val="none"/>
        </w:rPr>
        <w:t>54.1</w:t>
      </w:r>
    </w:p>
    <w:p w14:paraId="785A3478">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7DA3925F">
      <w:pPr>
        <w:pStyle w:val="6"/>
        <w:tabs>
          <w:tab w:val="left" w:pos="540"/>
          <w:tab w:val="left" w:pos="72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54.2 </w:t>
      </w:r>
      <w:r>
        <w:rPr>
          <w:rFonts w:hint="eastAsia" w:ascii="宋体" w:hAnsi="宋体" w:eastAsia="宋体" w:cs="宋体"/>
          <w:b/>
          <w:bCs/>
          <w:color w:val="auto"/>
          <w:sz w:val="24"/>
          <w:highlight w:val="none"/>
          <w:u w:val="dotted"/>
        </w:rPr>
        <w:t xml:space="preserve">                                                                                                       </w:t>
      </w:r>
    </w:p>
    <w:p w14:paraId="74F9974E">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250" name="0001b5"/>
                <wp:cNvGraphicFramePr/>
                <a:graphic xmlns:a="http://schemas.openxmlformats.org/drawingml/2006/main">
                  <a:graphicData uri="http://schemas.microsoft.com/office/word/2010/wordprocessingShape">
                    <wps:wsp>
                      <wps:cNvSpPr/>
                      <wps:spPr>
                        <a:xfrm>
                          <a:off x="0" y="0"/>
                          <a:ext cx="970280" cy="627380"/>
                        </a:xfrm>
                        <a:prstGeom prst="rect">
                          <a:avLst/>
                        </a:prstGeom>
                        <a:ln>
                          <a:noFill/>
                        </a:ln>
                      </wps:spPr>
                      <wps:txbx>
                        <w:txbxContent>
                          <w:p w14:paraId="72791A0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wps:wsp>
                  </a:graphicData>
                </a:graphic>
              </wp:anchor>
            </w:drawing>
          </mc:Choice>
          <mc:Fallback>
            <w:pict>
              <v:rect id="0001b5" o:spid="_x0000_s1026" o:spt="1" style="position:absolute;left:0pt;margin-left:-9pt;margin-top:0.6pt;height:49.4pt;width:76.4pt;z-index:251659264;mso-width-relative:page;mso-height-relative:page;" filled="f" stroked="f" coordsize="21600,21600" o:gfxdata="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&#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t9f0Y2AAAAAkBAAAPAAAAAAAAAAEAIAAAACIAAABk&#10;cnMvZG93bnJldi54bWxQSwECFAAUAAAACACHTuJAQUAGmZQBAAA4AwAADgAAAAAAAAABACAAAAAn&#10;AQAAZHJzL2Uyb0RvYy54bWxQSwUGAAAAAAYABgBZAQAALQUAAAAA&#10;">
                <v:fill on="f" focussize="0,0"/>
                <v:stroke on="f"/>
                <v:imagedata o:title=""/>
                <o:lock v:ext="edit" aspectratio="f"/>
                <v:textbox>
                  <w:txbxContent>
                    <w:p w14:paraId="72791A0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rect>
            </w:pict>
          </mc:Fallback>
        </mc:AlternateContent>
      </w:r>
      <w:r>
        <w:rPr>
          <w:rFonts w:hint="eastAsia" w:ascii="宋体" w:hAnsi="宋体" w:eastAsia="宋体" w:cs="宋体"/>
          <w:color w:val="auto"/>
          <w:sz w:val="24"/>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14:paraId="2F980564">
      <w:pPr>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6B041C40">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40" w:name="_Toc469384038"/>
      <w:bookmarkStart w:id="141" w:name="_Toc46860859"/>
      <w:r>
        <w:rPr>
          <w:rFonts w:hint="eastAsia" w:hAnsi="宋体" w:eastAsia="宋体" w:cs="宋体"/>
          <w:b/>
          <w:bCs/>
          <w:color w:val="auto"/>
          <w:sz w:val="24"/>
          <w:szCs w:val="24"/>
          <w:highlight w:val="none"/>
        </w:rPr>
        <w:t>55  工程试车</w:t>
      </w:r>
      <w:bookmarkEnd w:id="140"/>
      <w:bookmarkEnd w:id="141"/>
    </w:p>
    <w:p w14:paraId="697827E3">
      <w:pPr>
        <w:adjustRightInd w:val="0"/>
        <w:snapToGrid w:val="0"/>
        <w:spacing w:line="300" w:lineRule="auto"/>
        <w:ind w:left="-2" w:leftChars="-1" w:firstLine="1"/>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55.1 </w:t>
      </w:r>
    </w:p>
    <w:p w14:paraId="7E06C73B">
      <w:pPr>
        <w:adjustRightInd w:val="0"/>
        <w:snapToGrid w:val="0"/>
        <w:spacing w:line="300" w:lineRule="auto"/>
        <w:ind w:left="162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251" name="0001b6"/>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59D89D1B">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wrap="square"/>
                    </wps:wsp>
                  </a:graphicData>
                </a:graphic>
              </wp:anchor>
            </w:drawing>
          </mc:Choice>
          <mc:Fallback>
            <w:pict>
              <v:rect id="0001b6" o:spid="_x0000_s1026" o:spt="1" style="position:absolute;left:0pt;margin-left:-9pt;margin-top:1.3pt;height:23.4pt;width:63pt;z-index:251659264;mso-width-relative:page;mso-height-relative:page;" filled="f" stroked="f" coordsize="21600,21600" o:gfxdata="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&#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5OMzDXAAAACAEAAA8AAAAAAAAAAQAgAAAAIgAAAGRy&#10;cy9kb3ducmV2LnhtbFBLAQIUABQAAAAIAIdO4kAm+ClrlAEAADgDAAAOAAAAAAAAAAEAIAAAACYB&#10;AABkcnMvZTJvRG9jLnhtbFBLBQYAAAAABgAGAFkBAAAsBQAAAAA=&#10;">
                <v:fill on="f" focussize="0,0"/>
                <v:stroke on="f"/>
                <v:imagedata o:title=""/>
                <o:lock v:ext="edit" aspectratio="f"/>
                <v:textbox>
                  <w:txbxContent>
                    <w:p w14:paraId="59D89D1B">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rect>
            </w:pict>
          </mc:Fallback>
        </mc:AlternateContent>
      </w:r>
      <w:r>
        <w:rPr>
          <w:rFonts w:hint="eastAsia" w:ascii="宋体" w:hAnsi="宋体" w:eastAsia="宋体" w:cs="宋体"/>
          <w:color w:val="auto"/>
          <w:sz w:val="24"/>
          <w:highlight w:val="none"/>
        </w:rPr>
        <w:t>按照合同约定需要试车的，试车的内容应与承包人承包的安装范围相一致。</w:t>
      </w:r>
    </w:p>
    <w:p w14:paraId="1DA0F221">
      <w:pPr>
        <w:tabs>
          <w:tab w:val="left" w:pos="540"/>
        </w:tabs>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55.2  </w:t>
      </w:r>
      <w:r>
        <w:rPr>
          <w:rFonts w:hint="eastAsia" w:ascii="宋体" w:hAnsi="宋体" w:eastAsia="宋体" w:cs="宋体"/>
          <w:b/>
          <w:bCs/>
          <w:color w:val="auto"/>
          <w:sz w:val="24"/>
          <w:highlight w:val="none"/>
          <w:u w:val="dotted"/>
        </w:rPr>
        <w:t xml:space="preserve">                                                                                                        </w:t>
      </w:r>
    </w:p>
    <w:p w14:paraId="7BE53F9B">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252" name="0001b7"/>
                <wp:cNvGraphicFramePr/>
                <a:graphic xmlns:a="http://schemas.openxmlformats.org/drawingml/2006/main">
                  <a:graphicData uri="http://schemas.microsoft.com/office/word/2010/wordprocessingShape">
                    <wps:wsp>
                      <wps:cNvSpPr/>
                      <wps:spPr>
                        <a:xfrm>
                          <a:off x="0" y="0"/>
                          <a:ext cx="914400" cy="469265"/>
                        </a:xfrm>
                        <a:prstGeom prst="rect">
                          <a:avLst/>
                        </a:prstGeom>
                        <a:ln>
                          <a:noFill/>
                        </a:ln>
                      </wps:spPr>
                      <wps:txbx>
                        <w:txbxContent>
                          <w:p w14:paraId="500A03C1">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wps:wsp>
                  </a:graphicData>
                </a:graphic>
              </wp:anchor>
            </w:drawing>
          </mc:Choice>
          <mc:Fallback>
            <w:pict>
              <v:rect id="0001b7" o:spid="_x0000_s1026" o:spt="1" style="position:absolute;left:0pt;margin-left:-9pt;margin-top:0.25pt;height:36.95pt;width:72pt;z-index:251659264;mso-width-relative:page;mso-height-relative:page;" filled="f" stroked="f" coordsize="21600,21600" o:gfxdata="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&#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R7ZRPdcAAAAHAQAADwAAAAAAAAABACAAAAAiAAAA&#10;ZHJzL2Rvd25yZXYueG1sUEsBAhQAFAAAAAgAh07iQOY2ncCWAQAAOAMAAA4AAAAAAAAAAQAgAAAA&#10;JgEAAGRycy9lMm9Eb2MueG1sUEsFBgAAAAAGAAYAWQEAAC4FAAAAAA==&#10;">
                <v:fill on="f" focussize="0,0"/>
                <v:stroke on="f"/>
                <v:imagedata o:title=""/>
                <o:lock v:ext="edit" aspectratio="f"/>
                <v:textbox>
                  <w:txbxContent>
                    <w:p w14:paraId="500A03C1">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rect>
            </w:pict>
          </mc:Fallback>
        </mc:AlternateContent>
      </w:r>
      <w:r>
        <w:rPr>
          <w:rFonts w:hint="eastAsia" w:ascii="宋体" w:hAnsi="宋体" w:eastAsia="宋体" w:cs="宋体"/>
          <w:color w:val="auto"/>
          <w:sz w:val="24"/>
          <w:highlight w:val="none"/>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14:paraId="3CA51CA8">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14:paraId="24486018">
      <w:pPr>
        <w:adjustRightInd w:val="0"/>
        <w:snapToGrid w:val="0"/>
        <w:spacing w:line="300" w:lineRule="auto"/>
        <w:rPr>
          <w:rFonts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55.3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711E979B">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253" name="0001b8"/>
                <wp:cNvGraphicFramePr/>
                <a:graphic xmlns:a="http://schemas.openxmlformats.org/drawingml/2006/main">
                  <a:graphicData uri="http://schemas.microsoft.com/office/word/2010/wordprocessingShape">
                    <wps:wsp>
                      <wps:cNvSpPr/>
                      <wps:spPr>
                        <a:xfrm>
                          <a:off x="0" y="0"/>
                          <a:ext cx="873760" cy="471804"/>
                        </a:xfrm>
                        <a:prstGeom prst="rect">
                          <a:avLst/>
                        </a:prstGeom>
                        <a:ln>
                          <a:noFill/>
                        </a:ln>
                      </wps:spPr>
                      <wps:txbx>
                        <w:txbxContent>
                          <w:p w14:paraId="45A5CEFD">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wps:wsp>
                  </a:graphicData>
                </a:graphic>
              </wp:anchor>
            </w:drawing>
          </mc:Choice>
          <mc:Fallback>
            <w:pict>
              <v:rect id="0001b8" o:spid="_x0000_s1026" o:spt="1" style="position:absolute;left:0pt;margin-left:-5.8pt;margin-top:0.05pt;height:37.15pt;width:68.8pt;z-index:251659264;mso-width-relative:page;mso-height-relative:page;" filled="f" stroked="f" coordsize="21600,21600" o:gfxdata="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1rNpZ9cAAAAHAQAADwAAAAAAAAABACAAAAAiAAAA&#10;ZHJzL2Rvd25yZXYueG1sUEsBAhQAFAAAAAgAh07iQG8o816WAQAAOAMAAA4AAAAAAAAAAQAgAAAA&#10;JgEAAGRycy9lMm9Eb2MueG1sUEsFBgAAAAAGAAYAWQEAAC4FAAAAAA==&#10;">
                <v:fill on="f" focussize="0,0"/>
                <v:stroke on="f"/>
                <v:imagedata o:title=""/>
                <o:lock v:ext="edit" aspectratio="f"/>
                <v:textbox>
                  <w:txbxContent>
                    <w:p w14:paraId="45A5CEFD">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rect>
            </w:pict>
          </mc:Fallback>
        </mc:AlternateContent>
      </w:r>
      <w:r>
        <w:rPr>
          <w:rFonts w:hint="eastAsia" w:ascii="宋体" w:hAnsi="宋体" w:eastAsia="宋体" w:cs="宋体"/>
          <w:color w:val="auto"/>
          <w:sz w:val="24"/>
          <w:highlight w:val="none"/>
        </w:rPr>
        <w:t>单机试车合格，监理工程师应在试车记录上签字，承包人可继续施工或申请办理竣工验收手续。单机试车合格24小时后，监理工程师仍不在试车记录上签字的，视为监理工程师已认可试车记录。</w:t>
      </w:r>
    </w:p>
    <w:p w14:paraId="2149DF98">
      <w:pPr>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55.4  </w:t>
      </w:r>
      <w:r>
        <w:rPr>
          <w:rFonts w:hint="eastAsia" w:ascii="宋体" w:hAnsi="宋体" w:eastAsia="宋体" w:cs="宋体"/>
          <w:b/>
          <w:bCs/>
          <w:color w:val="auto"/>
          <w:sz w:val="24"/>
          <w:highlight w:val="none"/>
          <w:u w:val="dotted"/>
        </w:rPr>
        <w:t xml:space="preserve">                                                                                                        </w:t>
      </w:r>
    </w:p>
    <w:p w14:paraId="62A6B5F3">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254" name="0001b9"/>
                <wp:cNvGraphicFramePr/>
                <a:graphic xmlns:a="http://schemas.openxmlformats.org/drawingml/2006/main">
                  <a:graphicData uri="http://schemas.microsoft.com/office/word/2010/wordprocessingShape">
                    <wps:wsp>
                      <wps:cNvSpPr/>
                      <wps:spPr>
                        <a:xfrm>
                          <a:off x="0" y="0"/>
                          <a:ext cx="873760" cy="492759"/>
                        </a:xfrm>
                        <a:prstGeom prst="rect">
                          <a:avLst/>
                        </a:prstGeom>
                        <a:ln>
                          <a:noFill/>
                        </a:ln>
                      </wps:spPr>
                      <wps:txbx>
                        <w:txbxContent>
                          <w:p w14:paraId="55FBB2AA">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wps:wsp>
                  </a:graphicData>
                </a:graphic>
              </wp:anchor>
            </w:drawing>
          </mc:Choice>
          <mc:Fallback>
            <w:pict>
              <v:rect id="0001b9" o:spid="_x0000_s1026" o:spt="1" style="position:absolute;left:0pt;margin-left:-5.8pt;margin-top:0.9pt;height:38.8pt;width:68.8pt;z-index:251659264;mso-width-relative:page;mso-height-relative:page;" filled="f" stroked="f" coordsize="21600,21600" o:gfxdata="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pLDGP2AAAAAgBAAAPAAAAAAAAAAEAIAAAACIA&#10;AABkcnMvZG93bnJldi54bWxQSwECFAAUAAAACACHTuJAPhlrAJcBAAA4AwAADgAAAAAAAAABACAA&#10;AAAnAQAAZHJzL2Uyb0RvYy54bWxQSwUGAAAAAAYABgBZAQAAMAUAAAAA&#10;">
                <v:fill on="f" focussize="0,0"/>
                <v:stroke on="f"/>
                <v:imagedata o:title=""/>
                <o:lock v:ext="edit" aspectratio="f"/>
                <v:textbox>
                  <w:txbxContent>
                    <w:p w14:paraId="55FBB2AA">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rect>
            </w:pict>
          </mc:Fallback>
        </mc:AlternateContent>
      </w:r>
      <w:r>
        <w:rPr>
          <w:rFonts w:hint="eastAsia" w:ascii="宋体" w:hAnsi="宋体" w:eastAsia="宋体" w:cs="宋体"/>
          <w:color w:val="auto"/>
          <w:sz w:val="24"/>
          <w:highlight w:val="none"/>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14:paraId="2416AF81">
      <w:pPr>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55.5  </w:t>
      </w:r>
      <w:r>
        <w:rPr>
          <w:rFonts w:hint="eastAsia" w:ascii="宋体" w:hAnsi="宋体" w:eastAsia="宋体" w:cs="宋体"/>
          <w:b/>
          <w:bCs/>
          <w:color w:val="auto"/>
          <w:sz w:val="24"/>
          <w:highlight w:val="none"/>
          <w:u w:val="dotted"/>
        </w:rPr>
        <w:t xml:space="preserve">                                                                                                        </w:t>
      </w:r>
    </w:p>
    <w:p w14:paraId="77DF7B26">
      <w:pPr>
        <w:adjustRightInd w:val="0"/>
        <w:snapToGrid w:val="0"/>
        <w:spacing w:line="300" w:lineRule="auto"/>
        <w:ind w:left="162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255" name="0001ba"/>
                <wp:cNvGraphicFramePr/>
                <a:graphic xmlns:a="http://schemas.openxmlformats.org/drawingml/2006/main">
                  <a:graphicData uri="http://schemas.microsoft.com/office/word/2010/wordprocessingShape">
                    <wps:wsp>
                      <wps:cNvSpPr/>
                      <wps:spPr>
                        <a:xfrm>
                          <a:off x="0" y="0"/>
                          <a:ext cx="883920" cy="427990"/>
                        </a:xfrm>
                        <a:prstGeom prst="rect">
                          <a:avLst/>
                        </a:prstGeom>
                        <a:ln>
                          <a:noFill/>
                        </a:ln>
                      </wps:spPr>
                      <wps:txbx>
                        <w:txbxContent>
                          <w:p w14:paraId="2630F4F1">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wps:txbx>
                      <wps:bodyPr wrap="square"/>
                    </wps:wsp>
                  </a:graphicData>
                </a:graphic>
              </wp:anchor>
            </w:drawing>
          </mc:Choice>
          <mc:Fallback>
            <w:pict>
              <v:rect id="0001ba" o:spid="_x0000_s1026" o:spt="1" style="position:absolute;left:0pt;margin-left:-9pt;margin-top:-0.5pt;height:33.7pt;width:69.6pt;z-index:251659264;mso-width-relative:page;mso-height-relative:page;" filled="f" stroked="f" coordsize="21600,21600" o:gfxdata="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OdZdw2QAAAAkBAAAPAAAAAAAAAAEAIAAAACIA&#10;AABkcnMvZG93bnJldi54bWxQSwECFAAUAAAACACHTuJAmHOJo5YBAAA4AwAADgAAAAAAAAABACAA&#10;AAAoAQAAZHJzL2Uyb0RvYy54bWxQSwUGAAAAAAYABgBZAQAAMAUAAAAA&#10;">
                <v:fill on="f" focussize="0,0"/>
                <v:stroke on="f"/>
                <v:imagedata o:title=""/>
                <o:lock v:ext="edit" aspectratio="f"/>
                <v:textbox>
                  <w:txbxContent>
                    <w:p w14:paraId="2630F4F1">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v:textbox>
              </v:rect>
            </w:pict>
          </mc:Fallback>
        </mc:AlternateContent>
      </w:r>
      <w:r>
        <w:rPr>
          <w:rFonts w:hint="eastAsia" w:ascii="宋体" w:hAnsi="宋体" w:eastAsia="宋体" w:cs="宋体"/>
          <w:color w:val="auto"/>
          <w:sz w:val="24"/>
          <w:highlight w:val="none"/>
        </w:rPr>
        <w:t xml:space="preserve">试车费用，除已含在合同价款外，由发包人承担。试车达不到验收要求的，按照下列规定处理： </w:t>
      </w:r>
    </w:p>
    <w:p w14:paraId="1EC6CB20">
      <w:pPr>
        <w:numPr>
          <w:ilvl w:val="0"/>
          <w:numId w:val="21"/>
        </w:numPr>
        <w:tabs>
          <w:tab w:val="left" w:pos="1080"/>
          <w:tab w:val="left" w:pos="1620"/>
        </w:tabs>
        <w:adjustRightInd w:val="0"/>
        <w:snapToGrid w:val="0"/>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由于设计原因试车达不到验收要求，发包人应要求设计人修改设计，承包人按照修改后的设计重新安装。发包人承担修改设计、拆除及重新安装的全部费用和延误的工期。</w:t>
      </w:r>
    </w:p>
    <w:p w14:paraId="747CBFE2">
      <w:pPr>
        <w:numPr>
          <w:ilvl w:val="0"/>
          <w:numId w:val="21"/>
        </w:numPr>
        <w:tabs>
          <w:tab w:val="left" w:pos="1080"/>
          <w:tab w:val="left" w:pos="1620"/>
        </w:tabs>
        <w:adjustRightInd w:val="0"/>
        <w:snapToGrid w:val="0"/>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4FE885F7">
      <w:pPr>
        <w:numPr>
          <w:ilvl w:val="0"/>
          <w:numId w:val="21"/>
        </w:numPr>
        <w:tabs>
          <w:tab w:val="left" w:pos="1080"/>
          <w:tab w:val="left" w:pos="1980"/>
        </w:tabs>
        <w:adjustRightInd w:val="0"/>
        <w:snapToGrid w:val="0"/>
        <w:spacing w:line="300" w:lineRule="auto"/>
        <w:ind w:left="1617" w:leftChars="770" w:firstLine="0"/>
        <w:rPr>
          <w:rFonts w:ascii="宋体" w:hAnsi="宋体" w:eastAsia="宋体" w:cs="宋体"/>
          <w:color w:val="auto"/>
          <w:sz w:val="24"/>
          <w:highlight w:val="none"/>
        </w:rPr>
      </w:pPr>
      <w:r>
        <w:rPr>
          <w:rFonts w:hint="eastAsia" w:ascii="宋体" w:hAnsi="宋体" w:eastAsia="宋体" w:cs="宋体"/>
          <w:color w:val="auto"/>
          <w:sz w:val="24"/>
          <w:highlight w:val="none"/>
        </w:rPr>
        <w:t>由于承包人施工原因试车达不到验收要求，承包人应按照监理工程师要求重新安装和试车，并承担拆除、重新安装和重新试车的费用和延误的工期。</w:t>
      </w:r>
    </w:p>
    <w:p w14:paraId="34581886">
      <w:pPr>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55.6  </w:t>
      </w:r>
      <w:r>
        <w:rPr>
          <w:rFonts w:hint="eastAsia" w:ascii="宋体" w:hAnsi="宋体" w:eastAsia="宋体" w:cs="宋体"/>
          <w:b/>
          <w:bCs/>
          <w:color w:val="auto"/>
          <w:sz w:val="24"/>
          <w:highlight w:val="none"/>
          <w:u w:val="dotted"/>
        </w:rPr>
        <w:t xml:space="preserve">                                                                               </w:t>
      </w:r>
    </w:p>
    <w:p w14:paraId="30694E0D">
      <w:pPr>
        <w:adjustRightInd w:val="0"/>
        <w:snapToGrid w:val="0"/>
        <w:spacing w:line="300" w:lineRule="auto"/>
        <w:rPr>
          <w:rFonts w:ascii="宋体" w:hAnsi="宋体" w:eastAsia="宋体" w:cs="宋体"/>
          <w:b/>
          <w:bCs/>
          <w:color w:val="auto"/>
          <w:sz w:val="24"/>
          <w:highlight w:val="none"/>
          <w:u w:val="dotted"/>
        </w:rPr>
      </w:pPr>
    </w:p>
    <w:p w14:paraId="67B4C934">
      <w:pPr>
        <w:pStyle w:val="35"/>
        <w:adjustRightInd w:val="0"/>
        <w:snapToGrid w:val="0"/>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256" name="0001bb"/>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37463082">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wrap="square"/>
                    </wps:wsp>
                  </a:graphicData>
                </a:graphic>
              </wp:anchor>
            </w:drawing>
          </mc:Choice>
          <mc:Fallback>
            <w:pict>
              <v:rect id="0001bb" o:spid="_x0000_s1026" o:spt="1" style="position:absolute;left:0pt;margin-left:-9pt;margin-top:0.8pt;height:23.4pt;width:63pt;z-index:251659264;mso-width-relative:page;mso-height-relative:page;" filled="f" stroked="f" coordsize="21600,21600" o:gfxdata="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mEo1D9YAAAAIAQAADwAAAAAAAAABACAAAAAiAAAAZHJz&#10;L2Rvd25yZXYueG1sUEsBAhQAFAAAAAgAh07iQP+4y1eUAQAAOAMAAA4AAAAAAAAAAQAgAAAAJQEA&#10;AGRycy9lMm9Eb2MueG1sUEsFBgAAAAAGAAYAWQEAACsFAAAAAA==&#10;">
                <v:fill on="f" focussize="0,0"/>
                <v:stroke on="f"/>
                <v:imagedata o:title=""/>
                <o:lock v:ext="edit" aspectratio="f"/>
                <v:textbox>
                  <w:txbxContent>
                    <w:p w14:paraId="37463082">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rect>
            </w:pict>
          </mc:Fallback>
        </mc:AlternateContent>
      </w:r>
      <w:r>
        <w:rPr>
          <w:rFonts w:hint="eastAsia" w:ascii="宋体" w:eastAsia="宋体" w:cs="宋体"/>
          <w:color w:val="auto"/>
          <w:highlight w:val="none"/>
        </w:rPr>
        <w:t>投料试车应在永久工程竣工验收后，由发包人负责。如果发包人要求在永久工程竣工验收前进行试车或需要承包人配合时，应事先取得承包人同意，并另行签订补充协议。</w:t>
      </w:r>
    </w:p>
    <w:p w14:paraId="1C5E0FEC">
      <w:pPr>
        <w:pStyle w:val="6"/>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28F87671">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42" w:name="_Toc46860860"/>
      <w:bookmarkStart w:id="143" w:name="_Toc469384039"/>
      <w:r>
        <w:rPr>
          <w:rFonts w:hint="eastAsia" w:hAnsi="宋体" w:eastAsia="宋体" w:cs="宋体"/>
          <w:b/>
          <w:bCs/>
          <w:color w:val="auto"/>
          <w:sz w:val="24"/>
          <w:szCs w:val="24"/>
          <w:highlight w:val="none"/>
        </w:rPr>
        <w:t>★56  工程变更</w:t>
      </w:r>
      <w:bookmarkEnd w:id="142"/>
      <w:bookmarkEnd w:id="143"/>
    </w:p>
    <w:p w14:paraId="460EE1C3">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56.1</w:t>
      </w:r>
    </w:p>
    <w:p w14:paraId="542D841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257" name="0001bc"/>
                <wp:cNvGraphicFramePr/>
                <a:graphic xmlns:a="http://schemas.openxmlformats.org/drawingml/2006/main">
                  <a:graphicData uri="http://schemas.microsoft.com/office/word/2010/wordprocessingShape">
                    <wps:wsp>
                      <wps:cNvSpPr/>
                      <wps:spPr>
                        <a:xfrm>
                          <a:off x="0" y="0"/>
                          <a:ext cx="1028700" cy="297180"/>
                        </a:xfrm>
                        <a:prstGeom prst="rect">
                          <a:avLst/>
                        </a:prstGeom>
                        <a:ln>
                          <a:noFill/>
                        </a:ln>
                      </wps:spPr>
                      <wps:txbx>
                        <w:txbxContent>
                          <w:p w14:paraId="73E7184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wps:wsp>
                  </a:graphicData>
                </a:graphic>
              </wp:anchor>
            </w:drawing>
          </mc:Choice>
          <mc:Fallback>
            <w:pict>
              <v:rect id="0001bc" o:spid="_x0000_s1026" o:spt="1" style="position:absolute;left:0pt;margin-left:-9pt;margin-top:0.1pt;height:23.4pt;width:81pt;z-index:251659264;mso-width-relative:page;mso-height-relative:page;" filled="f" stroked="f" coordsize="21600,21600" o:gfxdata="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Rn00ztcAAAAHAQAADwAAAAAAAAABACAAAAAiAAAA&#10;ZHJzL2Rvd25yZXYueG1sUEsBAhQAFAAAAAgAh07iQEzrZR2WAQAAOQMAAA4AAAAAAAAAAQAgAAAA&#10;JgEAAGRycy9lMm9Eb2MueG1sUEsFBgAAAAAGAAYAWQEAAC4FAAAAAA==&#10;">
                <v:fill on="f" focussize="0,0"/>
                <v:stroke on="f"/>
                <v:imagedata o:title=""/>
                <o:lock v:ext="edit" aspectratio="f"/>
                <v:textbox>
                  <w:txbxContent>
                    <w:p w14:paraId="73E7184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rect>
            </w:pict>
          </mc:Fallback>
        </mc:AlternateContent>
      </w:r>
      <w:r>
        <w:rPr>
          <w:rFonts w:hint="eastAsia" w:hAnsi="宋体" w:eastAsia="宋体" w:cs="宋体"/>
          <w:color w:val="auto"/>
          <w:sz w:val="24"/>
          <w:szCs w:val="24"/>
          <w:highlight w:val="none"/>
        </w:rPr>
        <w:t>合同履行期间，经发包人批准，监理工程师可按照第56.3款约定的变更程序向承包人发出变更指令，承包人应按照合同约定实施变更工作。</w:t>
      </w:r>
    </w:p>
    <w:p w14:paraId="4B1EB5A9">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没有经发包人批准也没有监理工程师的工程变更指令，承包人应按照合同约定施工，无权对合同工程作出任何变更。</w:t>
      </w:r>
    </w:p>
    <w:p w14:paraId="32819B6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工程量偏差不属于工程变更，该项工程量增减不需要任何指令。</w:t>
      </w:r>
    </w:p>
    <w:p w14:paraId="67A67F6C">
      <w:pPr>
        <w:pStyle w:val="24"/>
        <w:adjustRightInd w:val="0"/>
        <w:snapToGrid w:val="0"/>
        <w:spacing w:line="300" w:lineRule="auto"/>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 xml:space="preserve">56.2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2DC19026">
      <w:pPr>
        <w:pStyle w:val="24"/>
        <w:adjustRightInd w:val="0"/>
        <w:snapToGrid w:val="0"/>
        <w:spacing w:line="300" w:lineRule="auto"/>
        <w:rPr>
          <w:rFonts w:hAnsi="宋体" w:eastAsia="宋体" w:cs="宋体"/>
          <w:color w:val="auto"/>
          <w:sz w:val="24"/>
          <w:szCs w:val="24"/>
          <w:highlight w:val="none"/>
        </w:rPr>
      </w:pPr>
    </w:p>
    <w:p w14:paraId="585FC4A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258" name="0001bd"/>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2A138B7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wps:wsp>
                  </a:graphicData>
                </a:graphic>
              </wp:anchor>
            </w:drawing>
          </mc:Choice>
          <mc:Fallback>
            <w:pict>
              <v:rect id="0001bd" o:spid="_x0000_s1026" o:spt="1" style="position:absolute;left:0pt;margin-left:-9pt;margin-top:5.5pt;height:31.2pt;width:72pt;z-index:251659264;mso-width-relative:page;mso-height-relative:page;" filled="f" stroked="f" coordsize="21600,21600" o:gfxdata="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uF7VE2QAAAAkBAAAPAAAAAAAAAAEAIAAAACIA&#10;AABkcnMvZG93bnJldi54bWxQSwECFAAUAAAACACHTuJAmmQjO5YBAAA4AwAADgAAAAAAAAABACAA&#10;AAAoAQAAZHJzL2Uyb0RvYy54bWxQSwUGAAAAAAYABgBZAQAAMAUAAAAA&#10;">
                <v:fill on="f" focussize="0,0"/>
                <v:stroke on="f"/>
                <v:imagedata o:title=""/>
                <o:lock v:ext="edit" aspectratio="f"/>
                <v:textbox>
                  <w:txbxContent>
                    <w:p w14:paraId="2A138B7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rect>
            </w:pict>
          </mc:Fallback>
        </mc:AlternateContent>
      </w:r>
      <w:r>
        <w:rPr>
          <w:rFonts w:hint="eastAsia" w:hAnsi="宋体" w:eastAsia="宋体" w:cs="宋体"/>
          <w:color w:val="auto"/>
          <w:sz w:val="24"/>
          <w:szCs w:val="24"/>
          <w:highlight w:val="none"/>
        </w:rPr>
        <w:t>合同履行期间，发包人可对合同工程或其任何部分的形式、质量或数量作出变更。发生下列情形之一，应按照本条规定进行变更。</w:t>
      </w:r>
    </w:p>
    <w:p w14:paraId="16E0807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 改变合同工程中任何工程数量（不含工程量的偏差）；</w:t>
      </w:r>
    </w:p>
    <w:p w14:paraId="2B2FFF8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 xml:space="preserve">(2) 删减任何工作，但删减的工作不能转由发包人或其他人实施；   </w:t>
      </w:r>
    </w:p>
    <w:p w14:paraId="3F1D37E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(3) 改变任何工作内容的性质、质量或其他特征；</w:t>
      </w:r>
    </w:p>
    <w:p w14:paraId="4A417C52">
      <w:pPr>
        <w:pStyle w:val="24"/>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(4) 改变工程任何部分的标高、基线、位置和(或)尺寸；</w:t>
      </w:r>
    </w:p>
    <w:p w14:paraId="4B5CB57C">
      <w:pPr>
        <w:pStyle w:val="24"/>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(5) 为完成永久工程所必须的任何额外工作；</w:t>
      </w:r>
    </w:p>
    <w:p w14:paraId="2F3E9F50">
      <w:pPr>
        <w:pStyle w:val="24"/>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但对合同工程工期、质量标准等实质性变更的，应在作出变更前，与承包人签订补充协议书，作为本合同的补充文件。</w:t>
      </w:r>
    </w:p>
    <w:p w14:paraId="381A3E25">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56.3  </w:t>
      </w:r>
      <w:r>
        <w:rPr>
          <w:rFonts w:hint="eastAsia" w:hAnsi="宋体" w:eastAsia="宋体" w:cs="宋体"/>
          <w:b/>
          <w:bCs/>
          <w:color w:val="auto"/>
          <w:sz w:val="24"/>
          <w:szCs w:val="24"/>
          <w:highlight w:val="none"/>
          <w:u w:val="dotted"/>
        </w:rPr>
        <w:t xml:space="preserve">                                                                               </w:t>
      </w:r>
    </w:p>
    <w:p w14:paraId="3357C2EB">
      <w:pPr>
        <w:pStyle w:val="24"/>
        <w:adjustRightInd w:val="0"/>
        <w:snapToGrid w:val="0"/>
        <w:spacing w:line="300" w:lineRule="auto"/>
        <w:rPr>
          <w:rFonts w:hAnsi="宋体" w:eastAsia="宋体" w:cs="宋体"/>
          <w:b/>
          <w:bCs/>
          <w:color w:val="auto"/>
          <w:sz w:val="24"/>
          <w:szCs w:val="24"/>
          <w:highlight w:val="none"/>
        </w:rPr>
      </w:pPr>
    </w:p>
    <w:p w14:paraId="0A583DC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259" name="0001be"/>
                <wp:cNvGraphicFramePr/>
                <a:graphic xmlns:a="http://schemas.openxmlformats.org/drawingml/2006/main">
                  <a:graphicData uri="http://schemas.microsoft.com/office/word/2010/wordprocessingShape">
                    <wps:wsp>
                      <wps:cNvSpPr/>
                      <wps:spPr>
                        <a:xfrm>
                          <a:off x="0" y="0"/>
                          <a:ext cx="914400" cy="556895"/>
                        </a:xfrm>
                        <a:prstGeom prst="rect">
                          <a:avLst/>
                        </a:prstGeom>
                        <a:ln>
                          <a:noFill/>
                        </a:ln>
                      </wps:spPr>
                      <wps:txbx>
                        <w:txbxContent>
                          <w:p w14:paraId="19E9677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wps:wsp>
                  </a:graphicData>
                </a:graphic>
              </wp:anchor>
            </w:drawing>
          </mc:Choice>
          <mc:Fallback>
            <w:pict>
              <v:rect id="0001be" o:spid="_x0000_s1026" o:spt="1" style="position:absolute;left:0pt;margin-left:-9pt;margin-top:1.25pt;height:43.85pt;width:72pt;z-index:251659264;mso-width-relative:page;mso-height-relative:page;" filled="f" stroked="f" coordsize="21600,21600" o:gfxdata="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Ggl+V9gAAAAIAQAADwAAAAAAAAABACAAAAAiAAAA&#10;ZHJzL2Rvd25yZXYueG1sUEsBAhQAFAAAAAgAh07iQJQZHIOVAQAAOAMAAA4AAAAAAAAAAQAgAAAA&#10;JwEAAGRycy9lMm9Eb2MueG1sUEsFBgAAAAAGAAYAWQEAAC4FAAAAAA==&#10;">
                <v:fill on="f" focussize="0,0"/>
                <v:stroke on="f"/>
                <v:imagedata o:title=""/>
                <o:lock v:ext="edit" aspectratio="f"/>
                <v:textbox>
                  <w:txbxContent>
                    <w:p w14:paraId="19E9677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rect>
            </w:pict>
          </mc:Fallback>
        </mc:AlternateContent>
      </w:r>
      <w:r>
        <w:rPr>
          <w:rFonts w:hint="eastAsia" w:hAnsi="宋体" w:eastAsia="宋体" w:cs="宋体"/>
          <w:color w:val="auto"/>
          <w:sz w:val="24"/>
          <w:szCs w:val="24"/>
          <w:highlight w:val="none"/>
        </w:rPr>
        <w:t>合同工程发生变更，合同双方当事人以及监理工程师、造价工程师应遵循下列程序实施工程变更的相关工作。</w:t>
      </w:r>
    </w:p>
    <w:p w14:paraId="7B8D7C0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(1)合同工程可能发生或发生工程变更时，监理工程师或承包人可依据下列情况及时提出。</w:t>
      </w:r>
    </w:p>
    <w:p w14:paraId="7786A347">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14:paraId="04CEB705">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2）合同工程发生第56.2款所列情形的，监理工程师应至少提前14天以书面形式向承包人发出变更指令，并提供变更的施工设计图纸及其说明等资料。</w:t>
      </w:r>
    </w:p>
    <w:p w14:paraId="68B54405">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14:paraId="29B21609">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14:paraId="5D3ABE16">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14:paraId="55FBF957">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变更工作影响工期的，承包人应提出调整工期的要求。发包人认为有必要时，可要求承包人提交提前或者延长工期的施工进度计划或相应施工措施等资料。</w:t>
      </w:r>
    </w:p>
    <w:p w14:paraId="7CF6AB1D">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14:paraId="57CB527A">
      <w:pPr>
        <w:pStyle w:val="24"/>
        <w:adjustRightInd w:val="0"/>
        <w:snapToGrid w:val="0"/>
        <w:spacing w:line="300" w:lineRule="auto"/>
        <w:ind w:left="1575" w:leftChars="750"/>
        <w:rPr>
          <w:rFonts w:hAnsi="宋体" w:eastAsia="宋体" w:cs="宋体"/>
          <w:b/>
          <w:bCs/>
          <w:color w:val="auto"/>
          <w:sz w:val="24"/>
          <w:szCs w:val="24"/>
          <w:highlight w:val="none"/>
        </w:rPr>
      </w:pPr>
      <w:r>
        <w:rPr>
          <w:rFonts w:hint="eastAsia" w:hAnsi="宋体" w:eastAsia="宋体" w:cs="宋体"/>
          <w:color w:val="auto"/>
          <w:sz w:val="24"/>
          <w:szCs w:val="24"/>
          <w:highlight w:val="none"/>
        </w:rPr>
        <w:t>(4)承包人应在发包人确定工程变更报告后的7天内，按照监理工程师发出的变更指令及时组织实施变更工作。否则，由此引起的损失和（或）延误的工期由承包人承担。</w:t>
      </w:r>
    </w:p>
    <w:p w14:paraId="2BD6F702">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56.4  </w:t>
      </w:r>
      <w:r>
        <w:rPr>
          <w:rFonts w:hint="eastAsia" w:hAnsi="宋体" w:eastAsia="宋体" w:cs="宋体"/>
          <w:b/>
          <w:bCs/>
          <w:color w:val="auto"/>
          <w:sz w:val="24"/>
          <w:szCs w:val="24"/>
          <w:highlight w:val="none"/>
          <w:u w:val="dotted"/>
        </w:rPr>
        <w:t xml:space="preserve">                                                                               </w:t>
      </w:r>
    </w:p>
    <w:p w14:paraId="6CF86F8B">
      <w:pPr>
        <w:pStyle w:val="24"/>
        <w:adjustRightInd w:val="0"/>
        <w:snapToGrid w:val="0"/>
        <w:spacing w:line="300" w:lineRule="auto"/>
        <w:rPr>
          <w:rFonts w:hAnsi="宋体" w:eastAsia="宋体" w:cs="宋体"/>
          <w:b/>
          <w:bCs/>
          <w:color w:val="auto"/>
          <w:sz w:val="24"/>
          <w:szCs w:val="24"/>
          <w:highlight w:val="none"/>
        </w:rPr>
      </w:pPr>
    </w:p>
    <w:p w14:paraId="6037879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260" name="0001bf"/>
                <wp:cNvGraphicFramePr/>
                <a:graphic xmlns:a="http://schemas.openxmlformats.org/drawingml/2006/main">
                  <a:graphicData uri="http://schemas.microsoft.com/office/word/2010/wordprocessingShape">
                    <wps:wsp>
                      <wps:cNvSpPr/>
                      <wps:spPr>
                        <a:xfrm>
                          <a:off x="0" y="0"/>
                          <a:ext cx="914400" cy="412115"/>
                        </a:xfrm>
                        <a:prstGeom prst="rect">
                          <a:avLst/>
                        </a:prstGeom>
                        <a:ln>
                          <a:noFill/>
                        </a:ln>
                      </wps:spPr>
                      <wps:txbx>
                        <w:txbxContent>
                          <w:p w14:paraId="50120FF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wps:wsp>
                  </a:graphicData>
                </a:graphic>
              </wp:anchor>
            </w:drawing>
          </mc:Choice>
          <mc:Fallback>
            <w:pict>
              <v:rect id="0001bf" o:spid="_x0000_s1026" o:spt="1" style="position:absolute;left:0pt;margin-left:-9pt;margin-top:0.6pt;height:32.45pt;width:72pt;z-index:251659264;mso-width-relative:page;mso-height-relative:page;" filled="f" stroked="f" coordsize="21600,21600" o:gfxdata="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GBzzrXAAAACAEAAA8AAAAAAAAAAQAgAAAAIgAAAGRy&#10;cy9kb3ducmV2LnhtbFBLAQIUABQAAAAIAIdO4kAAyUQGlAEAADgDAAAOAAAAAAAAAAEAIAAAACYB&#10;AABkcnMvZTJvRG9jLnhtbFBLBQYAAAAABgAGAFkBAAAsBQAAAAA=&#10;">
                <v:fill on="f" focussize="0,0"/>
                <v:stroke on="f"/>
                <v:imagedata o:title=""/>
                <o:lock v:ext="edit" aspectratio="f"/>
                <v:textbox>
                  <w:txbxContent>
                    <w:p w14:paraId="50120FF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rect>
            </w:pict>
          </mc:Fallback>
        </mc:AlternateContent>
      </w:r>
      <w:r>
        <w:rPr>
          <w:rFonts w:hint="eastAsia" w:hAnsi="宋体" w:eastAsia="宋体" w:cs="宋体"/>
          <w:color w:val="auto"/>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14:paraId="2F1DFC4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发包人采纳承包人的建议，给发包人带来降低合同价款、缩短工期或提交工程经济效益等利益的，发包人应按照国家有关规定并在专用条款中约定的计算方法予以奖励。</w:t>
      </w:r>
    </w:p>
    <w:p w14:paraId="5696DC2A">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56.5  </w:t>
      </w:r>
      <w:r>
        <w:rPr>
          <w:rFonts w:hint="eastAsia" w:hAnsi="宋体" w:eastAsia="宋体" w:cs="宋体"/>
          <w:b/>
          <w:bCs/>
          <w:color w:val="auto"/>
          <w:sz w:val="24"/>
          <w:szCs w:val="24"/>
          <w:highlight w:val="none"/>
          <w:u w:val="dotted"/>
        </w:rPr>
        <w:t xml:space="preserve">                                                                                </w:t>
      </w:r>
    </w:p>
    <w:p w14:paraId="5EBD80F0">
      <w:pPr>
        <w:pStyle w:val="24"/>
        <w:adjustRightInd w:val="0"/>
        <w:snapToGrid w:val="0"/>
        <w:spacing w:line="300" w:lineRule="auto"/>
        <w:rPr>
          <w:rFonts w:hAnsi="宋体" w:eastAsia="宋体" w:cs="宋体"/>
          <w:b/>
          <w:bCs/>
          <w:color w:val="auto"/>
          <w:sz w:val="24"/>
          <w:szCs w:val="24"/>
          <w:highlight w:val="none"/>
        </w:rPr>
      </w:pPr>
    </w:p>
    <w:p w14:paraId="5442E34B">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261" name="0001c0"/>
                <wp:cNvGraphicFramePr/>
                <a:graphic xmlns:a="http://schemas.openxmlformats.org/drawingml/2006/main">
                  <a:graphicData uri="http://schemas.microsoft.com/office/word/2010/wordprocessingShape">
                    <wps:wsp>
                      <wps:cNvSpPr/>
                      <wps:spPr>
                        <a:xfrm>
                          <a:off x="0" y="0"/>
                          <a:ext cx="914400" cy="588010"/>
                        </a:xfrm>
                        <a:prstGeom prst="rect">
                          <a:avLst/>
                        </a:prstGeom>
                        <a:ln>
                          <a:noFill/>
                        </a:ln>
                      </wps:spPr>
                      <wps:txbx>
                        <w:txbxContent>
                          <w:p w14:paraId="1940BEF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wps:wsp>
                  </a:graphicData>
                </a:graphic>
              </wp:anchor>
            </w:drawing>
          </mc:Choice>
          <mc:Fallback>
            <w:pict>
              <v:rect id="0001c0" o:spid="_x0000_s1026" o:spt="1" style="position:absolute;left:0pt;margin-left:-9pt;margin-top:1.2pt;height:46.3pt;width:72pt;z-index:251659264;mso-width-relative:page;mso-height-relative:page;" filled="f" stroked="f" coordsize="21600,21600" o:gfxdata="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&#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ELMJ3YAAAACAEAAA8AAAAAAAAAAQAgAAAAIgAAAGRy&#10;cy9kb3ducmV2LnhtbFBLAQIUABQAAAAIAIdO4kBEFELFkwEAADgDAAAOAAAAAAAAAAEAIAAAACcB&#10;AABkcnMvZTJvRG9jLnhtbFBLBQYAAAAABgAGAFkBAAAsBQAAAAA=&#10;">
                <v:fill on="f" focussize="0,0"/>
                <v:stroke on="f"/>
                <v:imagedata o:title=""/>
                <o:lock v:ext="edit" aspectratio="f"/>
                <v:textbox>
                  <w:txbxContent>
                    <w:p w14:paraId="1940BEF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rect>
            </w:pict>
          </mc:Fallback>
        </mc:AlternateContent>
      </w:r>
      <w:r>
        <w:rPr>
          <w:rFonts w:hint="eastAsia" w:hAnsi="宋体" w:eastAsia="宋体" w:cs="宋体"/>
          <w:color w:val="auto"/>
          <w:sz w:val="24"/>
          <w:szCs w:val="24"/>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14:paraId="2D6148E4">
      <w:pPr>
        <w:pStyle w:val="24"/>
        <w:numPr>
          <w:ilvl w:val="0"/>
          <w:numId w:val="22"/>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为了便于组织施工而采取的技术措施变更或临时工程变更；</w:t>
      </w:r>
    </w:p>
    <w:p w14:paraId="33DBDE1F">
      <w:pPr>
        <w:pStyle w:val="24"/>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（2）为了施工安全、避免干扰等原因而采取的技术措施变更或</w:t>
      </w:r>
    </w:p>
    <w:p w14:paraId="74DBAF8F">
      <w:pPr>
        <w:pStyle w:val="24"/>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临时工程变更；</w:t>
      </w:r>
    </w:p>
    <w:p w14:paraId="1D9ED22D">
      <w:pPr>
        <w:pStyle w:val="24"/>
        <w:numPr>
          <w:ilvl w:val="0"/>
          <w:numId w:val="22"/>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因承包人违约、过错或承包人引起的其他变更。</w:t>
      </w:r>
    </w:p>
    <w:p w14:paraId="78FC4A36">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58DCFE58">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44" w:name="_Toc46860861"/>
      <w:bookmarkStart w:id="145" w:name="_Toc469384040"/>
      <w:r>
        <w:rPr>
          <w:rFonts w:hint="eastAsia" w:hAnsi="宋体" w:eastAsia="宋体" w:cs="宋体"/>
          <w:b/>
          <w:bCs/>
          <w:color w:val="auto"/>
          <w:sz w:val="24"/>
          <w:szCs w:val="24"/>
          <w:highlight w:val="none"/>
        </w:rPr>
        <w:t>57  竣工验收条件</w:t>
      </w:r>
      <w:bookmarkEnd w:id="144"/>
      <w:bookmarkEnd w:id="145"/>
    </w:p>
    <w:p w14:paraId="4E0B80E1">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57.1</w:t>
      </w:r>
    </w:p>
    <w:p w14:paraId="0EA8F3D2">
      <w:pPr>
        <w:spacing w:line="300" w:lineRule="auto"/>
        <w:ind w:left="1618" w:hanging="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262" name="0001c1"/>
                <wp:cNvGraphicFramePr/>
                <a:graphic xmlns:a="http://schemas.openxmlformats.org/drawingml/2006/main">
                  <a:graphicData uri="http://schemas.microsoft.com/office/word/2010/wordprocessingShape">
                    <wps:wsp>
                      <wps:cNvSpPr/>
                      <wps:spPr>
                        <a:xfrm>
                          <a:off x="0" y="0"/>
                          <a:ext cx="914400" cy="422909"/>
                        </a:xfrm>
                        <a:prstGeom prst="rect">
                          <a:avLst/>
                        </a:prstGeom>
                        <a:ln>
                          <a:noFill/>
                        </a:ln>
                      </wps:spPr>
                      <wps:txbx>
                        <w:txbxContent>
                          <w:p w14:paraId="5E35DEB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wps:wsp>
                  </a:graphicData>
                </a:graphic>
              </wp:anchor>
            </w:drawing>
          </mc:Choice>
          <mc:Fallback>
            <w:pict>
              <v:rect id="0001c1" o:spid="_x0000_s1026" o:spt="1" style="position:absolute;left:0pt;margin-left:-9pt;margin-top:1pt;height:33.3pt;width:72pt;z-index:251659264;mso-width-relative:page;mso-height-relative:page;" filled="f" stroked="f" coordsize="21600,21600" o:gfxdata="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&#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m0fjC2AAAAAgBAAAPAAAAAAAAAAEAIAAAACIAAABk&#10;cnMvZG93bnJldi54bWxQSwECFAAUAAAACACHTuJAPKhD2pQBAAA4AwAADgAAAAAAAAABACAAAAAn&#10;AQAAZHJzL2Uyb0RvYy54bWxQSwUGAAAAAAYABgBZAQAALQUAAAAA&#10;">
                <v:fill on="f" focussize="0,0"/>
                <v:stroke on="f"/>
                <v:imagedata o:title=""/>
                <o:lock v:ext="edit" aspectratio="f"/>
                <v:textbox>
                  <w:txbxContent>
                    <w:p w14:paraId="5E35DEB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rect>
            </w:pict>
          </mc:Fallback>
        </mc:AlternateContent>
      </w:r>
      <w:r>
        <w:rPr>
          <w:rFonts w:hint="eastAsia" w:ascii="宋体" w:hAnsi="宋体" w:eastAsia="宋体" w:cs="宋体"/>
          <w:color w:val="auto"/>
          <w:sz w:val="24"/>
          <w:highlight w:val="none"/>
        </w:rPr>
        <w:t>承包人实施、完成合同工程的全部工作内容，经自检评定并符合下列条件的，则认为合同工程已具备竣工验收条件。</w:t>
      </w:r>
    </w:p>
    <w:p w14:paraId="1C1C6778">
      <w:pPr>
        <w:spacing w:line="300" w:lineRule="auto"/>
        <w:ind w:left="1618" w:hanging="1"/>
        <w:rPr>
          <w:rFonts w:ascii="宋体" w:hAnsi="宋体" w:eastAsia="宋体" w:cs="宋体"/>
          <w:color w:val="auto"/>
          <w:sz w:val="24"/>
          <w:highlight w:val="none"/>
        </w:rPr>
      </w:pPr>
      <w:r>
        <w:rPr>
          <w:rFonts w:hint="eastAsia" w:ascii="宋体" w:hAnsi="宋体" w:eastAsia="宋体" w:cs="宋体"/>
          <w:color w:val="auto"/>
          <w:sz w:val="24"/>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14:paraId="6138F1D8">
      <w:pPr>
        <w:spacing w:line="300" w:lineRule="auto"/>
        <w:ind w:left="1680" w:leftChars="800"/>
        <w:rPr>
          <w:rFonts w:ascii="宋体" w:hAnsi="宋体" w:eastAsia="宋体" w:cs="宋体"/>
          <w:color w:val="auto"/>
          <w:sz w:val="24"/>
          <w:highlight w:val="none"/>
        </w:rPr>
      </w:pPr>
      <w:r>
        <w:rPr>
          <w:rFonts w:hint="eastAsia" w:ascii="宋体" w:hAnsi="宋体" w:eastAsia="宋体" w:cs="宋体"/>
          <w:color w:val="auto"/>
          <w:sz w:val="24"/>
          <w:highlight w:val="none"/>
        </w:rPr>
        <w:t>(2）已按照合同约定的内容和份数备齐了符合国家或行业、省要求的竣工资料（质量控制资料、竣工结算文件等）；</w:t>
      </w:r>
    </w:p>
    <w:p w14:paraId="3A0A7474">
      <w:pPr>
        <w:spacing w:line="300" w:lineRule="auto"/>
        <w:ind w:left="1618" w:hanging="1"/>
        <w:rPr>
          <w:rFonts w:ascii="宋体" w:hAnsi="宋体" w:eastAsia="宋体" w:cs="宋体"/>
          <w:color w:val="auto"/>
          <w:sz w:val="24"/>
          <w:highlight w:val="none"/>
        </w:rPr>
      </w:pPr>
      <w:r>
        <w:rPr>
          <w:rFonts w:hint="eastAsia" w:ascii="宋体" w:hAnsi="宋体" w:eastAsia="宋体" w:cs="宋体"/>
          <w:color w:val="auto"/>
          <w:sz w:val="24"/>
          <w:highlight w:val="none"/>
        </w:rPr>
        <w:t>(3）已按照监理工程师的指令编制了在缺陷责任期内完成的尾工（甩项）工程和缺陷修补工作清单，以及相应的实施计划；</w:t>
      </w:r>
    </w:p>
    <w:p w14:paraId="4867DF13">
      <w:pPr>
        <w:spacing w:line="300" w:lineRule="auto"/>
        <w:ind w:firstLine="1620" w:firstLineChars="675"/>
        <w:rPr>
          <w:rFonts w:ascii="宋体" w:hAnsi="宋体" w:eastAsia="宋体" w:cs="宋体"/>
          <w:color w:val="auto"/>
          <w:sz w:val="24"/>
          <w:highlight w:val="none"/>
        </w:rPr>
      </w:pPr>
      <w:r>
        <w:rPr>
          <w:rFonts w:hint="eastAsia" w:ascii="宋体" w:hAnsi="宋体" w:eastAsia="宋体" w:cs="宋体"/>
          <w:color w:val="auto"/>
          <w:sz w:val="24"/>
          <w:highlight w:val="none"/>
        </w:rPr>
        <w:t>(4）监理工程师要求在竣工验收前应完成的其他工作：</w:t>
      </w:r>
    </w:p>
    <w:p w14:paraId="0328F837">
      <w:pPr>
        <w:spacing w:line="300" w:lineRule="auto"/>
        <w:ind w:firstLine="1620" w:firstLineChars="675"/>
        <w:rPr>
          <w:rFonts w:ascii="宋体" w:hAnsi="宋体" w:eastAsia="宋体" w:cs="宋体"/>
          <w:color w:val="auto"/>
          <w:sz w:val="24"/>
          <w:highlight w:val="none"/>
        </w:rPr>
      </w:pPr>
      <w:r>
        <w:rPr>
          <w:rFonts w:hint="eastAsia" w:ascii="宋体" w:hAnsi="宋体" w:eastAsia="宋体" w:cs="宋体"/>
          <w:color w:val="auto"/>
          <w:sz w:val="24"/>
          <w:highlight w:val="none"/>
        </w:rPr>
        <w:t>(5）监理工程师要求提交的竣工验收资料清单。</w:t>
      </w:r>
    </w:p>
    <w:p w14:paraId="1F3518F2">
      <w:pPr>
        <w:pStyle w:val="6"/>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57.2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4F8641EE">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263" name="0001c2"/>
                <wp:cNvGraphicFramePr/>
                <a:graphic xmlns:a="http://schemas.openxmlformats.org/drawingml/2006/main">
                  <a:graphicData uri="http://schemas.microsoft.com/office/word/2010/wordprocessingShape">
                    <wps:wsp>
                      <wps:cNvSpPr/>
                      <wps:spPr>
                        <a:xfrm>
                          <a:off x="0" y="0"/>
                          <a:ext cx="914400" cy="422909"/>
                        </a:xfrm>
                        <a:prstGeom prst="rect">
                          <a:avLst/>
                        </a:prstGeom>
                        <a:ln>
                          <a:noFill/>
                        </a:ln>
                      </wps:spPr>
                      <wps:txbx>
                        <w:txbxContent>
                          <w:p w14:paraId="45D6037B">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wps:txbx>
                      <wps:bodyPr wrap="square"/>
                    </wps:wsp>
                  </a:graphicData>
                </a:graphic>
              </wp:anchor>
            </w:drawing>
          </mc:Choice>
          <mc:Fallback>
            <w:pict>
              <v:rect id="0001c2" o:spid="_x0000_s1026" o:spt="1" style="position:absolute;left:0pt;margin-left:-9pt;margin-top:1pt;height:33.3pt;width:72pt;z-index:251659264;mso-width-relative:page;mso-height-relative:page;" filled="f" stroked="f" coordsize="21600,21600" o:gfxdata="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&#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ZtH4wtgAAAAIAQAADwAAAAAAAAABACAAAAAiAAAA&#10;ZHJzL2Rvd25yZXYueG1sUEsBAhQAFAAAAAgAh07iQHU/DkWVAQAAOAMAAA4AAAAAAAAAAQAgAAAA&#10;JwEAAGRycy9lMm9Eb2MueG1sUEsFBgAAAAAGAAYAWQEAAC4FAAAAAA==&#10;">
                <v:fill on="f" focussize="0,0"/>
                <v:stroke on="f"/>
                <v:imagedata o:title=""/>
                <o:lock v:ext="edit" aspectratio="f"/>
                <v:textbox>
                  <w:txbxContent>
                    <w:p w14:paraId="45D6037B">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rect>
            </w:pict>
          </mc:Fallback>
        </mc:AlternateContent>
      </w:r>
      <w:r>
        <w:rPr>
          <w:rFonts w:hint="eastAsia" w:ascii="宋体" w:hAnsi="宋体" w:eastAsia="宋体" w:cs="宋体"/>
          <w:color w:val="auto"/>
          <w:sz w:val="24"/>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14:paraId="54D12F32">
      <w:pPr>
        <w:pStyle w:val="6"/>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57.3  </w:t>
      </w:r>
      <w:r>
        <w:rPr>
          <w:rFonts w:hint="eastAsia" w:ascii="宋体" w:hAnsi="宋体" w:eastAsia="宋体" w:cs="宋体"/>
          <w:b/>
          <w:bCs/>
          <w:color w:val="auto"/>
          <w:sz w:val="24"/>
          <w:highlight w:val="none"/>
          <w:u w:val="dotted"/>
        </w:rPr>
        <w:t xml:space="preserve">                                                                                                        </w:t>
      </w:r>
    </w:p>
    <w:p w14:paraId="1D0603EE">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264" name="0001c3"/>
                <wp:cNvGraphicFramePr/>
                <a:graphic xmlns:a="http://schemas.openxmlformats.org/drawingml/2006/main">
                  <a:graphicData uri="http://schemas.microsoft.com/office/word/2010/wordprocessingShape">
                    <wps:wsp>
                      <wps:cNvSpPr/>
                      <wps:spPr>
                        <a:xfrm>
                          <a:off x="0" y="0"/>
                          <a:ext cx="873760" cy="407034"/>
                        </a:xfrm>
                        <a:prstGeom prst="rect">
                          <a:avLst/>
                        </a:prstGeom>
                        <a:ln>
                          <a:noFill/>
                        </a:ln>
                      </wps:spPr>
                      <wps:txbx>
                        <w:txbxContent>
                          <w:p w14:paraId="24C21B8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wps:wsp>
                  </a:graphicData>
                </a:graphic>
              </wp:anchor>
            </w:drawing>
          </mc:Choice>
          <mc:Fallback>
            <w:pict>
              <v:rect id="0001c3" o:spid="_x0000_s1026" o:spt="1" style="position:absolute;left:0pt;margin-left:-9pt;margin-top:3.05pt;height:32.05pt;width:68.8pt;z-index:251659264;mso-width-relative:page;mso-height-relative:page;" filled="f" stroked="f" coordsize="21600,21600" o:gfxdata="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ImRcLZAAAACAEAAA8AAAAAAAAAAQAgAAAAIgAA&#10;AGRycy9kb3ducmV2LnhtbFBLAQIUABQAAAAIAIdO4kA4KMtdlQEAADgDAAAOAAAAAAAAAAEAIAAA&#10;ACgBAABkcnMvZTJvRG9jLnhtbFBLBQYAAAAABgAGAFkBAAAvBQAAAAA=&#10;">
                <v:fill on="f" focussize="0,0"/>
                <v:stroke on="f"/>
                <v:imagedata o:title=""/>
                <o:lock v:ext="edit" aspectratio="f"/>
                <v:textbox>
                  <w:txbxContent>
                    <w:p w14:paraId="24C21B8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rect>
            </w:pict>
          </mc:Fallback>
        </mc:AlternateContent>
      </w:r>
      <w:r>
        <w:rPr>
          <w:rFonts w:hint="eastAsia" w:ascii="宋体" w:hAnsi="宋体" w:eastAsia="宋体" w:cs="宋体"/>
          <w:color w:val="auto"/>
          <w:sz w:val="24"/>
          <w:highlight w:val="none"/>
        </w:rPr>
        <w:t>如果承包人不按照规定提交竣工资料或提交的资料不符合要求，则认为合同工程尚未具备竣工验收条件。</w:t>
      </w:r>
    </w:p>
    <w:p w14:paraId="6F732B1F">
      <w:pPr>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7D4E620D">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46" w:name="_Toc469384041"/>
      <w:bookmarkStart w:id="147" w:name="_Toc46860862"/>
      <w:r>
        <w:rPr>
          <w:rFonts w:hint="eastAsia" w:hAnsi="宋体" w:eastAsia="宋体" w:cs="宋体"/>
          <w:b/>
          <w:bCs/>
          <w:color w:val="auto"/>
          <w:sz w:val="24"/>
          <w:szCs w:val="24"/>
          <w:highlight w:val="none"/>
        </w:rPr>
        <w:t>58  竣工验收</w:t>
      </w:r>
      <w:bookmarkEnd w:id="146"/>
      <w:bookmarkEnd w:id="147"/>
    </w:p>
    <w:p w14:paraId="093E7979">
      <w:pPr>
        <w:tabs>
          <w:tab w:val="left" w:pos="162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265" name="0001c4"/>
                <wp:cNvGraphicFramePr/>
                <a:graphic xmlns:a="http://schemas.openxmlformats.org/drawingml/2006/main">
                  <a:graphicData uri="http://schemas.microsoft.com/office/word/2010/wordprocessingShape">
                    <wps:wsp>
                      <wps:cNvSpPr/>
                      <wps:spPr>
                        <a:xfrm>
                          <a:off x="0" y="0"/>
                          <a:ext cx="873760" cy="407670"/>
                        </a:xfrm>
                        <a:prstGeom prst="rect">
                          <a:avLst/>
                        </a:prstGeom>
                        <a:ln>
                          <a:noFill/>
                        </a:ln>
                      </wps:spPr>
                      <wps:txbx>
                        <w:txbxContent>
                          <w:p w14:paraId="3BB0B66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wps:wsp>
                  </a:graphicData>
                </a:graphic>
              </wp:anchor>
            </w:drawing>
          </mc:Choice>
          <mc:Fallback>
            <w:pict>
              <v:rect id="0001c4" o:spid="_x0000_s1026" o:spt="1" style="position:absolute;left:0pt;margin-left:-9pt;margin-top:20.3pt;height:32.1pt;width:68.8pt;z-index:251659264;mso-width-relative:page;mso-height-relative:page;" filled="f" stroked="f" coordsize="21600,21600" o:gfxdata="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C4luOdoAAAAKAQAADwAAAAAAAAABACAAAAAi&#10;AAAAZHJzL2Rvd25yZXYueG1sUEsBAhQAFAAAAAgAh07iQFaizA6WAQAAOAMAAA4AAAAAAAAAAQAg&#10;AAAAKQEAAGRycy9lMm9Eb2MueG1sUEsFBgAAAAAGAAYAWQEAADEFAAAAAA==&#10;">
                <v:fill on="f" focussize="0,0"/>
                <v:stroke on="f"/>
                <v:imagedata o:title=""/>
                <o:lock v:ext="edit" aspectratio="f"/>
                <v:textbox>
                  <w:txbxContent>
                    <w:p w14:paraId="3BB0B66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rect>
            </w:pict>
          </mc:Fallback>
        </mc:AlternateContent>
      </w:r>
      <w:r>
        <w:rPr>
          <w:rFonts w:hint="eastAsia" w:ascii="宋体" w:hAnsi="宋体" w:eastAsia="宋体" w:cs="宋体"/>
          <w:b/>
          <w:bCs/>
          <w:color w:val="auto"/>
          <w:sz w:val="24"/>
          <w:highlight w:val="none"/>
        </w:rPr>
        <w:t>58.1</w:t>
      </w:r>
    </w:p>
    <w:p w14:paraId="176306A4">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合同双方当事人应在专用条款中约定合同工程竣工验收标准，但约定的竣工验收标准应符合国家或行业、省的有关规定。</w:t>
      </w:r>
    </w:p>
    <w:p w14:paraId="0DC30F3E">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合同工程需要进行国家验收的，竣工验收是国家验收的一部分。</w:t>
      </w:r>
    </w:p>
    <w:p w14:paraId="7E25C1BA">
      <w:pPr>
        <w:tabs>
          <w:tab w:val="left" w:pos="1620"/>
        </w:tabs>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266" name="0001c5"/>
                <wp:cNvGraphicFramePr/>
                <a:graphic xmlns:a="http://schemas.openxmlformats.org/drawingml/2006/main">
                  <a:graphicData uri="http://schemas.microsoft.com/office/word/2010/wordprocessingShape">
                    <wps:wsp>
                      <wps:cNvSpPr/>
                      <wps:spPr>
                        <a:xfrm>
                          <a:off x="0" y="0"/>
                          <a:ext cx="873760" cy="407670"/>
                        </a:xfrm>
                        <a:prstGeom prst="rect">
                          <a:avLst/>
                        </a:prstGeom>
                        <a:ln>
                          <a:noFill/>
                        </a:ln>
                      </wps:spPr>
                      <wps:txbx>
                        <w:txbxContent>
                          <w:p w14:paraId="3399E9C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wps:wsp>
                  </a:graphicData>
                </a:graphic>
              </wp:anchor>
            </w:drawing>
          </mc:Choice>
          <mc:Fallback>
            <w:pict>
              <v:rect id="0001c5" o:spid="_x0000_s1026" o:spt="1" style="position:absolute;left:0pt;margin-left:-9pt;margin-top:20.3pt;height:32.1pt;width:68.8pt;z-index:251659264;mso-width-relative:page;mso-height-relative:page;" filled="f" stroked="f" coordsize="21600,21600" o:gfxdata="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C4luOdoAAAAKAQAADwAAAAAAAAABACAAAAAi&#10;AAAAZHJzL2Rvd25yZXYueG1sUEsBAhQAFAAAAAgAh07iQHmO+0SWAQAAOAMAAA4AAAAAAAAAAQAg&#10;AAAAKQEAAGRycy9lMm9Eb2MueG1sUEsFBgAAAAAGAAYAWQEAADEFAAAAAA==&#10;">
                <v:fill on="f" focussize="0,0"/>
                <v:stroke on="f"/>
                <v:imagedata o:title=""/>
                <o:lock v:ext="edit" aspectratio="f"/>
                <v:textbox>
                  <w:txbxContent>
                    <w:p w14:paraId="3399E9C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rect>
            </w:pict>
          </mc:Fallback>
        </mc:AlternateContent>
      </w:r>
      <w:r>
        <w:rPr>
          <w:rFonts w:hint="eastAsia" w:ascii="宋体" w:hAnsi="宋体" w:eastAsia="宋体" w:cs="宋体"/>
          <w:b/>
          <w:bCs/>
          <w:color w:val="auto"/>
          <w:sz w:val="24"/>
          <w:highlight w:val="none"/>
        </w:rPr>
        <w:t>58.2</w:t>
      </w:r>
      <w:r>
        <w:rPr>
          <w:rFonts w:hint="eastAsia" w:ascii="宋体" w:hAnsi="宋体" w:eastAsia="宋体" w:cs="宋体"/>
          <w:color w:val="auto"/>
          <w:sz w:val="24"/>
          <w:highlight w:val="none"/>
          <w:u w:val="dotted"/>
        </w:rPr>
        <w:t xml:space="preserve">                                                                             </w:t>
      </w:r>
    </w:p>
    <w:p w14:paraId="1AA300C6">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发包人收到承包人按照第57.2 款规定提交的竣工验收申请报告后，应及时通知监理工程师核查合同工程是否具备竣工验收条件。</w:t>
      </w:r>
    </w:p>
    <w:p w14:paraId="1041C8DB">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14:paraId="02DDA0A3">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(2）经核查已具备竣工验收条件的，监理工程师应在收到竣工验收申请报告后的14天内书面提请发包人组织合同工程验收。</w:t>
      </w:r>
    </w:p>
    <w:p w14:paraId="12232D5D">
      <w:pPr>
        <w:tabs>
          <w:tab w:val="left" w:pos="162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267" name="0001c6"/>
                <wp:cNvGraphicFramePr/>
                <a:graphic xmlns:a="http://schemas.openxmlformats.org/drawingml/2006/main">
                  <a:graphicData uri="http://schemas.microsoft.com/office/word/2010/wordprocessingShape">
                    <wps:wsp>
                      <wps:cNvSpPr/>
                      <wps:spPr>
                        <a:xfrm>
                          <a:off x="0" y="0"/>
                          <a:ext cx="873760" cy="407670"/>
                        </a:xfrm>
                        <a:prstGeom prst="rect">
                          <a:avLst/>
                        </a:prstGeom>
                        <a:ln>
                          <a:noFill/>
                        </a:ln>
                      </wps:spPr>
                      <wps:txbx>
                        <w:txbxContent>
                          <w:p w14:paraId="4E8B61F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wps:wsp>
                  </a:graphicData>
                </a:graphic>
              </wp:anchor>
            </w:drawing>
          </mc:Choice>
          <mc:Fallback>
            <w:pict>
              <v:rect id="0001c6" o:spid="_x0000_s1026" o:spt="1" style="position:absolute;left:0pt;margin-left:-9pt;margin-top:20.3pt;height:32.1pt;width:68.8pt;z-index:251659264;mso-width-relative:page;mso-height-relative:page;" filled="f" stroked="f" coordsize="21600,21600" o:gfxdata="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LiW452gAAAAoBAAAPAAAAAAAAAAEAIAAAACIA&#10;AABkcnMvZG93bnJldi54bWxQSwECFAAUAAAACACHTuJAMBm225UBAAA4AwAADgAAAAAAAAABACAA&#10;AAApAQAAZHJzL2Uyb0RvYy54bWxQSwUGAAAAAAYABgBZAQAAMAUAAAAA&#10;">
                <v:fill on="f" focussize="0,0"/>
                <v:stroke on="f"/>
                <v:imagedata o:title=""/>
                <o:lock v:ext="edit" aspectratio="f"/>
                <v:textbox>
                  <w:txbxContent>
                    <w:p w14:paraId="4E8B61F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rect>
            </w:pict>
          </mc:Fallback>
        </mc:AlternateContent>
      </w:r>
      <w:r>
        <w:rPr>
          <w:rFonts w:hint="eastAsia" w:ascii="宋体" w:hAnsi="宋体" w:eastAsia="宋体" w:cs="宋体"/>
          <w:b/>
          <w:bCs/>
          <w:color w:val="auto"/>
          <w:sz w:val="24"/>
          <w:highlight w:val="none"/>
        </w:rPr>
        <w:t xml:space="preserve">58.3 </w:t>
      </w:r>
      <w:r>
        <w:rPr>
          <w:rFonts w:hint="eastAsia" w:ascii="宋体" w:hAnsi="宋体" w:eastAsia="宋体" w:cs="宋体"/>
          <w:b/>
          <w:bCs/>
          <w:color w:val="auto"/>
          <w:sz w:val="24"/>
          <w:highlight w:val="none"/>
          <w:u w:val="dotted"/>
        </w:rPr>
        <w:t xml:space="preserve">                                                                             </w:t>
      </w:r>
    </w:p>
    <w:p w14:paraId="37F652F6">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14:paraId="247AD0ED">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14:paraId="4219473D">
      <w:pPr>
        <w:adjustRightInd w:val="0"/>
        <w:snapToGrid w:val="0"/>
        <w:spacing w:line="300" w:lineRule="auto"/>
        <w:ind w:left="1626" w:leftChars="1" w:hanging="1624" w:hangingChars="674"/>
        <w:rPr>
          <w:rFonts w:ascii="宋体" w:hAnsi="宋体" w:eastAsia="宋体" w:cs="宋体"/>
          <w:color w:val="auto"/>
          <w:sz w:val="24"/>
          <w:highlight w:val="none"/>
        </w:rPr>
      </w:pPr>
      <w:r>
        <w:rPr>
          <w:rFonts w:hint="eastAsia" w:ascii="宋体" w:hAnsi="宋体" w:eastAsia="宋体" w:cs="宋体"/>
          <w:b/>
          <w:bCs/>
          <w:color w:val="auto"/>
          <w:sz w:val="24"/>
          <w:highlight w:val="none"/>
        </w:rPr>
        <w:t>58.4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7EACA7E0">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268" name="0001c7"/>
                <wp:cNvGraphicFramePr/>
                <a:graphic xmlns:a="http://schemas.openxmlformats.org/drawingml/2006/main">
                  <a:graphicData uri="http://schemas.microsoft.com/office/word/2010/wordprocessingShape">
                    <wps:wsp>
                      <wps:cNvSpPr/>
                      <wps:spPr>
                        <a:xfrm>
                          <a:off x="0" y="0"/>
                          <a:ext cx="873760" cy="451484"/>
                        </a:xfrm>
                        <a:prstGeom prst="rect">
                          <a:avLst/>
                        </a:prstGeom>
                        <a:ln>
                          <a:noFill/>
                        </a:ln>
                      </wps:spPr>
                      <wps:txbx>
                        <w:txbxContent>
                          <w:p w14:paraId="2740CF6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wps:wsp>
                  </a:graphicData>
                </a:graphic>
              </wp:anchor>
            </w:drawing>
          </mc:Choice>
          <mc:Fallback>
            <w:pict>
              <v:rect id="0001c7" o:spid="_x0000_s1026" o:spt="1" style="position:absolute;left:0pt;margin-left:-9pt;margin-top:1.55pt;height:35.55pt;width:68.8pt;z-index:251659264;mso-width-relative:page;mso-height-relative:page;" filled="f" stroked="f" coordsize="21600,21600" o:gfxdata="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rjAti2QAAAAgBAAAPAAAAAAAAAAEAIAAAACIA&#10;AABkcnMvZG93bnJldi54bWxQSwECFAAUAAAACACHTuJA03D015YBAAA4AwAADgAAAAAAAAABACAA&#10;AAAoAQAAZHJzL2Uyb0RvYy54bWxQSwUGAAAAAAYABgBZAQAAMAUAAAAA&#10;">
                <v:fill on="f" focussize="0,0"/>
                <v:stroke on="f"/>
                <v:imagedata o:title=""/>
                <o:lock v:ext="edit" aspectratio="f"/>
                <v:textbox>
                  <w:txbxContent>
                    <w:p w14:paraId="2740CF6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rect>
            </w:pict>
          </mc:Fallback>
        </mc:AlternateContent>
      </w:r>
      <w:r>
        <w:rPr>
          <w:rFonts w:hint="eastAsia" w:ascii="宋体" w:hAnsi="宋体" w:eastAsia="宋体" w:cs="宋体"/>
          <w:color w:val="auto"/>
          <w:sz w:val="24"/>
          <w:highlight w:val="none"/>
        </w:rPr>
        <w:t>发包人未按照第58.3款规定完成合同工程验收，或验收后14天内未予确认也未提出修改意见，视为承包人提交的竣工验收申请报告已被认可。</w:t>
      </w:r>
    </w:p>
    <w:p w14:paraId="3738045E">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竣工验收申请报告被认可，则表明已完成合同工程，视为竣工验收合格，但由于不可抗力事件致使发包人不能完成验收的除外。</w:t>
      </w:r>
    </w:p>
    <w:p w14:paraId="7A43FD3E">
      <w:pPr>
        <w:tabs>
          <w:tab w:val="left" w:pos="162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58.5 </w:t>
      </w:r>
      <w:r>
        <w:rPr>
          <w:rFonts w:hint="eastAsia" w:ascii="宋体" w:hAnsi="宋体" w:eastAsia="宋体" w:cs="宋体"/>
          <w:b/>
          <w:bCs/>
          <w:color w:val="auto"/>
          <w:sz w:val="24"/>
          <w:highlight w:val="none"/>
          <w:u w:val="dotted"/>
        </w:rPr>
        <w:t xml:space="preserve">                                                                                                        </w:t>
      </w:r>
    </w:p>
    <w:p w14:paraId="1EDCBFD0">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269" name="0001c8"/>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599BDAE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wps:wsp>
                  </a:graphicData>
                </a:graphic>
              </wp:anchor>
            </w:drawing>
          </mc:Choice>
          <mc:Fallback>
            <w:pict>
              <v:rect id="0001c8" o:spid="_x0000_s1026" o:spt="1" style="position:absolute;left:0pt;margin-left:-9pt;margin-top:1.55pt;height:31.2pt;width:72pt;z-index:251659264;mso-width-relative:page;mso-height-relative:page;" filled="f" stroked="f" coordsize="21600,21600" o:gfxdata="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Sf8LYAAAACAEAAA8AAAAAAAAAAQAgAAAAIgAA&#10;AGRycy9kb3ducmV2LnhtbFBLAQIUABQAAAAIAIdO4kD4m+WslgEAADgDAAAOAAAAAAAAAAEAIAAA&#10;ACcBAABkcnMvZTJvRG9jLnhtbFBLBQYAAAAABgAGAFkBAAAvBQAAAAA=&#10;">
                <v:fill on="f" focussize="0,0"/>
                <v:stroke on="f"/>
                <v:imagedata o:title=""/>
                <o:lock v:ext="edit" aspectratio="f"/>
                <v:textbox>
                  <w:txbxContent>
                    <w:p w14:paraId="599BDAE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rect>
            </w:pict>
          </mc:Fallback>
        </mc:AlternateContent>
      </w:r>
      <w:r>
        <w:rPr>
          <w:rFonts w:hint="eastAsia" w:ascii="宋体" w:hAnsi="宋体" w:eastAsia="宋体" w:cs="宋体"/>
          <w:color w:val="auto"/>
          <w:sz w:val="24"/>
          <w:highlight w:val="none"/>
        </w:rPr>
        <w:t>发包人未按照第58.3款规定完成合同工程验收，从收到监理工程师书面提请后的第29天起承担合同工程照管责任和其他一切意外责任。</w:t>
      </w:r>
    </w:p>
    <w:p w14:paraId="0A91A618">
      <w:pPr>
        <w:tabs>
          <w:tab w:val="left" w:pos="1620"/>
        </w:tabs>
        <w:adjustRightInd w:val="0"/>
        <w:snapToGrid w:val="0"/>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58.6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B84CCFF">
      <w:pPr>
        <w:spacing w:line="300" w:lineRule="auto"/>
        <w:ind w:left="1620" w:leftChars="771" w:hanging="1"/>
        <w:rPr>
          <w:rFonts w:ascii="宋体" w:hAnsi="宋体" w:eastAsia="宋体" w:cs="宋体"/>
          <w:color w:val="auto"/>
          <w:sz w:val="24"/>
          <w:highlight w:val="none"/>
        </w:rPr>
      </w:pPr>
      <w:r>
        <w:rPr>
          <w:rFonts w:hint="eastAsia" w:ascii="宋体" w:hAnsi="宋体" w:eastAsia="宋体" w:cs="宋体"/>
          <w:color w:val="auto"/>
          <w:sz w:val="24"/>
          <w:highlight w:val="none"/>
        </w:rPr>
        <w:t>竣工</w: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270" name="0001c9"/>
                <wp:cNvGraphicFramePr/>
                <a:graphic xmlns:a="http://schemas.openxmlformats.org/drawingml/2006/main">
                  <a:graphicData uri="http://schemas.microsoft.com/office/word/2010/wordprocessingShape">
                    <wps:wsp>
                      <wps:cNvSpPr/>
                      <wps:spPr>
                        <a:xfrm>
                          <a:off x="0" y="0"/>
                          <a:ext cx="914400" cy="395605"/>
                        </a:xfrm>
                        <a:prstGeom prst="rect">
                          <a:avLst/>
                        </a:prstGeom>
                        <a:ln>
                          <a:noFill/>
                        </a:ln>
                      </wps:spPr>
                      <wps:txbx>
                        <w:txbxContent>
                          <w:p w14:paraId="43BF9A6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wps:wsp>
                  </a:graphicData>
                </a:graphic>
              </wp:anchor>
            </w:drawing>
          </mc:Choice>
          <mc:Fallback>
            <w:pict>
              <v:rect id="0001c9" o:spid="_x0000_s1026" o:spt="1" style="position:absolute;left:0pt;margin-left:-9pt;margin-top:0.35pt;height:31.15pt;width:72pt;z-index:251659264;mso-width-relative:page;mso-height-relative:page;" filled="f" stroked="f" coordsize="21600,21600" o:gfxdata="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DMTdb1wAAAAcBAAAPAAAAAAAAAAEAIAAAACIAAABk&#10;cnMvZG93bnJldi54bWxQSwECFAAUAAAACACHTuJAhbHMHZUBAAA4AwAADgAAAAAAAAABACAAAAAm&#10;AQAAZHJzL2Uyb0RvYy54bWxQSwUGAAAAAAYABgBZAQAALQUAAAAA&#10;">
                <v:fill on="f" focussize="0,0"/>
                <v:stroke on="f"/>
                <v:imagedata o:title=""/>
                <o:lock v:ext="edit" aspectratio="f"/>
                <v:textbox>
                  <w:txbxContent>
                    <w:p w14:paraId="43BF9A6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rect>
            </w:pict>
          </mc:Fallback>
        </mc:AlternateContent>
      </w:r>
      <w:r>
        <w:rPr>
          <w:rFonts w:hint="eastAsia" w:ascii="宋体" w:hAnsi="宋体" w:eastAsia="宋体" w:cs="宋体"/>
          <w:color w:val="auto"/>
          <w:sz w:val="24"/>
          <w:highlight w:val="none"/>
        </w:rPr>
        <w:t>验收合格的，发包人应接收工程，并在收到承包人提交的竣工验收申请报告后的56天内向承包人颁发工程接收证书。</w:t>
      </w:r>
    </w:p>
    <w:p w14:paraId="7C9C38DB">
      <w:pPr>
        <w:spacing w:line="300" w:lineRule="auto"/>
        <w:ind w:left="1620" w:leftChars="771" w:hanging="1"/>
        <w:rPr>
          <w:rFonts w:ascii="宋体" w:hAnsi="宋体" w:eastAsia="宋体" w:cs="宋体"/>
          <w:color w:val="auto"/>
          <w:sz w:val="24"/>
          <w:highlight w:val="none"/>
        </w:rPr>
      </w:pPr>
      <w:r>
        <w:rPr>
          <w:rFonts w:hint="eastAsia" w:ascii="宋体" w:hAnsi="宋体" w:eastAsia="宋体" w:cs="宋体"/>
          <w:color w:val="auto"/>
          <w:sz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14:paraId="5A75226A">
      <w:p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362434EF">
      <w:pPr>
        <w:tabs>
          <w:tab w:val="left" w:pos="162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58.7 </w:t>
      </w:r>
      <w:r>
        <w:rPr>
          <w:rFonts w:hint="eastAsia" w:ascii="宋体" w:hAnsi="宋体" w:eastAsia="宋体" w:cs="宋体"/>
          <w:b/>
          <w:bCs/>
          <w:color w:val="auto"/>
          <w:sz w:val="24"/>
          <w:highlight w:val="none"/>
          <w:u w:val="dotted"/>
        </w:rPr>
        <w:t xml:space="preserve">                                                                                                        </w:t>
      </w:r>
    </w:p>
    <w:p w14:paraId="5F0EF0D0">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271" name="0001ca"/>
                <wp:cNvGraphicFramePr/>
                <a:graphic xmlns:a="http://schemas.openxmlformats.org/drawingml/2006/main">
                  <a:graphicData uri="http://schemas.microsoft.com/office/word/2010/wordprocessingShape">
                    <wps:wsp>
                      <wps:cNvSpPr/>
                      <wps:spPr>
                        <a:xfrm>
                          <a:off x="0" y="0"/>
                          <a:ext cx="914400" cy="395605"/>
                        </a:xfrm>
                        <a:prstGeom prst="rect">
                          <a:avLst/>
                        </a:prstGeom>
                        <a:ln>
                          <a:noFill/>
                        </a:ln>
                      </wps:spPr>
                      <wps:txbx>
                        <w:txbxContent>
                          <w:p w14:paraId="29D00140">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wps:txbx>
                      <wps:bodyPr wrap="square"/>
                    </wps:wsp>
                  </a:graphicData>
                </a:graphic>
              </wp:anchor>
            </w:drawing>
          </mc:Choice>
          <mc:Fallback>
            <w:pict>
              <v:rect id="0001ca" o:spid="_x0000_s1026" o:spt="1" style="position:absolute;left:0pt;margin-left:-9pt;margin-top:0.35pt;height:31.15pt;width:72pt;z-index:251659264;mso-width-relative:page;mso-height-relative:page;" filled="f" stroked="f" coordsize="21600,21600" o:gfxdata="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&#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DMTdb1wAAAAcBAAAPAAAAAAAAAAEAIAAAACIAAABk&#10;cnMvZG93bnJldi54bWxQSwECFAAUAAAACACHTuJAJ9cBEZUBAAA4AwAADgAAAAAAAAABACAAAAAm&#10;AQAAZHJzL2Uyb0RvYy54bWxQSwUGAAAAAAYABgBZAQAALQUAAAAA&#10;">
                <v:fill on="f" focussize="0,0"/>
                <v:stroke on="f"/>
                <v:imagedata o:title=""/>
                <o:lock v:ext="edit" aspectratio="f"/>
                <v:textbox>
                  <w:txbxContent>
                    <w:p w14:paraId="29D00140">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rect>
            </w:pict>
          </mc:Fallback>
        </mc:AlternateContent>
      </w:r>
      <w:r>
        <w:rPr>
          <w:rFonts w:hint="eastAsia" w:ascii="宋体" w:hAnsi="宋体" w:eastAsia="宋体" w:cs="宋体"/>
          <w:color w:val="auto"/>
          <w:sz w:val="24"/>
          <w:highlight w:val="none"/>
        </w:rPr>
        <w:t>竣工验收合格的合同工程，发包人应按照第38.2款规定在工程接收证书上写明合同工程的实际竣工日期。</w:t>
      </w:r>
    </w:p>
    <w:p w14:paraId="79E4319B">
      <w:pPr>
        <w:tabs>
          <w:tab w:val="left" w:pos="162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58.8  </w:t>
      </w:r>
      <w:r>
        <w:rPr>
          <w:rFonts w:hint="eastAsia" w:ascii="宋体" w:hAnsi="宋体" w:eastAsia="宋体" w:cs="宋体"/>
          <w:b/>
          <w:bCs/>
          <w:color w:val="auto"/>
          <w:sz w:val="24"/>
          <w:highlight w:val="none"/>
          <w:u w:val="dotted"/>
        </w:rPr>
        <w:t xml:space="preserve">                                                                                                        </w:t>
      </w:r>
    </w:p>
    <w:p w14:paraId="1FEAD80B">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272" name="0001cb"/>
                <wp:cNvGraphicFramePr/>
                <a:graphic xmlns:a="http://schemas.openxmlformats.org/drawingml/2006/main">
                  <a:graphicData uri="http://schemas.microsoft.com/office/word/2010/wordprocessingShape">
                    <wps:wsp>
                      <wps:cNvSpPr/>
                      <wps:spPr>
                        <a:xfrm>
                          <a:off x="0" y="0"/>
                          <a:ext cx="914400" cy="1252855"/>
                        </a:xfrm>
                        <a:prstGeom prst="rect">
                          <a:avLst/>
                        </a:prstGeom>
                        <a:ln>
                          <a:noFill/>
                        </a:ln>
                      </wps:spPr>
                      <wps:txbx>
                        <w:txbxContent>
                          <w:p w14:paraId="6BD1A05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wps:wsp>
                  </a:graphicData>
                </a:graphic>
              </wp:anchor>
            </w:drawing>
          </mc:Choice>
          <mc:Fallback>
            <w:pict>
              <v:rect id="0001cb" o:spid="_x0000_s1026" o:spt="1" style="position:absolute;left:0pt;margin-left:-9pt;margin-top:0.35pt;height:98.65pt;width:72pt;z-index:251659264;mso-width-relative:page;mso-height-relative:page;" filled="f" stroked="f" coordsize="21600,21600" o:gfxdata="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&#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LZdI9cAAAAIAQAADwAAAAAAAAABACAAAAAiAAAA&#10;ZHJzL2Rvd25yZXYueG1sUEsBAhQAFAAAAAgAh07iQDvt4qSWAQAAOQMAAA4AAAAAAAAAAQAgAAAA&#10;JgEAAGRycy9lMm9Eb2MueG1sUEsFBgAAAAAGAAYAWQEAAC4FAAAAAA==&#10;">
                <v:fill on="f" focussize="0,0"/>
                <v:stroke on="f"/>
                <v:imagedata o:title=""/>
                <o:lock v:ext="edit" aspectratio="f"/>
                <v:textbox>
                  <w:txbxContent>
                    <w:p w14:paraId="6BD1A05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rect>
            </w:pict>
          </mc:Fallback>
        </mc:AlternateContent>
      </w:r>
      <w:r>
        <w:rPr>
          <w:rFonts w:hint="eastAsia" w:ascii="宋体" w:hAnsi="宋体" w:eastAsia="宋体" w:cs="宋体"/>
          <w:color w:val="auto"/>
          <w:sz w:val="24"/>
          <w:highlight w:val="none"/>
        </w:rPr>
        <w:t>发包人要求某一单位工程或任一工程部位提前办理竣工验收的，应与承包人签订单位工程或工程部位竣工验收协议，作为本合同的附件。</w:t>
      </w:r>
    </w:p>
    <w:p w14:paraId="0C8BC9EC">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14:paraId="24E50475">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（2）发包人在全部工程竣工前，使用已接收的单位工程或工程部位导致承包人费用增加的，发包人应承担由此增加的费用和（或）延误的工期，并向承包人支付合理利润。</w:t>
      </w:r>
    </w:p>
    <w:p w14:paraId="2ECBEA3E">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58.9  </w:t>
      </w:r>
      <w:r>
        <w:rPr>
          <w:rFonts w:hint="eastAsia" w:ascii="宋体" w:hAnsi="宋体" w:eastAsia="宋体" w:cs="宋体"/>
          <w:b/>
          <w:bCs/>
          <w:color w:val="auto"/>
          <w:sz w:val="24"/>
          <w:highlight w:val="none"/>
          <w:u w:val="dotted"/>
        </w:rPr>
        <w:t xml:space="preserve">                                                                                                        </w:t>
      </w:r>
    </w:p>
    <w:p w14:paraId="12050B14">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273" name="0001cc"/>
                <wp:cNvGraphicFramePr/>
                <a:graphic xmlns:a="http://schemas.openxmlformats.org/drawingml/2006/main">
                  <a:graphicData uri="http://schemas.microsoft.com/office/word/2010/wordprocessingShape">
                    <wps:wsp>
                      <wps:cNvSpPr/>
                      <wps:spPr>
                        <a:xfrm>
                          <a:off x="0" y="0"/>
                          <a:ext cx="914400" cy="590550"/>
                        </a:xfrm>
                        <a:prstGeom prst="rect">
                          <a:avLst/>
                        </a:prstGeom>
                        <a:ln>
                          <a:noFill/>
                        </a:ln>
                      </wps:spPr>
                      <wps:txbx>
                        <w:txbxContent>
                          <w:p w14:paraId="7913075B">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wrap="square"/>
                    </wps:wsp>
                  </a:graphicData>
                </a:graphic>
              </wp:anchor>
            </w:drawing>
          </mc:Choice>
          <mc:Fallback>
            <w:pict>
              <v:rect id="0001cc" o:spid="_x0000_s1026" o:spt="1" style="position:absolute;left:0pt;margin-left:-9pt;margin-top:0.3pt;height:46.5pt;width:72pt;z-index:251659264;mso-width-relative:page;mso-height-relative:page;" filled="f" stroked="f" coordsize="21600,21600" o:gfxdata="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2GOH9cAAAAHAQAADwAAAAAAAAABACAAAAAiAAAA&#10;ZHJzL2Rvd25yZXYueG1sUEsBAhQAFAAAAAgAh07iQHwd8fiWAQAAOAMAAA4AAAAAAAAAAQAgAAAA&#10;JgEAAGRycy9lMm9Eb2MueG1sUEsFBgAAAAAGAAYAWQEAAC4FAAAAAA==&#10;">
                <v:fill on="f" focussize="0,0"/>
                <v:stroke on="f"/>
                <v:imagedata o:title=""/>
                <o:lock v:ext="edit" aspectratio="f"/>
                <v:textbox>
                  <w:txbxContent>
                    <w:p w14:paraId="7913075B">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rect>
            </w:pict>
          </mc:Fallback>
        </mc:AlternateContent>
      </w:r>
      <w:r>
        <w:rPr>
          <w:rFonts w:hint="eastAsia" w:ascii="宋体" w:hAnsi="宋体" w:eastAsia="宋体" w:cs="宋体"/>
          <w:color w:val="auto"/>
          <w:sz w:val="24"/>
          <w:highlight w:val="none"/>
        </w:rPr>
        <w:t>合同工程尚未全部竣工（其中某项或某几项单位工程或工程部位已竣工），根据合同约定需要在施工期运行的，应由发包人按照第58.8款规定验收合格，并确保安全后，才能投入施工期运行。</w:t>
      </w:r>
    </w:p>
    <w:p w14:paraId="1587D293">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在施工期运行中，发现单位工程或工程部位存在缺陷或损坏的，由承包人按照第59.3款规定进行修复。</w:t>
      </w:r>
    </w:p>
    <w:p w14:paraId="081A0642">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58.10  </w:t>
      </w:r>
      <w:r>
        <w:rPr>
          <w:rFonts w:hint="eastAsia" w:ascii="宋体" w:hAnsi="宋体" w:eastAsia="宋体" w:cs="宋体"/>
          <w:b/>
          <w:bCs/>
          <w:color w:val="auto"/>
          <w:sz w:val="24"/>
          <w:highlight w:val="none"/>
          <w:u w:val="dotted"/>
        </w:rPr>
        <w:t xml:space="preserve">                                                                                                        </w:t>
      </w:r>
    </w:p>
    <w:p w14:paraId="41403C6D">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274" name="0001cd"/>
                <wp:cNvGraphicFramePr/>
                <a:graphic xmlns:a="http://schemas.openxmlformats.org/drawingml/2006/main">
                  <a:graphicData uri="http://schemas.microsoft.com/office/word/2010/wordprocessingShape">
                    <wps:wsp>
                      <wps:cNvSpPr/>
                      <wps:spPr>
                        <a:xfrm>
                          <a:off x="0" y="0"/>
                          <a:ext cx="914400" cy="590550"/>
                        </a:xfrm>
                        <a:prstGeom prst="rect">
                          <a:avLst/>
                        </a:prstGeom>
                        <a:ln>
                          <a:noFill/>
                        </a:ln>
                      </wps:spPr>
                      <wps:txbx>
                        <w:txbxContent>
                          <w:p w14:paraId="4FD647B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wps:wsp>
                  </a:graphicData>
                </a:graphic>
              </wp:anchor>
            </w:drawing>
          </mc:Choice>
          <mc:Fallback>
            <w:pict>
              <v:rect id="0001cd" o:spid="_x0000_s1026" o:spt="1" style="position:absolute;left:0pt;margin-left:-9pt;margin-top:0.3pt;height:46.5pt;width:72pt;z-index:251659264;mso-width-relative:page;mso-height-relative:page;" filled="f" stroked="f" coordsize="21600,21600" o:gfxdata="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2GOH9cAAAAHAQAADwAAAAAAAAABACAAAAAiAAAA&#10;ZHJzL2Rvd25yZXYueG1sUEsBAhQAFAAAAAgAh07iQCSLsjaWAQAAOAMAAA4AAAAAAAAAAQAgAAAA&#10;JgEAAGRycy9lMm9Eb2MueG1sUEsFBgAAAAAGAAYAWQEAAC4FAAAAAA==&#10;">
                <v:fill on="f" focussize="0,0"/>
                <v:stroke on="f"/>
                <v:imagedata o:title=""/>
                <o:lock v:ext="edit" aspectratio="f"/>
                <v:textbox>
                  <w:txbxContent>
                    <w:p w14:paraId="4FD647B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rect>
            </w:pict>
          </mc:Fallback>
        </mc:AlternateContent>
      </w:r>
      <w:r>
        <w:rPr>
          <w:rFonts w:hint="eastAsia" w:ascii="宋体" w:hAnsi="宋体" w:eastAsia="宋体" w:cs="宋体"/>
          <w:color w:val="auto"/>
          <w:sz w:val="24"/>
          <w:highlight w:val="none"/>
        </w:rPr>
        <w:t>专用条款没有约定的，工程接收证书颁发后，承包人应按照下列要求对施工场地进行清理，直至监理工程师检验合格为止。竣工清场费用由承包人承担。</w:t>
      </w:r>
    </w:p>
    <w:p w14:paraId="3A5C990C">
      <w:pPr>
        <w:spacing w:line="300" w:lineRule="auto"/>
        <w:ind w:firstLine="1620" w:firstLineChars="675"/>
        <w:rPr>
          <w:rFonts w:ascii="宋体" w:hAnsi="宋体" w:eastAsia="宋体" w:cs="宋体"/>
          <w:color w:val="auto"/>
          <w:sz w:val="24"/>
          <w:highlight w:val="none"/>
        </w:rPr>
      </w:pPr>
      <w:r>
        <w:rPr>
          <w:rFonts w:hint="eastAsia" w:ascii="宋体" w:hAnsi="宋体" w:eastAsia="宋体" w:cs="宋体"/>
          <w:color w:val="auto"/>
          <w:sz w:val="24"/>
          <w:highlight w:val="none"/>
        </w:rPr>
        <w:t>（1）施工场地内残留的垃圾已全部清除出场；</w:t>
      </w:r>
    </w:p>
    <w:p w14:paraId="09A98A8A">
      <w:pPr>
        <w:spacing w:line="300" w:lineRule="auto"/>
        <w:ind w:left="1628" w:leftChars="775"/>
        <w:rPr>
          <w:rFonts w:ascii="宋体" w:hAnsi="宋体" w:eastAsia="宋体" w:cs="宋体"/>
          <w:color w:val="auto"/>
          <w:sz w:val="24"/>
          <w:highlight w:val="none"/>
        </w:rPr>
      </w:pPr>
      <w:r>
        <w:rPr>
          <w:rFonts w:hint="eastAsia" w:ascii="宋体" w:hAnsi="宋体" w:eastAsia="宋体" w:cs="宋体"/>
          <w:color w:val="auto"/>
          <w:sz w:val="24"/>
          <w:highlight w:val="none"/>
        </w:rPr>
        <w:t>（2）临时设施已拆除，场地已按照合同要求进行清理、平整或 复原；</w:t>
      </w:r>
    </w:p>
    <w:p w14:paraId="2C802FB4">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（3）按照合同约定应撤离的承包人设备和剩余的材料，包括废弃的施工设备和材料，已按照计划撤离施工场地；</w:t>
      </w:r>
    </w:p>
    <w:p w14:paraId="1CAA934B">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（4）建筑物周边及其附近道路、河道的施工堆积物，已按照监理工程师指令全部清理；</w:t>
      </w:r>
    </w:p>
    <w:p w14:paraId="3D4E4916">
      <w:pPr>
        <w:spacing w:line="300" w:lineRule="auto"/>
        <w:ind w:firstLine="1620" w:firstLineChars="675"/>
        <w:rPr>
          <w:rFonts w:ascii="宋体" w:hAnsi="宋体" w:eastAsia="宋体" w:cs="宋体"/>
          <w:color w:val="auto"/>
          <w:sz w:val="24"/>
          <w:highlight w:val="none"/>
        </w:rPr>
      </w:pPr>
      <w:r>
        <w:rPr>
          <w:rFonts w:hint="eastAsia" w:ascii="宋体" w:hAnsi="宋体" w:eastAsia="宋体" w:cs="宋体"/>
          <w:color w:val="auto"/>
          <w:sz w:val="24"/>
          <w:highlight w:val="none"/>
        </w:rPr>
        <w:t>（5）监理工程师指令的其他场地清理工作已全部完成。</w:t>
      </w:r>
    </w:p>
    <w:p w14:paraId="7B857D3B">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如承包人未按照监理工程师的要求恢复临时占地，或者场地清理未达到合同约定的，发包人可自行或委托第三方恢复或清理，所发生的费用从应支付或将支付给承包人的款项中扣除。</w:t>
      </w:r>
    </w:p>
    <w:p w14:paraId="7E51DE63">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58.11 </w:t>
      </w:r>
      <w:r>
        <w:rPr>
          <w:rFonts w:hint="eastAsia" w:ascii="宋体" w:hAnsi="宋体" w:eastAsia="宋体" w:cs="宋体"/>
          <w:b/>
          <w:bCs/>
          <w:color w:val="auto"/>
          <w:sz w:val="24"/>
          <w:highlight w:val="none"/>
          <w:u w:val="dotted"/>
        </w:rPr>
        <w:t xml:space="preserve">                                                                                                        </w:t>
      </w:r>
    </w:p>
    <w:p w14:paraId="3A988115">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275" name="0001ce"/>
                <wp:cNvGraphicFramePr/>
                <a:graphic xmlns:a="http://schemas.openxmlformats.org/drawingml/2006/main">
                  <a:graphicData uri="http://schemas.microsoft.com/office/word/2010/wordprocessingShape">
                    <wps:wsp>
                      <wps:cNvSpPr/>
                      <wps:spPr>
                        <a:xfrm>
                          <a:off x="0" y="0"/>
                          <a:ext cx="914400" cy="590550"/>
                        </a:xfrm>
                        <a:prstGeom prst="rect">
                          <a:avLst/>
                        </a:prstGeom>
                        <a:ln>
                          <a:noFill/>
                        </a:ln>
                      </wps:spPr>
                      <wps:txbx>
                        <w:txbxContent>
                          <w:p w14:paraId="3D1126A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wps:wsp>
                  </a:graphicData>
                </a:graphic>
              </wp:anchor>
            </w:drawing>
          </mc:Choice>
          <mc:Fallback>
            <w:pict>
              <v:rect id="0001ce" o:spid="_x0000_s1026" o:spt="1" style="position:absolute;left:0pt;margin-left:-9pt;margin-top:0.3pt;height:46.5pt;width:72pt;z-index:251659264;mso-width-relative:page;mso-height-relative:page;" filled="f" stroked="f" coordsize="21600,21600" o:gfxdata="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rYY4f1wAAAAcBAAAPAAAAAAAAAAEAIAAAACIAAABk&#10;cnMvZG93bnJldi54bWxQSwECFAAUAAAACACHTuJAl9YPXJUBAAA4AwAADgAAAAAAAAABACAAAAAm&#10;AQAAZHJzL2Uyb0RvYy54bWxQSwUGAAAAAAYABgBZAQAALQUAAAAA&#10;">
                <v:fill on="f" focussize="0,0"/>
                <v:stroke on="f"/>
                <v:imagedata o:title=""/>
                <o:lock v:ext="edit" aspectratio="f"/>
                <v:textbox>
                  <w:txbxContent>
                    <w:p w14:paraId="3D1126A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rect>
            </w:pict>
          </mc:Fallback>
        </mc:AlternateContent>
      </w:r>
      <w:r>
        <w:rPr>
          <w:rFonts w:hint="eastAsia" w:ascii="宋体" w:hAnsi="宋体" w:eastAsia="宋体" w:cs="宋体"/>
          <w:color w:val="auto"/>
          <w:sz w:val="24"/>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730D3181">
      <w:pPr>
        <w:tabs>
          <w:tab w:val="left" w:pos="1620"/>
        </w:tabs>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276" name="0001cf"/>
                <wp:cNvGraphicFramePr/>
                <a:graphic xmlns:a="http://schemas.openxmlformats.org/drawingml/2006/main">
                  <a:graphicData uri="http://schemas.microsoft.com/office/word/2010/wordprocessingShape">
                    <wps:wsp>
                      <wps:cNvSpPr/>
                      <wps:spPr>
                        <a:xfrm>
                          <a:off x="0" y="0"/>
                          <a:ext cx="914400" cy="591185"/>
                        </a:xfrm>
                        <a:prstGeom prst="rect">
                          <a:avLst/>
                        </a:prstGeom>
                        <a:ln>
                          <a:noFill/>
                        </a:ln>
                      </wps:spPr>
                      <wps:txbx>
                        <w:txbxContent>
                          <w:p w14:paraId="4E1FE3E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wps:wsp>
                  </a:graphicData>
                </a:graphic>
              </wp:anchor>
            </w:drawing>
          </mc:Choice>
          <mc:Fallback>
            <w:pict>
              <v:rect id="0001cf" o:spid="_x0000_s1026" o:spt="1" style="position:absolute;left:0pt;margin-left:-5.25pt;margin-top:23.55pt;height:46.55pt;width:72pt;z-index:251659264;mso-width-relative:page;mso-height-relative:page;" filled="f" stroked="f" coordsize="21600,21600" o:gfxdata="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YMOiDaAAAACgEAAA8AAAAAAAAAAQAgAAAAIgAA&#10;AGRycy9kb3ducmV2LnhtbFBLAQIUABQAAAAIAIdO4kCE7ogplAEAADgDAAAOAAAAAAAAAAEAIAAA&#10;ACkBAABkcnMvZTJvRG9jLnhtbFBLBQYAAAAABgAGAFkBAAAvBQAAAAA=&#10;">
                <v:fill on="f" focussize="0,0"/>
                <v:stroke on="f"/>
                <v:imagedata o:title=""/>
                <o:lock v:ext="edit" aspectratio="f"/>
                <v:textbox>
                  <w:txbxContent>
                    <w:p w14:paraId="4E1FE3E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rect>
            </w:pict>
          </mc:Fallback>
        </mc:AlternateContent>
      </w:r>
      <w:r>
        <w:rPr>
          <w:rFonts w:hint="eastAsia" w:ascii="宋体" w:hAnsi="宋体" w:eastAsia="宋体" w:cs="宋体"/>
          <w:b/>
          <w:bCs/>
          <w:color w:val="auto"/>
          <w:sz w:val="24"/>
          <w:highlight w:val="none"/>
        </w:rPr>
        <w:t>58.12</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3949563F">
      <w:pPr>
        <w:pStyle w:val="35"/>
        <w:adjustRightInd w:val="0"/>
        <w:snapToGrid w:val="0"/>
        <w:spacing w:line="300" w:lineRule="auto"/>
        <w:ind w:left="1619" w:leftChars="771"/>
        <w:rPr>
          <w:rFonts w:ascii="宋体" w:eastAsia="宋体" w:cs="宋体"/>
          <w:color w:val="auto"/>
          <w:highlight w:val="none"/>
        </w:rPr>
      </w:pPr>
      <w:r>
        <w:rPr>
          <w:rFonts w:hint="eastAsia" w:ascii="宋体" w:eastAsia="宋体" w:cs="宋体"/>
          <w:color w:val="auto"/>
          <w:highlight w:val="none"/>
        </w:rPr>
        <w:t>合同工程未经竣工验收或竣工验收不合格的，发包人不得使用。发包人强行使用的，由此发生的质量问题及其他问题，由发包人承担责任。</w:t>
      </w:r>
    </w:p>
    <w:p w14:paraId="73EF6581">
      <w:pPr>
        <w:tabs>
          <w:tab w:val="left" w:pos="162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58.13</w:t>
      </w:r>
      <w:r>
        <w:rPr>
          <w:rFonts w:hint="eastAsia" w:ascii="宋体" w:hAnsi="宋体" w:eastAsia="宋体" w:cs="宋体"/>
          <w:b/>
          <w:bCs/>
          <w:color w:val="auto"/>
          <w:sz w:val="24"/>
          <w:highlight w:val="none"/>
          <w:u w:val="dotted"/>
        </w:rPr>
        <w:t xml:space="preserve">                                                                                                       </w:t>
      </w:r>
    </w:p>
    <w:p w14:paraId="2239C133">
      <w:pPr>
        <w:pStyle w:val="35"/>
        <w:adjustRightInd w:val="0"/>
        <w:snapToGrid w:val="0"/>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12700</wp:posOffset>
                </wp:positionV>
                <wp:extent cx="914400" cy="406400"/>
                <wp:effectExtent l="0" t="0" r="0" b="0"/>
                <wp:wrapNone/>
                <wp:docPr id="1277" name="0001d0"/>
                <wp:cNvGraphicFramePr/>
                <a:graphic xmlns:a="http://schemas.openxmlformats.org/drawingml/2006/main">
                  <a:graphicData uri="http://schemas.microsoft.com/office/word/2010/wordprocessingShape">
                    <wps:wsp>
                      <wps:cNvSpPr/>
                      <wps:spPr>
                        <a:xfrm>
                          <a:off x="0" y="0"/>
                          <a:ext cx="914400" cy="406400"/>
                        </a:xfrm>
                        <a:prstGeom prst="rect">
                          <a:avLst/>
                        </a:prstGeom>
                        <a:ln>
                          <a:noFill/>
                        </a:ln>
                      </wps:spPr>
                      <wps:txbx>
                        <w:txbxContent>
                          <w:p w14:paraId="0AC0CBAB">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wps:wsp>
                  </a:graphicData>
                </a:graphic>
              </wp:anchor>
            </w:drawing>
          </mc:Choice>
          <mc:Fallback>
            <w:pict>
              <v:rect id="0001d0" o:spid="_x0000_s1026" o:spt="1" style="position:absolute;left:0pt;margin-left:-9pt;margin-top:1pt;height:32pt;width:72pt;z-index:251659264;mso-width-relative:page;mso-height-relative:page;" filled="f" stroked="f" coordsize="21600,21600" o:gfxdata="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EpHcRtcAAAAIAQAADwAAAAAAAAABACAAAAAiAAAAZHJz&#10;L2Rvd25yZXYueG1sUEsBAhQAFAAAAAgAh07iQJ7g9haTAQAAOAMAAA4AAAAAAAAAAQAgAAAAJgEA&#10;AGRycy9lMm9Eb2MueG1sUEsFBgAAAAAGAAYAWQEAACsFAAAAAA==&#10;">
                <v:fill on="f" focussize="0,0"/>
                <v:stroke on="f"/>
                <v:imagedata o:title=""/>
                <o:lock v:ext="edit" aspectratio="f"/>
                <v:textbox>
                  <w:txbxContent>
                    <w:p w14:paraId="0AC0CBAB">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v:textbox>
              </v:rect>
            </w:pict>
          </mc:Fallback>
        </mc:AlternateContent>
      </w:r>
      <w:r>
        <w:rPr>
          <w:rFonts w:hint="eastAsia" w:ascii="宋体" w:eastAsia="宋体" w:cs="宋体"/>
          <w:color w:val="auto"/>
          <w:highlight w:val="none"/>
        </w:rPr>
        <w:t>合同工程竣工验收时发生工程质量争议，经第86.4款规定调解或认定工程质量符合合同要求的，由发包人承担由此增加的费用和（或）延误的工期。</w:t>
      </w:r>
    </w:p>
    <w:p w14:paraId="24624D9C">
      <w:pPr>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2A7EFE09">
      <w:pPr>
        <w:pStyle w:val="24"/>
        <w:tabs>
          <w:tab w:val="left" w:pos="540"/>
        </w:tabs>
        <w:adjustRightInd w:val="0"/>
        <w:snapToGrid w:val="0"/>
        <w:spacing w:before="360" w:beforeLines="150" w:line="300" w:lineRule="auto"/>
        <w:outlineLvl w:val="2"/>
        <w:rPr>
          <w:rFonts w:hAnsi="宋体" w:eastAsia="宋体" w:cs="宋体"/>
          <w:b/>
          <w:bCs/>
          <w:color w:val="auto"/>
          <w:sz w:val="24"/>
          <w:szCs w:val="24"/>
          <w:highlight w:val="none"/>
        </w:rPr>
      </w:pPr>
      <w:bookmarkStart w:id="148" w:name="_Toc469384042"/>
      <w:bookmarkStart w:id="149" w:name="_Toc46860863"/>
      <w:r>
        <w:rPr>
          <w:rFonts w:hint="eastAsia" w:hAnsi="宋体" w:eastAsia="宋体" w:cs="宋体"/>
          <w:b/>
          <w:bCs/>
          <w:color w:val="auto"/>
          <w:sz w:val="24"/>
          <w:szCs w:val="24"/>
          <w:highlight w:val="none"/>
        </w:rPr>
        <w:t>59  缺陷责任与质量保修</w:t>
      </w:r>
      <w:bookmarkEnd w:id="148"/>
      <w:bookmarkEnd w:id="149"/>
    </w:p>
    <w:p w14:paraId="4C1B44B1">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78" name="0001d1"/>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06D6B55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14:paraId="26508502">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wps:txbx>
                      <wps:bodyPr wrap="square"/>
                    </wps:wsp>
                  </a:graphicData>
                </a:graphic>
              </wp:anchor>
            </w:drawing>
          </mc:Choice>
          <mc:Fallback>
            <w:pict>
              <v:rect id="0001d1" o:spid="_x0000_s1026" o:spt="1" style="position:absolute;left:0pt;margin-left:-9pt;margin-top:22.6pt;height:33.85pt;width:76.2pt;z-index:251659264;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MDAazbAAAACgEAAA8AAAAAAAAAAQAgAAAA&#10;IgAAAGRycy9kb3ducmV2LnhtbFBLAQIUABQAAAAIAIdO4kAt8RlIlgEAADgDAAAOAAAAAAAAAAEA&#10;IAAAACoBAABkcnMvZTJvRG9jLnhtbFBLBQYAAAAABgAGAFkBAAAyBQAAAAA=&#10;">
                <v:fill on="f" focussize="0,0"/>
                <v:stroke on="f"/>
                <v:imagedata o:title=""/>
                <o:lock v:ext="edit" aspectratio="f"/>
                <v:textbox>
                  <w:txbxContent>
                    <w:p w14:paraId="06D6B55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14:paraId="26508502">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v:textbox>
              </v:rect>
            </w:pict>
          </mc:Fallback>
        </mc:AlternateContent>
      </w:r>
      <w:r>
        <w:rPr>
          <w:rFonts w:hint="eastAsia" w:ascii="宋体" w:hAnsi="宋体" w:eastAsia="宋体" w:cs="宋体"/>
          <w:b/>
          <w:bCs/>
          <w:color w:val="auto"/>
          <w:sz w:val="24"/>
          <w:highlight w:val="none"/>
        </w:rPr>
        <w:t xml:space="preserve">59.1  </w:t>
      </w:r>
    </w:p>
    <w:p w14:paraId="6C53A326">
      <w:pPr>
        <w:spacing w:line="300" w:lineRule="auto"/>
        <w:ind w:firstLine="1574" w:firstLineChars="656"/>
        <w:rPr>
          <w:rFonts w:ascii="宋体" w:hAnsi="宋体" w:eastAsia="宋体" w:cs="宋体"/>
          <w:color w:val="auto"/>
          <w:sz w:val="24"/>
          <w:highlight w:val="none"/>
        </w:rPr>
      </w:pPr>
      <w:r>
        <w:rPr>
          <w:rFonts w:hint="eastAsia" w:ascii="宋体" w:hAnsi="宋体" w:eastAsia="宋体" w:cs="宋体"/>
          <w:color w:val="auto"/>
          <w:sz w:val="24"/>
          <w:highlight w:val="none"/>
        </w:rPr>
        <w:t>合同双方当事人应在专用条款中约定缺陷责任期。</w:t>
      </w:r>
    </w:p>
    <w:p w14:paraId="1EAF6964">
      <w:pPr>
        <w:adjustRightInd w:val="0"/>
        <w:snapToGrid w:val="0"/>
        <w:spacing w:line="300" w:lineRule="auto"/>
        <w:ind w:left="1575" w:leftChars="750"/>
        <w:rPr>
          <w:rFonts w:ascii="宋体" w:hAnsi="宋体" w:eastAsia="宋体" w:cs="宋体"/>
          <w:b/>
          <w:bCs/>
          <w:color w:val="auto"/>
          <w:sz w:val="24"/>
          <w:highlight w:val="none"/>
        </w:rPr>
      </w:pPr>
      <w:r>
        <w:rPr>
          <w:rFonts w:hint="eastAsia" w:ascii="宋体" w:hAnsi="宋体" w:eastAsia="宋体" w:cs="宋体"/>
          <w:color w:val="auto"/>
          <w:sz w:val="24"/>
          <w:highlight w:val="none"/>
        </w:rPr>
        <w:t>缺陷责任期自实际竣工之日起计算。在全部工程竣工验收前，已经发包人提前验收的单位工程，其缺陷责任期的起算日期相应提前。</w:t>
      </w:r>
    </w:p>
    <w:p w14:paraId="71B1598B">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79" name="0001d2"/>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3D11565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14:paraId="6882253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wrap="square"/>
                    </wps:wsp>
                  </a:graphicData>
                </a:graphic>
              </wp:anchor>
            </w:drawing>
          </mc:Choice>
          <mc:Fallback>
            <w:pict>
              <v:rect id="0001d2" o:spid="_x0000_s1026" o:spt="1" style="position:absolute;left:0pt;margin-left:-9pt;margin-top:22.6pt;height:33.85pt;width:76.2pt;z-index:251659264;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MDAazbAAAACgEAAA8AAAAAAAAAAQAgAAAA&#10;IgAAAGRycy9kb3ducmV2LnhtbFBLAQIUABQAAAAIAIdO4kBkZlTXlgEAADgDAAAOAAAAAAAAAAEA&#10;IAAAACoBAABkcnMvZTJvRG9jLnhtbFBLBQYAAAAABgAGAFkBAAAyBQAAAAA=&#10;">
                <v:fill on="f" focussize="0,0"/>
                <v:stroke on="f"/>
                <v:imagedata o:title=""/>
                <o:lock v:ext="edit" aspectratio="f"/>
                <v:textbox>
                  <w:txbxContent>
                    <w:p w14:paraId="3D11565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14:paraId="6882253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rect>
            </w:pict>
          </mc:Fallback>
        </mc:AlternateContent>
      </w:r>
      <w:r>
        <w:rPr>
          <w:rFonts w:hint="eastAsia" w:ascii="宋体" w:hAnsi="宋体" w:eastAsia="宋体" w:cs="宋体"/>
          <w:b/>
          <w:bCs/>
          <w:color w:val="auto"/>
          <w:sz w:val="24"/>
          <w:highlight w:val="none"/>
        </w:rPr>
        <w:t xml:space="preserve">59.2  </w:t>
      </w:r>
      <w:r>
        <w:rPr>
          <w:rFonts w:hint="eastAsia" w:ascii="宋体" w:hAnsi="宋体" w:eastAsia="宋体" w:cs="宋体"/>
          <w:b/>
          <w:bCs/>
          <w:color w:val="auto"/>
          <w:sz w:val="24"/>
          <w:highlight w:val="none"/>
          <w:u w:val="dotted"/>
        </w:rPr>
        <w:t xml:space="preserve">                                                                              </w:t>
      </w:r>
    </w:p>
    <w:p w14:paraId="6924A7D7">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14:paraId="10C27460">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80" name="0001d3"/>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049AE1A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wps:wsp>
                  </a:graphicData>
                </a:graphic>
              </wp:anchor>
            </w:drawing>
          </mc:Choice>
          <mc:Fallback>
            <w:pict>
              <v:rect id="0001d3" o:spid="_x0000_s1026" o:spt="1" style="position:absolute;left:0pt;margin-left:-9pt;margin-top:22.6pt;height:33.85pt;width:76.2pt;z-index:251659264;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MDAazbAAAACgEAAA8AAAAAAAAAAQAgAAAA&#10;IgAAAGRycy9kb3ducmV2LnhtbFBLAQIUABQAAAAIAIdO4kCx9lHClgEAADgDAAAOAAAAAAAAAAEA&#10;IAAAACoBAABkcnMvZTJvRG9jLnhtbFBLBQYAAAAABgAGAFkBAAAyBQAAAAA=&#10;">
                <v:fill on="f" focussize="0,0"/>
                <v:stroke on="f"/>
                <v:imagedata o:title=""/>
                <o:lock v:ext="edit" aspectratio="f"/>
                <v:textbox>
                  <w:txbxContent>
                    <w:p w14:paraId="049AE1A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rect>
            </w:pict>
          </mc:Fallback>
        </mc:AlternateContent>
      </w:r>
      <w:r>
        <w:rPr>
          <w:rFonts w:hint="eastAsia" w:ascii="宋体" w:hAnsi="宋体" w:eastAsia="宋体" w:cs="宋体"/>
          <w:b/>
          <w:bCs/>
          <w:color w:val="auto"/>
          <w:sz w:val="24"/>
          <w:highlight w:val="none"/>
        </w:rPr>
        <w:t xml:space="preserve">59.3  </w:t>
      </w:r>
      <w:r>
        <w:rPr>
          <w:rFonts w:hint="eastAsia" w:ascii="宋体" w:hAnsi="宋体" w:eastAsia="宋体" w:cs="宋体"/>
          <w:b/>
          <w:bCs/>
          <w:color w:val="auto"/>
          <w:sz w:val="24"/>
          <w:highlight w:val="none"/>
          <w:u w:val="dotted"/>
        </w:rPr>
        <w:t xml:space="preserve">                                                                              </w:t>
      </w:r>
    </w:p>
    <w:p w14:paraId="4D3D7D45">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合同工程存在某项缺陷或损坏的，合同双方当事人应按照下列规定承担缺陷责任以及由此产生的费用。</w:t>
      </w:r>
    </w:p>
    <w:p w14:paraId="3EA5EC05">
      <w:pPr>
        <w:pStyle w:val="35"/>
        <w:adjustRightInd w:val="0"/>
        <w:snapToGrid w:val="0"/>
        <w:spacing w:line="300" w:lineRule="auto"/>
        <w:ind w:left="1828" w:leftChars="756" w:hanging="240" w:hangingChars="100"/>
        <w:rPr>
          <w:rFonts w:ascii="宋体" w:eastAsia="宋体" w:cs="宋体"/>
          <w:color w:val="auto"/>
          <w:highlight w:val="none"/>
        </w:rPr>
      </w:pPr>
      <w:r>
        <w:rPr>
          <w:rFonts w:hint="eastAsia" w:ascii="宋体" w:eastAsia="宋体" w:cs="宋体"/>
          <w:color w:val="auto"/>
          <w:highlight w:val="none"/>
        </w:rPr>
        <w:t>（1）承包人应在缺陷责任期内对已交付使用的工程承担缺陷责任。</w:t>
      </w:r>
    </w:p>
    <w:p w14:paraId="089C835D">
      <w:pPr>
        <w:spacing w:line="300" w:lineRule="auto"/>
        <w:ind w:left="1575" w:leftChars="750"/>
        <w:rPr>
          <w:rFonts w:ascii="宋体" w:hAnsi="宋体" w:eastAsia="宋体" w:cs="宋体"/>
          <w:color w:val="auto"/>
          <w:sz w:val="24"/>
          <w:highlight w:val="none"/>
        </w:rPr>
      </w:pPr>
      <w:r>
        <w:rPr>
          <w:rFonts w:hint="eastAsia" w:ascii="宋体" w:hAnsi="宋体" w:eastAsia="宋体" w:cs="宋体"/>
          <w:color w:val="auto"/>
          <w:sz w:val="24"/>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14:paraId="656867CC">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5869CB78">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81" name="0001d4"/>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6BEBC79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wps:wsp>
                  </a:graphicData>
                </a:graphic>
              </wp:anchor>
            </w:drawing>
          </mc:Choice>
          <mc:Fallback>
            <w:pict>
              <v:rect id="0001d4" o:spid="_x0000_s1026" o:spt="1" style="position:absolute;left:0pt;margin-left:-9pt;margin-top:22.6pt;height:33.85pt;width:76.2pt;z-index:251659264;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AwGs2wAAAAoBAAAPAAAAAAAAAAEAIAAA&#10;ACIAAABkcnMvZG93bnJldi54bWxQSwECFAAUAAAACACHTuJATfKMbZcBAAA4AwAADgAAAAAAAAAB&#10;ACAAAAAqAQAAZHJzL2Uyb0RvYy54bWxQSwUGAAAAAAYABgBZAQAAMwUAAAAA&#10;">
                <v:fill on="f" focussize="0,0"/>
                <v:stroke on="f"/>
                <v:imagedata o:title=""/>
                <o:lock v:ext="edit" aspectratio="f"/>
                <v:textbox>
                  <w:txbxContent>
                    <w:p w14:paraId="6BEBC79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rect>
            </w:pict>
          </mc:Fallback>
        </mc:AlternateContent>
      </w:r>
      <w:r>
        <w:rPr>
          <w:rFonts w:hint="eastAsia" w:ascii="宋体" w:hAnsi="宋体" w:eastAsia="宋体" w:cs="宋体"/>
          <w:b/>
          <w:bCs/>
          <w:color w:val="auto"/>
          <w:sz w:val="24"/>
          <w:highlight w:val="none"/>
        </w:rPr>
        <w:t xml:space="preserve">59.4  </w:t>
      </w:r>
      <w:r>
        <w:rPr>
          <w:rFonts w:hint="eastAsia" w:ascii="宋体" w:hAnsi="宋体" w:eastAsia="宋体" w:cs="宋体"/>
          <w:b/>
          <w:bCs/>
          <w:color w:val="auto"/>
          <w:sz w:val="24"/>
          <w:highlight w:val="none"/>
          <w:u w:val="dotted"/>
        </w:rPr>
        <w:t xml:space="preserve">                                                                            </w:t>
      </w:r>
    </w:p>
    <w:p w14:paraId="28E7396A">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任何一项缺陷或损坏修复后，经检查证明其影响了工程或工程设备的使用性能，承包人应按照第54条规定重新检（试）验，重新检（试）验的费用由责任方承担。</w:t>
      </w:r>
    </w:p>
    <w:p w14:paraId="0F55B500">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82" name="0001d5"/>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68E9E1A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wps:wsp>
                  </a:graphicData>
                </a:graphic>
              </wp:anchor>
            </w:drawing>
          </mc:Choice>
          <mc:Fallback>
            <w:pict>
              <v:rect id="0001d5" o:spid="_x0000_s1026" o:spt="1" style="position:absolute;left:0pt;margin-left:-9pt;margin-top:22.6pt;height:33.85pt;width:76.2pt;z-index:251659264;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AwGs2wAAAAoBAAAPAAAAAAAAAAEAIAAA&#10;ACIAAABkcnMvZG93bnJldi54bWxQSwECFAAUAAAACACHTuJAYt67J5cBAAA4AwAADgAAAAAAAAAB&#10;ACAAAAAqAQAAZHJzL2Uyb0RvYy54bWxQSwUGAAAAAAYABgBZAQAAMwUAAAAA&#10;">
                <v:fill on="f" focussize="0,0"/>
                <v:stroke on="f"/>
                <v:imagedata o:title=""/>
                <o:lock v:ext="edit" aspectratio="f"/>
                <v:textbox>
                  <w:txbxContent>
                    <w:p w14:paraId="68E9E1A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rect>
            </w:pict>
          </mc:Fallback>
        </mc:AlternateContent>
      </w:r>
      <w:r>
        <w:rPr>
          <w:rFonts w:hint="eastAsia" w:ascii="宋体" w:hAnsi="宋体" w:eastAsia="宋体" w:cs="宋体"/>
          <w:b/>
          <w:bCs/>
          <w:color w:val="auto"/>
          <w:sz w:val="24"/>
          <w:highlight w:val="none"/>
        </w:rPr>
        <w:t xml:space="preserve">59.5  </w:t>
      </w:r>
      <w:r>
        <w:rPr>
          <w:rFonts w:hint="eastAsia" w:ascii="宋体" w:hAnsi="宋体" w:eastAsia="宋体" w:cs="宋体"/>
          <w:b/>
          <w:bCs/>
          <w:color w:val="auto"/>
          <w:sz w:val="24"/>
          <w:highlight w:val="none"/>
          <w:u w:val="dotted"/>
        </w:rPr>
        <w:t xml:space="preserve">                                                                            </w:t>
      </w:r>
    </w:p>
    <w:p w14:paraId="199663DF">
      <w:pPr>
        <w:spacing w:line="300" w:lineRule="auto"/>
        <w:ind w:left="1619" w:leftChars="771"/>
        <w:rPr>
          <w:rFonts w:ascii="宋体" w:hAnsi="宋体" w:eastAsia="宋体" w:cs="宋体"/>
          <w:b/>
          <w:bCs/>
          <w:color w:val="auto"/>
          <w:sz w:val="24"/>
          <w:highlight w:val="none"/>
        </w:rPr>
      </w:pPr>
      <w:r>
        <w:rPr>
          <w:rFonts w:hint="eastAsia" w:ascii="宋体" w:hAnsi="宋体" w:eastAsia="宋体" w:cs="宋体"/>
          <w:color w:val="auto"/>
          <w:sz w:val="24"/>
          <w:highlight w:val="none"/>
        </w:rPr>
        <w:t>缺陷责任期内承包人为缺陷修复工作需要，有权进入工程现场，但应遵守发包人的保安和保密等规定。</w:t>
      </w:r>
    </w:p>
    <w:p w14:paraId="4E4FF5D5">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83" name="0001d6"/>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113E302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wps:wsp>
                  </a:graphicData>
                </a:graphic>
              </wp:anchor>
            </w:drawing>
          </mc:Choice>
          <mc:Fallback>
            <w:pict>
              <v:rect id="0001d6" o:spid="_x0000_s1026" o:spt="1" style="position:absolute;left:0pt;margin-left:-9pt;margin-top:22.6pt;height:33.85pt;width:76.2pt;z-index:251659264;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AwGs2wAAAAoBAAAPAAAAAAAAAAEAIAAA&#10;ACIAAABkcnMvZG93bnJldi54bWxQSwECFAAUAAAACACHTuJAK0n2uJcBAAA4AwAADgAAAAAAAAAB&#10;ACAAAAAqAQAAZHJzL2Uyb0RvYy54bWxQSwUGAAAAAAYABgBZAQAAMwUAAAAA&#10;">
                <v:fill on="f" focussize="0,0"/>
                <v:stroke on="f"/>
                <v:imagedata o:title=""/>
                <o:lock v:ext="edit" aspectratio="f"/>
                <v:textbox>
                  <w:txbxContent>
                    <w:p w14:paraId="113E302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rect>
            </w:pict>
          </mc:Fallback>
        </mc:AlternateContent>
      </w:r>
      <w:r>
        <w:rPr>
          <w:rFonts w:hint="eastAsia" w:ascii="宋体" w:hAnsi="宋体" w:eastAsia="宋体" w:cs="宋体"/>
          <w:b/>
          <w:bCs/>
          <w:color w:val="auto"/>
          <w:sz w:val="24"/>
          <w:highlight w:val="none"/>
        </w:rPr>
        <w:t xml:space="preserve">59.6  </w:t>
      </w:r>
      <w:r>
        <w:rPr>
          <w:rFonts w:hint="eastAsia" w:ascii="宋体" w:hAnsi="宋体" w:eastAsia="宋体" w:cs="宋体"/>
          <w:b/>
          <w:bCs/>
          <w:color w:val="auto"/>
          <w:sz w:val="24"/>
          <w:highlight w:val="none"/>
          <w:u w:val="dotted"/>
        </w:rPr>
        <w:t xml:space="preserve">                                                                            </w:t>
      </w:r>
    </w:p>
    <w:p w14:paraId="3FEA59B1">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在专用条款约定的缺陷责任期（包括第59.2款延长的期限）终止后的14天内，发包人应向承包人颁发缺陷责任期终止证书。</w:t>
      </w:r>
    </w:p>
    <w:p w14:paraId="4C053203">
      <w:pPr>
        <w:pStyle w:val="6"/>
        <w:rPr>
          <w:rFonts w:ascii="宋体" w:hAnsi="宋体" w:eastAsia="宋体" w:cs="宋体"/>
          <w:color w:val="auto"/>
          <w:highlight w:val="none"/>
        </w:rPr>
      </w:pPr>
    </w:p>
    <w:p w14:paraId="7253B678">
      <w:pPr>
        <w:pStyle w:val="6"/>
        <w:rPr>
          <w:rFonts w:ascii="宋体" w:hAnsi="宋体" w:eastAsia="宋体" w:cs="宋体"/>
          <w:color w:val="auto"/>
          <w:highlight w:val="none"/>
        </w:rPr>
      </w:pPr>
    </w:p>
    <w:p w14:paraId="1433B232">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84" name="0001d7"/>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0FBBEB0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wps:wsp>
                  </a:graphicData>
                </a:graphic>
              </wp:anchor>
            </w:drawing>
          </mc:Choice>
          <mc:Fallback>
            <w:pict>
              <v:rect id="0001d7" o:spid="_x0000_s1026" o:spt="1" style="position:absolute;left:0pt;margin-left:-9pt;margin-top:22.6pt;height:33.85pt;width:76.2pt;z-index:251659264;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AwGs2wAAAAoBAAAPAAAAAAAAAAEAIAAA&#10;ACIAAABkcnMvZG93bnJldi54bWxQSwECFAAUAAAACACHTuJAPIbVs5cBAAA4AwAADgAAAAAAAAAB&#10;ACAAAAAqAQAAZHJzL2Uyb0RvYy54bWxQSwUGAAAAAAYABgBZAQAAMwUAAAAA&#10;">
                <v:fill on="f" focussize="0,0"/>
                <v:stroke on="f"/>
                <v:imagedata o:title=""/>
                <o:lock v:ext="edit" aspectratio="f"/>
                <v:textbox>
                  <w:txbxContent>
                    <w:p w14:paraId="0FBBEB0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rect>
            </w:pict>
          </mc:Fallback>
        </mc:AlternateContent>
      </w:r>
      <w:r>
        <w:rPr>
          <w:rFonts w:hint="eastAsia" w:ascii="宋体" w:hAnsi="宋体" w:eastAsia="宋体" w:cs="宋体"/>
          <w:b/>
          <w:bCs/>
          <w:color w:val="auto"/>
          <w:sz w:val="24"/>
          <w:highlight w:val="none"/>
        </w:rPr>
        <w:t xml:space="preserve">59.7  </w:t>
      </w:r>
      <w:r>
        <w:rPr>
          <w:rFonts w:hint="eastAsia" w:ascii="宋体" w:hAnsi="宋体" w:eastAsia="宋体" w:cs="宋体"/>
          <w:b/>
          <w:bCs/>
          <w:color w:val="auto"/>
          <w:sz w:val="24"/>
          <w:highlight w:val="none"/>
          <w:u w:val="dotted"/>
        </w:rPr>
        <w:t xml:space="preserve">                                                                            </w:t>
      </w:r>
    </w:p>
    <w:p w14:paraId="1DAD3124">
      <w:pPr>
        <w:pStyle w:val="35"/>
        <w:adjustRightInd w:val="0"/>
        <w:snapToGrid w:val="0"/>
        <w:spacing w:line="300" w:lineRule="auto"/>
        <w:ind w:left="1619" w:leftChars="771"/>
        <w:rPr>
          <w:rFonts w:ascii="宋体" w:eastAsia="宋体" w:cs="宋体"/>
          <w:color w:val="auto"/>
          <w:highlight w:val="none"/>
        </w:rPr>
      </w:pPr>
      <w:r>
        <w:rPr>
          <w:rFonts w:hint="eastAsia" w:ascii="宋体" w:eastAsia="宋体" w:cs="宋体"/>
          <w:color w:val="auto"/>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737CB159">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285" name="0001d8"/>
                <wp:cNvGraphicFramePr/>
                <a:graphic xmlns:a="http://schemas.openxmlformats.org/drawingml/2006/main">
                  <a:graphicData uri="http://schemas.microsoft.com/office/word/2010/wordprocessingShape">
                    <wps:wsp>
                      <wps:cNvSpPr/>
                      <wps:spPr>
                        <a:xfrm>
                          <a:off x="0" y="0"/>
                          <a:ext cx="967739" cy="429895"/>
                        </a:xfrm>
                        <a:prstGeom prst="rect">
                          <a:avLst/>
                        </a:prstGeom>
                        <a:ln>
                          <a:noFill/>
                        </a:ln>
                      </wps:spPr>
                      <wps:txbx>
                        <w:txbxContent>
                          <w:p w14:paraId="55C658D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wps:wsp>
                  </a:graphicData>
                </a:graphic>
              </wp:anchor>
            </w:drawing>
          </mc:Choice>
          <mc:Fallback>
            <w:pict>
              <v:rect id="0001d8" o:spid="_x0000_s1026" o:spt="1" style="position:absolute;left:0pt;margin-left:-9pt;margin-top:22.6pt;height:33.85pt;width:76.2pt;z-index:251659264;mso-width-relative:page;mso-height-relative:page;" filled="f" stroked="f" coordsize="21600,21600" o:gfxdata="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zAwGs2wAAAAoBAAAPAAAAAAAAAAEAIAAA&#10;ACIAAABkcnMvZG93bnJldi54bWxQSwECFAAUAAAACACHTuJAqqUpfZcBAAA4AwAADgAAAAAAAAAB&#10;ACAAAAAqAQAAZHJzL2Uyb0RvYy54bWxQSwUGAAAAAAYABgBZAQAAMwUAAAAA&#10;">
                <v:fill on="f" focussize="0,0"/>
                <v:stroke on="f"/>
                <v:imagedata o:title=""/>
                <o:lock v:ext="edit" aspectratio="f"/>
                <v:textbox>
                  <w:txbxContent>
                    <w:p w14:paraId="55C658D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rect>
            </w:pict>
          </mc:Fallback>
        </mc:AlternateContent>
      </w:r>
      <w:r>
        <w:rPr>
          <w:rFonts w:hint="eastAsia" w:ascii="宋体" w:hAnsi="宋体" w:eastAsia="宋体" w:cs="宋体"/>
          <w:b/>
          <w:bCs/>
          <w:color w:val="auto"/>
          <w:sz w:val="24"/>
          <w:highlight w:val="none"/>
        </w:rPr>
        <w:t xml:space="preserve">59.8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5D4C1F17">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合同双方当事人应在专用条款和合同工程质量保修书中约定质量保修期。</w:t>
      </w:r>
    </w:p>
    <w:p w14:paraId="3AFBC9A6">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质量保修期自实际竣工之日起计算。在全部工程竣工验收前，已经发包人提前验收的单位工程，其质量保修期的起算日期相应提前。</w:t>
      </w:r>
    </w:p>
    <w:p w14:paraId="2BB7BCAD">
      <w:pPr>
        <w:tabs>
          <w:tab w:val="left" w:pos="360"/>
          <w:tab w:val="left" w:pos="900"/>
        </w:tabs>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59.9  </w:t>
      </w:r>
      <w:r>
        <w:rPr>
          <w:rFonts w:hint="eastAsia" w:ascii="宋体" w:hAnsi="宋体" w:eastAsia="宋体" w:cs="宋体"/>
          <w:b/>
          <w:bCs/>
          <w:color w:val="auto"/>
          <w:sz w:val="24"/>
          <w:highlight w:val="none"/>
          <w:u w:val="dotted"/>
        </w:rPr>
        <w:t xml:space="preserve">                                                                                                        </w:t>
      </w:r>
    </w:p>
    <w:p w14:paraId="4210FDE7">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286" name="0001d9"/>
                <wp:cNvGraphicFramePr/>
                <a:graphic xmlns:a="http://schemas.openxmlformats.org/drawingml/2006/main">
                  <a:graphicData uri="http://schemas.microsoft.com/office/word/2010/wordprocessingShape">
                    <wps:wsp>
                      <wps:cNvSpPr/>
                      <wps:spPr>
                        <a:xfrm>
                          <a:off x="0" y="0"/>
                          <a:ext cx="988060" cy="365760"/>
                        </a:xfrm>
                        <a:prstGeom prst="rect">
                          <a:avLst/>
                        </a:prstGeom>
                        <a:ln>
                          <a:noFill/>
                        </a:ln>
                      </wps:spPr>
                      <wps:txbx>
                        <w:txbxContent>
                          <w:p w14:paraId="1D10B976">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wrap="square"/>
                    </wps:wsp>
                  </a:graphicData>
                </a:graphic>
              </wp:anchor>
            </w:drawing>
          </mc:Choice>
          <mc:Fallback>
            <w:pict>
              <v:rect id="0001d9" o:spid="_x0000_s1026" o:spt="1" style="position:absolute;left:0pt;margin-left:-5.8pt;margin-top:1.2pt;height:28.8pt;width:77.8pt;z-index:251659264;mso-width-relative:page;mso-height-relative:page;" filled="f" stroked="f" coordsize="21600,21600" o:gfxdata="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m7OkgdgAAAAIAQAADwAAAAAAAAABACAAAAAiAAAA&#10;ZHJzL2Rvd25yZXYueG1sUEsBAhQAFAAAAAgAh07iQIQqNB+VAQAAOAMAAA4AAAAAAAAAAQAgAAAA&#10;JwEAAGRycy9lMm9Eb2MueG1sUEsFBgAAAAAGAAYAWQEAAC4FAAAAAA==&#10;">
                <v:fill on="f" focussize="0,0"/>
                <v:stroke on="f"/>
                <v:imagedata o:title=""/>
                <o:lock v:ext="edit" aspectratio="f"/>
                <v:textbox>
                  <w:txbxContent>
                    <w:p w14:paraId="1D10B976">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rect>
            </w:pict>
          </mc:Fallback>
        </mc:AlternateContent>
      </w:r>
      <w:r>
        <w:rPr>
          <w:rFonts w:hint="eastAsia" w:ascii="宋体" w:hAnsi="宋体" w:eastAsia="宋体" w:cs="宋体"/>
          <w:color w:val="auto"/>
          <w:sz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2E2EBECB">
      <w:pPr>
        <w:adjustRightInd w:val="0"/>
        <w:snapToGrid w:val="0"/>
        <w:spacing w:line="300" w:lineRule="auto"/>
        <w:rPr>
          <w:rFonts w:ascii="宋体" w:hAnsi="宋体" w:eastAsia="宋体" w:cs="宋体"/>
          <w:color w:val="auto"/>
          <w:sz w:val="24"/>
          <w:highlight w:val="none"/>
          <w:u w:val="dotted"/>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257810</wp:posOffset>
                </wp:positionV>
                <wp:extent cx="959485" cy="452120"/>
                <wp:effectExtent l="0" t="0" r="0" b="0"/>
                <wp:wrapNone/>
                <wp:docPr id="1287" name="0001da"/>
                <wp:cNvGraphicFramePr/>
                <a:graphic xmlns:a="http://schemas.openxmlformats.org/drawingml/2006/main">
                  <a:graphicData uri="http://schemas.microsoft.com/office/word/2010/wordprocessingShape">
                    <wps:wsp>
                      <wps:cNvSpPr/>
                      <wps:spPr>
                        <a:xfrm>
                          <a:off x="0" y="0"/>
                          <a:ext cx="959485" cy="452120"/>
                        </a:xfrm>
                        <a:prstGeom prst="rect">
                          <a:avLst/>
                        </a:prstGeom>
                        <a:ln>
                          <a:noFill/>
                        </a:ln>
                      </wps:spPr>
                      <wps:txbx>
                        <w:txbxContent>
                          <w:p w14:paraId="6B3335BB">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wps:wsp>
                  </a:graphicData>
                </a:graphic>
              </wp:anchor>
            </w:drawing>
          </mc:Choice>
          <mc:Fallback>
            <w:pict>
              <v:rect id="0001da" o:spid="_x0000_s1026" o:spt="1" style="position:absolute;left:0pt;margin-left:-5.25pt;margin-top:20.3pt;height:35.6pt;width:75.55pt;z-index:251659264;mso-width-relative:page;mso-height-relative:page;" filled="f" stroked="f" coordsize="21600,21600" o:gfxdata="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B+vWF2AAAAAoBAAAPAAAAAAAAAAEAIAAAACIA&#10;AABkcnMvZG93bnJldi54bWxQSwECFAAUAAAACACHTuJAylnhZJcBAAA4AwAADgAAAAAAAAABACAA&#10;AAAnAQAAZHJzL2Uyb0RvYy54bWxQSwUGAAAAAAYABgBZAQAAMAUAAAAA&#10;">
                <v:fill on="f" focussize="0,0"/>
                <v:stroke on="f"/>
                <v:imagedata o:title=""/>
                <o:lock v:ext="edit" aspectratio="f"/>
                <v:textbox>
                  <w:txbxContent>
                    <w:p w14:paraId="6B3335BB">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rect>
            </w:pict>
          </mc:Fallback>
        </mc:AlternateContent>
      </w:r>
      <w:r>
        <w:rPr>
          <w:rFonts w:hint="eastAsia" w:ascii="宋体" w:hAnsi="宋体" w:eastAsia="宋体" w:cs="宋体"/>
          <w:b/>
          <w:bCs/>
          <w:color w:val="auto"/>
          <w:sz w:val="24"/>
          <w:highlight w:val="none"/>
        </w:rPr>
        <w:t xml:space="preserve">59.10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7FBEAF22">
      <w:pPr>
        <w:adjustRightInd w:val="0"/>
        <w:snapToGrid w:val="0"/>
        <w:spacing w:line="300" w:lineRule="auto"/>
        <w:ind w:firstLine="1574" w:firstLineChars="656"/>
        <w:rPr>
          <w:rFonts w:ascii="宋体" w:hAnsi="宋体" w:eastAsia="宋体" w:cs="宋体"/>
          <w:color w:val="auto"/>
          <w:sz w:val="24"/>
          <w:highlight w:val="none"/>
        </w:rPr>
      </w:pPr>
      <w:r>
        <w:rPr>
          <w:rFonts w:hint="eastAsia" w:ascii="宋体" w:hAnsi="宋体" w:eastAsia="宋体" w:cs="宋体"/>
          <w:color w:val="auto"/>
          <w:sz w:val="24"/>
          <w:highlight w:val="none"/>
        </w:rPr>
        <w:t>承包人修复属于质量缺陷以外的费用，由责任方承担。</w:t>
      </w:r>
    </w:p>
    <w:p w14:paraId="769B31D6">
      <w:pPr>
        <w:adjustRightInd w:val="0"/>
        <w:snapToGrid w:val="0"/>
        <w:spacing w:line="300" w:lineRule="auto"/>
        <w:rPr>
          <w:rFonts w:ascii="宋体" w:hAnsi="宋体" w:eastAsia="宋体" w:cs="宋体"/>
          <w:color w:val="auto"/>
          <w:sz w:val="24"/>
          <w:highlight w:val="none"/>
          <w:u w:val="single"/>
        </w:rPr>
      </w:pP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10D934A9">
      <w:pPr>
        <w:tabs>
          <w:tab w:val="left" w:pos="1620"/>
        </w:tabs>
        <w:adjustRightInd w:val="0"/>
        <w:snapToGrid w:val="0"/>
        <w:spacing w:line="300" w:lineRule="auto"/>
        <w:outlineLvl w:val="1"/>
        <w:rPr>
          <w:rFonts w:ascii="宋体" w:hAnsi="宋体" w:eastAsia="宋体" w:cs="宋体"/>
          <w:b/>
          <w:bCs/>
          <w:color w:val="auto"/>
          <w:sz w:val="24"/>
          <w:highlight w:val="none"/>
        </w:rPr>
      </w:pPr>
      <w:r>
        <w:rPr>
          <w:rFonts w:hint="eastAsia" w:ascii="宋体" w:hAnsi="宋体" w:eastAsia="宋体" w:cs="宋体"/>
          <w:color w:val="auto"/>
          <w:sz w:val="24"/>
          <w:highlight w:val="none"/>
        </w:rPr>
        <w:t xml:space="preserve">                                 </w:t>
      </w:r>
      <w:bookmarkStart w:id="150" w:name="_Toc469384043"/>
      <w:bookmarkStart w:id="151" w:name="_Toc46860864"/>
      <w:r>
        <w:rPr>
          <w:rFonts w:hint="eastAsia" w:ascii="宋体" w:hAnsi="宋体" w:eastAsia="宋体" w:cs="宋体"/>
          <w:b/>
          <w:bCs/>
          <w:color w:val="auto"/>
          <w:sz w:val="24"/>
          <w:highlight w:val="none"/>
        </w:rPr>
        <w:t>六、造  价</w:t>
      </w:r>
      <w:bookmarkEnd w:id="150"/>
      <w:bookmarkEnd w:id="151"/>
    </w:p>
    <w:p w14:paraId="18AF6FEB">
      <w:pPr>
        <w:pStyle w:val="4"/>
        <w:tabs>
          <w:tab w:val="left" w:pos="420"/>
        </w:tabs>
        <w:spacing w:line="300" w:lineRule="auto"/>
        <w:rPr>
          <w:rFonts w:ascii="宋体" w:hAnsi="宋体" w:eastAsia="宋体" w:cs="宋体"/>
          <w:color w:val="auto"/>
          <w:sz w:val="24"/>
          <w:szCs w:val="24"/>
          <w:highlight w:val="none"/>
        </w:rPr>
      </w:pPr>
      <w:bookmarkStart w:id="152" w:name="_Toc46860865"/>
      <w:bookmarkStart w:id="153" w:name="_Toc469384044"/>
      <w:r>
        <w:rPr>
          <w:rFonts w:hint="eastAsia" w:ascii="宋体" w:hAnsi="宋体" w:eastAsia="宋体" w:cs="宋体"/>
          <w:color w:val="auto"/>
          <w:sz w:val="24"/>
          <w:szCs w:val="24"/>
          <w:highlight w:val="none"/>
        </w:rPr>
        <w:t>60  资金计划和安排</w:t>
      </w:r>
      <w:bookmarkEnd w:id="152"/>
      <w:bookmarkEnd w:id="153"/>
    </w:p>
    <w:p w14:paraId="6EEEA345">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60.1</w:t>
      </w:r>
    </w:p>
    <w:p w14:paraId="2E0B4435">
      <w:pPr>
        <w:pStyle w:val="24"/>
        <w:adjustRightInd w:val="0"/>
        <w:snapToGrid w:val="0"/>
        <w:spacing w:line="300" w:lineRule="auto"/>
        <w:ind w:left="1579" w:leftChars="752"/>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288" name="0001db"/>
                <wp:cNvGraphicFramePr/>
                <a:graphic xmlns:a="http://schemas.openxmlformats.org/drawingml/2006/main">
                  <a:graphicData uri="http://schemas.microsoft.com/office/word/2010/wordprocessingShape">
                    <wps:wsp>
                      <wps:cNvSpPr/>
                      <wps:spPr>
                        <a:xfrm>
                          <a:off x="0" y="0"/>
                          <a:ext cx="914400" cy="431800"/>
                        </a:xfrm>
                        <a:prstGeom prst="rect">
                          <a:avLst/>
                        </a:prstGeom>
                        <a:ln>
                          <a:noFill/>
                        </a:ln>
                      </wps:spPr>
                      <wps:txbx>
                        <w:txbxContent>
                          <w:p w14:paraId="14D8D847">
                            <w:pPr>
                              <w:pStyle w:val="19"/>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wps:wsp>
                  </a:graphicData>
                </a:graphic>
              </wp:anchor>
            </w:drawing>
          </mc:Choice>
          <mc:Fallback>
            <w:pict>
              <v:rect id="0001db" o:spid="_x0000_s1026" o:spt="1" style="position:absolute;left:0pt;margin-left:-10.5pt;margin-top:5.4pt;height:34pt;width:72pt;z-index:251659264;mso-width-relative:page;mso-height-relative:page;" filled="f" stroked="f" coordsize="21600,21600" o:gfxdata="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35hZe2AAAAAkBAAAPAAAAAAAAAAEAIAAAACIAAABk&#10;cnMvZG93bnJldi54bWxQSwECFAAUAAAACACHTuJAT5TkSZQBAAA4AwAADgAAAAAAAAABACAAAAAn&#10;AQAAZHJzL2Uyb0RvYy54bWxQSwUGAAAAAAYABgBZAQAALQUAAAAA&#10;">
                <v:fill on="f" focussize="0,0"/>
                <v:stroke on="f"/>
                <v:imagedata o:title=""/>
                <o:lock v:ext="edit" aspectratio="f"/>
                <v:textbox>
                  <w:txbxContent>
                    <w:p w14:paraId="14D8D847">
                      <w:pPr>
                        <w:pStyle w:val="19"/>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rect>
            </w:pict>
          </mc:Fallback>
        </mc:AlternateContent>
      </w:r>
      <w:r>
        <w:rPr>
          <w:rFonts w:hint="eastAsia" w:hAnsi="宋体" w:eastAsia="宋体" w:cs="宋体"/>
          <w:color w:val="auto"/>
          <w:sz w:val="24"/>
          <w:szCs w:val="24"/>
          <w:highlight w:val="none"/>
        </w:rPr>
        <w:t>工程进度计划被批准后，承包人应向发包人提交一份合同工程资金需求计划书；工程进度计划更新后，承包人应及时向发包人提交一份更新后的工程资金需求计划书。</w:t>
      </w:r>
    </w:p>
    <w:p w14:paraId="7414D4BD">
      <w:pPr>
        <w:pStyle w:val="24"/>
        <w:adjustRightInd w:val="0"/>
        <w:snapToGrid w:val="0"/>
        <w:spacing w:line="300" w:lineRule="auto"/>
        <w:ind w:left="1619" w:leftChars="1" w:hanging="1617" w:hangingChars="671"/>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60.2  </w:t>
      </w:r>
      <w:r>
        <w:rPr>
          <w:rFonts w:hint="eastAsia" w:hAnsi="宋体" w:eastAsia="宋体" w:cs="宋体"/>
          <w:b/>
          <w:bCs/>
          <w:color w:val="auto"/>
          <w:sz w:val="24"/>
          <w:szCs w:val="24"/>
          <w:highlight w:val="none"/>
          <w:u w:val="dotted"/>
        </w:rPr>
        <w:t xml:space="preserve">                                                                                                        </w:t>
      </w:r>
    </w:p>
    <w:p w14:paraId="17EDD95F">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289" name="0001dc"/>
                <wp:cNvGraphicFramePr/>
                <a:graphic xmlns:a="http://schemas.openxmlformats.org/drawingml/2006/main">
                  <a:graphicData uri="http://schemas.microsoft.com/office/word/2010/wordprocessingShape">
                    <wps:wsp>
                      <wps:cNvSpPr/>
                      <wps:spPr>
                        <a:xfrm>
                          <a:off x="0" y="0"/>
                          <a:ext cx="914400" cy="464820"/>
                        </a:xfrm>
                        <a:prstGeom prst="rect">
                          <a:avLst/>
                        </a:prstGeom>
                        <a:ln>
                          <a:noFill/>
                        </a:ln>
                      </wps:spPr>
                      <wps:txbx>
                        <w:txbxContent>
                          <w:p w14:paraId="159DDBB6">
                            <w:pPr>
                              <w:pStyle w:val="19"/>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wps:txbx>
                      <wps:bodyPr wrap="square"/>
                    </wps:wsp>
                  </a:graphicData>
                </a:graphic>
              </wp:anchor>
            </w:drawing>
          </mc:Choice>
          <mc:Fallback>
            <w:pict>
              <v:rect id="0001dc" o:spid="_x0000_s1026" o:spt="1" style="position:absolute;left:0pt;margin-left:-9pt;margin-top:2.7pt;height:36.6pt;width:72pt;z-index:251659264;mso-width-relative:page;mso-height-relative:page;" filled="f" stroked="f" coordsize="21600,21600" o:gfxdata="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sGNAUdgAAAAIAQAADwAAAAAAAAABACAAAAAiAAAA&#10;ZHJzL2Rvd25yZXYueG1sUEsBAhQAFAAAAAgAh07iQCLnBw+VAQAAOAMAAA4AAAAAAAAAAQAgAAAA&#10;JwEAAGRycy9lMm9Eb2MueG1sUEsFBgAAAAAGAAYAWQEAAC4FAAAAAA==&#10;">
                <v:fill on="f" focussize="0,0"/>
                <v:stroke on="f"/>
                <v:imagedata o:title=""/>
                <o:lock v:ext="edit" aspectratio="f"/>
                <v:textbox>
                  <w:txbxContent>
                    <w:p w14:paraId="159DDBB6">
                      <w:pPr>
                        <w:pStyle w:val="19"/>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v:textbox>
              </v:rect>
            </w:pict>
          </mc:Fallback>
        </mc:AlternateContent>
      </w:r>
      <w:r>
        <w:rPr>
          <w:rFonts w:hint="eastAsia" w:hAnsi="宋体" w:eastAsia="宋体" w:cs="宋体"/>
          <w:color w:val="auto"/>
          <w:sz w:val="24"/>
          <w:szCs w:val="24"/>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14:paraId="402012AF">
      <w:pPr>
        <w:pStyle w:val="24"/>
        <w:tabs>
          <w:tab w:val="left" w:pos="1800"/>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00F3161">
      <w:pPr>
        <w:pStyle w:val="24"/>
        <w:tabs>
          <w:tab w:val="left" w:pos="1800"/>
        </w:tabs>
        <w:adjustRightInd w:val="0"/>
        <w:snapToGrid w:val="0"/>
        <w:spacing w:line="300" w:lineRule="auto"/>
        <w:rPr>
          <w:rFonts w:hAnsi="宋体" w:eastAsia="宋体" w:cs="宋体"/>
          <w:b/>
          <w:bCs/>
          <w:color w:val="auto"/>
          <w:sz w:val="24"/>
          <w:szCs w:val="24"/>
          <w:highlight w:val="none"/>
          <w:u w:val="single"/>
        </w:rPr>
      </w:pPr>
    </w:p>
    <w:p w14:paraId="3438592D">
      <w:pPr>
        <w:pStyle w:val="24"/>
        <w:tabs>
          <w:tab w:val="left" w:pos="1800"/>
        </w:tabs>
        <w:adjustRightInd w:val="0"/>
        <w:snapToGrid w:val="0"/>
        <w:spacing w:line="300" w:lineRule="auto"/>
        <w:rPr>
          <w:rFonts w:hAnsi="宋体" w:eastAsia="宋体" w:cs="宋体"/>
          <w:b/>
          <w:bCs/>
          <w:color w:val="auto"/>
          <w:sz w:val="24"/>
          <w:szCs w:val="24"/>
          <w:highlight w:val="none"/>
          <w:u w:val="single"/>
        </w:rPr>
      </w:pPr>
      <w:bookmarkStart w:id="154" w:name="_Toc469384045"/>
      <w:bookmarkStart w:id="155" w:name="_Toc46860866"/>
    </w:p>
    <w:p w14:paraId="41A5498D">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r>
        <w:rPr>
          <w:rFonts w:hint="eastAsia" w:hAnsi="宋体" w:eastAsia="宋体" w:cs="宋体"/>
          <w:b/>
          <w:bCs/>
          <w:color w:val="auto"/>
          <w:sz w:val="24"/>
          <w:szCs w:val="24"/>
          <w:highlight w:val="none"/>
        </w:rPr>
        <w:t>★61  工程量</w:t>
      </w:r>
      <w:bookmarkEnd w:id="154"/>
      <w:bookmarkEnd w:id="155"/>
    </w:p>
    <w:p w14:paraId="3BADA662">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61.1</w:t>
      </w:r>
    </w:p>
    <w:p w14:paraId="4B2FCDF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除专用条款另有约定外，</w:t>
      </w: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290" name="0001dd"/>
                <wp:cNvGraphicFramePr/>
                <a:graphic xmlns:a="http://schemas.openxmlformats.org/drawingml/2006/main">
                  <a:graphicData uri="http://schemas.microsoft.com/office/word/2010/wordprocessingShape">
                    <wps:wsp>
                      <wps:cNvSpPr/>
                      <wps:spPr>
                        <a:xfrm>
                          <a:off x="0" y="0"/>
                          <a:ext cx="914400" cy="476249"/>
                        </a:xfrm>
                        <a:prstGeom prst="rect">
                          <a:avLst/>
                        </a:prstGeom>
                        <a:ln>
                          <a:noFill/>
                        </a:ln>
                      </wps:spPr>
                      <wps:txbx>
                        <w:txbxContent>
                          <w:p w14:paraId="1FB3D398">
                            <w:pPr>
                              <w:pStyle w:val="19"/>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wps:wsp>
                  </a:graphicData>
                </a:graphic>
              </wp:anchor>
            </w:drawing>
          </mc:Choice>
          <mc:Fallback>
            <w:pict>
              <v:rect id="0001dd" o:spid="_x0000_s1026" o:spt="1" style="position:absolute;left:0pt;margin-left:-9pt;margin-top:0.9pt;height:37.5pt;width:72pt;z-index:251659264;mso-width-relative:page;mso-height-relative:page;" filled="f" stroked="f" coordsize="21600,21600" o:gfxdata="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&#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eBZvrXAAAACAEAAA8AAAAAAAAAAQAgAAAAIgAAAGRy&#10;cy9kb3ducmV2LnhtbFBLAQIUABQAAAAIAIdO4kCiGGlYlAEAADgDAAAOAAAAAAAAAAEAIAAAACYB&#10;AABkcnMvZTJvRG9jLnhtbFBLBQYAAAAABgAGAFkBAAAsBQAAAAA=&#10;">
                <v:fill on="f" focussize="0,0"/>
                <v:stroke on="f"/>
                <v:imagedata o:title=""/>
                <o:lock v:ext="edit" aspectratio="f"/>
                <v:textbox>
                  <w:txbxContent>
                    <w:p w14:paraId="1FB3D398">
                      <w:pPr>
                        <w:pStyle w:val="19"/>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rect>
            </w:pict>
          </mc:Fallback>
        </mc:AlternateContent>
      </w:r>
      <w:r>
        <w:rPr>
          <w:rFonts w:hint="eastAsia" w:hAnsi="宋体" w:eastAsia="宋体" w:cs="宋体"/>
          <w:color w:val="auto"/>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14:paraId="32F55E7C">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61.2  </w:t>
      </w:r>
      <w:r>
        <w:rPr>
          <w:rFonts w:hint="eastAsia" w:hAnsi="宋体" w:eastAsia="宋体" w:cs="宋体"/>
          <w:b/>
          <w:bCs/>
          <w:color w:val="auto"/>
          <w:sz w:val="24"/>
          <w:szCs w:val="24"/>
          <w:highlight w:val="none"/>
          <w:u w:val="dotted"/>
        </w:rPr>
        <w:t xml:space="preserve">                                                                                                        </w:t>
      </w:r>
    </w:p>
    <w:p w14:paraId="769435C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291" name="0001de"/>
                <wp:cNvGraphicFramePr/>
                <a:graphic xmlns:a="http://schemas.openxmlformats.org/drawingml/2006/main">
                  <a:graphicData uri="http://schemas.microsoft.com/office/word/2010/wordprocessingShape">
                    <wps:wsp>
                      <wps:cNvSpPr/>
                      <wps:spPr>
                        <a:xfrm>
                          <a:off x="0" y="0"/>
                          <a:ext cx="1028700" cy="361950"/>
                        </a:xfrm>
                        <a:prstGeom prst="rect">
                          <a:avLst/>
                        </a:prstGeom>
                        <a:ln>
                          <a:noFill/>
                        </a:ln>
                      </wps:spPr>
                      <wps:txbx>
                        <w:txbxContent>
                          <w:p w14:paraId="798E3887">
                            <w:pPr>
                              <w:pStyle w:val="19"/>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wps:wsp>
                  </a:graphicData>
                </a:graphic>
              </wp:anchor>
            </w:drawing>
          </mc:Choice>
          <mc:Fallback>
            <w:pict>
              <v:rect id="0001de" o:spid="_x0000_s1026" o:spt="1" style="position:absolute;left:0pt;margin-left:-9pt;margin-top:0.9pt;height:28.5pt;width:81pt;z-index:251659264;mso-width-relative:page;mso-height-relative:page;" filled="f" stroked="f" coordsize="21600,21600" o:gfxdata="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4VCV1wAAAAgBAAAPAAAAAAAAAAEAIAAAACIAAABk&#10;cnMvZG93bnJldi54bWxQSwECFAAUAAAACACHTuJA0HzPdpUBAAA5AwAADgAAAAAAAAABACAAAAAm&#10;AQAAZHJzL2Uyb0RvYy54bWxQSwUGAAAAAAYABgBZAQAALQUAAAAA&#10;">
                <v:fill on="f" focussize="0,0"/>
                <v:stroke on="f"/>
                <v:imagedata o:title=""/>
                <o:lock v:ext="edit" aspectratio="f"/>
                <v:textbox>
                  <w:txbxContent>
                    <w:p w14:paraId="798E3887">
                      <w:pPr>
                        <w:pStyle w:val="19"/>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rect>
            </w:pict>
          </mc:Fallback>
        </mc:AlternateContent>
      </w:r>
      <w:r>
        <w:rPr>
          <w:rFonts w:hint="eastAsia" w:hAnsi="宋体" w:eastAsia="宋体" w:cs="宋体"/>
          <w:color w:val="auto"/>
          <w:sz w:val="24"/>
          <w:szCs w:val="24"/>
          <w:highlight w:val="none"/>
        </w:rPr>
        <w:t>工程量清单中开列的工程量是根据合同工程施工设计图纸提供的预计工程量，不能作为承包人履行合同义务中应予完成合同工程的实际和准确工程量。</w:t>
      </w:r>
    </w:p>
    <w:p w14:paraId="2FA3211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发包人应按照承包人实际完成的应予计量的工程量与其在工程量清单中填报的单价或合价的乘积向承包人支付工程款。</w:t>
      </w:r>
    </w:p>
    <w:p w14:paraId="47A06FAE">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31914E7">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56" w:name="_Toc469384046"/>
      <w:bookmarkStart w:id="157" w:name="_Toc46860867"/>
      <w:r>
        <w:rPr>
          <w:rFonts w:hint="eastAsia" w:hAnsi="宋体" w:eastAsia="宋体" w:cs="宋体"/>
          <w:b/>
          <w:bCs/>
          <w:color w:val="auto"/>
          <w:sz w:val="24"/>
          <w:szCs w:val="24"/>
          <w:highlight w:val="none"/>
        </w:rPr>
        <w:t>★62  工程计量和计价</w:t>
      </w:r>
      <w:bookmarkEnd w:id="156"/>
      <w:bookmarkEnd w:id="157"/>
    </w:p>
    <w:p w14:paraId="35F323C0">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62.1</w:t>
      </w:r>
    </w:p>
    <w:p w14:paraId="2A662DC8">
      <w:pPr>
        <w:pStyle w:val="24"/>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292" name="0001df"/>
                <wp:cNvGraphicFramePr/>
                <a:graphic xmlns:a="http://schemas.openxmlformats.org/drawingml/2006/main">
                  <a:graphicData uri="http://schemas.microsoft.com/office/word/2010/wordprocessingShape">
                    <wps:wsp>
                      <wps:cNvSpPr/>
                      <wps:spPr>
                        <a:xfrm>
                          <a:off x="0" y="0"/>
                          <a:ext cx="914400" cy="415925"/>
                        </a:xfrm>
                        <a:prstGeom prst="rect">
                          <a:avLst/>
                        </a:prstGeom>
                        <a:ln>
                          <a:noFill/>
                        </a:ln>
                      </wps:spPr>
                      <wps:txbx>
                        <w:txbxContent>
                          <w:p w14:paraId="3D527075">
                            <w:pPr>
                              <w:pStyle w:val="19"/>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wps:wsp>
                  </a:graphicData>
                </a:graphic>
              </wp:anchor>
            </w:drawing>
          </mc:Choice>
          <mc:Fallback>
            <w:pict>
              <v:rect id="0001df" o:spid="_x0000_s1026" o:spt="1" style="position:absolute;left:0pt;margin-left:-9pt;margin-top:1pt;height:32.75pt;width:72pt;z-index:251659264;mso-width-relative:page;mso-height-relative:page;" filled="f" stroked="f" coordsize="21600,21600" o:gfxdata="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4nMR3ZAAAACAEAAA8AAAAAAAAAAQAgAAAAIgAA&#10;AGRycy9kb3ducmV2LnhtbFBLAQIUABQAAAAIAIdO4kAVyP5PlQEAADgDAAAOAAAAAAAAAAEAIAAA&#10;ACgBAABkcnMvZTJvRG9jLnhtbFBLBQYAAAAABgAGAFkBAAAvBQAAAAA=&#10;">
                <v:fill on="f" focussize="0,0"/>
                <v:stroke on="f"/>
                <v:imagedata o:title=""/>
                <o:lock v:ext="edit" aspectratio="f"/>
                <v:textbox>
                  <w:txbxContent>
                    <w:p w14:paraId="3D527075">
                      <w:pPr>
                        <w:pStyle w:val="19"/>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rect>
            </w:pict>
          </mc:Fallback>
        </mc:AlternateContent>
      </w:r>
      <w:r>
        <w:rPr>
          <w:rFonts w:hint="eastAsia" w:hAnsi="宋体" w:eastAsia="宋体" w:cs="宋体"/>
          <w:color w:val="auto"/>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5F973D98">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62.2  </w:t>
      </w:r>
      <w:r>
        <w:rPr>
          <w:rFonts w:hint="eastAsia" w:hAnsi="宋体" w:eastAsia="宋体" w:cs="宋体"/>
          <w:b/>
          <w:bCs/>
          <w:color w:val="auto"/>
          <w:sz w:val="24"/>
          <w:szCs w:val="24"/>
          <w:highlight w:val="none"/>
          <w:u w:val="dotted"/>
        </w:rPr>
        <w:t xml:space="preserve">                                                                                  </w:t>
      </w:r>
    </w:p>
    <w:p w14:paraId="7E185589">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293" name="0001e0"/>
                <wp:cNvGraphicFramePr/>
                <a:graphic xmlns:a="http://schemas.openxmlformats.org/drawingml/2006/main">
                  <a:graphicData uri="http://schemas.microsoft.com/office/word/2010/wordprocessingShape">
                    <wps:wsp>
                      <wps:cNvSpPr/>
                      <wps:spPr>
                        <a:xfrm>
                          <a:off x="0" y="0"/>
                          <a:ext cx="914400" cy="415925"/>
                        </a:xfrm>
                        <a:prstGeom prst="rect">
                          <a:avLst/>
                        </a:prstGeom>
                        <a:ln>
                          <a:noFill/>
                        </a:ln>
                      </wps:spPr>
                      <wps:txbx>
                        <w:txbxContent>
                          <w:p w14:paraId="4098534E">
                            <w:pPr>
                              <w:pStyle w:val="19"/>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wps:wsp>
                  </a:graphicData>
                </a:graphic>
              </wp:anchor>
            </w:drawing>
          </mc:Choice>
          <mc:Fallback>
            <w:pict>
              <v:rect id="0001e0" o:spid="_x0000_s1026" o:spt="1" style="position:absolute;left:0pt;margin-left:-9pt;margin-top:4pt;height:32.75pt;width:72pt;z-index:251659264;mso-width-relative:page;mso-height-relative:page;" filled="f" stroked="f" coordsize="21600,21600" o:gfxdata="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KMoxytkAAAAIAQAADwAAAAAAAAABACAAAAAiAAAA&#10;ZHJzL2Rvd25yZXYueG1sUEsBAhQAFAAAAAgAh07iQHYlvMmUAQAAOAMAAA4AAAAAAAAAAQAgAAAA&#10;KAEAAGRycy9lMm9Eb2MueG1sUEsFBgAAAAAGAAYAWQEAAC4FAAAAAA==&#10;">
                <v:fill on="f" focussize="0,0"/>
                <v:stroke on="f"/>
                <v:imagedata o:title=""/>
                <o:lock v:ext="edit" aspectratio="f"/>
                <v:textbox>
                  <w:txbxContent>
                    <w:p w14:paraId="4098534E">
                      <w:pPr>
                        <w:pStyle w:val="19"/>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rect>
            </w:pict>
          </mc:Fallback>
        </mc:AlternateContent>
      </w:r>
      <w:r>
        <w:rPr>
          <w:rFonts w:hint="eastAsia" w:hAnsi="宋体" w:eastAsia="宋体" w:cs="宋体"/>
          <w:color w:val="auto"/>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64C361EF">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造价工程师负责工程计量和计价的核实工作。</w:t>
      </w:r>
    </w:p>
    <w:p w14:paraId="520ABC2D">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62.3  </w:t>
      </w:r>
      <w:r>
        <w:rPr>
          <w:rFonts w:hint="eastAsia" w:hAnsi="宋体" w:eastAsia="宋体" w:cs="宋体"/>
          <w:b/>
          <w:bCs/>
          <w:color w:val="auto"/>
          <w:sz w:val="24"/>
          <w:szCs w:val="24"/>
          <w:highlight w:val="none"/>
          <w:u w:val="dotted"/>
        </w:rPr>
        <w:t xml:space="preserve">                                                                                                        </w:t>
      </w:r>
    </w:p>
    <w:p w14:paraId="151475B4">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294" name="0001e1"/>
                <wp:cNvGraphicFramePr/>
                <a:graphic xmlns:a="http://schemas.openxmlformats.org/drawingml/2006/main">
                  <a:graphicData uri="http://schemas.microsoft.com/office/word/2010/wordprocessingShape">
                    <wps:wsp>
                      <wps:cNvSpPr/>
                      <wps:spPr>
                        <a:xfrm>
                          <a:off x="0" y="0"/>
                          <a:ext cx="914400" cy="548005"/>
                        </a:xfrm>
                        <a:prstGeom prst="rect">
                          <a:avLst/>
                        </a:prstGeom>
                        <a:ln>
                          <a:noFill/>
                        </a:ln>
                      </wps:spPr>
                      <wps:txbx>
                        <w:txbxContent>
                          <w:p w14:paraId="6CCADB8D">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14:paraId="0BB1B98A">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wps:txbx>
                      <wps:bodyPr wrap="square"/>
                    </wps:wsp>
                  </a:graphicData>
                </a:graphic>
              </wp:anchor>
            </w:drawing>
          </mc:Choice>
          <mc:Fallback>
            <w:pict>
              <v:rect id="0001e1" o:spid="_x0000_s1026" o:spt="1" style="position:absolute;left:0pt;margin-left:-9pt;margin-top:-0.15pt;height:43.15pt;width:72pt;z-index:251659264;mso-width-relative:page;mso-height-relative:page;" filled="f" stroked="f" coordsize="21600,21600" o:gfxdata="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Aflt71wAAAAgBAAAPAAAAAAAAAAEAIAAAACIAAABk&#10;cnMvZG93bnJldi54bWxQSwECFAAUAAAACACHTuJAiKKPpJUBAAA4AwAADgAAAAAAAAABACAAAAAm&#10;AQAAZHJzL2Uyb0RvYy54bWxQSwUGAAAAAAYABgBZAQAALQUAAAAA&#10;">
                <v:fill on="f" focussize="0,0"/>
                <v:stroke on="f"/>
                <v:imagedata o:title=""/>
                <o:lock v:ext="edit" aspectratio="f"/>
                <v:textbox>
                  <w:txbxContent>
                    <w:p w14:paraId="6CCADB8D">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14:paraId="0BB1B98A">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v:textbox>
              </v:rect>
            </w:pict>
          </mc:Fallback>
        </mc:AlternateContent>
      </w:r>
      <w:r>
        <w:rPr>
          <w:rFonts w:hint="eastAsia" w:hAnsi="宋体" w:eastAsia="宋体" w:cs="宋体"/>
          <w:color w:val="auto"/>
          <w:sz w:val="24"/>
          <w:szCs w:val="24"/>
          <w:highlight w:val="none"/>
        </w:rPr>
        <w:t>承包人应按照第81.1款规定向造价工程师提交已完工程款额报告。造价工程师应在收到报告后的14天内核实工程量，并将核实结果通知承包人、抄报发包人，作为工程计价和工程款支付的依据。</w:t>
      </w:r>
    </w:p>
    <w:p w14:paraId="04B4B729">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62.4  </w:t>
      </w:r>
      <w:r>
        <w:rPr>
          <w:rFonts w:hint="eastAsia" w:hAnsi="宋体" w:eastAsia="宋体" w:cs="宋体"/>
          <w:b/>
          <w:bCs/>
          <w:color w:val="auto"/>
          <w:sz w:val="24"/>
          <w:szCs w:val="24"/>
          <w:highlight w:val="none"/>
          <w:u w:val="dotted"/>
        </w:rPr>
        <w:t xml:space="preserve">                                                                                                        </w:t>
      </w:r>
    </w:p>
    <w:p w14:paraId="301E40C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295" name="0001e2"/>
                <wp:cNvGraphicFramePr/>
                <a:graphic xmlns:a="http://schemas.openxmlformats.org/drawingml/2006/main">
                  <a:graphicData uri="http://schemas.microsoft.com/office/word/2010/wordprocessingShape">
                    <wps:wsp>
                      <wps:cNvSpPr/>
                      <wps:spPr>
                        <a:xfrm>
                          <a:off x="0" y="0"/>
                          <a:ext cx="800100" cy="354329"/>
                        </a:xfrm>
                        <a:prstGeom prst="rect">
                          <a:avLst/>
                        </a:prstGeom>
                        <a:ln>
                          <a:noFill/>
                        </a:ln>
                      </wps:spPr>
                      <wps:txbx>
                        <w:txbxContent>
                          <w:p w14:paraId="080E794A">
                            <w:pPr>
                              <w:rPr>
                                <w:rFonts w:ascii="宋体"/>
                                <w:sz w:val="18"/>
                                <w:szCs w:val="18"/>
                              </w:rPr>
                            </w:pPr>
                            <w:r>
                              <w:rPr>
                                <w:rFonts w:hint="eastAsia" w:hAnsi="宋体"/>
                                <w:b/>
                                <w:bCs/>
                                <w:color w:val="000000"/>
                                <w:sz w:val="18"/>
                                <w:szCs w:val="18"/>
                              </w:rPr>
                              <w:t>现场计量</w:t>
                            </w:r>
                          </w:p>
                        </w:txbxContent>
                      </wps:txbx>
                      <wps:bodyPr wrap="square"/>
                    </wps:wsp>
                  </a:graphicData>
                </a:graphic>
              </wp:anchor>
            </w:drawing>
          </mc:Choice>
          <mc:Fallback>
            <w:pict>
              <v:rect id="0001e2" o:spid="_x0000_s1026" o:spt="1" style="position:absolute;left:0pt;margin-left:-9pt;margin-top:3.95pt;height:27.9pt;width:63pt;z-index:251659264;mso-width-relative:page;mso-height-relative:page;" filled="f" stroked="f" coordsize="21600,21600" o:gfxdata="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&#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O6B+LXAAAACAEAAA8AAAAAAAAAAQAgAAAAIgAAAGRy&#10;cy9kb3ducmV2LnhtbFBLAQIUABQAAAAIAIdO4kAjDwAGlAEAADgDAAAOAAAAAAAAAAEAIAAAACYB&#10;AABkcnMvZTJvRG9jLnhtbFBLBQYAAAAABgAGAFkBAAAsBQAAAAA=&#10;">
                <v:fill on="f" focussize="0,0"/>
                <v:stroke on="f"/>
                <v:imagedata o:title=""/>
                <o:lock v:ext="edit" aspectratio="f"/>
                <v:textbox>
                  <w:txbxContent>
                    <w:p w14:paraId="080E794A">
                      <w:pPr>
                        <w:rPr>
                          <w:rFonts w:ascii="宋体"/>
                          <w:sz w:val="18"/>
                          <w:szCs w:val="18"/>
                        </w:rPr>
                      </w:pPr>
                      <w:r>
                        <w:rPr>
                          <w:rFonts w:hint="eastAsia" w:hAnsi="宋体"/>
                          <w:b/>
                          <w:bCs/>
                          <w:color w:val="000000"/>
                          <w:sz w:val="18"/>
                          <w:szCs w:val="18"/>
                        </w:rPr>
                        <w:t>现场计量</w:t>
                      </w:r>
                    </w:p>
                  </w:txbxContent>
                </v:textbox>
              </v:rect>
            </w:pict>
          </mc:Fallback>
        </mc:AlternateContent>
      </w:r>
      <w:r>
        <w:rPr>
          <w:rFonts w:hint="eastAsia" w:hAnsi="宋体" w:eastAsia="宋体" w:cs="宋体"/>
          <w:color w:val="auto"/>
          <w:sz w:val="24"/>
          <w:szCs w:val="24"/>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14:paraId="4B4A87BE">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62.5 </w:t>
      </w:r>
      <w:r>
        <w:rPr>
          <w:rFonts w:hint="eastAsia" w:hAnsi="宋体" w:eastAsia="宋体" w:cs="宋体"/>
          <w:b/>
          <w:bCs/>
          <w:color w:val="auto"/>
          <w:sz w:val="24"/>
          <w:szCs w:val="24"/>
          <w:highlight w:val="none"/>
          <w:u w:val="dotted"/>
        </w:rPr>
        <w:t xml:space="preserve">                                                                                                        </w:t>
      </w:r>
    </w:p>
    <w:p w14:paraId="715F32A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296" name="0001e3"/>
                <wp:cNvGraphicFramePr/>
                <a:graphic xmlns:a="http://schemas.openxmlformats.org/drawingml/2006/main">
                  <a:graphicData uri="http://schemas.microsoft.com/office/word/2010/wordprocessingShape">
                    <wps:wsp>
                      <wps:cNvSpPr/>
                      <wps:spPr>
                        <a:xfrm>
                          <a:off x="0" y="0"/>
                          <a:ext cx="914400" cy="603250"/>
                        </a:xfrm>
                        <a:prstGeom prst="rect">
                          <a:avLst/>
                        </a:prstGeom>
                        <a:ln>
                          <a:noFill/>
                        </a:ln>
                      </wps:spPr>
                      <wps:txbx>
                        <w:txbxContent>
                          <w:p w14:paraId="1B1559AB">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14:paraId="78155CE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wps:txbx>
                      <wps:bodyPr wrap="square"/>
                    </wps:wsp>
                  </a:graphicData>
                </a:graphic>
              </wp:anchor>
            </w:drawing>
          </mc:Choice>
          <mc:Fallback>
            <w:pict>
              <v:rect id="0001e3" o:spid="_x0000_s1026" o:spt="1" style="position:absolute;left:0pt;margin-left:-9pt;margin-top:3.5pt;height:47.5pt;width:72pt;z-index:251659264;mso-width-relative:page;mso-height-relative:page;" filled="f" stroked="f" coordsize="21600,21600" o:gfxdata="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PgSsmTYAAAACQEAAA8AAAAAAAAAAQAgAAAAIgAA&#10;AGRycy9kb3ducmV2LnhtbFBLAQIUABQAAAAIAIdO4kAPyjvwlgEAADgDAAAOAAAAAAAAAAEAIAAA&#10;ACcBAABkcnMvZTJvRG9jLnhtbFBLBQYAAAAABgAGAFkBAAAvBQAAAAA=&#10;">
                <v:fill on="f" focussize="0,0"/>
                <v:stroke on="f"/>
                <v:imagedata o:title=""/>
                <o:lock v:ext="edit" aspectratio="f"/>
                <v:textbox>
                  <w:txbxContent>
                    <w:p w14:paraId="1B1559AB">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14:paraId="78155CE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v:textbox>
              </v:rect>
            </w:pict>
          </mc:Fallback>
        </mc:AlternateContent>
      </w:r>
      <w:r>
        <w:rPr>
          <w:rFonts w:hint="eastAsia" w:hAnsi="宋体" w:eastAsia="宋体" w:cs="宋体"/>
          <w:color w:val="auto"/>
          <w:sz w:val="24"/>
          <w:szCs w:val="24"/>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14:paraId="4C480382">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62.6  </w:t>
      </w:r>
      <w:r>
        <w:rPr>
          <w:rFonts w:hint="eastAsia" w:hAnsi="宋体" w:eastAsia="宋体" w:cs="宋体"/>
          <w:b/>
          <w:bCs/>
          <w:color w:val="auto"/>
          <w:sz w:val="24"/>
          <w:szCs w:val="24"/>
          <w:highlight w:val="none"/>
          <w:u w:val="dotted"/>
        </w:rPr>
        <w:t xml:space="preserve">                                                                                                        </w:t>
      </w:r>
    </w:p>
    <w:p w14:paraId="69F72B5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297" name="0001e4"/>
                <wp:cNvGraphicFramePr/>
                <a:graphic xmlns:a="http://schemas.openxmlformats.org/drawingml/2006/main">
                  <a:graphicData uri="http://schemas.microsoft.com/office/word/2010/wordprocessingShape">
                    <wps:wsp>
                      <wps:cNvSpPr/>
                      <wps:spPr>
                        <a:xfrm>
                          <a:off x="0" y="0"/>
                          <a:ext cx="914400" cy="297180"/>
                        </a:xfrm>
                        <a:prstGeom prst="rect">
                          <a:avLst/>
                        </a:prstGeom>
                        <a:ln>
                          <a:noFill/>
                        </a:ln>
                      </wps:spPr>
                      <wps:txbx>
                        <w:txbxContent>
                          <w:p w14:paraId="3091ED1F">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14:paraId="0C8C4E5B">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wps:txbx>
                      <wps:bodyPr wrap="square"/>
                    </wps:wsp>
                  </a:graphicData>
                </a:graphic>
              </wp:anchor>
            </w:drawing>
          </mc:Choice>
          <mc:Fallback>
            <w:pict>
              <v:rect id="0001e4" o:spid="_x0000_s1026" o:spt="1" style="position:absolute;left:0pt;margin-left:-9pt;margin-top:3.6pt;height:23.4pt;width:72pt;z-index:251659264;mso-width-relative:page;mso-height-relative:page;" filled="f" stroked="f" coordsize="21600,21600" o:gfxdata="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tos/6NgAAAAIAQAADwAAAAAAAAABACAAAAAiAAAA&#10;ZHJzL2Rvd25yZXYueG1sUEsBAhQAFAAAAAgAh07iQDjOmLSVAQAAOAMAAA4AAAAAAAAAAQAgAAAA&#10;JwEAAGRycy9lMm9Eb2MueG1sUEsFBgAAAAAGAAYAWQEAAC4FAAAAAA==&#10;">
                <v:fill on="f" focussize="0,0"/>
                <v:stroke on="f"/>
                <v:imagedata o:title=""/>
                <o:lock v:ext="edit" aspectratio="f"/>
                <v:textbox>
                  <w:txbxContent>
                    <w:p w14:paraId="3091ED1F">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14:paraId="0C8C4E5B">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v:textbox>
              </v:rect>
            </w:pict>
          </mc:Fallback>
        </mc:AlternateContent>
      </w:r>
      <w:r>
        <w:rPr>
          <w:rFonts w:hint="eastAsia" w:hAnsi="宋体" w:eastAsia="宋体" w:cs="宋体"/>
          <w:color w:val="auto"/>
          <w:sz w:val="24"/>
          <w:szCs w:val="24"/>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14:paraId="13F534AA">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62.7  </w:t>
      </w:r>
      <w:r>
        <w:rPr>
          <w:rFonts w:hint="eastAsia" w:hAnsi="宋体" w:eastAsia="宋体" w:cs="宋体"/>
          <w:b/>
          <w:bCs/>
          <w:color w:val="auto"/>
          <w:sz w:val="24"/>
          <w:szCs w:val="24"/>
          <w:highlight w:val="none"/>
          <w:u w:val="dotted"/>
        </w:rPr>
        <w:t xml:space="preserve">                                                                                                        </w:t>
      </w:r>
    </w:p>
    <w:p w14:paraId="34E3BBD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298" name="0001e5"/>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3D4F9C6E">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14:paraId="4CACDBE8">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wps:txbx>
                      <wps:bodyPr wrap="square"/>
                    </wps:wsp>
                  </a:graphicData>
                </a:graphic>
              </wp:anchor>
            </w:drawing>
          </mc:Choice>
          <mc:Fallback>
            <w:pict>
              <v:rect id="0001e5" o:spid="_x0000_s1026" o:spt="1" style="position:absolute;left:0pt;margin-left:-9pt;margin-top:2.85pt;height:23.4pt;width:63pt;z-index:251659264;mso-width-relative:page;mso-height-relative:page;" filled="f" stroked="f" coordsize="21600,21600" o:gfxdata="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prO+vXAAAACAEAAA8AAAAAAAAAAQAgAAAAIgAAAGRy&#10;cy9kb3ducmV2LnhtbFBLAQIUABQAAAAIAIdO4kAklOHGlAEAADgDAAAOAAAAAAAAAAEAIAAAACYB&#10;AABkcnMvZTJvRG9jLnhtbFBLBQYAAAAABgAGAFkBAAAsBQAAAAA=&#10;">
                <v:fill on="f" focussize="0,0"/>
                <v:stroke on="f"/>
                <v:imagedata o:title=""/>
                <o:lock v:ext="edit" aspectratio="f"/>
                <v:textbox>
                  <w:txbxContent>
                    <w:p w14:paraId="3D4F9C6E">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14:paraId="4CACDBE8">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v:textbox>
              </v:rect>
            </w:pict>
          </mc:Fallback>
        </mc:AlternateContent>
      </w:r>
      <w:r>
        <w:rPr>
          <w:rFonts w:hint="eastAsia" w:hAnsi="宋体" w:eastAsia="宋体" w:cs="宋体"/>
          <w:color w:val="auto"/>
          <w:sz w:val="24"/>
          <w:szCs w:val="24"/>
          <w:highlight w:val="none"/>
        </w:rPr>
        <w:t>对承包人超出施工设计图纸范围或因承包人的原因造成返工的工程量，造价工程师均不予计量。</w:t>
      </w:r>
    </w:p>
    <w:p w14:paraId="44631D7A">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62.8  </w:t>
      </w:r>
      <w:r>
        <w:rPr>
          <w:rFonts w:hint="eastAsia" w:hAnsi="宋体" w:eastAsia="宋体" w:cs="宋体"/>
          <w:b/>
          <w:bCs/>
          <w:color w:val="auto"/>
          <w:sz w:val="24"/>
          <w:szCs w:val="24"/>
          <w:highlight w:val="none"/>
          <w:u w:val="dotted"/>
        </w:rPr>
        <w:t xml:space="preserve">                                                                                                        </w:t>
      </w:r>
    </w:p>
    <w:p w14:paraId="4440044D">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299" name="0001e6"/>
                <wp:cNvGraphicFramePr/>
                <a:graphic xmlns:a="http://schemas.openxmlformats.org/drawingml/2006/main">
                  <a:graphicData uri="http://schemas.microsoft.com/office/word/2010/wordprocessingShape">
                    <wps:wsp>
                      <wps:cNvSpPr/>
                      <wps:spPr>
                        <a:xfrm>
                          <a:off x="0" y="0"/>
                          <a:ext cx="914400" cy="494030"/>
                        </a:xfrm>
                        <a:prstGeom prst="rect">
                          <a:avLst/>
                        </a:prstGeom>
                        <a:ln>
                          <a:noFill/>
                        </a:ln>
                      </wps:spPr>
                      <wps:txbx>
                        <w:txbxContent>
                          <w:p w14:paraId="52A29DD5">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14:paraId="65704DE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wps:txbx>
                      <wps:bodyPr wrap="square"/>
                    </wps:wsp>
                  </a:graphicData>
                </a:graphic>
              </wp:anchor>
            </w:drawing>
          </mc:Choice>
          <mc:Fallback>
            <w:pict>
              <v:rect id="0001e6" o:spid="_x0000_s1026" o:spt="1" style="position:absolute;left:0pt;margin-left:-9pt;margin-top:1.9pt;height:38.9pt;width:72pt;z-index:251659264;mso-width-relative:page;mso-height-relative:page;" filled="f" stroked="f" coordsize="21600,21600" o:gfxdata="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TltsZ1wAAAAgBAAAPAAAAAAAAAAEAIAAAACIAAABk&#10;cnMvZG93bnJldi54bWxQSwECFAAUAAAACACHTuJAaHI1SZUBAAA4AwAADgAAAAAAAAABACAAAAAm&#10;AQAAZHJzL2Uyb0RvYy54bWxQSwUGAAAAAAYABgBZAQAALQUAAAAA&#10;">
                <v:fill on="f" focussize="0,0"/>
                <v:stroke on="f"/>
                <v:imagedata o:title=""/>
                <o:lock v:ext="edit" aspectratio="f"/>
                <v:textbox>
                  <w:txbxContent>
                    <w:p w14:paraId="52A29DD5">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14:paraId="65704DE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v:textbox>
              </v:rect>
            </w:pict>
          </mc:Fallback>
        </mc:AlternateContent>
      </w:r>
      <w:r>
        <w:rPr>
          <w:rFonts w:hint="eastAsia" w:hAnsi="宋体" w:eastAsia="宋体" w:cs="宋体"/>
          <w:color w:val="auto"/>
          <w:sz w:val="24"/>
          <w:szCs w:val="24"/>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18C37315">
      <w:pPr>
        <w:pStyle w:val="24"/>
        <w:tabs>
          <w:tab w:val="left" w:pos="1620"/>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613BBBDD">
      <w:pPr>
        <w:pStyle w:val="24"/>
        <w:tabs>
          <w:tab w:val="left" w:pos="540"/>
        </w:tabs>
        <w:adjustRightInd w:val="0"/>
        <w:snapToGrid w:val="0"/>
        <w:spacing w:before="240" w:beforeLines="100" w:line="300" w:lineRule="auto"/>
        <w:outlineLvl w:val="2"/>
        <w:rPr>
          <w:rFonts w:hAnsi="宋体" w:eastAsia="宋体" w:cs="宋体"/>
          <w:b/>
          <w:bCs/>
          <w:dstrike/>
          <w:color w:val="auto"/>
          <w:sz w:val="24"/>
          <w:szCs w:val="24"/>
          <w:highlight w:val="none"/>
        </w:rPr>
      </w:pPr>
      <w:bookmarkStart w:id="158" w:name="_Toc46860868"/>
      <w:bookmarkStart w:id="159" w:name="_Toc469384047"/>
      <w:r>
        <w:rPr>
          <w:rFonts w:hint="eastAsia" w:hAnsi="宋体" w:eastAsia="宋体" w:cs="宋体"/>
          <w:b/>
          <w:bCs/>
          <w:color w:val="auto"/>
          <w:sz w:val="24"/>
          <w:szCs w:val="24"/>
          <w:highlight w:val="none"/>
        </w:rPr>
        <w:t>★63  暂列金额</w:t>
      </w:r>
      <w:bookmarkEnd w:id="158"/>
      <w:bookmarkEnd w:id="159"/>
    </w:p>
    <w:p w14:paraId="03160F14">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63.1</w:t>
      </w:r>
    </w:p>
    <w:p w14:paraId="3AD12F32">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1300" name="0001e7"/>
                <wp:cNvGraphicFramePr/>
                <a:graphic xmlns:a="http://schemas.openxmlformats.org/drawingml/2006/main">
                  <a:graphicData uri="http://schemas.microsoft.com/office/word/2010/wordprocessingShape">
                    <wps:wsp>
                      <wps:cNvSpPr/>
                      <wps:spPr>
                        <a:xfrm>
                          <a:off x="0" y="0"/>
                          <a:ext cx="1143000" cy="688340"/>
                        </a:xfrm>
                        <a:prstGeom prst="rect">
                          <a:avLst/>
                        </a:prstGeom>
                        <a:ln>
                          <a:noFill/>
                        </a:ln>
                      </wps:spPr>
                      <wps:txbx>
                        <w:txbxContent>
                          <w:p w14:paraId="20D72E18">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54BDB6CF">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14:paraId="10AADB65">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14:paraId="743185A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wps:wsp>
                  </a:graphicData>
                </a:graphic>
              </wp:anchor>
            </w:drawing>
          </mc:Choice>
          <mc:Fallback>
            <w:pict>
              <v:rect id="0001e7" o:spid="_x0000_s1026" o:spt="1" style="position:absolute;left:0pt;margin-left:-18pt;margin-top:7.5pt;height:54.2pt;width:90pt;z-index:251659264;mso-width-relative:page;mso-height-relative:page;" filled="f" stroked="f" coordsize="21600,21600" o:gfxdata="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beVzAtgAAAAKAQAADwAAAAAAAAABACAAAAAiAAAA&#10;ZHJzL2Rvd25yZXYueG1sUEsBAhQAFAAAAAgAh07iQOpMOZ6VAQAAOQMAAA4AAAAAAAAAAQAgAAAA&#10;JwEAAGRycy9lMm9Eb2MueG1sUEsFBgAAAAAGAAYAWQEAAC4FAAAAAA==&#10;">
                <v:fill on="f" focussize="0,0"/>
                <v:stroke on="f"/>
                <v:imagedata o:title=""/>
                <o:lock v:ext="edit" aspectratio="f"/>
                <v:textbox>
                  <w:txbxContent>
                    <w:p w14:paraId="20D72E18">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54BDB6CF">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14:paraId="10AADB65">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14:paraId="743185A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rect>
            </w:pict>
          </mc:Fallback>
        </mc:AlternateContent>
      </w:r>
      <w:r>
        <w:rPr>
          <w:rFonts w:hint="eastAsia" w:ascii="宋体" w:hAnsi="宋体" w:eastAsia="宋体" w:cs="宋体"/>
          <w:color w:val="auto"/>
          <w:sz w:val="24"/>
          <w:highlight w:val="none"/>
        </w:rPr>
        <w:t>合同双方当事人应在专用条款中明确工程量清单中开列的已标价的暂列金额。</w:t>
      </w:r>
    </w:p>
    <w:p w14:paraId="17A59C3F">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1FD91E07">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63.2  </w:t>
      </w:r>
      <w:r>
        <w:rPr>
          <w:rFonts w:hint="eastAsia" w:hAnsi="宋体" w:eastAsia="宋体" w:cs="宋体"/>
          <w:b/>
          <w:bCs/>
          <w:color w:val="auto"/>
          <w:sz w:val="24"/>
          <w:szCs w:val="24"/>
          <w:highlight w:val="none"/>
          <w:u w:val="dotted"/>
        </w:rPr>
        <w:t xml:space="preserve">                                                                                                        </w:t>
      </w:r>
    </w:p>
    <w:p w14:paraId="11E49E85">
      <w:pPr>
        <w:pStyle w:val="24"/>
        <w:adjustRightInd w:val="0"/>
        <w:snapToGrid w:val="0"/>
        <w:spacing w:line="300" w:lineRule="auto"/>
        <w:ind w:left="1575" w:leftChars="750"/>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1301" name="0001e8"/>
                <wp:cNvGraphicFramePr/>
                <a:graphic xmlns:a="http://schemas.openxmlformats.org/drawingml/2006/main">
                  <a:graphicData uri="http://schemas.microsoft.com/office/word/2010/wordprocessingShape">
                    <wps:wsp>
                      <wps:cNvSpPr/>
                      <wps:spPr>
                        <a:xfrm>
                          <a:off x="0" y="0"/>
                          <a:ext cx="1028700" cy="553085"/>
                        </a:xfrm>
                        <a:prstGeom prst="rect">
                          <a:avLst/>
                        </a:prstGeom>
                        <a:ln>
                          <a:noFill/>
                        </a:ln>
                      </wps:spPr>
                      <wps:txbx>
                        <w:txbxContent>
                          <w:p w14:paraId="2892E7D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603DFB84">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14:paraId="3289D819">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14:paraId="5F64EA18">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wps:wsp>
                  </a:graphicData>
                </a:graphic>
              </wp:anchor>
            </w:drawing>
          </mc:Choice>
          <mc:Fallback>
            <w:pict>
              <v:rect id="0001e8" o:spid="_x0000_s1026" o:spt="1" style="position:absolute;left:0pt;margin-left:-10.5pt;margin-top:7.85pt;height:43.55pt;width:81pt;z-index:251659264;mso-width-relative:page;mso-height-relative:page;" filled="f" stroked="f" coordsize="21600,21600" o:gfxdata="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G0jau2gAAAAoBAAAPAAAAAAAAAAEAIAAAACIA&#10;AABkcnMvZG93bnJldi54bWxQSwECFAAUAAAACACHTuJAzJWgtpUBAAA5AwAADgAAAAAAAAABACAA&#10;AAApAQAAZHJzL2Uyb0RvYy54bWxQSwUGAAAAAAYABgBZAQAAMAUAAAAA&#10;">
                <v:fill on="f" focussize="0,0"/>
                <v:stroke on="f"/>
                <v:imagedata o:title=""/>
                <o:lock v:ext="edit" aspectratio="f"/>
                <v:textbox>
                  <w:txbxContent>
                    <w:p w14:paraId="2892E7D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603DFB84">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14:paraId="3289D819">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14:paraId="5F64EA18">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rect>
            </w:pict>
          </mc:Fallback>
        </mc:AlternateContent>
      </w:r>
      <w:r>
        <w:rPr>
          <w:rFonts w:hint="eastAsia" w:hAnsi="宋体" w:eastAsia="宋体" w:cs="宋体"/>
          <w:color w:val="auto"/>
          <w:sz w:val="24"/>
          <w:szCs w:val="24"/>
          <w:highlight w:val="none"/>
        </w:rPr>
        <w:t>经发包人批准后，监理工程师应就承包人实施第63.1款规定的工作发出书面指令。承包人应就此项指令提出所需价款，经造价工程师核实并由其报发包人确认后，向承包人支付相关款项。</w:t>
      </w:r>
    </w:p>
    <w:p w14:paraId="12B27552">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63.3  </w:t>
      </w:r>
      <w:r>
        <w:rPr>
          <w:rFonts w:hint="eastAsia" w:hAnsi="宋体" w:eastAsia="宋体" w:cs="宋体"/>
          <w:b/>
          <w:bCs/>
          <w:color w:val="auto"/>
          <w:sz w:val="24"/>
          <w:szCs w:val="24"/>
          <w:highlight w:val="none"/>
          <w:u w:val="dotted"/>
        </w:rPr>
        <w:t xml:space="preserve">                                                                                                        </w:t>
      </w:r>
    </w:p>
    <w:p w14:paraId="1F1F61D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02" name="0001e9"/>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3689D63D">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14:paraId="47A937F8">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wps:txbx>
                      <wps:bodyPr wrap="square"/>
                    </wps:wsp>
                  </a:graphicData>
                </a:graphic>
              </wp:anchor>
            </w:drawing>
          </mc:Choice>
          <mc:Fallback>
            <w:pict>
              <v:rect id="0001e9" o:spid="_x0000_s1026" o:spt="1" style="position:absolute;left:0pt;margin-left:-9pt;margin-top:1.25pt;height:31.2pt;width:72pt;z-index:251659264;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fZx/9gAAAAIAQAADwAAAAAAAAABACAAAAAiAAAA&#10;ZHJzL2Rvd25yZXYueG1sUEsBAhQAFAAAAAgAh07iQIfm/C6VAQAAOAMAAA4AAAAAAAAAAQAgAAAA&#10;JwEAAGRycy9lMm9Eb2MueG1sUEsFBgAAAAAGAAYAWQEAAC4FAAAAAA==&#10;">
                <v:fill on="f" focussize="0,0"/>
                <v:stroke on="f"/>
                <v:imagedata o:title=""/>
                <o:lock v:ext="edit" aspectratio="f"/>
                <v:textbox>
                  <w:txbxContent>
                    <w:p w14:paraId="3689D63D">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14:paraId="47A937F8">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v:textbox>
              </v:rect>
            </w:pict>
          </mc:Fallback>
        </mc:AlternateContent>
      </w:r>
      <w:r>
        <w:rPr>
          <w:rFonts w:hint="eastAsia" w:hAnsi="宋体" w:eastAsia="宋体" w:cs="宋体"/>
          <w:color w:val="auto"/>
          <w:sz w:val="24"/>
          <w:szCs w:val="24"/>
          <w:highlight w:val="none"/>
        </w:rPr>
        <w:t>造价工程师有要求时，承包人应提供使用暂列金额支付项目的所有报价单、发票、账单或收据。</w:t>
      </w:r>
    </w:p>
    <w:p w14:paraId="55184B97">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B93EBF8">
      <w:pPr>
        <w:pStyle w:val="24"/>
        <w:tabs>
          <w:tab w:val="left" w:pos="540"/>
        </w:tabs>
        <w:adjustRightInd w:val="0"/>
        <w:snapToGrid w:val="0"/>
        <w:spacing w:before="240" w:beforeLines="100" w:line="300" w:lineRule="auto"/>
        <w:outlineLvl w:val="2"/>
        <w:rPr>
          <w:rFonts w:hAnsi="宋体" w:eastAsia="宋体" w:cs="宋体"/>
          <w:b/>
          <w:bCs/>
          <w:dstrike/>
          <w:color w:val="auto"/>
          <w:sz w:val="24"/>
          <w:szCs w:val="24"/>
          <w:highlight w:val="none"/>
        </w:rPr>
      </w:pPr>
      <w:bookmarkStart w:id="160" w:name="_Toc469384048"/>
      <w:bookmarkStart w:id="161" w:name="_Toc46860869"/>
      <w:r>
        <w:rPr>
          <w:rFonts w:hint="eastAsia" w:hAnsi="宋体" w:eastAsia="宋体" w:cs="宋体"/>
          <w:b/>
          <w:bCs/>
          <w:color w:val="auto"/>
          <w:sz w:val="24"/>
          <w:szCs w:val="24"/>
          <w:highlight w:val="none"/>
        </w:rPr>
        <w:t>★64  计日工</w:t>
      </w:r>
      <w:bookmarkEnd w:id="160"/>
      <w:bookmarkEnd w:id="161"/>
    </w:p>
    <w:p w14:paraId="59C7434C">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64.1</w:t>
      </w:r>
    </w:p>
    <w:p w14:paraId="2C51858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303" name="0001ea"/>
                <wp:cNvGraphicFramePr/>
                <a:graphic xmlns:a="http://schemas.openxmlformats.org/drawingml/2006/main">
                  <a:graphicData uri="http://schemas.microsoft.com/office/word/2010/wordprocessingShape">
                    <wps:wsp>
                      <wps:cNvSpPr/>
                      <wps:spPr>
                        <a:xfrm>
                          <a:off x="0" y="0"/>
                          <a:ext cx="914400" cy="387985"/>
                        </a:xfrm>
                        <a:prstGeom prst="rect">
                          <a:avLst/>
                        </a:prstGeom>
                        <a:ln>
                          <a:noFill/>
                        </a:ln>
                      </wps:spPr>
                      <wps:txbx>
                        <w:txbxContent>
                          <w:p w14:paraId="49C53EB4">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14:paraId="43B310CC">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wps:txbx>
                      <wps:bodyPr wrap="square"/>
                    </wps:wsp>
                  </a:graphicData>
                </a:graphic>
              </wp:anchor>
            </w:drawing>
          </mc:Choice>
          <mc:Fallback>
            <w:pict>
              <v:rect id="0001ea" o:spid="_x0000_s1026" o:spt="1" style="position:absolute;left:0pt;margin-left:-9pt;margin-top:1.25pt;height:30.55pt;width:72pt;z-index:251659264;mso-width-relative:page;mso-height-relative:page;" filled="f" stroked="f" coordsize="21600,21600" o:gfxdata="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zGql3YAAAACAEAAA8AAAAAAAAAAQAgAAAAIgAA&#10;AGRycy9kb3ducmV2LnhtbFBLAQIUABQAAAAIAIdO4kAjl+1FlgEAADgDAAAOAAAAAAAAAAEAIAAA&#10;ACcBAABkcnMvZTJvRG9jLnhtbFBLBQYAAAAABgAGAFkBAAAvBQAAAAA=&#10;">
                <v:fill on="f" focussize="0,0"/>
                <v:stroke on="f"/>
                <v:imagedata o:title=""/>
                <o:lock v:ext="edit" aspectratio="f"/>
                <v:textbox>
                  <w:txbxContent>
                    <w:p w14:paraId="49C53EB4">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14:paraId="43B310CC">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v:textbox>
              </v:rect>
            </w:pict>
          </mc:Fallback>
        </mc:AlternateContent>
      </w:r>
      <w:r>
        <w:rPr>
          <w:rFonts w:hint="eastAsia" w:hAnsi="宋体" w:eastAsia="宋体" w:cs="宋体"/>
          <w:color w:val="auto"/>
          <w:sz w:val="24"/>
          <w:szCs w:val="24"/>
          <w:highlight w:val="none"/>
        </w:rPr>
        <w:t>承包人投标文件中填报的计日工单价或价格是用于实施发包人要求的合同以外零星工作项目所需的人工单价、材料、工程设备价格和施工设备机械台班单价。</w:t>
      </w:r>
    </w:p>
    <w:p w14:paraId="1CB22E85">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64.2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1CEC781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经发包人批准后，监理工程师应就使用计日工项目发出书面指令。</w:t>
      </w: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13970</wp:posOffset>
                </wp:positionV>
                <wp:extent cx="914400" cy="412750"/>
                <wp:effectExtent l="0" t="0" r="0" b="0"/>
                <wp:wrapNone/>
                <wp:docPr id="1304" name="0001eb"/>
                <wp:cNvGraphicFramePr/>
                <a:graphic xmlns:a="http://schemas.openxmlformats.org/drawingml/2006/main">
                  <a:graphicData uri="http://schemas.microsoft.com/office/word/2010/wordprocessingShape">
                    <wps:wsp>
                      <wps:cNvSpPr/>
                      <wps:spPr>
                        <a:xfrm>
                          <a:off x="0" y="0"/>
                          <a:ext cx="914400" cy="412750"/>
                        </a:xfrm>
                        <a:prstGeom prst="rect">
                          <a:avLst/>
                        </a:prstGeom>
                        <a:ln>
                          <a:noFill/>
                        </a:ln>
                      </wps:spPr>
                      <wps:txbx>
                        <w:txbxContent>
                          <w:p w14:paraId="219BBAE6">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14:paraId="20188498">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wps:txbx>
                      <wps:bodyPr wrap="square"/>
                    </wps:wsp>
                  </a:graphicData>
                </a:graphic>
              </wp:anchor>
            </w:drawing>
          </mc:Choice>
          <mc:Fallback>
            <w:pict>
              <v:rect id="0001eb" o:spid="_x0000_s1026" o:spt="1" style="position:absolute;left:0pt;margin-left:-9pt;margin-top:1.1pt;height:32.5pt;width:72pt;z-index:251659264;mso-width-relative:page;mso-height-relative:page;" filled="f" stroked="f" coordsize="21600,21600" o:gfxdata="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OA5+m1wAAAAgBAAAPAAAAAAAAAAEAIAAAACIAAABk&#10;cnMvZG93bnJldi54bWxQSwECFAAUAAAACACHTuJAOgMpTZUBAAA4AwAADgAAAAAAAAABACAAAAAm&#10;AQAAZHJzL2Uyb0RvYy54bWxQSwUGAAAAAAYABgBZAQAALQUAAAAA&#10;">
                <v:fill on="f" focussize="0,0"/>
                <v:stroke on="f"/>
                <v:imagedata o:title=""/>
                <o:lock v:ext="edit" aspectratio="f"/>
                <v:textbox>
                  <w:txbxContent>
                    <w:p w14:paraId="219BBAE6">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14:paraId="20188498">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v:textbox>
              </v:rect>
            </w:pict>
          </mc:Fallback>
        </mc:AlternateContent>
      </w:r>
      <w:r>
        <w:rPr>
          <w:rFonts w:hint="eastAsia" w:hAnsi="宋体" w:eastAsia="宋体" w:cs="宋体"/>
          <w:color w:val="auto"/>
          <w:sz w:val="24"/>
          <w:szCs w:val="24"/>
          <w:highlight w:val="none"/>
        </w:rPr>
        <w:t>任一按照计日工方式计价的工作，承包人应在该项工作实施结束后的24小时内，向监理工程师提交有计日工记录的现场签证报告一式两份。</w:t>
      </w:r>
    </w:p>
    <w:p w14:paraId="67975389">
      <w:pPr>
        <w:pStyle w:val="24"/>
        <w:adjustRightInd w:val="0"/>
        <w:snapToGrid w:val="0"/>
        <w:spacing w:line="300" w:lineRule="auto"/>
        <w:ind w:left="1575" w:leftChars="750"/>
        <w:rPr>
          <w:rFonts w:hAnsi="宋体" w:eastAsia="宋体" w:cs="宋体"/>
          <w:color w:val="auto"/>
          <w:sz w:val="24"/>
          <w:szCs w:val="24"/>
          <w:highlight w:val="none"/>
        </w:rPr>
      </w:pPr>
      <w:r>
        <w:rPr>
          <w:rFonts w:hint="eastAsia" w:hAnsi="宋体" w:eastAsia="宋体" w:cs="宋体"/>
          <w:color w:val="auto"/>
          <w:sz w:val="24"/>
          <w:szCs w:val="24"/>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14:paraId="4A2C4612">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64.3  </w:t>
      </w:r>
      <w:r>
        <w:rPr>
          <w:rFonts w:hint="eastAsia" w:hAnsi="宋体" w:eastAsia="宋体" w:cs="宋体"/>
          <w:b/>
          <w:bCs/>
          <w:color w:val="auto"/>
          <w:sz w:val="24"/>
          <w:szCs w:val="24"/>
          <w:highlight w:val="none"/>
          <w:u w:val="dotted"/>
        </w:rPr>
        <w:t xml:space="preserve">                                                                                                        </w:t>
      </w:r>
    </w:p>
    <w:p w14:paraId="4DC65E54">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305" name="0001ec"/>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069C6307">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14:paraId="70F6809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wps:txbx>
                      <wps:bodyPr wrap="square"/>
                    </wps:wsp>
                  </a:graphicData>
                </a:graphic>
              </wp:anchor>
            </w:drawing>
          </mc:Choice>
          <mc:Fallback>
            <w:pict>
              <v:rect id="0001ec" o:spid="_x0000_s1026" o:spt="1" style="position:absolute;left:0pt;margin-left:-9pt;margin-top:0.4pt;height:31.2pt;width:72pt;z-index:251659264;mso-width-relative:page;mso-height-relative:page;" filled="f" stroked="f" coordsize="21600,21600" o:gfxdata="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&#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1pZMD1gAAAAcBAAAPAAAAAAAAAAEAIAAAACIAAABk&#10;cnMvZG93bnJldi54bWxQSwECFAAUAAAACACHTuJAe9hftpYBAAA4AwAADgAAAAAAAAABACAAAAAl&#10;AQAAZHJzL2Uyb0RvYy54bWxQSwUGAAAAAAYABgBZAQAALQUAAAAA&#10;">
                <v:fill on="f" focussize="0,0"/>
                <v:stroke on="f"/>
                <v:imagedata o:title=""/>
                <o:lock v:ext="edit" aspectratio="f"/>
                <v:textbox>
                  <w:txbxContent>
                    <w:p w14:paraId="069C6307">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14:paraId="70F6809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v:textbox>
              </v:rect>
            </w:pict>
          </mc:Fallback>
        </mc:AlternateContent>
      </w:r>
      <w:r>
        <w:rPr>
          <w:rFonts w:hint="eastAsia" w:hAnsi="宋体" w:eastAsia="宋体" w:cs="宋体"/>
          <w:color w:val="auto"/>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102CDF2D">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 xml:space="preserve">每个支付期末，承包人应按照第81.1款规定向发包人提交本期间所有计日工记录的签证汇总表，以说明本期间自己认为有权得到的计日工费用。 </w:t>
      </w:r>
    </w:p>
    <w:p w14:paraId="12A82A28">
      <w:pPr>
        <w:pStyle w:val="24"/>
        <w:tabs>
          <w:tab w:val="left" w:pos="540"/>
        </w:tabs>
        <w:adjustRightInd w:val="0"/>
        <w:snapToGrid w:val="0"/>
        <w:spacing w:before="240" w:beforeLines="100"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3734FBE5">
      <w:pPr>
        <w:pStyle w:val="24"/>
        <w:tabs>
          <w:tab w:val="left" w:pos="540"/>
        </w:tabs>
        <w:adjustRightInd w:val="0"/>
        <w:snapToGrid w:val="0"/>
        <w:spacing w:before="240" w:beforeLines="100" w:line="300" w:lineRule="auto"/>
        <w:outlineLvl w:val="2"/>
        <w:rPr>
          <w:rFonts w:hAnsi="宋体" w:eastAsia="宋体" w:cs="宋体"/>
          <w:b/>
          <w:bCs/>
          <w:dstrike/>
          <w:color w:val="auto"/>
          <w:sz w:val="24"/>
          <w:szCs w:val="24"/>
          <w:highlight w:val="none"/>
        </w:rPr>
      </w:pPr>
      <w:bookmarkStart w:id="162" w:name="_Toc469384049"/>
      <w:bookmarkStart w:id="163" w:name="_Toc46860870"/>
      <w:r>
        <w:rPr>
          <w:rFonts w:hint="eastAsia" w:hAnsi="宋体" w:eastAsia="宋体" w:cs="宋体"/>
          <w:b/>
          <w:bCs/>
          <w:color w:val="auto"/>
          <w:sz w:val="24"/>
          <w:szCs w:val="24"/>
          <w:highlight w:val="none"/>
        </w:rPr>
        <w:t>★65  暂估价</w:t>
      </w:r>
      <w:bookmarkEnd w:id="162"/>
      <w:bookmarkEnd w:id="163"/>
    </w:p>
    <w:p w14:paraId="6A46FCEA">
      <w:pPr>
        <w:pStyle w:val="24"/>
        <w:adjustRightInd w:val="0"/>
        <w:snapToGrid w:val="0"/>
        <w:spacing w:line="300" w:lineRule="auto"/>
        <w:ind w:left="1680" w:hanging="1680" w:hangingChars="700"/>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306" name="0001ed"/>
                <wp:cNvGraphicFramePr/>
                <a:graphic xmlns:a="http://schemas.openxmlformats.org/drawingml/2006/main">
                  <a:graphicData uri="http://schemas.microsoft.com/office/word/2010/wordprocessingShape">
                    <wps:wsp>
                      <wps:cNvSpPr/>
                      <wps:spPr>
                        <a:xfrm>
                          <a:off x="0" y="0"/>
                          <a:ext cx="1047750" cy="483869"/>
                        </a:xfrm>
                        <a:prstGeom prst="rect">
                          <a:avLst/>
                        </a:prstGeom>
                        <a:ln>
                          <a:noFill/>
                        </a:ln>
                      </wps:spPr>
                      <wps:txbx>
                        <w:txbxContent>
                          <w:p w14:paraId="5D2E5E15">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36EE224A">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6739CBB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14:paraId="0F6F581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26F0E9B6">
                            <w:pPr>
                              <w:rPr>
                                <w:rFonts w:ascii="楷体_GB2312" w:hAnsi="宋体" w:eastAsia="楷体_GB2312"/>
                                <w:b/>
                                <w:bCs/>
                                <w:color w:val="000000"/>
                                <w:sz w:val="18"/>
                                <w:szCs w:val="18"/>
                              </w:rPr>
                            </w:pPr>
                          </w:p>
                          <w:p w14:paraId="32B3CBA9">
                            <w:pPr>
                              <w:rPr>
                                <w:sz w:val="18"/>
                                <w:szCs w:val="18"/>
                              </w:rPr>
                            </w:pPr>
                          </w:p>
                        </w:txbxContent>
                      </wps:txbx>
                      <wps:bodyPr wrap="square"/>
                    </wps:wsp>
                  </a:graphicData>
                </a:graphic>
              </wp:anchor>
            </w:drawing>
          </mc:Choice>
          <mc:Fallback>
            <w:pict>
              <v:rect id="0001ed" o:spid="_x0000_s1026" o:spt="1" style="position:absolute;left:0pt;margin-left:-10.5pt;margin-top:25.2pt;height:38.1pt;width:82.5pt;z-index:251659264;mso-width-relative:page;mso-height-relative:page;" filled="f" stroked="f" coordsize="21600,21600" o:gfxdata="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K2CB8naAAAACgEAAA8AAAAAAAAAAQAgAAAA&#10;IgAAAGRycy9kb3ducmV2LnhtbFBLAQIUABQAAAAIAIdO4kClx/WVlwEAADkDAAAOAAAAAAAAAAEA&#10;IAAAACkBAABkcnMvZTJvRG9jLnhtbFBLBQYAAAAABgAGAFkBAAAyBQAAAAA=&#10;">
                <v:fill on="f" focussize="0,0"/>
                <v:stroke on="f"/>
                <v:imagedata o:title=""/>
                <o:lock v:ext="edit" aspectratio="f"/>
                <v:textbox>
                  <w:txbxContent>
                    <w:p w14:paraId="5D2E5E15">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36EE224A">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6739CBB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14:paraId="0F6F581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26F0E9B6">
                      <w:pPr>
                        <w:rPr>
                          <w:rFonts w:ascii="楷体_GB2312" w:hAnsi="宋体" w:eastAsia="楷体_GB2312"/>
                          <w:b/>
                          <w:bCs/>
                          <w:color w:val="000000"/>
                          <w:sz w:val="18"/>
                          <w:szCs w:val="18"/>
                        </w:rPr>
                      </w:pPr>
                    </w:p>
                    <w:p w14:paraId="32B3CBA9">
                      <w:pPr>
                        <w:rPr>
                          <w:sz w:val="18"/>
                          <w:szCs w:val="18"/>
                        </w:rPr>
                      </w:pPr>
                    </w:p>
                  </w:txbxContent>
                </v:textbox>
              </v:rect>
            </w:pict>
          </mc:Fallback>
        </mc:AlternateContent>
      </w:r>
      <w:r>
        <w:rPr>
          <w:rFonts w:hint="eastAsia" w:hAnsi="宋体" w:eastAsia="宋体" w:cs="宋体"/>
          <w:b/>
          <w:bCs/>
          <w:color w:val="auto"/>
          <w:sz w:val="24"/>
          <w:szCs w:val="24"/>
          <w:highlight w:val="none"/>
        </w:rPr>
        <w:t>65.1</w:t>
      </w:r>
      <w:r>
        <w:rPr>
          <w:rFonts w:hint="eastAsia" w:hAnsi="宋体" w:eastAsia="宋体" w:cs="宋体"/>
          <w:color w:val="auto"/>
          <w:sz w:val="24"/>
          <w:szCs w:val="24"/>
          <w:highlight w:val="none"/>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248D040B">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247650</wp:posOffset>
                </wp:positionV>
                <wp:extent cx="1028700" cy="956310"/>
                <wp:effectExtent l="0" t="0" r="0" b="0"/>
                <wp:wrapNone/>
                <wp:docPr id="1307" name="0001ee"/>
                <wp:cNvGraphicFramePr/>
                <a:graphic xmlns:a="http://schemas.openxmlformats.org/drawingml/2006/main">
                  <a:graphicData uri="http://schemas.microsoft.com/office/word/2010/wordprocessingShape">
                    <wps:wsp>
                      <wps:cNvSpPr/>
                      <wps:spPr>
                        <a:xfrm>
                          <a:off x="0" y="0"/>
                          <a:ext cx="1028700" cy="956310"/>
                        </a:xfrm>
                        <a:prstGeom prst="rect">
                          <a:avLst/>
                        </a:prstGeom>
                        <a:ln>
                          <a:noFill/>
                        </a:ln>
                      </wps:spPr>
                      <wps:txbx>
                        <w:txbxContent>
                          <w:p w14:paraId="7BF5D58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39CF02EB">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6631CC6D">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5FF55066">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14:paraId="1A390C2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5022FD2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7EEF922E">
                            <w:pPr>
                              <w:rPr>
                                <w:sz w:val="18"/>
                                <w:szCs w:val="18"/>
                              </w:rPr>
                            </w:pPr>
                          </w:p>
                        </w:txbxContent>
                      </wps:txbx>
                      <wps:bodyPr wrap="square"/>
                    </wps:wsp>
                  </a:graphicData>
                </a:graphic>
              </wp:anchor>
            </w:drawing>
          </mc:Choice>
          <mc:Fallback>
            <w:pict>
              <v:rect id="0001ee" o:spid="_x0000_s1026" o:spt="1" style="position:absolute;left:0pt;margin-left:-9pt;margin-top:19.5pt;height:75.3pt;width:81pt;z-index:251659264;mso-width-relative:page;mso-height-relative:page;" filled="f" stroked="f" coordsize="21600,21600" o:gfxdata="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dwr/Q2gAAAAoBAAAPAAAAAAAAAAEAIAAAACIA&#10;AABkcnMvZG93bnJldi54bWxQSwECFAAUAAAACACHTuJAMOiuRpUBAAA5AwAADgAAAAAAAAABACAA&#10;AAApAQAAZHJzL2Uyb0RvYy54bWxQSwUGAAAAAAYABgBZAQAAMAUAAAAA&#10;">
                <v:fill on="f" focussize="0,0"/>
                <v:stroke on="f"/>
                <v:imagedata o:title=""/>
                <o:lock v:ext="edit" aspectratio="f"/>
                <v:textbox>
                  <w:txbxContent>
                    <w:p w14:paraId="7BF5D58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39CF02EB">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6631CC6D">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5FF55066">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14:paraId="1A390C2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5022FD2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7EEF922E">
                      <w:pPr>
                        <w:rPr>
                          <w:sz w:val="18"/>
                          <w:szCs w:val="18"/>
                        </w:rPr>
                      </w:pPr>
                    </w:p>
                  </w:txbxContent>
                </v:textbox>
              </v:rect>
            </w:pict>
          </mc:Fallback>
        </mc:AlternateContent>
      </w:r>
      <w:r>
        <w:rPr>
          <w:rFonts w:hint="eastAsia" w:hAnsi="宋体" w:eastAsia="宋体" w:cs="宋体"/>
          <w:b/>
          <w:bCs/>
          <w:color w:val="auto"/>
          <w:sz w:val="24"/>
          <w:szCs w:val="24"/>
          <w:highlight w:val="none"/>
        </w:rPr>
        <w:t xml:space="preserve">65.2  </w:t>
      </w:r>
      <w:r>
        <w:rPr>
          <w:rFonts w:hint="eastAsia" w:hAnsi="宋体" w:eastAsia="宋体" w:cs="宋体"/>
          <w:b/>
          <w:bCs/>
          <w:color w:val="auto"/>
          <w:sz w:val="24"/>
          <w:szCs w:val="24"/>
          <w:highlight w:val="none"/>
          <w:u w:val="dotted"/>
        </w:rPr>
        <w:t xml:space="preserve">                                                                                   </w:t>
      </w:r>
    </w:p>
    <w:p w14:paraId="76D210C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14:paraId="628D7D85">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65.3  </w:t>
      </w:r>
      <w:r>
        <w:rPr>
          <w:rFonts w:hint="eastAsia" w:hAnsi="宋体" w:eastAsia="宋体" w:cs="宋体"/>
          <w:b/>
          <w:bCs/>
          <w:color w:val="auto"/>
          <w:sz w:val="24"/>
          <w:szCs w:val="24"/>
          <w:highlight w:val="none"/>
          <w:u w:val="dotted"/>
        </w:rPr>
        <w:t xml:space="preserve">                                                                                   </w:t>
      </w:r>
    </w:p>
    <w:p w14:paraId="1D30F69D">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308" name="0001ef"/>
                <wp:cNvGraphicFramePr/>
                <a:graphic xmlns:a="http://schemas.openxmlformats.org/drawingml/2006/main">
                  <a:graphicData uri="http://schemas.microsoft.com/office/word/2010/wordprocessingShape">
                    <wps:wsp>
                      <wps:cNvSpPr/>
                      <wps:spPr>
                        <a:xfrm>
                          <a:off x="0" y="0"/>
                          <a:ext cx="1028700" cy="863600"/>
                        </a:xfrm>
                        <a:prstGeom prst="rect">
                          <a:avLst/>
                        </a:prstGeom>
                        <a:ln>
                          <a:noFill/>
                        </a:ln>
                      </wps:spPr>
                      <wps:txbx>
                        <w:txbxContent>
                          <w:p w14:paraId="5B229334">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01D801BF">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70CCA75E">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14:paraId="3A7C7A62">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14:paraId="665F83E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2EDE846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rect id="0001ef" o:spid="_x0000_s1026" o:spt="1" style="position:absolute;left:0pt;margin-left:-18pt;margin-top:5.65pt;height:68pt;width:81pt;z-index:251659264;mso-width-relative:page;mso-height-relative:page;" filled="f" stroked="f" coordsize="21600,21600" o:gfxdata="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q6Ab7aAAAACgEAAA8AAAAAAAAAAQAgAAAAIgAA&#10;AGRycy9kb3ducmV2LnhtbFBLAQIUABQAAAAIAIdO4kBGe71ylAEAADkDAAAOAAAAAAAAAAEAIAAA&#10;ACkBAABkcnMvZTJvRG9jLnhtbFBLBQYAAAAABgAGAFkBAAAvBQAAAAA=&#10;">
                <v:fill on="f" focussize="0,0"/>
                <v:stroke on="f"/>
                <v:imagedata o:title=""/>
                <o:lock v:ext="edit" aspectratio="f"/>
                <v:textbox>
                  <w:txbxContent>
                    <w:p w14:paraId="5B229334">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01D801BF">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70CCA75E">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14:paraId="3A7C7A62">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14:paraId="665F83E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2EDE846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rect>
            </w:pict>
          </mc:Fallback>
        </mc:AlternateContent>
      </w:r>
      <w:r>
        <w:rPr>
          <w:rFonts w:hint="eastAsia" w:hAnsi="宋体" w:eastAsia="宋体" w:cs="宋体"/>
          <w:color w:val="auto"/>
          <w:sz w:val="24"/>
          <w:szCs w:val="24"/>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14:paraId="27367EE9">
      <w:pPr>
        <w:pStyle w:val="24"/>
        <w:tabs>
          <w:tab w:val="left" w:pos="3038"/>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E9F06E0">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64" w:name="_Toc469384050"/>
      <w:bookmarkStart w:id="165" w:name="_Toc46860871"/>
      <w:r>
        <w:rPr>
          <w:rFonts w:hint="eastAsia" w:hAnsi="宋体" w:eastAsia="宋体" w:cs="宋体"/>
          <w:b/>
          <w:bCs/>
          <w:color w:val="auto"/>
          <w:sz w:val="24"/>
          <w:szCs w:val="24"/>
          <w:highlight w:val="none"/>
        </w:rPr>
        <w:t>★66  提前竣工奖与误期赔偿费</w:t>
      </w:r>
      <w:bookmarkEnd w:id="164"/>
      <w:bookmarkEnd w:id="165"/>
    </w:p>
    <w:p w14:paraId="00C10342">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66.1  </w:t>
      </w:r>
    </w:p>
    <w:p w14:paraId="3E8F2BE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309" name="0001f0"/>
                <wp:cNvGraphicFramePr/>
                <a:graphic xmlns:a="http://schemas.openxmlformats.org/drawingml/2006/main">
                  <a:graphicData uri="http://schemas.microsoft.com/office/word/2010/wordprocessingShape">
                    <wps:wsp>
                      <wps:cNvSpPr/>
                      <wps:spPr>
                        <a:xfrm>
                          <a:off x="0" y="0"/>
                          <a:ext cx="1028700" cy="405130"/>
                        </a:xfrm>
                        <a:prstGeom prst="rect">
                          <a:avLst/>
                        </a:prstGeom>
                        <a:ln>
                          <a:noFill/>
                        </a:ln>
                      </wps:spPr>
                      <wps:txbx>
                        <w:txbxContent>
                          <w:p w14:paraId="5D030FB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14:paraId="48572113">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wps:txbx>
                      <wps:bodyPr wrap="square"/>
                    </wps:wsp>
                  </a:graphicData>
                </a:graphic>
              </wp:anchor>
            </w:drawing>
          </mc:Choice>
          <mc:Fallback>
            <w:pict>
              <v:rect id="0001f0" o:spid="_x0000_s1026" o:spt="1" style="position:absolute;left:0pt;margin-left:-9pt;margin-top:2.4pt;height:31.9pt;width:81pt;z-index:251659264;mso-width-relative:page;mso-height-relative:page;" filled="f" stroked="f" coordsize="21600,21600" o:gfxdata="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KzSQlNcAAAAIAQAADwAAAAAAAAABACAAAAAiAAAAZHJz&#10;L2Rvd25yZXYueG1sUEsBAhQAFAAAAAgAh07iQCruEf2TAQAAOQMAAA4AAAAAAAAAAQAgAAAAJgEA&#10;AGRycy9lMm9Eb2MueG1sUEsFBgAAAAAGAAYAWQEAACsFAAAAAA==&#10;">
                <v:fill on="f" focussize="0,0"/>
                <v:stroke on="f"/>
                <v:imagedata o:title=""/>
                <o:lock v:ext="edit" aspectratio="f"/>
                <v:textbox>
                  <w:txbxContent>
                    <w:p w14:paraId="5D030FB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14:paraId="48572113">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v:textbox>
              </v:rect>
            </w:pict>
          </mc:Fallback>
        </mc:AlternateContent>
      </w:r>
      <w:r>
        <w:rPr>
          <w:rFonts w:hint="eastAsia" w:hAnsi="宋体" w:eastAsia="宋体" w:cs="宋体"/>
          <w:color w:val="auto"/>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14:paraId="05924DBF">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66.2  </w:t>
      </w:r>
      <w:r>
        <w:rPr>
          <w:rFonts w:hint="eastAsia" w:hAnsi="宋体" w:eastAsia="宋体" w:cs="宋体"/>
          <w:b/>
          <w:bCs/>
          <w:color w:val="auto"/>
          <w:sz w:val="24"/>
          <w:szCs w:val="24"/>
          <w:highlight w:val="none"/>
          <w:u w:val="dotted"/>
        </w:rPr>
        <w:t xml:space="preserve">                                                                                                        </w:t>
      </w:r>
    </w:p>
    <w:p w14:paraId="08370E72">
      <w:pPr>
        <w:pStyle w:val="24"/>
        <w:adjustRightInd w:val="0"/>
        <w:snapToGrid w:val="0"/>
        <w:spacing w:line="300" w:lineRule="auto"/>
        <w:ind w:left="1619" w:leftChars="771"/>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310" name="0001f1"/>
                <wp:cNvGraphicFramePr/>
                <a:graphic xmlns:a="http://schemas.openxmlformats.org/drawingml/2006/main">
                  <a:graphicData uri="http://schemas.microsoft.com/office/word/2010/wordprocessingShape">
                    <wps:wsp>
                      <wps:cNvSpPr/>
                      <wps:spPr>
                        <a:xfrm>
                          <a:off x="0" y="0"/>
                          <a:ext cx="914400" cy="377825"/>
                        </a:xfrm>
                        <a:prstGeom prst="rect">
                          <a:avLst/>
                        </a:prstGeom>
                        <a:ln>
                          <a:noFill/>
                        </a:ln>
                      </wps:spPr>
                      <wps:txbx>
                        <w:txbxContent>
                          <w:p w14:paraId="08A52E41">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14:paraId="0782169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wps:txbx>
                      <wps:bodyPr wrap="square"/>
                    </wps:wsp>
                  </a:graphicData>
                </a:graphic>
              </wp:anchor>
            </w:drawing>
          </mc:Choice>
          <mc:Fallback>
            <w:pict>
              <v:rect id="0001f1" o:spid="_x0000_s1026" o:spt="1" style="position:absolute;left:0pt;margin-left:-9pt;margin-top:1.3pt;height:29.75pt;width:72pt;z-index:251659264;mso-width-relative:page;mso-height-relative:page;" filled="f" stroked="f" coordsize="21600,21600" o:gfxdata="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&#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vDRMW1wAAAAgBAAAPAAAAAAAAAAEAIAAAACIAAABk&#10;cnMvZG93bnJldi54bWxQSwECFAAUAAAACACHTuJAVFwd1JUBAAA4AwAADgAAAAAAAAABACAAAAAm&#10;AQAAZHJzL2Uyb0RvYy54bWxQSwUGAAAAAAYABgBZAQAALQUAAAAA&#10;">
                <v:fill on="f" focussize="0,0"/>
                <v:stroke on="f"/>
                <v:imagedata o:title=""/>
                <o:lock v:ext="edit" aspectratio="f"/>
                <v:textbox>
                  <w:txbxContent>
                    <w:p w14:paraId="08A52E41">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14:paraId="0782169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v:textbox>
              </v:rect>
            </w:pict>
          </mc:Fallback>
        </mc:AlternateContent>
      </w:r>
      <w:r>
        <w:rPr>
          <w:rFonts w:hint="eastAsia" w:hAnsi="宋体" w:eastAsia="宋体" w:cs="宋体"/>
          <w:color w:val="auto"/>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14:paraId="791C38E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39B61AC3">
      <w:pPr>
        <w:pStyle w:val="24"/>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69067435">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66" w:name="_Toc46860872"/>
      <w:bookmarkStart w:id="167" w:name="_Toc469384051"/>
      <w:r>
        <w:rPr>
          <w:rFonts w:hint="eastAsia" w:hAnsi="宋体" w:eastAsia="宋体" w:cs="宋体"/>
          <w:b/>
          <w:bCs/>
          <w:color w:val="auto"/>
          <w:sz w:val="24"/>
          <w:szCs w:val="24"/>
          <w:highlight w:val="none"/>
        </w:rPr>
        <w:t>★67  工程优质费</w:t>
      </w:r>
      <w:bookmarkEnd w:id="166"/>
      <w:bookmarkEnd w:id="167"/>
    </w:p>
    <w:p w14:paraId="1BB14C62">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67.1 </w:t>
      </w:r>
    </w:p>
    <w:p w14:paraId="65EFD80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311" name="0001f2"/>
                <wp:cNvGraphicFramePr/>
                <a:graphic xmlns:a="http://schemas.openxmlformats.org/drawingml/2006/main">
                  <a:graphicData uri="http://schemas.microsoft.com/office/word/2010/wordprocessingShape">
                    <wps:wsp>
                      <wps:cNvSpPr/>
                      <wps:spPr>
                        <a:xfrm>
                          <a:off x="0" y="0"/>
                          <a:ext cx="1028700" cy="524510"/>
                        </a:xfrm>
                        <a:prstGeom prst="rect">
                          <a:avLst/>
                        </a:prstGeom>
                        <a:ln>
                          <a:noFill/>
                        </a:ln>
                      </wps:spPr>
                      <wps:txbx>
                        <w:txbxContent>
                          <w:p w14:paraId="548475E9">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3A841E65">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14:paraId="0C16E01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14:paraId="1BFFF87B">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wps:wsp>
                  </a:graphicData>
                </a:graphic>
              </wp:anchor>
            </w:drawing>
          </mc:Choice>
          <mc:Fallback>
            <w:pict>
              <v:rect id="0001f2" o:spid="_x0000_s1026" o:spt="1" style="position:absolute;left:0pt;margin-left:-9pt;margin-top:2.4pt;height:41.3pt;width:81pt;z-index:251659264;mso-width-relative:page;mso-height-relative:page;" filled="f" stroked="f" coordsize="21600,21600" o:gfxdata="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S050T9cAAAAIAQAADwAAAAAAAAABACAAAAAiAAAA&#10;ZHJzL2Rvd25yZXYueG1sUEsBAhQAFAAAAAgAh07iQGiykOeWAQAAOQMAAA4AAAAAAAAAAQAgAAAA&#10;JgEAAGRycy9lMm9Eb2MueG1sUEsFBgAAAAAGAAYAWQEAAC4FAAAAAA==&#10;">
                <v:fill on="f" focussize="0,0"/>
                <v:stroke on="f"/>
                <v:imagedata o:title=""/>
                <o:lock v:ext="edit" aspectratio="f"/>
                <v:textbox>
                  <w:txbxContent>
                    <w:p w14:paraId="548475E9">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3A841E65">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14:paraId="0C16E01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14:paraId="1BFFF87B">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rect>
            </w:pict>
          </mc:Fallback>
        </mc:AlternateContent>
      </w:r>
      <w:r>
        <w:rPr>
          <w:rFonts w:hint="eastAsia" w:hAnsi="宋体" w:eastAsia="宋体" w:cs="宋体"/>
          <w:color w:val="auto"/>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194333BC">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1312" name="0001f3"/>
                <wp:cNvGraphicFramePr/>
                <a:graphic xmlns:a="http://schemas.openxmlformats.org/drawingml/2006/main">
                  <a:graphicData uri="http://schemas.microsoft.com/office/word/2010/wordprocessingShape">
                    <wps:wsp>
                      <wps:cNvSpPr/>
                      <wps:spPr>
                        <a:xfrm>
                          <a:off x="0" y="0"/>
                          <a:ext cx="914400" cy="621030"/>
                        </a:xfrm>
                        <a:prstGeom prst="rect">
                          <a:avLst/>
                        </a:prstGeom>
                        <a:ln>
                          <a:noFill/>
                        </a:ln>
                      </wps:spPr>
                      <wps:txbx>
                        <w:txbxContent>
                          <w:p w14:paraId="5365D0C8">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14:paraId="58E5EABA">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14:paraId="336CA16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14:paraId="5B53597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wps:wsp>
                  </a:graphicData>
                </a:graphic>
              </wp:anchor>
            </w:drawing>
          </mc:Choice>
          <mc:Fallback>
            <w:pict>
              <v:rect id="0001f3" o:spid="_x0000_s1026" o:spt="1" style="position:absolute;left:0pt;margin-left:-9pt;margin-top:18.45pt;height:48.9pt;width:72pt;z-index:251659264;mso-width-relative:page;mso-height-relative:page;" filled="f" stroked="f" coordsize="21600,21600" o:gfxdata="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HorCXdsAAAAKAQAADwAAAAAAAAABACAAAAAi&#10;AAAAZHJzL2Rvd25yZXYueG1sUEsBAhQAFAAAAAgAh07iQBcli2qVAQAAOAMAAA4AAAAAAAAAAQAg&#10;AAAAKgEAAGRycy9lMm9Eb2MueG1sUEsFBgAAAAAGAAYAWQEAADEFAAAAAA==&#10;">
                <v:fill on="f" focussize="0,0"/>
                <v:stroke on="f"/>
                <v:imagedata o:title=""/>
                <o:lock v:ext="edit" aspectratio="f"/>
                <v:textbox>
                  <w:txbxContent>
                    <w:p w14:paraId="5365D0C8">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14:paraId="58E5EABA">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14:paraId="336CA16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14:paraId="5B53597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rect>
            </w:pict>
          </mc:Fallback>
        </mc:AlternateContent>
      </w:r>
      <w:r>
        <w:rPr>
          <w:rFonts w:hint="eastAsia" w:hAnsi="宋体" w:eastAsia="宋体" w:cs="宋体"/>
          <w:b/>
          <w:bCs/>
          <w:color w:val="auto"/>
          <w:sz w:val="24"/>
          <w:szCs w:val="24"/>
          <w:highlight w:val="none"/>
        </w:rPr>
        <w:t xml:space="preserve">67.2  </w:t>
      </w:r>
      <w:r>
        <w:rPr>
          <w:rFonts w:hint="eastAsia" w:hAnsi="宋体" w:eastAsia="宋体" w:cs="宋体"/>
          <w:b/>
          <w:bCs/>
          <w:color w:val="auto"/>
          <w:sz w:val="24"/>
          <w:szCs w:val="24"/>
          <w:highlight w:val="none"/>
          <w:u w:val="dotted"/>
        </w:rPr>
        <w:t xml:space="preserve">                                                                              </w:t>
      </w:r>
    </w:p>
    <w:p w14:paraId="22C9B01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28天内支付。</w:t>
      </w:r>
    </w:p>
    <w:p w14:paraId="6A587391">
      <w:pPr>
        <w:pStyle w:val="24"/>
        <w:adjustRightInd w:val="0"/>
        <w:snapToGrid w:val="0"/>
        <w:spacing w:line="300" w:lineRule="auto"/>
        <w:jc w:val="left"/>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0E2FAF51">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68" w:name="_Toc469384052"/>
      <w:bookmarkStart w:id="169" w:name="_Toc46860873"/>
      <w:r>
        <w:rPr>
          <w:rFonts w:hint="eastAsia" w:hAnsi="宋体" w:eastAsia="宋体" w:cs="宋体"/>
          <w:b/>
          <w:bCs/>
          <w:color w:val="auto"/>
          <w:sz w:val="24"/>
          <w:szCs w:val="24"/>
          <w:highlight w:val="none"/>
        </w:rPr>
        <w:t>★68  合同价款的约定与调整</w:t>
      </w:r>
      <w:bookmarkEnd w:id="168"/>
      <w:bookmarkEnd w:id="169"/>
    </w:p>
    <w:p w14:paraId="78E4D329">
      <w:pPr>
        <w:pStyle w:val="24"/>
        <w:adjustRightInd w:val="0"/>
        <w:snapToGrid w:val="0"/>
        <w:spacing w:line="300" w:lineRule="auto"/>
        <w:ind w:left="1446" w:hanging="1446" w:hangingChars="600"/>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68.1       </w:t>
      </w:r>
    </w:p>
    <w:p w14:paraId="32A2AA02">
      <w:pPr>
        <w:pStyle w:val="24"/>
        <w:adjustRightInd w:val="0"/>
        <w:snapToGrid w:val="0"/>
        <w:spacing w:line="300" w:lineRule="auto"/>
        <w:ind w:left="1438" w:leftChars="685" w:firstLine="28" w:firstLineChars="1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1313" name="0001f4"/>
                <wp:cNvGraphicFramePr/>
                <a:graphic xmlns:a="http://schemas.openxmlformats.org/drawingml/2006/main">
                  <a:graphicData uri="http://schemas.microsoft.com/office/word/2010/wordprocessingShape">
                    <wps:wsp>
                      <wps:cNvSpPr/>
                      <wps:spPr>
                        <a:xfrm>
                          <a:off x="0" y="0"/>
                          <a:ext cx="1009649" cy="313055"/>
                        </a:xfrm>
                        <a:prstGeom prst="rect">
                          <a:avLst/>
                        </a:prstGeom>
                        <a:ln>
                          <a:noFill/>
                        </a:ln>
                      </wps:spPr>
                      <wps:txbx>
                        <w:txbxContent>
                          <w:p w14:paraId="3DA493F9">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14:paraId="157A459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wps:txbx>
                      <wps:bodyPr wrap="square"/>
                    </wps:wsp>
                  </a:graphicData>
                </a:graphic>
              </wp:anchor>
            </w:drawing>
          </mc:Choice>
          <mc:Fallback>
            <w:pict>
              <v:rect id="0001f4" o:spid="_x0000_s1026" o:spt="1" style="position:absolute;left:0pt;margin-left:-9pt;margin-top:4.5pt;height:24.65pt;width:79.5pt;z-index:251659264;mso-width-relative:page;mso-height-relative:page;" filled="f" stroked="f" coordsize="21600,21600" o:gfxdata="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tvw5TZAAAACAEAAA8AAAAAAAAAAQAgAAAAIgAA&#10;AGRycy9kb3ducmV2LnhtbFBLAQIUABQAAAAIAIdO4kBVUah7lQEAADkDAAAOAAAAAAAAAAEAIAAA&#10;ACgBAABkcnMvZTJvRG9jLnhtbFBLBQYAAAAABgAGAFkBAAAvBQAAAAA=&#10;">
                <v:fill on="f" focussize="0,0"/>
                <v:stroke on="f"/>
                <v:imagedata o:title=""/>
                <o:lock v:ext="edit" aspectratio="f"/>
                <v:textbox>
                  <w:txbxContent>
                    <w:p w14:paraId="3DA493F9">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14:paraId="157A459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v:textbox>
              </v:rect>
            </w:pict>
          </mc:Fallback>
        </mc:AlternateContent>
      </w:r>
      <w:r>
        <w:rPr>
          <w:rFonts w:hint="eastAsia" w:hAnsi="宋体" w:eastAsia="宋体" w:cs="宋体"/>
          <w:color w:val="auto"/>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0BE7A772">
      <w:pPr>
        <w:pStyle w:val="24"/>
        <w:adjustRightInd w:val="0"/>
        <w:snapToGrid w:val="0"/>
        <w:spacing w:line="300" w:lineRule="auto"/>
        <w:ind w:left="1438" w:leftChars="685" w:firstLine="28" w:firstLineChars="12"/>
        <w:rPr>
          <w:rFonts w:hAnsi="宋体" w:eastAsia="宋体" w:cs="宋体"/>
          <w:color w:val="auto"/>
          <w:sz w:val="24"/>
          <w:szCs w:val="24"/>
          <w:highlight w:val="none"/>
        </w:rPr>
      </w:pPr>
    </w:p>
    <w:p w14:paraId="2F1F8CC4">
      <w:pPr>
        <w:pStyle w:val="24"/>
        <w:adjustRightInd w:val="0"/>
        <w:snapToGrid w:val="0"/>
        <w:spacing w:line="300" w:lineRule="auto"/>
        <w:rPr>
          <w:rFonts w:hAnsi="宋体" w:eastAsia="宋体" w:cs="宋体"/>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1314" name="0001f5"/>
                <wp:cNvGraphicFramePr/>
                <a:graphic xmlns:a="http://schemas.openxmlformats.org/drawingml/2006/main">
                  <a:graphicData uri="http://schemas.microsoft.com/office/word/2010/wordprocessingShape">
                    <wps:wsp>
                      <wps:cNvSpPr/>
                      <wps:spPr>
                        <a:xfrm>
                          <a:off x="0" y="0"/>
                          <a:ext cx="726440" cy="483235"/>
                        </a:xfrm>
                        <a:prstGeom prst="rect">
                          <a:avLst/>
                        </a:prstGeom>
                        <a:ln>
                          <a:noFill/>
                        </a:ln>
                      </wps:spPr>
                      <wps:txbx>
                        <w:txbxContent>
                          <w:p w14:paraId="5A4A46EC">
                            <w:pPr>
                              <w:pStyle w:val="18"/>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14:paraId="6CF29CF7">
                            <w:pPr>
                              <w:pStyle w:val="18"/>
                              <w:spacing w:line="200" w:lineRule="exact"/>
                              <w:ind w:left="5250"/>
                              <w:rPr>
                                <w:rFonts w:ascii="楷体_GB2312" w:hAnsi="宋体" w:eastAsia="楷体_GB2312"/>
                                <w:b/>
                                <w:bCs/>
                                <w:sz w:val="18"/>
                                <w:szCs w:val="18"/>
                              </w:rPr>
                            </w:pPr>
                          </w:p>
                        </w:txbxContent>
                      </wps:txbx>
                      <wps:bodyPr wrap="square"/>
                    </wps:wsp>
                  </a:graphicData>
                </a:graphic>
              </wp:anchor>
            </w:drawing>
          </mc:Choice>
          <mc:Fallback>
            <w:pict>
              <v:rect id="0001f5" o:spid="_x0000_s1026" o:spt="1" style="position:absolute;left:0pt;margin-left:-14.05pt;margin-top:17.3pt;height:38.05pt;width:57.2pt;z-index:251659264;mso-width-relative:page;mso-height-relative:page;" filled="f" stroked="f" coordsize="21600,21600" o:gfxdata="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7M8uR9oAAAAJAQAADwAAAAAAAAABACAAAAAi&#10;AAAAZHJzL2Rvd25yZXYueG1sUEsBAhQAFAAAAAgAh07iQJLSjyiWAQAAOAMAAA4AAAAAAAAAAQAg&#10;AAAAKQEAAGRycy9lMm9Eb2MueG1sUEsFBgAAAAAGAAYAWQEAADEFAAAAAA==&#10;">
                <v:fill on="f" focussize="0,0"/>
                <v:stroke on="f"/>
                <v:imagedata o:title=""/>
                <o:lock v:ext="edit" aspectratio="f"/>
                <v:textbox>
                  <w:txbxContent>
                    <w:p w14:paraId="5A4A46EC">
                      <w:pPr>
                        <w:pStyle w:val="18"/>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14:paraId="6CF29CF7">
                      <w:pPr>
                        <w:pStyle w:val="18"/>
                        <w:spacing w:line="200" w:lineRule="exact"/>
                        <w:ind w:left="5250"/>
                        <w:rPr>
                          <w:rFonts w:ascii="楷体_GB2312" w:hAnsi="宋体" w:eastAsia="楷体_GB2312"/>
                          <w:b/>
                          <w:bCs/>
                          <w:sz w:val="18"/>
                          <w:szCs w:val="18"/>
                        </w:rPr>
                      </w:pPr>
                    </w:p>
                  </w:txbxContent>
                </v:textbox>
              </v:rect>
            </w:pict>
          </mc:Fallback>
        </mc:AlternateContent>
      </w:r>
      <w:r>
        <w:rPr>
          <w:rFonts w:hint="eastAsia" w:hAnsi="宋体" w:eastAsia="宋体" w:cs="宋体"/>
          <w:color w:val="auto"/>
          <w:sz w:val="24"/>
          <w:szCs w:val="24"/>
          <w:highlight w:val="none"/>
        </w:rPr>
        <w:t xml:space="preserve">68.2  </w:t>
      </w:r>
      <w:r>
        <w:rPr>
          <w:rFonts w:hint="eastAsia" w:hAnsi="宋体" w:eastAsia="宋体" w:cs="宋体"/>
          <w:color w:val="auto"/>
          <w:sz w:val="24"/>
          <w:szCs w:val="24"/>
          <w:highlight w:val="none"/>
          <w:u w:val="dotted"/>
        </w:rPr>
        <w:t xml:space="preserve">                                                                                 </w:t>
      </w:r>
    </w:p>
    <w:p w14:paraId="14156E33">
      <w:pPr>
        <w:pStyle w:val="24"/>
        <w:adjustRightInd w:val="0"/>
        <w:snapToGrid w:val="0"/>
        <w:spacing w:line="300" w:lineRule="auto"/>
        <w:ind w:firstLine="964" w:firstLineChars="400"/>
        <w:rPr>
          <w:rFonts w:hAnsi="宋体" w:eastAsia="宋体" w:cs="宋体"/>
          <w:b/>
          <w:bCs/>
          <w:color w:val="auto"/>
          <w:sz w:val="24"/>
          <w:szCs w:val="24"/>
          <w:highlight w:val="none"/>
        </w:rPr>
      </w:pPr>
      <w:r>
        <w:rPr>
          <w:rFonts w:hint="eastAsia" w:hAnsi="宋体" w:eastAsia="宋体" w:cs="宋体"/>
          <w:b/>
          <w:bCs/>
          <w:color w:val="auto"/>
          <w:sz w:val="24"/>
          <w:szCs w:val="24"/>
          <w:highlight w:val="none"/>
        </w:rPr>
        <w:t>下列各种确定合同价款的方式，双方可在专用条款内约定采用其中一</w:t>
      </w:r>
    </w:p>
    <w:p w14:paraId="5BD2847E">
      <w:pPr>
        <w:pStyle w:val="24"/>
        <w:adjustRightInd w:val="0"/>
        <w:snapToGrid w:val="0"/>
        <w:spacing w:line="300" w:lineRule="auto"/>
        <w:ind w:firstLine="964" w:firstLineChars="400"/>
        <w:rPr>
          <w:rFonts w:hAnsi="宋体" w:eastAsia="宋体" w:cs="宋体"/>
          <w:b/>
          <w:bCs/>
          <w:color w:val="auto"/>
          <w:sz w:val="24"/>
          <w:szCs w:val="24"/>
          <w:highlight w:val="none"/>
        </w:rPr>
      </w:pPr>
      <w:r>
        <w:rPr>
          <w:rFonts w:hint="eastAsia" w:hAnsi="宋体" w:eastAsia="宋体" w:cs="宋体"/>
          <w:b/>
          <w:bCs/>
          <w:color w:val="auto"/>
          <w:sz w:val="24"/>
          <w:szCs w:val="24"/>
          <w:highlight w:val="none"/>
        </w:rPr>
        <w:t>种：</w:t>
      </w:r>
    </w:p>
    <w:p w14:paraId="6774AA2F">
      <w:pPr>
        <w:pStyle w:val="24"/>
        <w:adjustRightInd w:val="0"/>
        <w:snapToGrid w:val="0"/>
        <w:spacing w:line="300" w:lineRule="auto"/>
        <w:ind w:left="1535" w:hanging="1535" w:hangingChars="637"/>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            </w:t>
      </w:r>
      <w:r>
        <w:rPr>
          <w:rFonts w:hint="eastAsia" w:hAnsi="宋体" w:eastAsia="宋体" w:cs="宋体"/>
          <w:color w:val="auto"/>
          <w:sz w:val="24"/>
          <w:szCs w:val="24"/>
          <w:highlight w:val="none"/>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14:paraId="52BD8450">
      <w:pPr>
        <w:pStyle w:val="24"/>
        <w:adjustRightInd w:val="0"/>
        <w:snapToGrid w:val="0"/>
        <w:spacing w:line="300" w:lineRule="auto"/>
        <w:ind w:left="1401" w:leftChars="667"/>
        <w:rPr>
          <w:rFonts w:hAnsi="宋体" w:eastAsia="宋体" w:cs="宋体"/>
          <w:color w:val="auto"/>
          <w:sz w:val="24"/>
          <w:szCs w:val="24"/>
          <w:highlight w:val="none"/>
        </w:rPr>
      </w:pPr>
      <w:r>
        <w:rPr>
          <w:rFonts w:hint="eastAsia" w:hAnsi="宋体" w:eastAsia="宋体" w:cs="宋体"/>
          <w:color w:val="auto"/>
          <w:sz w:val="24"/>
          <w:szCs w:val="24"/>
          <w:highlight w:val="none"/>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14:paraId="66677125">
      <w:pPr>
        <w:spacing w:line="300" w:lineRule="auto"/>
        <w:ind w:left="1535" w:leftChars="674" w:hanging="120" w:hangingChars="50"/>
        <w:rPr>
          <w:rFonts w:ascii="宋体" w:hAnsi="宋体" w:eastAsia="宋体" w:cs="宋体"/>
          <w:color w:val="auto"/>
          <w:sz w:val="24"/>
          <w:highlight w:val="none"/>
        </w:rPr>
      </w:pPr>
      <w:r>
        <w:rPr>
          <w:rFonts w:hint="eastAsia" w:ascii="宋体" w:hAnsi="宋体" w:eastAsia="宋体" w:cs="宋体"/>
          <w:color w:val="auto"/>
          <w:sz w:val="24"/>
          <w:highlight w:val="none"/>
        </w:rPr>
        <w:t>（3）按实结算合同。承包方根据相关资料编制预算，合同价款是暂定价，双方在专用条款内约定合同价款调整方法。</w:t>
      </w:r>
    </w:p>
    <w:p w14:paraId="3388A32B">
      <w:pPr>
        <w:pStyle w:val="24"/>
        <w:adjustRightInd w:val="0"/>
        <w:snapToGrid w:val="0"/>
        <w:spacing w:line="300" w:lineRule="auto"/>
        <w:ind w:left="1401" w:leftChars="667"/>
        <w:rPr>
          <w:rFonts w:hAnsi="宋体" w:eastAsia="宋体" w:cs="宋体"/>
          <w:color w:val="auto"/>
          <w:sz w:val="24"/>
          <w:szCs w:val="24"/>
          <w:highlight w:val="none"/>
        </w:rPr>
      </w:pPr>
      <w:r>
        <w:rPr>
          <w:rFonts w:hint="eastAsia" w:hAnsi="宋体" w:eastAsia="宋体" w:cs="宋体"/>
          <w:color w:val="auto"/>
          <w:sz w:val="24"/>
          <w:szCs w:val="24"/>
          <w:highlight w:val="none"/>
        </w:rPr>
        <w:t>（4）其它价格形式。合同当事人可在专用条款中约定其他合同价格形式。</w:t>
      </w:r>
    </w:p>
    <w:p w14:paraId="5EAAFB4A">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68.3  </w:t>
      </w:r>
      <w:r>
        <w:rPr>
          <w:rFonts w:hint="eastAsia" w:hAnsi="宋体" w:eastAsia="宋体" w:cs="宋体"/>
          <w:b/>
          <w:bCs/>
          <w:color w:val="auto"/>
          <w:sz w:val="24"/>
          <w:szCs w:val="24"/>
          <w:highlight w:val="none"/>
          <w:u w:val="dotted"/>
        </w:rPr>
        <w:t xml:space="preserve">                                                                                                        </w:t>
      </w:r>
    </w:p>
    <w:p w14:paraId="1DFBA05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315" name="0001f6"/>
                <wp:cNvGraphicFramePr/>
                <a:graphic xmlns:a="http://schemas.openxmlformats.org/drawingml/2006/main">
                  <a:graphicData uri="http://schemas.microsoft.com/office/word/2010/wordprocessingShape">
                    <wps:wsp>
                      <wps:cNvSpPr/>
                      <wps:spPr>
                        <a:xfrm>
                          <a:off x="0" y="0"/>
                          <a:ext cx="914400" cy="521334"/>
                        </a:xfrm>
                        <a:prstGeom prst="rect">
                          <a:avLst/>
                        </a:prstGeom>
                        <a:ln>
                          <a:noFill/>
                        </a:ln>
                      </wps:spPr>
                      <wps:txbx>
                        <w:txbxContent>
                          <w:p w14:paraId="27E2A437">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14:paraId="6DEB6CDC">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wps:txbx>
                      <wps:bodyPr wrap="square"/>
                    </wps:wsp>
                  </a:graphicData>
                </a:graphic>
              </wp:anchor>
            </w:drawing>
          </mc:Choice>
          <mc:Fallback>
            <w:pict>
              <v:rect id="0001f6" o:spid="_x0000_s1026" o:spt="1" style="position:absolute;left:0pt;margin-left:-9pt;margin-top:0.4pt;height:41.05pt;width:72pt;z-index:251659264;mso-width-relative:page;mso-height-relative:page;" filled="f" stroked="f" coordsize="21600,21600" o:gfxdata="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&#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K8JzB/WAAAABwEAAA8AAAAAAAAAAQAgAAAAIgAAAGRy&#10;cy9kb3ducmV2LnhtbFBLAQIUABQAAAAIAIdO4kDMLyWYlQEAADgDAAAOAAAAAAAAAAEAIAAAACUB&#10;AABkcnMvZTJvRG9jLnhtbFBLBQYAAAAABgAGAFkBAAAsBQAAAAA=&#10;">
                <v:fill on="f" focussize="0,0"/>
                <v:stroke on="f"/>
                <v:imagedata o:title=""/>
                <o:lock v:ext="edit" aspectratio="f"/>
                <v:textbox>
                  <w:txbxContent>
                    <w:p w14:paraId="27E2A437">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14:paraId="6DEB6CDC">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v:textbox>
              </v:rect>
            </w:pict>
          </mc:Fallback>
        </mc:AlternateContent>
      </w:r>
      <w:r>
        <w:rPr>
          <w:rFonts w:hint="eastAsia" w:hAnsi="宋体" w:eastAsia="宋体" w:cs="宋体"/>
          <w:b/>
          <w:bCs/>
          <w:color w:val="auto"/>
          <w:sz w:val="24"/>
          <w:szCs w:val="24"/>
          <w:highlight w:val="none"/>
        </w:rPr>
        <w:t>合同双方当事人应明确合同价款的调整事件。除专用条款另有约定外，调整事件应包括：</w:t>
      </w:r>
    </w:p>
    <w:p w14:paraId="04C8069A">
      <w:pPr>
        <w:pStyle w:val="24"/>
        <w:numPr>
          <w:ilvl w:val="0"/>
          <w:numId w:val="23"/>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后继法律变化事件；</w:t>
      </w:r>
    </w:p>
    <w:p w14:paraId="75303B88">
      <w:pPr>
        <w:pStyle w:val="24"/>
        <w:numPr>
          <w:ilvl w:val="0"/>
          <w:numId w:val="23"/>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项目特征描述不符事件；</w:t>
      </w:r>
    </w:p>
    <w:p w14:paraId="14F3593A">
      <w:pPr>
        <w:pStyle w:val="24"/>
        <w:numPr>
          <w:ilvl w:val="0"/>
          <w:numId w:val="23"/>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分部分项工程量清单缺项漏项事件；</w:t>
      </w:r>
    </w:p>
    <w:p w14:paraId="39FCFF2D">
      <w:pPr>
        <w:pStyle w:val="24"/>
        <w:numPr>
          <w:ilvl w:val="0"/>
          <w:numId w:val="23"/>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工程变更事件；</w:t>
      </w:r>
    </w:p>
    <w:p w14:paraId="4099CD69">
      <w:pPr>
        <w:pStyle w:val="24"/>
        <w:numPr>
          <w:ilvl w:val="0"/>
          <w:numId w:val="23"/>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工程量偏差事件；</w:t>
      </w:r>
    </w:p>
    <w:p w14:paraId="54445136">
      <w:pPr>
        <w:pStyle w:val="24"/>
        <w:numPr>
          <w:ilvl w:val="0"/>
          <w:numId w:val="23"/>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费用索赔事件；</w:t>
      </w:r>
    </w:p>
    <w:p w14:paraId="5478F28F">
      <w:pPr>
        <w:pStyle w:val="24"/>
        <w:numPr>
          <w:ilvl w:val="0"/>
          <w:numId w:val="23"/>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现场签证事件；</w:t>
      </w:r>
    </w:p>
    <w:p w14:paraId="5D456447">
      <w:pPr>
        <w:pStyle w:val="24"/>
        <w:numPr>
          <w:ilvl w:val="0"/>
          <w:numId w:val="23"/>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物价涨落事件；</w:t>
      </w:r>
    </w:p>
    <w:p w14:paraId="74507446">
      <w:pPr>
        <w:pStyle w:val="24"/>
        <w:numPr>
          <w:ilvl w:val="0"/>
          <w:numId w:val="23"/>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专用条款约定的其他事件。</w:t>
      </w:r>
    </w:p>
    <w:p w14:paraId="2ADC706D">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本款(1)至(9)调整事件应分别按照第69条至第76条的规定调整合同价款。</w:t>
      </w:r>
    </w:p>
    <w:p w14:paraId="1FEAA2BB">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68.4  </w:t>
      </w:r>
      <w:r>
        <w:rPr>
          <w:rFonts w:hint="eastAsia" w:hAnsi="宋体" w:eastAsia="宋体" w:cs="宋体"/>
          <w:b/>
          <w:bCs/>
          <w:color w:val="auto"/>
          <w:sz w:val="24"/>
          <w:szCs w:val="24"/>
          <w:highlight w:val="none"/>
          <w:u w:val="dotted"/>
        </w:rPr>
        <w:t xml:space="preserve">                                                                                                        </w:t>
      </w:r>
    </w:p>
    <w:p w14:paraId="4077278F">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316" name="0001f7"/>
                <wp:cNvGraphicFramePr/>
                <a:graphic xmlns:a="http://schemas.openxmlformats.org/drawingml/2006/main">
                  <a:graphicData uri="http://schemas.microsoft.com/office/word/2010/wordprocessingShape">
                    <wps:wsp>
                      <wps:cNvSpPr/>
                      <wps:spPr>
                        <a:xfrm>
                          <a:off x="0" y="0"/>
                          <a:ext cx="914400" cy="521334"/>
                        </a:xfrm>
                        <a:prstGeom prst="rect">
                          <a:avLst/>
                        </a:prstGeom>
                        <a:ln>
                          <a:noFill/>
                        </a:ln>
                      </wps:spPr>
                      <wps:txbx>
                        <w:txbxContent>
                          <w:p w14:paraId="5BD988BB">
                            <w:pPr>
                              <w:pStyle w:val="18"/>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14:paraId="5F86F081">
                            <w:pPr>
                              <w:pStyle w:val="18"/>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wps:txbx>
                      <wps:bodyPr wrap="square"/>
                    </wps:wsp>
                  </a:graphicData>
                </a:graphic>
              </wp:anchor>
            </w:drawing>
          </mc:Choice>
          <mc:Fallback>
            <w:pict>
              <v:rect id="0001f7" o:spid="_x0000_s1026" o:spt="1" style="position:absolute;left:0pt;margin-left:-9pt;margin-top:0.4pt;height:41.05pt;width:72pt;z-index:251659264;mso-width-relative:page;mso-height-relative:page;" filled="f" stroked="f" coordsize="21600,21600" o:gfxdata="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&#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vCcwf1gAAAAcBAAAPAAAAAAAAAAEAIAAAACIAAABk&#10;cnMvZG93bnJldi54bWxQSwECFAAUAAAACACHTuJA4wMS0pYBAAA4AwAADgAAAAAAAAABACAAAAAl&#10;AQAAZHJzL2Uyb0RvYy54bWxQSwUGAAAAAAYABgBZAQAALQUAAAAA&#10;">
                <v:fill on="f" focussize="0,0"/>
                <v:stroke on="f"/>
                <v:imagedata o:title=""/>
                <o:lock v:ext="edit" aspectratio="f"/>
                <v:textbox>
                  <w:txbxContent>
                    <w:p w14:paraId="5BD988BB">
                      <w:pPr>
                        <w:pStyle w:val="18"/>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14:paraId="5F86F081">
                      <w:pPr>
                        <w:pStyle w:val="18"/>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v:textbox>
              </v:rect>
            </w:pict>
          </mc:Fallback>
        </mc:AlternateContent>
      </w:r>
      <w:r>
        <w:rPr>
          <w:rFonts w:hint="eastAsia" w:hAnsi="宋体" w:eastAsia="宋体" w:cs="宋体"/>
          <w:color w:val="auto"/>
          <w:sz w:val="24"/>
          <w:szCs w:val="24"/>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14:paraId="09AA41E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根据第68.2款规定事件调整合同价款，如果是按照第48条规定由发包人自行供应或发包人招标、承包人采购材料和工程设备的，均不应考虑第72.2款规定的承包人报价下浮率因素。</w:t>
      </w:r>
    </w:p>
    <w:p w14:paraId="340E269E">
      <w:pPr>
        <w:pStyle w:val="24"/>
        <w:tabs>
          <w:tab w:val="left" w:pos="3480"/>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1515529C">
      <w:pPr>
        <w:pStyle w:val="4"/>
        <w:tabs>
          <w:tab w:val="left" w:pos="420"/>
        </w:tabs>
        <w:spacing w:line="300" w:lineRule="auto"/>
        <w:rPr>
          <w:rFonts w:ascii="宋体" w:hAnsi="宋体" w:eastAsia="宋体" w:cs="宋体"/>
          <w:color w:val="auto"/>
          <w:sz w:val="24"/>
          <w:szCs w:val="24"/>
          <w:highlight w:val="none"/>
        </w:rPr>
      </w:pPr>
      <w:bookmarkStart w:id="170" w:name="_Toc46860874"/>
      <w:bookmarkStart w:id="171" w:name="_Toc469384053"/>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69  后继法律变化事件</w:t>
      </w:r>
      <w:bookmarkEnd w:id="170"/>
      <w:bookmarkEnd w:id="171"/>
    </w:p>
    <w:p w14:paraId="0EABA1C3">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317" name="0001f8"/>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14CE4A1E">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14:paraId="207AA97B">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wps:txbx>
                      <wps:bodyPr wrap="square"/>
                    </wps:wsp>
                  </a:graphicData>
                </a:graphic>
              </wp:anchor>
            </w:drawing>
          </mc:Choice>
          <mc:Fallback>
            <w:pict>
              <v:rect id="0001f8" o:spid="_x0000_s1026" o:spt="1" style="position:absolute;left:0pt;margin-left:-10.5pt;margin-top:21.55pt;height:48.75pt;width:72pt;z-index:251659264;mso-width-relative:page;mso-height-relative:page;" filled="f" stroked="f" coordsize="21600,21600" o:gfxdata="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XRP/LdoAAAAKAQAADwAAAAAAAAABACAAAAAi&#10;AAAAZHJzL2Rvd25yZXYueG1sUEsBAhQAFAAAAAgAh07iQBnUAOWWAQAAOAMAAA4AAAAAAAAAAQAg&#10;AAAAKQEAAGRycy9lMm9Eb2MueG1sUEsFBgAAAAAGAAYAWQEAADEFAAAAAA==&#10;">
                <v:fill on="f" focussize="0,0"/>
                <v:stroke on="f"/>
                <v:imagedata o:title=""/>
                <o:lock v:ext="edit" aspectratio="f"/>
                <v:textbox>
                  <w:txbxContent>
                    <w:p w14:paraId="14CE4A1E">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14:paraId="207AA97B">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v:textbox>
              </v:rect>
            </w:pict>
          </mc:Fallback>
        </mc:AlternateContent>
      </w:r>
      <w:r>
        <w:rPr>
          <w:rFonts w:hint="eastAsia" w:hAnsi="宋体" w:eastAsia="宋体" w:cs="宋体"/>
          <w:b/>
          <w:bCs/>
          <w:color w:val="auto"/>
          <w:sz w:val="24"/>
          <w:szCs w:val="24"/>
          <w:highlight w:val="none"/>
        </w:rPr>
        <w:t xml:space="preserve">69.1 </w:t>
      </w:r>
    </w:p>
    <w:p w14:paraId="53713F89">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合同履行期间，出现国家或省颁布的法律和政策在合同工程基准日期后发生变化，且因执行上述法律和政策引起除第76条规定以外的工程造价增减事件的，合同双方当事人应调整合同价款。</w:t>
      </w:r>
    </w:p>
    <w:p w14:paraId="535113A0">
      <w:pPr>
        <w:pStyle w:val="24"/>
        <w:tabs>
          <w:tab w:val="left" w:pos="54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69.2  </w:t>
      </w:r>
      <w:r>
        <w:rPr>
          <w:rFonts w:hint="eastAsia" w:hAnsi="宋体" w:eastAsia="宋体" w:cs="宋体"/>
          <w:b/>
          <w:bCs/>
          <w:color w:val="auto"/>
          <w:sz w:val="24"/>
          <w:szCs w:val="24"/>
          <w:highlight w:val="none"/>
          <w:u w:val="dotted"/>
        </w:rPr>
        <w:t xml:space="preserve">                                                                                                        </w:t>
      </w:r>
    </w:p>
    <w:p w14:paraId="5E0FEC1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318" name="0001f9"/>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78EB56AC">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14:paraId="71A5E5A2">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wps:txbx>
                      <wps:bodyPr wrap="square"/>
                    </wps:wsp>
                  </a:graphicData>
                </a:graphic>
              </wp:anchor>
            </w:drawing>
          </mc:Choice>
          <mc:Fallback>
            <w:pict>
              <v:rect id="0001f9" o:spid="_x0000_s1026" o:spt="1" style="position:absolute;left:0pt;margin-left:-9pt;margin-top:1.25pt;height:48.75pt;width:72pt;z-index:251659264;mso-width-relative:page;mso-height-relative:page;" filled="f" stroked="f" coordsize="21600,21600" o:gfxdata="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fSXnltgAAAAJAQAADwAAAAAAAAABACAAAAAiAAAA&#10;ZHJzL2Rvd25yZXYueG1sUEsBAhQAFAAAAAgAh07iQH7dCmyVAQAAOAMAAA4AAAAAAAAAAQAgAAAA&#10;JwEAAGRycy9lMm9Eb2MueG1sUEsFBgAAAAAGAAYAWQEAAC4FAAAAAA==&#10;">
                <v:fill on="f" focussize="0,0"/>
                <v:stroke on="f"/>
                <v:imagedata o:title=""/>
                <o:lock v:ext="edit" aspectratio="f"/>
                <v:textbox>
                  <w:txbxContent>
                    <w:p w14:paraId="78EB56AC">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14:paraId="71A5E5A2">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v:textbox>
              </v:rect>
            </w:pict>
          </mc:Fallback>
        </mc:AlternateContent>
      </w:r>
      <w:r>
        <w:rPr>
          <w:rFonts w:hint="eastAsia" w:hAnsi="宋体" w:eastAsia="宋体" w:cs="宋体"/>
          <w:color w:val="auto"/>
          <w:sz w:val="24"/>
          <w:szCs w:val="24"/>
          <w:highlight w:val="none"/>
        </w:rPr>
        <w:t>发生第69.1款情况的，应根据合同工程实际情况，按照上述法律和政策规定计算调整的合同价款。</w:t>
      </w:r>
    </w:p>
    <w:p w14:paraId="47357DFE">
      <w:pPr>
        <w:tabs>
          <w:tab w:val="left" w:pos="1620"/>
        </w:tabs>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50EEE237">
      <w:pPr>
        <w:pStyle w:val="4"/>
        <w:tabs>
          <w:tab w:val="left" w:pos="420"/>
        </w:tabs>
        <w:spacing w:line="300" w:lineRule="auto"/>
        <w:rPr>
          <w:rFonts w:ascii="宋体" w:hAnsi="宋体" w:eastAsia="宋体" w:cs="宋体"/>
          <w:b w:val="0"/>
          <w:bCs w:val="0"/>
          <w:color w:val="auto"/>
          <w:sz w:val="24"/>
          <w:szCs w:val="24"/>
          <w:highlight w:val="none"/>
        </w:rPr>
      </w:pPr>
      <w:bookmarkStart w:id="172" w:name="_Toc46860875"/>
      <w:bookmarkStart w:id="173" w:name="_Toc469384054"/>
      <w:r>
        <w:rPr>
          <w:rFonts w:hint="eastAsia" w:ascii="宋体" w:hAnsi="宋体" w:eastAsia="宋体" w:cs="宋体"/>
          <w:b w:val="0"/>
          <w:bCs w:val="0"/>
          <w:color w:val="auto"/>
          <w:sz w:val="24"/>
          <w:szCs w:val="24"/>
          <w:highlight w:val="none"/>
        </w:rPr>
        <w:t>★</w:t>
      </w:r>
      <w:r>
        <w:rPr>
          <w:rFonts w:hint="eastAsia" w:ascii="宋体" w:hAnsi="宋体" w:eastAsia="宋体" w:cs="宋体"/>
          <w:bCs w:val="0"/>
          <w:color w:val="auto"/>
          <w:sz w:val="24"/>
          <w:szCs w:val="24"/>
          <w:highlight w:val="none"/>
        </w:rPr>
        <w:t>70  项目特征描述不符事件</w:t>
      </w:r>
      <w:bookmarkEnd w:id="172"/>
      <w:bookmarkEnd w:id="173"/>
    </w:p>
    <w:p w14:paraId="3963EBDA">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70.1 </w:t>
      </w:r>
    </w:p>
    <w:p w14:paraId="16B6536F">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319" name="0001fa"/>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003971C7">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14:paraId="0750341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wps:txbx>
                      <wps:bodyPr wrap="square"/>
                    </wps:wsp>
                  </a:graphicData>
                </a:graphic>
              </wp:anchor>
            </w:drawing>
          </mc:Choice>
          <mc:Fallback>
            <w:pict>
              <v:rect id="0001fa" o:spid="_x0000_s1026" o:spt="1" style="position:absolute;left:0pt;margin-left:-9pt;margin-top:2.7pt;height:48.75pt;width:72pt;z-index:251659264;mso-width-relative:page;mso-height-relative:page;" filled="f" stroked="f" coordsize="21600,21600" o:gfxdata="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8kwhTZAAAACQEAAA8AAAAAAAAAAQAgAAAAIgAA&#10;AGRycy9kb3ducmV2LnhtbFBLAQIUABQAAAAIAIdO4kDcu8dglQEAADgDAAAOAAAAAAAAAAEAIAAA&#10;ACgBAABkcnMvZTJvRG9jLnhtbFBLBQYAAAAABgAGAFkBAAAvBQAAAAA=&#10;">
                <v:fill on="f" focussize="0,0"/>
                <v:stroke on="f"/>
                <v:imagedata o:title=""/>
                <o:lock v:ext="edit" aspectratio="f"/>
                <v:textbox>
                  <w:txbxContent>
                    <w:p w14:paraId="003971C7">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14:paraId="0750341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v:textbox>
              </v:rect>
            </w:pict>
          </mc:Fallback>
        </mc:AlternateContent>
      </w:r>
      <w:r>
        <w:rPr>
          <w:rFonts w:hint="eastAsia" w:hAnsi="宋体" w:eastAsia="宋体" w:cs="宋体"/>
          <w:color w:val="auto"/>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07A44117">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70.2  </w:t>
      </w:r>
      <w:r>
        <w:rPr>
          <w:rFonts w:hint="eastAsia" w:hAnsi="宋体" w:eastAsia="宋体" w:cs="宋体"/>
          <w:b/>
          <w:bCs/>
          <w:color w:val="auto"/>
          <w:sz w:val="24"/>
          <w:szCs w:val="24"/>
          <w:highlight w:val="none"/>
          <w:u w:val="dotted"/>
        </w:rPr>
        <w:t xml:space="preserve">                                                                               </w:t>
      </w:r>
    </w:p>
    <w:p w14:paraId="70B251F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320" name="0001fb"/>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795FD37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4A45CDB9">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14:paraId="7F08103F">
                            <w:pPr>
                              <w:pStyle w:val="39"/>
                              <w:spacing w:line="200" w:lineRule="exact"/>
                              <w:rPr>
                                <w:sz w:val="18"/>
                                <w:szCs w:val="18"/>
                              </w:rPr>
                            </w:pPr>
                          </w:p>
                        </w:txbxContent>
                      </wps:txbx>
                      <wps:bodyPr wrap="square"/>
                    </wps:wsp>
                  </a:graphicData>
                </a:graphic>
              </wp:anchor>
            </w:drawing>
          </mc:Choice>
          <mc:Fallback>
            <w:pict>
              <v:rect id="0001fb" o:spid="_x0000_s1026" o:spt="1" style="position:absolute;left:0pt;margin-left:-9pt;margin-top:0.45pt;height:48.75pt;width:72pt;z-index:251659264;mso-width-relative:page;mso-height-relative:page;" filled="f" stroked="f" coordsize="21600,21600" o:gfxdata="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pW5YddYAAAAHAQAADwAAAAAAAAABACAAAAAiAAAAZHJz&#10;L2Rvd25yZXYueG1sUEsBAhQAFAAAAAgAh07iQHQV9viUAQAAOAMAAA4AAAAAAAAAAQAgAAAAJQEA&#10;AGRycy9lMm9Eb2MueG1sUEsFBgAAAAAGAAYAWQEAACsFAAAAAA==&#10;">
                <v:fill on="f" focussize="0,0"/>
                <v:stroke on="f"/>
                <v:imagedata o:title=""/>
                <o:lock v:ext="edit" aspectratio="f"/>
                <v:textbox>
                  <w:txbxContent>
                    <w:p w14:paraId="795FD37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4A45CDB9">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14:paraId="7F08103F">
                      <w:pPr>
                        <w:pStyle w:val="39"/>
                        <w:spacing w:line="200" w:lineRule="exact"/>
                        <w:rPr>
                          <w:sz w:val="18"/>
                          <w:szCs w:val="18"/>
                        </w:rPr>
                      </w:pPr>
                    </w:p>
                  </w:txbxContent>
                </v:textbox>
              </v:rect>
            </w:pict>
          </mc:Fallback>
        </mc:AlternateContent>
      </w:r>
      <w:r>
        <w:rPr>
          <w:rFonts w:hint="eastAsia" w:hAnsi="宋体" w:eastAsia="宋体" w:cs="宋体"/>
          <w:color w:val="auto"/>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14:paraId="247D6D1A">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70.3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70A8E4F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321" name="0001fc"/>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5383050A">
                            <w:pPr>
                              <w:pStyle w:val="18"/>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62373D8C">
                            <w:pPr>
                              <w:pStyle w:val="18"/>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14:paraId="4B457FF4">
                            <w:pPr>
                              <w:pStyle w:val="39"/>
                              <w:spacing w:line="200" w:lineRule="exact"/>
                              <w:rPr>
                                <w:sz w:val="18"/>
                                <w:szCs w:val="18"/>
                              </w:rPr>
                            </w:pPr>
                          </w:p>
                        </w:txbxContent>
                      </wps:txbx>
                      <wps:bodyPr wrap="square"/>
                    </wps:wsp>
                  </a:graphicData>
                </a:graphic>
              </wp:anchor>
            </w:drawing>
          </mc:Choice>
          <mc:Fallback>
            <w:pict>
              <v:rect id="0001fc" o:spid="_x0000_s1026" o:spt="1" style="position:absolute;left:0pt;margin-left:-9pt;margin-top:0.45pt;height:48.75pt;width:72pt;z-index:251659264;mso-width-relative:page;mso-height-relative:page;" filled="f" stroked="f" coordsize="21600,21600" o:gfxdata="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KVuWHXWAAAABwEAAA8AAAAAAAAAAQAgAAAAIgAAAGRy&#10;cy9kb3ducmV2LnhtbFBLAQIUABQAAAAIAIdO4kDHSEuSlQEAADgDAAAOAAAAAAAAAAEAIAAAACUB&#10;AABkcnMvZTJvRG9jLnhtbFBLBQYAAAAABgAGAFkBAAAsBQAAAAA=&#10;">
                <v:fill on="f" focussize="0,0"/>
                <v:stroke on="f"/>
                <v:imagedata o:title=""/>
                <o:lock v:ext="edit" aspectratio="f"/>
                <v:textbox>
                  <w:txbxContent>
                    <w:p w14:paraId="5383050A">
                      <w:pPr>
                        <w:pStyle w:val="18"/>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62373D8C">
                      <w:pPr>
                        <w:pStyle w:val="18"/>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14:paraId="4B457FF4">
                      <w:pPr>
                        <w:pStyle w:val="39"/>
                        <w:spacing w:line="200" w:lineRule="exact"/>
                        <w:rPr>
                          <w:sz w:val="18"/>
                          <w:szCs w:val="18"/>
                        </w:rPr>
                      </w:pPr>
                    </w:p>
                  </w:txbxContent>
                </v:textbox>
              </v:rect>
            </w:pict>
          </mc:Fallback>
        </mc:AlternateContent>
      </w:r>
      <w:r>
        <w:rPr>
          <w:rFonts w:hint="eastAsia" w:hAnsi="宋体" w:eastAsia="宋体" w:cs="宋体"/>
          <w:color w:val="auto"/>
          <w:sz w:val="24"/>
          <w:szCs w:val="24"/>
          <w:highlight w:val="none"/>
        </w:rPr>
        <w:t>发生第70.2款情况的，应按照实际施工的项目特征重新确定相应工程量清单项目的综合单价，计算调整的合同价款。</w:t>
      </w:r>
    </w:p>
    <w:p w14:paraId="11A77F3E">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53998CB2">
      <w:pPr>
        <w:pStyle w:val="24"/>
        <w:adjustRightInd w:val="0"/>
        <w:snapToGrid w:val="0"/>
        <w:spacing w:line="300" w:lineRule="auto"/>
        <w:outlineLvl w:val="2"/>
        <w:rPr>
          <w:rFonts w:hAnsi="宋体" w:eastAsia="宋体" w:cs="宋体"/>
          <w:color w:val="auto"/>
          <w:sz w:val="24"/>
          <w:szCs w:val="24"/>
          <w:highlight w:val="none"/>
        </w:rPr>
      </w:pPr>
      <w:bookmarkStart w:id="174" w:name="_Toc46860876"/>
      <w:bookmarkStart w:id="175" w:name="_Toc469384055"/>
      <w:r>
        <w:rPr>
          <w:rFonts w:hint="eastAsia" w:hAnsi="宋体" w:eastAsia="宋体" w:cs="宋体"/>
          <w:b/>
          <w:bCs/>
          <w:color w:val="auto"/>
          <w:sz w:val="24"/>
          <w:szCs w:val="24"/>
          <w:highlight w:val="none"/>
        </w:rPr>
        <w:t>★71  分部分项工程量清单缺项漏项事件</w:t>
      </w:r>
      <w:bookmarkEnd w:id="174"/>
      <w:bookmarkEnd w:id="175"/>
    </w:p>
    <w:p w14:paraId="6C26AEA8">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71.1  </w:t>
      </w:r>
    </w:p>
    <w:p w14:paraId="29E8F854">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322" name="0001fd"/>
                <wp:cNvGraphicFramePr/>
                <a:graphic xmlns:a="http://schemas.openxmlformats.org/drawingml/2006/main">
                  <a:graphicData uri="http://schemas.microsoft.com/office/word/2010/wordprocessingShape">
                    <wps:wsp>
                      <wps:cNvSpPr/>
                      <wps:spPr>
                        <a:xfrm>
                          <a:off x="0" y="0"/>
                          <a:ext cx="914400" cy="692150"/>
                        </a:xfrm>
                        <a:prstGeom prst="rect">
                          <a:avLst/>
                        </a:prstGeom>
                        <a:ln>
                          <a:noFill/>
                        </a:ln>
                      </wps:spPr>
                      <wps:txbx>
                        <w:txbxContent>
                          <w:p w14:paraId="75853483">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wps:wsp>
                  </a:graphicData>
                </a:graphic>
              </wp:anchor>
            </w:drawing>
          </mc:Choice>
          <mc:Fallback>
            <w:pict>
              <v:rect id="0001fd" o:spid="_x0000_s1026" o:spt="1" style="position:absolute;left:0pt;margin-left:-10.5pt;margin-top:0.5pt;height:54.5pt;width:72pt;z-index:251659264;mso-width-relative:page;mso-height-relative:page;" filled="f" stroked="f" coordsize="21600,21600" o:gfxdata="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PiTWh1wAAAAkBAAAPAAAAAAAAAAEAIAAAACIAAABk&#10;cnMvZG93bnJldi54bWxQSwECFAAUAAAACACHTuJAyDqLwJUBAAA4AwAADgAAAAAAAAABACAAAAAm&#10;AQAAZHJzL2Uyb0RvYy54bWxQSwUGAAAAAAYABgBZAQAALQUAAAAA&#10;">
                <v:fill on="f" focussize="0,0"/>
                <v:stroke on="f"/>
                <v:imagedata o:title=""/>
                <o:lock v:ext="edit" aspectratio="f"/>
                <v:textbox>
                  <w:txbxContent>
                    <w:p w14:paraId="75853483">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rect>
            </w:pict>
          </mc:Fallback>
        </mc:AlternateContent>
      </w: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323" name="0001fe"/>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6048EB67">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wps:txbx>
                      <wps:bodyPr wrap="square"/>
                    </wps:wsp>
                  </a:graphicData>
                </a:graphic>
              </wp:anchor>
            </w:drawing>
          </mc:Choice>
          <mc:Fallback>
            <w:pict>
              <v:rect id="0001fe" o:spid="_x0000_s1026" o:spt="1" style="position:absolute;left:0pt;margin-left:-10.5pt;margin-top:0.5pt;height:54.6pt;width:72pt;z-index:251659264;mso-width-relative:page;mso-height-relative:page;" filled="f" stroked="f" coordsize="21600,21600" o:gfxdata="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&#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H6PgdXXAAAACQEAAA8AAAAAAAAAAQAgAAAAIgAAAGRy&#10;cy9kb3ducmV2LnhtbFBLAQIUABQAAAAIAIdO4kA5J3ielAEAADgDAAAOAAAAAAAAAAEAIAAAACYB&#10;AABkcnMvZTJvRG9jLnhtbFBLBQYAAAAABgAGAFkBAAAsBQAAAAA=&#10;">
                <v:fill on="f" focussize="0,0"/>
                <v:stroke on="f"/>
                <v:imagedata o:title=""/>
                <o:lock v:ext="edit" aspectratio="f"/>
                <v:textbox>
                  <w:txbxContent>
                    <w:p w14:paraId="6048EB67">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v:textbox>
              </v:rect>
            </w:pict>
          </mc:Fallback>
        </mc:AlternateContent>
      </w:r>
      <w:r>
        <w:rPr>
          <w:rFonts w:hint="eastAsia" w:hAnsi="宋体" w:eastAsia="宋体" w:cs="宋体"/>
          <w:color w:val="auto"/>
          <w:sz w:val="24"/>
          <w:szCs w:val="24"/>
          <w:highlight w:val="none"/>
        </w:rPr>
        <w:t>合同履行期间，出现工程量清单中分部分项工程缺项漏项事件的，合同双方当事人应调整合同价款。</w:t>
      </w:r>
    </w:p>
    <w:p w14:paraId="7A8F4D8A">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71.2   </w:t>
      </w:r>
      <w:r>
        <w:rPr>
          <w:rFonts w:hint="eastAsia" w:hAnsi="宋体" w:eastAsia="宋体" w:cs="宋体"/>
          <w:b/>
          <w:bCs/>
          <w:color w:val="auto"/>
          <w:sz w:val="24"/>
          <w:szCs w:val="24"/>
          <w:highlight w:val="none"/>
          <w:u w:val="dotted"/>
        </w:rPr>
        <w:t xml:space="preserve">                                                                               </w:t>
      </w:r>
    </w:p>
    <w:p w14:paraId="50FA8848">
      <w:pPr>
        <w:pStyle w:val="24"/>
        <w:adjustRightInd w:val="0"/>
        <w:snapToGrid w:val="0"/>
        <w:spacing w:line="300" w:lineRule="auto"/>
        <w:ind w:left="1619" w:leftChars="771" w:firstLine="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324" name="0001ff"/>
                <wp:cNvGraphicFramePr/>
                <a:graphic xmlns:a="http://schemas.openxmlformats.org/drawingml/2006/main">
                  <a:graphicData uri="http://schemas.microsoft.com/office/word/2010/wordprocessingShape">
                    <wps:wsp>
                      <wps:cNvSpPr/>
                      <wps:spPr>
                        <a:xfrm>
                          <a:off x="0" y="0"/>
                          <a:ext cx="914400" cy="692150"/>
                        </a:xfrm>
                        <a:prstGeom prst="rect">
                          <a:avLst/>
                        </a:prstGeom>
                        <a:ln>
                          <a:noFill/>
                        </a:ln>
                      </wps:spPr>
                      <wps:txbx>
                        <w:txbxContent>
                          <w:p w14:paraId="1A4E6E71">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24547654">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14:paraId="022D8ACB">
                            <w:pPr>
                              <w:spacing w:line="240" w:lineRule="exact"/>
                              <w:rPr>
                                <w:sz w:val="18"/>
                                <w:szCs w:val="18"/>
                              </w:rPr>
                            </w:pPr>
                          </w:p>
                        </w:txbxContent>
                      </wps:txbx>
                      <wps:bodyPr wrap="square"/>
                    </wps:wsp>
                  </a:graphicData>
                </a:graphic>
              </wp:anchor>
            </w:drawing>
          </mc:Choice>
          <mc:Fallback>
            <w:pict>
              <v:rect id="0001ff" o:spid="_x0000_s1026" o:spt="1" style="position:absolute;left:0pt;margin-left:-5.25pt;margin-top:0.7pt;height:54.5pt;width:72pt;z-index:251659264;mso-width-relative:page;mso-height-relative:page;" filled="f" stroked="f" coordsize="21600,21600" o:gfxdata="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BlSLzYAAAACQEAAA8AAAAAAAAAAQAgAAAAIgAA&#10;AGRycy9kb3ducmV2LnhtbFBLAQIUABQAAAAIAIdO4kCWYuVUlgEAADgDAAAOAAAAAAAAAAEAIAAA&#10;ACcBAABkcnMvZTJvRG9jLnhtbFBLBQYAAAAABgAGAFkBAAAvBQAAAAA=&#10;">
                <v:fill on="f" focussize="0,0"/>
                <v:stroke on="f"/>
                <v:imagedata o:title=""/>
                <o:lock v:ext="edit" aspectratio="f"/>
                <v:textbox>
                  <w:txbxContent>
                    <w:p w14:paraId="1A4E6E71">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24547654">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14:paraId="022D8ACB">
                      <w:pPr>
                        <w:spacing w:line="240" w:lineRule="exact"/>
                        <w:rPr>
                          <w:sz w:val="18"/>
                          <w:szCs w:val="18"/>
                        </w:rPr>
                      </w:pPr>
                    </w:p>
                  </w:txbxContent>
                </v:textbox>
              </v:rect>
            </w:pict>
          </mc:Fallback>
        </mc:AlternateContent>
      </w:r>
      <w:r>
        <w:rPr>
          <w:rFonts w:hint="eastAsia" w:hAnsi="宋体" w:eastAsia="宋体" w:cs="宋体"/>
          <w:color w:val="auto"/>
          <w:sz w:val="24"/>
          <w:szCs w:val="24"/>
          <w:highlight w:val="none"/>
        </w:rPr>
        <w:t>工程量清单中分部分项工程出现缺项漏项，造成新增工程量清单项目的，应按照第72.2款规定计算调整的分部分项工程费。</w:t>
      </w:r>
    </w:p>
    <w:p w14:paraId="46ED1064">
      <w:pPr>
        <w:pStyle w:val="24"/>
        <w:tabs>
          <w:tab w:val="left" w:pos="540"/>
        </w:tabs>
        <w:adjustRightInd w:val="0"/>
        <w:snapToGrid w:val="0"/>
        <w:spacing w:before="240" w:beforeLines="100"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71.3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60B0B8FA">
      <w:pPr>
        <w:pStyle w:val="24"/>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325" name="000200"/>
                <wp:cNvGraphicFramePr/>
                <a:graphic xmlns:a="http://schemas.openxmlformats.org/drawingml/2006/main">
                  <a:graphicData uri="http://schemas.microsoft.com/office/word/2010/wordprocessingShape">
                    <wps:wsp>
                      <wps:cNvSpPr/>
                      <wps:spPr>
                        <a:xfrm>
                          <a:off x="0" y="0"/>
                          <a:ext cx="914400" cy="692150"/>
                        </a:xfrm>
                        <a:prstGeom prst="rect">
                          <a:avLst/>
                        </a:prstGeom>
                        <a:ln>
                          <a:noFill/>
                        </a:ln>
                      </wps:spPr>
                      <wps:txbx>
                        <w:txbxContent>
                          <w:p w14:paraId="4FF9331C">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2E9E675F">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14:paraId="445D1CEA">
                            <w:pPr>
                              <w:spacing w:line="240" w:lineRule="exact"/>
                              <w:rPr>
                                <w:sz w:val="18"/>
                                <w:szCs w:val="18"/>
                              </w:rPr>
                            </w:pPr>
                          </w:p>
                        </w:txbxContent>
                      </wps:txbx>
                      <wps:bodyPr wrap="square"/>
                    </wps:wsp>
                  </a:graphicData>
                </a:graphic>
              </wp:anchor>
            </w:drawing>
          </mc:Choice>
          <mc:Fallback>
            <w:pict>
              <v:rect id="000200" o:spid="_x0000_s1026" o:spt="1" style="position:absolute;left:0pt;margin-left:-10.5pt;margin-top:0.4pt;height:54.5pt;width:72pt;z-index:251659264;mso-width-relative:page;mso-height-relative:page;" filled="f" stroked="f" coordsize="21600,21600" o:gfxdata="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meadttgAAAAIAQAADwAAAAAAAAABACAAAAAiAAAA&#10;ZHJzL2Rvd25yZXYueG1sUEsBAhQAFAAAAAgAh07iQPh1esGVAQAAOAMAAA4AAAAAAAAAAQAgAAAA&#10;JwEAAGRycy9lMm9Eb2MueG1sUEsFBgAAAAAGAAYAWQEAAC4FAAAAAA==&#10;">
                <v:fill on="f" focussize="0,0"/>
                <v:stroke on="f"/>
                <v:imagedata o:title=""/>
                <o:lock v:ext="edit" aspectratio="f"/>
                <v:textbox>
                  <w:txbxContent>
                    <w:p w14:paraId="4FF9331C">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2E9E675F">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14:paraId="445D1CEA">
                      <w:pPr>
                        <w:spacing w:line="240" w:lineRule="exact"/>
                        <w:rPr>
                          <w:sz w:val="18"/>
                          <w:szCs w:val="18"/>
                        </w:rPr>
                      </w:pPr>
                    </w:p>
                  </w:txbxContent>
                </v:textbox>
              </v:rect>
            </w:pict>
          </mc:Fallback>
        </mc:AlternateContent>
      </w:r>
      <w:r>
        <w:rPr>
          <w:rFonts w:hint="eastAsia" w:hAnsi="宋体" w:eastAsia="宋体" w:cs="宋体"/>
          <w:color w:val="auto"/>
          <w:sz w:val="24"/>
          <w:szCs w:val="24"/>
          <w:highlight w:val="none"/>
        </w:rPr>
        <w:t>工程量清单中分部分项工程出现缺项漏项，引起增加措施项目的，应按照第72.3款规定在提交的实施方案被批准后计算调整的措施项目费。</w:t>
      </w:r>
    </w:p>
    <w:p w14:paraId="0F37814A">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3F9C3B1">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76" w:name="_Toc469384056"/>
      <w:bookmarkStart w:id="177" w:name="_Toc46860877"/>
      <w:r>
        <w:rPr>
          <w:rFonts w:hint="eastAsia" w:hAnsi="宋体" w:eastAsia="宋体" w:cs="宋体"/>
          <w:b/>
          <w:bCs/>
          <w:color w:val="auto"/>
          <w:sz w:val="24"/>
          <w:szCs w:val="24"/>
          <w:highlight w:val="none"/>
        </w:rPr>
        <w:t>★72  工程变更事件</w:t>
      </w:r>
      <w:bookmarkEnd w:id="176"/>
      <w:bookmarkEnd w:id="177"/>
    </w:p>
    <w:p w14:paraId="7D75B362">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326" name="000201"/>
                <wp:cNvGraphicFramePr/>
                <a:graphic xmlns:a="http://schemas.openxmlformats.org/drawingml/2006/main">
                  <a:graphicData uri="http://schemas.microsoft.com/office/word/2010/wordprocessingShape">
                    <wps:wsp>
                      <wps:cNvSpPr/>
                      <wps:spPr>
                        <a:xfrm>
                          <a:off x="0" y="0"/>
                          <a:ext cx="1028700" cy="396240"/>
                        </a:xfrm>
                        <a:prstGeom prst="rect">
                          <a:avLst/>
                        </a:prstGeom>
                        <a:ln>
                          <a:noFill/>
                        </a:ln>
                      </wps:spPr>
                      <wps:txbx>
                        <w:txbxContent>
                          <w:p w14:paraId="04507095">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14:paraId="16486998">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14:paraId="1020C13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14:paraId="3B4D95C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rect id="000201" o:spid="_x0000_s1026" o:spt="1" style="position:absolute;left:0pt;margin-left:-9pt;margin-top:14.6pt;height:31.2pt;width:81pt;z-index:251659264;mso-width-relative:page;mso-height-relative:page;" filled="f" stroked="f" coordsize="21600,21600" o:gfxdata="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ckPU29oAAAAJAQAADwAAAAAAAAABACAAAAAi&#10;AAAAZHJzL2Rvd25yZXYueG1sUEsBAhQAFAAAAAgAh07iQDzPMG6WAQAAOQMAAA4AAAAAAAAAAQAg&#10;AAAAKQEAAGRycy9lMm9Eb2MueG1sUEsFBgAAAAAGAAYAWQEAADEFAAAAAA==&#10;">
                <v:fill on="f" focussize="0,0"/>
                <v:stroke on="f"/>
                <v:imagedata o:title=""/>
                <o:lock v:ext="edit" aspectratio="f"/>
                <v:textbox>
                  <w:txbxContent>
                    <w:p w14:paraId="04507095">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14:paraId="16486998">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14:paraId="1020C137">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14:paraId="3B4D95C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rect>
            </w:pict>
          </mc:Fallback>
        </mc:AlternateContent>
      </w:r>
      <w:r>
        <w:rPr>
          <w:rFonts w:hint="eastAsia" w:hAnsi="宋体" w:eastAsia="宋体" w:cs="宋体"/>
          <w:b/>
          <w:bCs/>
          <w:color w:val="auto"/>
          <w:sz w:val="24"/>
          <w:szCs w:val="24"/>
          <w:highlight w:val="none"/>
        </w:rPr>
        <w:t xml:space="preserve">72.1      </w:t>
      </w:r>
    </w:p>
    <w:p w14:paraId="2DE2B56B">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合同履行期间，出现第56条工程变更事件的，合同双方当事人应调整合同价款。</w:t>
      </w:r>
    </w:p>
    <w:p w14:paraId="7467C3F5">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72.2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41685937">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327" name="000202"/>
                <wp:cNvGraphicFramePr/>
                <a:graphic xmlns:a="http://schemas.openxmlformats.org/drawingml/2006/main">
                  <a:graphicData uri="http://schemas.microsoft.com/office/word/2010/wordprocessingShape">
                    <wps:wsp>
                      <wps:cNvSpPr/>
                      <wps:spPr>
                        <a:xfrm>
                          <a:off x="0" y="0"/>
                          <a:ext cx="914400" cy="593090"/>
                        </a:xfrm>
                        <a:prstGeom prst="rect">
                          <a:avLst/>
                        </a:prstGeom>
                        <a:ln>
                          <a:noFill/>
                        </a:ln>
                      </wps:spPr>
                      <wps:txbx>
                        <w:txbxContent>
                          <w:p w14:paraId="278793BB">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139007F2">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rect id="000202" o:spid="_x0000_s1026" o:spt="1" style="position:absolute;left:0pt;margin-left:-9pt;margin-top:0.5pt;height:46.7pt;width:72pt;z-index:251659264;mso-width-relative:page;mso-height-relative:page;" filled="f" stroked="f" coordsize="21600,21600" o:gfxdata="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JaDnPYAAAACAEAAA8AAAAAAAAAAQAgAAAAIgAA&#10;AGRycy9kb3ducmV2LnhtbFBLAQIUABQAAAAIAIdO4kDPSfaQlgEAADgDAAAOAAAAAAAAAAEAIAAA&#10;ACcBAABkcnMvZTJvRG9jLnhtbFBLBQYAAAAABgAGAFkBAAAvBQAAAAA=&#10;">
                <v:fill on="f" focussize="0,0"/>
                <v:stroke on="f"/>
                <v:imagedata o:title=""/>
                <o:lock v:ext="edit" aspectratio="f"/>
                <v:textbox>
                  <w:txbxContent>
                    <w:p w14:paraId="278793BB">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139007F2">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v:textbox>
              </v:rect>
            </w:pict>
          </mc:Fallback>
        </mc:AlternateContent>
      </w:r>
      <w:r>
        <w:rPr>
          <w:rFonts w:hint="eastAsia" w:hAnsi="宋体" w:eastAsia="宋体" w:cs="宋体"/>
          <w:color w:val="auto"/>
          <w:sz w:val="24"/>
          <w:szCs w:val="24"/>
          <w:highlight w:val="none"/>
        </w:rPr>
        <w:t>工程变更引起分部分项工程项目发生变化，属于第73.2款规定情况的，按照其规定调整；否则按照下列规定调整分部分项工程费：</w:t>
      </w:r>
    </w:p>
    <w:p w14:paraId="04EB0833">
      <w:pPr>
        <w:pStyle w:val="24"/>
        <w:tabs>
          <w:tab w:val="left" w:pos="1380"/>
          <w:tab w:val="left" w:pos="2160"/>
        </w:tabs>
        <w:adjustRightInd w:val="0"/>
        <w:snapToGrid w:val="0"/>
        <w:spacing w:line="300" w:lineRule="auto"/>
        <w:ind w:left="1590" w:leftChars="757"/>
        <w:rPr>
          <w:rFonts w:hAnsi="宋体" w:eastAsia="宋体" w:cs="宋体"/>
          <w:color w:val="auto"/>
          <w:sz w:val="24"/>
          <w:szCs w:val="24"/>
          <w:highlight w:val="none"/>
        </w:rPr>
      </w:pPr>
      <w:r>
        <w:rPr>
          <w:rFonts w:hint="eastAsia" w:hAnsi="宋体" w:eastAsia="宋体" w:cs="宋体"/>
          <w:color w:val="auto"/>
          <w:sz w:val="24"/>
          <w:szCs w:val="24"/>
          <w:highlight w:val="none"/>
        </w:rPr>
        <w:t>(1)合同中有适用于变更工程项目的，按照该项目的单价或合价调整;</w:t>
      </w:r>
    </w:p>
    <w:p w14:paraId="63D278B7">
      <w:pPr>
        <w:pStyle w:val="24"/>
        <w:tabs>
          <w:tab w:val="left" w:pos="1620"/>
          <w:tab w:val="left" w:pos="2160"/>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(2)合同中没有适用、只有类似于变更工程项目的，可在合理范围内参照类似项目的单价或合价调整;</w:t>
      </w:r>
    </w:p>
    <w:p w14:paraId="42EE83F9">
      <w:pPr>
        <w:pStyle w:val="24"/>
        <w:tabs>
          <w:tab w:val="left" w:pos="1380"/>
          <w:tab w:val="left" w:pos="2160"/>
        </w:tabs>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14:paraId="60E0D7E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其中，招标工程：承包人报价浮动率L=（1—中标价格/招标控制价）×100%；</w:t>
      </w:r>
    </w:p>
    <w:p w14:paraId="4BFD3A23">
      <w:pPr>
        <w:pStyle w:val="24"/>
        <w:adjustRightInd w:val="0"/>
        <w:snapToGrid w:val="0"/>
        <w:spacing w:line="300" w:lineRule="auto"/>
        <w:ind w:left="1676" w:leftChars="798"/>
        <w:rPr>
          <w:rFonts w:hAnsi="宋体" w:eastAsia="宋体" w:cs="宋体"/>
          <w:color w:val="auto"/>
          <w:sz w:val="24"/>
          <w:szCs w:val="24"/>
          <w:highlight w:val="none"/>
        </w:rPr>
      </w:pPr>
      <w:r>
        <w:rPr>
          <w:rFonts w:hint="eastAsia" w:hAnsi="宋体" w:eastAsia="宋体" w:cs="宋体"/>
          <w:color w:val="auto"/>
          <w:sz w:val="24"/>
          <w:szCs w:val="24"/>
          <w:highlight w:val="none"/>
        </w:rPr>
        <w:t>非招标工程：承包人报价浮动率L=（1—报价值/施工图预算）×100%。</w:t>
      </w:r>
    </w:p>
    <w:p w14:paraId="5C505173">
      <w:pPr>
        <w:pStyle w:val="24"/>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式中：中标价格、招标控制价或报价值、施工图预算，均不含绿色施工安全防护费。</w:t>
      </w:r>
    </w:p>
    <w:p w14:paraId="454A08CB">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5EEC944C">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72.3  </w:t>
      </w:r>
      <w:r>
        <w:rPr>
          <w:rFonts w:hint="eastAsia" w:hAnsi="宋体" w:eastAsia="宋体" w:cs="宋体"/>
          <w:b/>
          <w:bCs/>
          <w:color w:val="auto"/>
          <w:sz w:val="24"/>
          <w:szCs w:val="24"/>
          <w:highlight w:val="none"/>
          <w:u w:val="dotted"/>
        </w:rPr>
        <w:t xml:space="preserve">                                                                                                       </w:t>
      </w:r>
    </w:p>
    <w:p w14:paraId="1A3EC78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328" name="000203"/>
                <wp:cNvGraphicFramePr/>
                <a:graphic xmlns:a="http://schemas.openxmlformats.org/drawingml/2006/main">
                  <a:graphicData uri="http://schemas.microsoft.com/office/word/2010/wordprocessingShape">
                    <wps:wsp>
                      <wps:cNvSpPr/>
                      <wps:spPr>
                        <a:xfrm>
                          <a:off x="0" y="0"/>
                          <a:ext cx="914400" cy="396239"/>
                        </a:xfrm>
                        <a:prstGeom prst="rect">
                          <a:avLst/>
                        </a:prstGeom>
                        <a:ln>
                          <a:noFill/>
                        </a:ln>
                      </wps:spPr>
                      <wps:txbx>
                        <w:txbxContent>
                          <w:p w14:paraId="1A662881">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0EF98435">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rect id="000203" o:spid="_x0000_s1026" o:spt="1" style="position:absolute;left:0pt;margin-left:-9pt;margin-top:3.6pt;height:31.2pt;width:72pt;z-index:251659264;mso-width-relative:page;mso-height-relative:page;" filled="f" stroked="f" coordsize="21600,21600" o:gfxdata="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&#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6wSsuNgAAAAIAQAADwAAAAAAAAABACAAAAAiAAAA&#10;ZHJzL2Rvd25yZXYueG1sUEsBAhQAFAAAAAgAh07iQOXb9lGVAQAAOAMAAA4AAAAAAAAAAQAgAAAA&#10;JwEAAGRycy9lMm9Eb2MueG1sUEsFBgAAAAAGAAYAWQEAAC4FAAAAAA==&#10;">
                <v:fill on="f" focussize="0,0"/>
                <v:stroke on="f"/>
                <v:imagedata o:title=""/>
                <o:lock v:ext="edit" aspectratio="f"/>
                <v:textbox>
                  <w:txbxContent>
                    <w:p w14:paraId="1A662881">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0EF98435">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rect>
            </w:pict>
          </mc:Fallback>
        </mc:AlternateContent>
      </w:r>
      <w:r>
        <w:rPr>
          <w:rFonts w:hint="eastAsia" w:hAnsi="宋体" w:eastAsia="宋体" w:cs="宋体"/>
          <w:color w:val="auto"/>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018BA18D">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 绿色施工安全防护费，按照实际发生变化的措施项目调整，不得浮动。</w:t>
      </w:r>
    </w:p>
    <w:p w14:paraId="4BFEAF0B">
      <w:pPr>
        <w:pStyle w:val="24"/>
        <w:adjustRightInd w:val="0"/>
        <w:snapToGrid w:val="0"/>
        <w:spacing w:line="300" w:lineRule="auto"/>
        <w:ind w:left="1630" w:leftChars="776"/>
        <w:rPr>
          <w:rFonts w:hAnsi="宋体" w:eastAsia="宋体" w:cs="宋体"/>
          <w:color w:val="auto"/>
          <w:sz w:val="24"/>
          <w:szCs w:val="24"/>
          <w:highlight w:val="none"/>
        </w:rPr>
      </w:pPr>
      <w:r>
        <w:rPr>
          <w:rFonts w:hint="eastAsia" w:hAnsi="宋体" w:eastAsia="宋体" w:cs="宋体"/>
          <w:color w:val="auto"/>
          <w:sz w:val="24"/>
          <w:szCs w:val="24"/>
          <w:highlight w:val="none"/>
        </w:rPr>
        <w:t>(2)凡可计算工程量的措施项目费，按照实际发生变化的措施项目的工程量乘以第72.2款规定的单价或合价调整。</w:t>
      </w:r>
    </w:p>
    <w:p w14:paraId="3C1CB3B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14:paraId="724910B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如果不利一方当事人未按本款规定事先将拟实施的方案提交给另一方当事人，则认为工程变更不引起措施项目费的调整或不利一方当事人放弃调整措施项目费的权利。</w:t>
      </w:r>
    </w:p>
    <w:p w14:paraId="142CAC05">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72.4  </w:t>
      </w:r>
      <w:r>
        <w:rPr>
          <w:rFonts w:hint="eastAsia" w:hAnsi="宋体" w:eastAsia="宋体" w:cs="宋体"/>
          <w:b/>
          <w:bCs/>
          <w:color w:val="auto"/>
          <w:sz w:val="24"/>
          <w:szCs w:val="24"/>
          <w:highlight w:val="none"/>
          <w:u w:val="dotted"/>
        </w:rPr>
        <w:t xml:space="preserve">                                                                                                       </w:t>
      </w:r>
    </w:p>
    <w:p w14:paraId="6ED34EF8">
      <w:pPr>
        <w:spacing w:line="300" w:lineRule="auto"/>
        <w:ind w:left="1676" w:leftChars="798"/>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12700</wp:posOffset>
                </wp:positionV>
                <wp:extent cx="1028700" cy="766445"/>
                <wp:effectExtent l="0" t="0" r="0" b="0"/>
                <wp:wrapNone/>
                <wp:docPr id="1329" name="000204"/>
                <wp:cNvGraphicFramePr/>
                <a:graphic xmlns:a="http://schemas.openxmlformats.org/drawingml/2006/main">
                  <a:graphicData uri="http://schemas.microsoft.com/office/word/2010/wordprocessingShape">
                    <wps:wsp>
                      <wps:cNvSpPr/>
                      <wps:spPr>
                        <a:xfrm>
                          <a:off x="0" y="0"/>
                          <a:ext cx="1028700" cy="766445"/>
                        </a:xfrm>
                        <a:prstGeom prst="rect">
                          <a:avLst/>
                        </a:prstGeom>
                        <a:ln>
                          <a:noFill/>
                        </a:ln>
                      </wps:spPr>
                      <wps:txbx>
                        <w:txbxContent>
                          <w:p w14:paraId="6101F928">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2EEA9649">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14:paraId="5C24EA13">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14:paraId="415DCE65">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wps:wsp>
                  </a:graphicData>
                </a:graphic>
              </wp:anchor>
            </w:drawing>
          </mc:Choice>
          <mc:Fallback>
            <w:pict>
              <v:rect id="000204" o:spid="_x0000_s1026" o:spt="1" style="position:absolute;left:0pt;margin-left:-9pt;margin-top:1pt;height:60.35pt;width:81pt;z-index:251659264;mso-width-relative:page;mso-height-relative:page;" filled="f" stroked="f" coordsize="21600,21600" o:gfxdata="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fYD1T2QAAAAkBAAAPAAAAAAAAAAEAIAAAACIA&#10;AABkcnMvZG93bnJldi54bWxQSwECFAAUAAAACACHTuJAnxONEZYBAAA5AwAADgAAAAAAAAABACAA&#10;AAAoAQAAZHJzL2Uyb0RvYy54bWxQSwUGAAAAAAYABgBZAQAAMAUAAAAA&#10;">
                <v:fill on="f" focussize="0,0"/>
                <v:stroke on="f"/>
                <v:imagedata o:title=""/>
                <o:lock v:ext="edit" aspectratio="f"/>
                <v:textbox>
                  <w:txbxContent>
                    <w:p w14:paraId="6101F928">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2EEA9649">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14:paraId="5C24EA13">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14:paraId="415DCE65">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rect>
            </w:pict>
          </mc:Fallback>
        </mc:AlternateContent>
      </w:r>
      <w:r>
        <w:rPr>
          <w:rFonts w:hint="eastAsia" w:ascii="宋体" w:hAnsi="宋体" w:eastAsia="宋体" w:cs="宋体"/>
          <w:color w:val="auto"/>
          <w:sz w:val="24"/>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48A8107F">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(1)当P</w:t>
      </w:r>
      <w:r>
        <w:rPr>
          <w:rFonts w:hint="eastAsia" w:hAnsi="宋体" w:eastAsia="宋体" w:cs="宋体"/>
          <w:color w:val="auto"/>
          <w:sz w:val="24"/>
          <w:szCs w:val="24"/>
          <w:highlight w:val="none"/>
          <w:vertAlign w:val="subscript"/>
        </w:rPr>
        <w:t xml:space="preserve">0 </w:t>
      </w:r>
      <w:r>
        <w:rPr>
          <w:rFonts w:hint="eastAsia" w:hAnsi="宋体" w:eastAsia="宋体" w:cs="宋体"/>
          <w:color w:val="auto"/>
          <w:sz w:val="24"/>
          <w:szCs w:val="24"/>
          <w:highlight w:val="none"/>
        </w:rPr>
        <w:t>&lt;P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 xml:space="preserve"> ×(1-L)×(1-15%)时，该类项目的综合单价按照P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 xml:space="preserve"> ×(1-L)×(1-15%)调整。 </w:t>
      </w:r>
    </w:p>
    <w:p w14:paraId="2FEFA27B">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(2)当P</w:t>
      </w:r>
      <w:r>
        <w:rPr>
          <w:rFonts w:hint="eastAsia" w:hAnsi="宋体" w:eastAsia="宋体" w:cs="宋体"/>
          <w:color w:val="auto"/>
          <w:sz w:val="24"/>
          <w:szCs w:val="24"/>
          <w:highlight w:val="none"/>
          <w:vertAlign w:val="subscript"/>
        </w:rPr>
        <w:t xml:space="preserve">0 </w:t>
      </w:r>
      <w:r>
        <w:rPr>
          <w:rFonts w:hint="eastAsia" w:hAnsi="宋体" w:eastAsia="宋体" w:cs="宋体"/>
          <w:color w:val="auto"/>
          <w:sz w:val="24"/>
          <w:szCs w:val="24"/>
          <w:highlight w:val="none"/>
        </w:rPr>
        <w:t>&gt;P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 xml:space="preserve"> × (1+15%)时，该类项目的综合单价按照P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 xml:space="preserve"> ×（1+15%)调整。 </w:t>
      </w:r>
    </w:p>
    <w:p w14:paraId="2F75CD7D">
      <w:pPr>
        <w:pStyle w:val="24"/>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式中：P</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——承包人在工程量清单中填报的综合单价。</w:t>
      </w:r>
    </w:p>
    <w:p w14:paraId="445A783A">
      <w:pPr>
        <w:pStyle w:val="24"/>
        <w:adjustRightInd w:val="0"/>
        <w:snapToGrid w:val="0"/>
        <w:spacing w:line="300" w:lineRule="auto"/>
        <w:ind w:left="3049" w:leftChars="1109" w:hanging="720" w:hangingChars="300"/>
        <w:rPr>
          <w:rFonts w:hAnsi="宋体" w:eastAsia="宋体" w:cs="宋体"/>
          <w:color w:val="auto"/>
          <w:sz w:val="24"/>
          <w:szCs w:val="24"/>
          <w:highlight w:val="none"/>
        </w:rPr>
      </w:pP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——发包人招标控制价或施工预算相应清单项目的综 合单价。</w:t>
      </w:r>
    </w:p>
    <w:p w14:paraId="658DCD4A">
      <w:pPr>
        <w:pStyle w:val="24"/>
        <w:adjustRightInd w:val="0"/>
        <w:snapToGrid w:val="0"/>
        <w:spacing w:line="300" w:lineRule="auto"/>
        <w:ind w:firstLine="2340" w:firstLineChars="975"/>
        <w:rPr>
          <w:rFonts w:hAnsi="宋体" w:eastAsia="宋体" w:cs="宋体"/>
          <w:color w:val="auto"/>
          <w:sz w:val="24"/>
          <w:szCs w:val="24"/>
          <w:highlight w:val="none"/>
        </w:rPr>
      </w:pPr>
      <w:r>
        <w:rPr>
          <w:rFonts w:hint="eastAsia" w:hAnsi="宋体" w:eastAsia="宋体" w:cs="宋体"/>
          <w:color w:val="auto"/>
          <w:sz w:val="24"/>
          <w:szCs w:val="24"/>
          <w:highlight w:val="none"/>
        </w:rPr>
        <w:t>L——第72.2款规定的承包人报价浮动率。</w:t>
      </w:r>
    </w:p>
    <w:p w14:paraId="5A9B381D">
      <w:pPr>
        <w:pStyle w:val="24"/>
        <w:adjustRightInd w:val="0"/>
        <w:snapToGrid w:val="0"/>
        <w:spacing w:line="300" w:lineRule="auto"/>
        <w:ind w:firstLine="2349" w:firstLineChars="975"/>
        <w:rPr>
          <w:rFonts w:hAnsi="宋体" w:eastAsia="宋体" w:cs="宋体"/>
          <w:b/>
          <w:bCs/>
          <w:color w:val="auto"/>
          <w:sz w:val="24"/>
          <w:szCs w:val="24"/>
          <w:highlight w:val="none"/>
        </w:rPr>
      </w:pPr>
    </w:p>
    <w:p w14:paraId="3BE41250">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72.5  </w:t>
      </w:r>
      <w:r>
        <w:rPr>
          <w:rFonts w:hint="eastAsia" w:hAnsi="宋体" w:eastAsia="宋体" w:cs="宋体"/>
          <w:b/>
          <w:bCs/>
          <w:color w:val="auto"/>
          <w:sz w:val="24"/>
          <w:szCs w:val="24"/>
          <w:highlight w:val="none"/>
          <w:u w:val="dotted"/>
        </w:rPr>
        <w:t xml:space="preserve">                                                                                                       </w:t>
      </w:r>
    </w:p>
    <w:p w14:paraId="28ABBE34">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330" name="000205"/>
                <wp:cNvGraphicFramePr/>
                <a:graphic xmlns:a="http://schemas.openxmlformats.org/drawingml/2006/main">
                  <a:graphicData uri="http://schemas.microsoft.com/office/word/2010/wordprocessingShape">
                    <wps:wsp>
                      <wps:cNvSpPr/>
                      <wps:spPr>
                        <a:xfrm>
                          <a:off x="0" y="0"/>
                          <a:ext cx="914400" cy="396239"/>
                        </a:xfrm>
                        <a:prstGeom prst="rect">
                          <a:avLst/>
                        </a:prstGeom>
                        <a:ln>
                          <a:noFill/>
                        </a:ln>
                      </wps:spPr>
                      <wps:txbx>
                        <w:txbxContent>
                          <w:p w14:paraId="189BA8D7">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14:paraId="333E50F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wps:txbx>
                      <wps:bodyPr wrap="square"/>
                    </wps:wsp>
                  </a:graphicData>
                </a:graphic>
              </wp:anchor>
            </w:drawing>
          </mc:Choice>
          <mc:Fallback>
            <w:pict>
              <v:rect id="000205" o:spid="_x0000_s1026" o:spt="1" style="position:absolute;left:0pt;margin-left:-9pt;margin-top:3.6pt;height:31.2pt;width:72pt;z-index:251659264;mso-width-relative:page;mso-height-relative:page;" filled="f" stroked="f" coordsize="21600,21600" o:gfxdata="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6wSsuNgAAAAIAQAADwAAAAAAAAABACAAAAAiAAAA&#10;ZHJzL2Rvd25yZXYueG1sUEsBAhQAFAAAAAgAh07iQFXuc2qVAQAAOAMAAA4AAAAAAAAAAQAgAAAA&#10;JwEAAGRycy9lMm9Eb2MueG1sUEsFBgAAAAAGAAYAWQEAAC4FAAAAAA==&#10;">
                <v:fill on="f" focussize="0,0"/>
                <v:stroke on="f"/>
                <v:imagedata o:title=""/>
                <o:lock v:ext="edit" aspectratio="f"/>
                <v:textbox>
                  <w:txbxContent>
                    <w:p w14:paraId="189BA8D7">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14:paraId="333E50F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v:textbox>
              </v:rect>
            </w:pict>
          </mc:Fallback>
        </mc:AlternateContent>
      </w:r>
      <w:r>
        <w:rPr>
          <w:rFonts w:hint="eastAsia" w:hAnsi="宋体" w:eastAsia="宋体" w:cs="宋体"/>
          <w:color w:val="auto"/>
          <w:sz w:val="24"/>
          <w:szCs w:val="24"/>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14:paraId="26EE267F">
      <w:pPr>
        <w:pStyle w:val="24"/>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6B29E8AE">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78" w:name="_Toc469384057"/>
      <w:bookmarkStart w:id="179" w:name="_Toc46860878"/>
      <w:r>
        <w:rPr>
          <w:rFonts w:hint="eastAsia" w:hAnsi="宋体" w:eastAsia="宋体" w:cs="宋体"/>
          <w:b/>
          <w:bCs/>
          <w:color w:val="auto"/>
          <w:sz w:val="24"/>
          <w:szCs w:val="24"/>
          <w:highlight w:val="none"/>
        </w:rPr>
        <w:t>★73  工程量偏差事件</w:t>
      </w:r>
      <w:bookmarkEnd w:id="178"/>
      <w:bookmarkEnd w:id="179"/>
    </w:p>
    <w:p w14:paraId="67647561">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73.1</w:t>
      </w:r>
    </w:p>
    <w:p w14:paraId="0D22204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331" name="000206"/>
                <wp:cNvGraphicFramePr/>
                <a:graphic xmlns:a="http://schemas.openxmlformats.org/drawingml/2006/main">
                  <a:graphicData uri="http://schemas.microsoft.com/office/word/2010/wordprocessingShape">
                    <wps:wsp>
                      <wps:cNvSpPr/>
                      <wps:spPr>
                        <a:xfrm>
                          <a:off x="0" y="0"/>
                          <a:ext cx="1028700" cy="760095"/>
                        </a:xfrm>
                        <a:prstGeom prst="rect">
                          <a:avLst/>
                        </a:prstGeom>
                        <a:ln>
                          <a:noFill/>
                        </a:ln>
                      </wps:spPr>
                      <wps:txbx>
                        <w:txbxContent>
                          <w:p w14:paraId="3452574B">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17D9E64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14:paraId="6A6DC92F">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14:paraId="357C8DE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rect id="000206" o:spid="_x0000_s1026" o:spt="1" style="position:absolute;left:0pt;margin-left:-9pt;margin-top:0.15pt;height:59.85pt;width:81pt;z-index:251659264;mso-width-relative:page;mso-height-relative:page;" filled="f" stroked="f" coordsize="21600,21600" o:gfxdata="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EV0wdcAAAAIAQAADwAAAAAAAAABACAAAAAiAAAA&#10;ZHJzL2Rvd25yZXYueG1sUEsBAhQAFAAAAAgAh07iQG2ocqOWAQAAOQMAAA4AAAAAAAAAAQAgAAAA&#10;JgEAAGRycy9lMm9Eb2MueG1sUEsFBgAAAAAGAAYAWQEAAC4FAAAAAA==&#10;">
                <v:fill on="f" focussize="0,0"/>
                <v:stroke on="f"/>
                <v:imagedata o:title=""/>
                <o:lock v:ext="edit" aspectratio="f"/>
                <v:textbox>
                  <w:txbxContent>
                    <w:p w14:paraId="3452574B">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17D9E64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14:paraId="6A6DC92F">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14:paraId="357C8DE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rect>
            </w:pict>
          </mc:Fallback>
        </mc:AlternateContent>
      </w:r>
      <w:r>
        <w:rPr>
          <w:rFonts w:hint="eastAsia" w:hAnsi="宋体" w:eastAsia="宋体" w:cs="宋体"/>
          <w:color w:val="auto"/>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52802CAF">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合同履行期间，出现工程量偏差，且符合第73.2款、第73.3款规定事件的，合同双方当事人应调整合同价款。调整合同价款时，出现第72.4款情形的，应先按照其规定调整，再按照本条规定调整。</w:t>
      </w:r>
    </w:p>
    <w:p w14:paraId="39810809">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73.2  </w:t>
      </w:r>
      <w:r>
        <w:rPr>
          <w:rFonts w:hint="eastAsia" w:hAnsi="宋体" w:eastAsia="宋体" w:cs="宋体"/>
          <w:b/>
          <w:bCs/>
          <w:color w:val="auto"/>
          <w:sz w:val="24"/>
          <w:szCs w:val="24"/>
          <w:highlight w:val="none"/>
          <w:u w:val="dotted"/>
        </w:rPr>
        <w:t xml:space="preserve">                                                                                                        </w:t>
      </w:r>
    </w:p>
    <w:p w14:paraId="200F8DC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26035</wp:posOffset>
                </wp:positionV>
                <wp:extent cx="914400" cy="444500"/>
                <wp:effectExtent l="0" t="0" r="0" b="0"/>
                <wp:wrapNone/>
                <wp:docPr id="1332" name="000207"/>
                <wp:cNvGraphicFramePr/>
                <a:graphic xmlns:a="http://schemas.openxmlformats.org/drawingml/2006/main">
                  <a:graphicData uri="http://schemas.microsoft.com/office/word/2010/wordprocessingShape">
                    <wps:wsp>
                      <wps:cNvSpPr/>
                      <wps:spPr>
                        <a:xfrm>
                          <a:off x="0" y="0"/>
                          <a:ext cx="914400" cy="444500"/>
                        </a:xfrm>
                        <a:prstGeom prst="rect">
                          <a:avLst/>
                        </a:prstGeom>
                        <a:ln>
                          <a:noFill/>
                        </a:ln>
                      </wps:spPr>
                      <wps:txbx>
                        <w:txbxContent>
                          <w:p w14:paraId="28D28EF0">
                            <w:pPr>
                              <w:pStyle w:val="18"/>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14:paraId="12DF62E0">
                            <w:pPr>
                              <w:pStyle w:val="18"/>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rect id="000207" o:spid="_x0000_s1026" o:spt="1" style="position:absolute;left:0pt;margin-left:-9pt;margin-top:2.05pt;height:35pt;width:72pt;z-index:251659264;mso-width-relative:page;mso-height-relative:page;" filled="f" stroked="f" coordsize="21600,21600" o:gfxdata="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DU6Y5dgAAAAIAQAADwAAAAAAAAABACAAAAAiAAAA&#10;ZHJzL2Rvd25yZXYueG1sUEsBAhQAFAAAAAgAh07iQHPMssyVAQAAOAMAAA4AAAAAAAAAAQAgAAAA&#10;JwEAAGRycy9lMm9Eb2MueG1sUEsFBgAAAAAGAAYAWQEAAC4FAAAAAA==&#10;">
                <v:fill on="f" focussize="0,0"/>
                <v:stroke on="f"/>
                <v:imagedata o:title=""/>
                <o:lock v:ext="edit" aspectratio="f"/>
                <v:textbox>
                  <w:txbxContent>
                    <w:p w14:paraId="28D28EF0">
                      <w:pPr>
                        <w:pStyle w:val="18"/>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14:paraId="12DF62E0">
                      <w:pPr>
                        <w:pStyle w:val="18"/>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v:textbox>
              </v:rect>
            </w:pict>
          </mc:Fallback>
        </mc:AlternateContent>
      </w:r>
      <w:r>
        <w:rPr>
          <w:rFonts w:hint="eastAsia" w:hAnsi="宋体" w:eastAsia="宋体" w:cs="宋体"/>
          <w:color w:val="auto"/>
          <w:sz w:val="24"/>
          <w:szCs w:val="24"/>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14:paraId="0E5D84F3">
      <w:pPr>
        <w:pStyle w:val="24"/>
        <w:adjustRightInd w:val="0"/>
        <w:snapToGrid w:val="0"/>
        <w:spacing w:line="300" w:lineRule="auto"/>
        <w:ind w:left="2145" w:leftChars="707" w:hanging="660" w:hangingChars="275"/>
        <w:rPr>
          <w:rFonts w:hAnsi="宋体" w:eastAsia="宋体" w:cs="宋体"/>
          <w:color w:val="auto"/>
          <w:sz w:val="24"/>
          <w:szCs w:val="24"/>
          <w:highlight w:val="none"/>
        </w:rPr>
      </w:pPr>
      <w:r>
        <w:rPr>
          <w:rFonts w:hint="eastAsia" w:hAnsi="宋体" w:eastAsia="宋体" w:cs="宋体"/>
          <w:color w:val="auto"/>
          <w:sz w:val="24"/>
          <w:szCs w:val="24"/>
          <w:highlight w:val="none"/>
        </w:rPr>
        <w:t>（1）当Q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﹥1.1Q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时，S=1.1Q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-1.1Q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1</w:t>
      </w:r>
    </w:p>
    <w:p w14:paraId="5CAFC71F">
      <w:pPr>
        <w:pStyle w:val="24"/>
        <w:adjustRightInd w:val="0"/>
        <w:snapToGrid w:val="0"/>
        <w:spacing w:line="300" w:lineRule="auto"/>
        <w:ind w:left="2057" w:leftChars="694" w:hanging="600" w:hangingChars="250"/>
        <w:rPr>
          <w:rFonts w:hAnsi="宋体" w:eastAsia="宋体" w:cs="宋体"/>
          <w:color w:val="auto"/>
          <w:sz w:val="24"/>
          <w:szCs w:val="24"/>
          <w:highlight w:val="none"/>
          <w:vertAlign w:val="subscript"/>
        </w:rPr>
      </w:pPr>
      <w:r>
        <w:rPr>
          <w:rFonts w:hint="eastAsia" w:hAnsi="宋体" w:eastAsia="宋体" w:cs="宋体"/>
          <w:color w:val="auto"/>
          <w:sz w:val="24"/>
          <w:szCs w:val="24"/>
          <w:highlight w:val="none"/>
        </w:rPr>
        <w:t>（2）当Q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﹤0.9Q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时，S=0.9Q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-（0.9Q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1</w:t>
      </w:r>
    </w:p>
    <w:p w14:paraId="69569551">
      <w:pPr>
        <w:pStyle w:val="24"/>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式中S——调整后的某一分部分项工程费结算价；</w:t>
      </w:r>
    </w:p>
    <w:p w14:paraId="7EF37AFD">
      <w:pPr>
        <w:pStyle w:val="24"/>
        <w:adjustRightInd w:val="0"/>
        <w:snapToGrid w:val="0"/>
        <w:spacing w:line="300" w:lineRule="auto"/>
        <w:ind w:firstLine="2160" w:firstLineChars="900"/>
        <w:rPr>
          <w:rFonts w:hAnsi="宋体" w:eastAsia="宋体" w:cs="宋体"/>
          <w:color w:val="auto"/>
          <w:sz w:val="24"/>
          <w:szCs w:val="24"/>
          <w:highlight w:val="none"/>
        </w:rPr>
      </w:pPr>
      <w:r>
        <w:rPr>
          <w:rFonts w:hint="eastAsia" w:hAnsi="宋体" w:eastAsia="宋体" w:cs="宋体"/>
          <w:color w:val="auto"/>
          <w:sz w:val="24"/>
          <w:szCs w:val="24"/>
          <w:highlight w:val="none"/>
        </w:rPr>
        <w:t>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——最终完成的工程量；</w:t>
      </w:r>
    </w:p>
    <w:p w14:paraId="53109132">
      <w:pPr>
        <w:pStyle w:val="24"/>
        <w:adjustRightInd w:val="0"/>
        <w:snapToGrid w:val="0"/>
        <w:spacing w:line="300" w:lineRule="auto"/>
        <w:ind w:firstLine="2160" w:firstLineChars="900"/>
        <w:rPr>
          <w:rFonts w:hAnsi="宋体" w:eastAsia="宋体" w:cs="宋体"/>
          <w:color w:val="auto"/>
          <w:sz w:val="24"/>
          <w:szCs w:val="24"/>
          <w:highlight w:val="none"/>
        </w:rPr>
      </w:pPr>
      <w:r>
        <w:rPr>
          <w:rFonts w:hint="eastAsia" w:hAnsi="宋体" w:eastAsia="宋体" w:cs="宋体"/>
          <w:color w:val="auto"/>
          <w:sz w:val="24"/>
          <w:szCs w:val="24"/>
          <w:highlight w:val="none"/>
        </w:rPr>
        <w:t>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——工程量清单中开列的工程量；</w:t>
      </w:r>
    </w:p>
    <w:p w14:paraId="4541A498">
      <w:pPr>
        <w:pStyle w:val="24"/>
        <w:adjustRightInd w:val="0"/>
        <w:snapToGrid w:val="0"/>
        <w:spacing w:line="300" w:lineRule="auto"/>
        <w:ind w:firstLine="2160" w:firstLineChars="900"/>
        <w:rPr>
          <w:rFonts w:hAnsi="宋体" w:eastAsia="宋体" w:cs="宋体"/>
          <w:color w:val="auto"/>
          <w:sz w:val="24"/>
          <w:szCs w:val="24"/>
          <w:highlight w:val="none"/>
        </w:rPr>
      </w:pP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——按照最终完成工程量重新调整后的综合单价；</w:t>
      </w:r>
    </w:p>
    <w:p w14:paraId="03EF98DA">
      <w:pPr>
        <w:pStyle w:val="24"/>
        <w:adjustRightInd w:val="0"/>
        <w:snapToGrid w:val="0"/>
        <w:spacing w:line="300" w:lineRule="auto"/>
        <w:ind w:firstLine="2160" w:firstLineChars="900"/>
        <w:rPr>
          <w:rFonts w:hAnsi="宋体" w:eastAsia="宋体" w:cs="宋体"/>
          <w:b/>
          <w:bCs/>
          <w:color w:val="auto"/>
          <w:sz w:val="24"/>
          <w:szCs w:val="24"/>
          <w:highlight w:val="none"/>
        </w:rPr>
      </w:pP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——承包人在工程量清单中填报的综合单价。</w:t>
      </w:r>
    </w:p>
    <w:p w14:paraId="38C4FC95">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73.3</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3502C98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50800</wp:posOffset>
                </wp:positionV>
                <wp:extent cx="914400" cy="505460"/>
                <wp:effectExtent l="0" t="0" r="0" b="0"/>
                <wp:wrapNone/>
                <wp:docPr id="1333" name="000208"/>
                <wp:cNvGraphicFramePr/>
                <a:graphic xmlns:a="http://schemas.openxmlformats.org/drawingml/2006/main">
                  <a:graphicData uri="http://schemas.microsoft.com/office/word/2010/wordprocessingShape">
                    <wps:wsp>
                      <wps:cNvSpPr/>
                      <wps:spPr>
                        <a:xfrm>
                          <a:off x="0" y="0"/>
                          <a:ext cx="914400" cy="505460"/>
                        </a:xfrm>
                        <a:prstGeom prst="rect">
                          <a:avLst/>
                        </a:prstGeom>
                        <a:ln>
                          <a:noFill/>
                        </a:ln>
                      </wps:spPr>
                      <wps:txbx>
                        <w:txbxContent>
                          <w:p w14:paraId="588F1F47">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50B1C37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rect id="000208" o:spid="_x0000_s1026" o:spt="1" style="position:absolute;left:0pt;margin-left:-9pt;margin-top:4pt;height:39.8pt;width:72pt;z-index:251659264;mso-width-relative:page;mso-height-relative:page;" filled="f" stroked="f" coordsize="21600,21600" o:gfxdata="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9iifa9cAAAAIAQAADwAAAAAAAAABACAAAAAiAAAA&#10;ZHJzL2Rvd25yZXYueG1sUEsBAhQAFAAAAAgAh07iQIu9T2qWAQAAOAMAAA4AAAAAAAAAAQAgAAAA&#10;JgEAAGRycy9lMm9Eb2MueG1sUEsFBgAAAAAGAAYAWQEAAC4FAAAAAA==&#10;">
                <v:fill on="f" focussize="0,0"/>
                <v:stroke on="f"/>
                <v:imagedata o:title=""/>
                <o:lock v:ext="edit" aspectratio="f"/>
                <v:textbox>
                  <w:txbxContent>
                    <w:p w14:paraId="588F1F47">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50B1C37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rect>
            </w:pict>
          </mc:Fallback>
        </mc:AlternateContent>
      </w:r>
      <w:r>
        <w:rPr>
          <w:rFonts w:hint="eastAsia" w:hAnsi="宋体" w:eastAsia="宋体" w:cs="宋体"/>
          <w:color w:val="auto"/>
          <w:sz w:val="24"/>
          <w:szCs w:val="24"/>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14:paraId="07A26464">
      <w:pPr>
        <w:pStyle w:val="24"/>
        <w:tabs>
          <w:tab w:val="left" w:pos="900"/>
        </w:tabs>
        <w:adjustRightInd w:val="0"/>
        <w:snapToGrid w:val="0"/>
        <w:spacing w:line="300" w:lineRule="auto"/>
        <w:ind w:left="2240" w:leftChars="781" w:hanging="600" w:hangingChars="250"/>
        <w:rPr>
          <w:rFonts w:hAnsi="宋体" w:eastAsia="宋体" w:cs="宋体"/>
          <w:color w:val="auto"/>
          <w:sz w:val="24"/>
          <w:szCs w:val="24"/>
          <w:highlight w:val="none"/>
        </w:rPr>
      </w:pPr>
      <w:r>
        <w:rPr>
          <w:rFonts w:hint="eastAsia" w:hAnsi="宋体" w:eastAsia="宋体" w:cs="宋体"/>
          <w:color w:val="auto"/>
          <w:sz w:val="24"/>
          <w:szCs w:val="24"/>
          <w:highlight w:val="none"/>
        </w:rPr>
        <w:t>（1）当S</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﹥1.1S</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时，M</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=M</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+△M</w:t>
      </w:r>
    </w:p>
    <w:p w14:paraId="7211D817">
      <w:pPr>
        <w:pStyle w:val="24"/>
        <w:adjustRightInd w:val="0"/>
        <w:snapToGrid w:val="0"/>
        <w:spacing w:line="300" w:lineRule="auto"/>
        <w:ind w:left="2240" w:leftChars="781" w:hanging="600" w:hangingChars="250"/>
        <w:rPr>
          <w:rFonts w:hAnsi="宋体" w:eastAsia="宋体" w:cs="宋体"/>
          <w:color w:val="auto"/>
          <w:sz w:val="24"/>
          <w:szCs w:val="24"/>
          <w:highlight w:val="none"/>
        </w:rPr>
      </w:pPr>
      <w:r>
        <w:rPr>
          <w:rFonts w:hint="eastAsia" w:hAnsi="宋体" w:eastAsia="宋体" w:cs="宋体"/>
          <w:color w:val="auto"/>
          <w:sz w:val="24"/>
          <w:szCs w:val="24"/>
          <w:highlight w:val="none"/>
        </w:rPr>
        <w:t>（2）当S</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﹤0.9S</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时，M</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=M</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–△M</w:t>
      </w:r>
    </w:p>
    <w:p w14:paraId="346AF371">
      <w:pPr>
        <w:pStyle w:val="24"/>
        <w:adjustRightInd w:val="0"/>
        <w:snapToGrid w:val="0"/>
        <w:spacing w:line="300" w:lineRule="auto"/>
        <w:ind w:firstLine="1800" w:firstLineChars="750"/>
        <w:rPr>
          <w:rFonts w:hAnsi="宋体" w:eastAsia="宋体" w:cs="宋体"/>
          <w:color w:val="auto"/>
          <w:sz w:val="24"/>
          <w:szCs w:val="24"/>
          <w:highlight w:val="none"/>
        </w:rPr>
      </w:pPr>
      <w:r>
        <w:rPr>
          <w:rFonts w:hint="eastAsia" w:hAnsi="宋体" w:eastAsia="宋体" w:cs="宋体"/>
          <w:color w:val="auto"/>
          <w:sz w:val="24"/>
          <w:szCs w:val="24"/>
          <w:highlight w:val="none"/>
        </w:rPr>
        <w:t>式中M</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——调整后的发生变化措施项目费结算价；</w:t>
      </w:r>
    </w:p>
    <w:p w14:paraId="4D1B114E">
      <w:pPr>
        <w:pStyle w:val="24"/>
        <w:adjustRightInd w:val="0"/>
        <w:snapToGrid w:val="0"/>
        <w:spacing w:line="300" w:lineRule="auto"/>
        <w:ind w:firstLine="2280" w:firstLineChars="950"/>
        <w:rPr>
          <w:rFonts w:hAnsi="宋体" w:eastAsia="宋体" w:cs="宋体"/>
          <w:color w:val="auto"/>
          <w:sz w:val="24"/>
          <w:szCs w:val="24"/>
          <w:highlight w:val="none"/>
        </w:rPr>
      </w:pPr>
      <w:r>
        <w:rPr>
          <w:rFonts w:hint="eastAsia" w:hAnsi="宋体" w:eastAsia="宋体" w:cs="宋体"/>
          <w:color w:val="auto"/>
          <w:sz w:val="24"/>
          <w:szCs w:val="24"/>
          <w:highlight w:val="none"/>
        </w:rPr>
        <w:t>M</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——承包人在工程量清单中填报的措施项目费；</w:t>
      </w:r>
    </w:p>
    <w:p w14:paraId="19706A89">
      <w:pPr>
        <w:pStyle w:val="24"/>
        <w:adjustRightInd w:val="0"/>
        <w:snapToGrid w:val="0"/>
        <w:spacing w:line="300" w:lineRule="auto"/>
        <w:ind w:left="960" w:leftChars="457" w:firstLine="1320" w:firstLineChars="550"/>
        <w:rPr>
          <w:rFonts w:hAnsi="宋体" w:eastAsia="宋体" w:cs="宋体"/>
          <w:color w:val="auto"/>
          <w:sz w:val="24"/>
          <w:szCs w:val="24"/>
          <w:highlight w:val="none"/>
        </w:rPr>
      </w:pPr>
      <w:r>
        <w:rPr>
          <w:rFonts w:hint="eastAsia" w:hAnsi="宋体" w:eastAsia="宋体" w:cs="宋体"/>
          <w:color w:val="auto"/>
          <w:sz w:val="24"/>
          <w:szCs w:val="24"/>
          <w:highlight w:val="none"/>
        </w:rPr>
        <w:t>∆M——按照第72.3款规定调整的发生变化部分的措施项</w:t>
      </w:r>
    </w:p>
    <w:p w14:paraId="45B375DF">
      <w:pPr>
        <w:pStyle w:val="24"/>
        <w:adjustRightInd w:val="0"/>
        <w:snapToGrid w:val="0"/>
        <w:spacing w:line="300" w:lineRule="auto"/>
        <w:ind w:left="960" w:leftChars="457" w:firstLine="1320" w:firstLineChars="550"/>
        <w:rPr>
          <w:rFonts w:hAnsi="宋体" w:eastAsia="宋体" w:cs="宋体"/>
          <w:color w:val="auto"/>
          <w:sz w:val="24"/>
          <w:szCs w:val="24"/>
          <w:highlight w:val="none"/>
        </w:rPr>
      </w:pPr>
      <w:r>
        <w:rPr>
          <w:rFonts w:hint="eastAsia" w:hAnsi="宋体" w:eastAsia="宋体" w:cs="宋体"/>
          <w:color w:val="auto"/>
          <w:sz w:val="24"/>
          <w:szCs w:val="24"/>
          <w:highlight w:val="none"/>
        </w:rPr>
        <w:t>目费；</w:t>
      </w:r>
    </w:p>
    <w:p w14:paraId="5131E7CB">
      <w:pPr>
        <w:pStyle w:val="24"/>
        <w:adjustRightInd w:val="0"/>
        <w:snapToGrid w:val="0"/>
        <w:spacing w:line="300" w:lineRule="auto"/>
        <w:ind w:firstLine="2280" w:firstLineChars="950"/>
        <w:rPr>
          <w:rFonts w:hAnsi="宋体" w:eastAsia="宋体" w:cs="宋体"/>
          <w:color w:val="auto"/>
          <w:sz w:val="24"/>
          <w:szCs w:val="24"/>
          <w:highlight w:val="none"/>
        </w:rPr>
      </w:pPr>
      <w:r>
        <w:rPr>
          <w:rFonts w:hint="eastAsia" w:hAnsi="宋体" w:eastAsia="宋体" w:cs="宋体"/>
          <w:color w:val="auto"/>
          <w:sz w:val="24"/>
          <w:szCs w:val="24"/>
          <w:highlight w:val="none"/>
        </w:rPr>
        <w:t>S</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——调整后的某一分部分项工程费结算价；</w:t>
      </w:r>
    </w:p>
    <w:p w14:paraId="75DAF9B4">
      <w:pPr>
        <w:pStyle w:val="24"/>
        <w:adjustRightInd w:val="0"/>
        <w:snapToGrid w:val="0"/>
        <w:spacing w:line="300" w:lineRule="auto"/>
        <w:ind w:firstLine="2280" w:firstLineChars="950"/>
        <w:rPr>
          <w:rFonts w:hAnsi="宋体" w:eastAsia="宋体" w:cs="宋体"/>
          <w:color w:val="auto"/>
          <w:sz w:val="24"/>
          <w:szCs w:val="24"/>
          <w:highlight w:val="none"/>
        </w:rPr>
      </w:pPr>
      <w:r>
        <w:rPr>
          <w:rFonts w:hint="eastAsia" w:hAnsi="宋体" w:eastAsia="宋体" w:cs="宋体"/>
          <w:color w:val="auto"/>
          <w:sz w:val="24"/>
          <w:szCs w:val="24"/>
          <w:highlight w:val="none"/>
        </w:rPr>
        <w:t>S</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——承包人报价文件对应的某一分部分项工程费。</w:t>
      </w:r>
    </w:p>
    <w:p w14:paraId="31F9BF77">
      <w:pPr>
        <w:tabs>
          <w:tab w:val="left" w:pos="1620"/>
        </w:tabs>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726ACA34">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80" w:name="_Toc46860879"/>
      <w:bookmarkStart w:id="181" w:name="_Toc469384058"/>
      <w:r>
        <w:rPr>
          <w:rFonts w:hint="eastAsia" w:hAnsi="宋体" w:eastAsia="宋体" w:cs="宋体"/>
          <w:b/>
          <w:bCs/>
          <w:color w:val="auto"/>
          <w:sz w:val="24"/>
          <w:szCs w:val="24"/>
          <w:highlight w:val="none"/>
        </w:rPr>
        <w:t>★74  费用索赔事件</w:t>
      </w:r>
      <w:bookmarkEnd w:id="180"/>
      <w:bookmarkEnd w:id="181"/>
    </w:p>
    <w:p w14:paraId="48C41E74">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74.1      </w:t>
      </w:r>
    </w:p>
    <w:p w14:paraId="35D378B9">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34" name="000209"/>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5D866E8C">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14:paraId="0DFA100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wps:txbx>
                      <wps:bodyPr wrap="square"/>
                    </wps:wsp>
                  </a:graphicData>
                </a:graphic>
              </wp:anchor>
            </w:drawing>
          </mc:Choice>
          <mc:Fallback>
            <w:pict>
              <v:rect id="000209" o:spid="_x0000_s1026" o:spt="1" style="position:absolute;left:0pt;margin-left:-9pt;margin-top:1.25pt;height:31.2pt;width:72pt;z-index:251659264;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H2cf/YAAAACAEAAA8AAAAAAAAAAQAgAAAAIgAA&#10;AGRycy9kb3ducmV2LnhtbFBLAQIUABQAAAAIAIdO4kB3mneElgEAADgDAAAOAAAAAAAAAAEAIAAA&#10;ACcBAABkcnMvZTJvRG9jLnhtbFBLBQYAAAAABgAGAFkBAAAvBQAAAAA=&#10;">
                <v:fill on="f" focussize="0,0"/>
                <v:stroke on="f"/>
                <v:imagedata o:title=""/>
                <o:lock v:ext="edit" aspectratio="f"/>
                <v:textbox>
                  <w:txbxContent>
                    <w:p w14:paraId="5D866E8C">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14:paraId="0DFA100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v:textbox>
              </v:rect>
            </w:pict>
          </mc:Fallback>
        </mc:AlternateContent>
      </w:r>
      <w:r>
        <w:rPr>
          <w:rFonts w:hint="eastAsia" w:hAnsi="宋体" w:eastAsia="宋体" w:cs="宋体"/>
          <w:color w:val="auto"/>
          <w:sz w:val="24"/>
          <w:szCs w:val="24"/>
          <w:highlight w:val="none"/>
        </w:rPr>
        <w:t>费用索赔是指合同履行期间，对于非自己过错而应由对方当事人承担责任的情况造成的损失，向对方当事人提出经济补偿要求的行为。</w:t>
      </w:r>
    </w:p>
    <w:p w14:paraId="2255D05C">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合同履行期间，出现费用索赔事件的，合同双方当事人应调整合同价款。</w:t>
      </w:r>
    </w:p>
    <w:p w14:paraId="70447431">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6F0CC49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35" name="00020a"/>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15967DAC">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14:paraId="00580376">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wps:txbx>
                      <wps:bodyPr wrap="square"/>
                    </wps:wsp>
                  </a:graphicData>
                </a:graphic>
              </wp:anchor>
            </w:drawing>
          </mc:Choice>
          <mc:Fallback>
            <w:pict>
              <v:rect id="00020a" o:spid="_x0000_s1026" o:spt="1" style="position:absolute;left:0pt;margin-left:-9pt;margin-top:1.25pt;height:31.2pt;width:72pt;z-index:251659264;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H2cf/YAAAACAEAAA8AAAAAAAAAAQAgAAAAIgAA&#10;AGRycy9kb3ducmV2LnhtbFBLAQIUABQAAAAIAIdO4kDV/LqIlgEAADgDAAAOAAAAAAAAAAEAIAAA&#10;ACcBAABkcnMvZTJvRG9jLnhtbFBLBQYAAAAABgAGAFkBAAAvBQAAAAA=&#10;">
                <v:fill on="f" focussize="0,0"/>
                <v:stroke on="f"/>
                <v:imagedata o:title=""/>
                <o:lock v:ext="edit" aspectratio="f"/>
                <v:textbox>
                  <w:txbxContent>
                    <w:p w14:paraId="15967DAC">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14:paraId="00580376">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v:textbox>
              </v:rect>
            </w:pict>
          </mc:Fallback>
        </mc:AlternateContent>
      </w:r>
      <w:r>
        <w:rPr>
          <w:rFonts w:hint="eastAsia" w:hAnsi="宋体" w:eastAsia="宋体" w:cs="宋体"/>
          <w:color w:val="auto"/>
          <w:sz w:val="24"/>
          <w:szCs w:val="24"/>
          <w:highlight w:val="none"/>
        </w:rPr>
        <w:t>如果承包人根据合同约定提出任何费用或其它形式的损失索赔时，应在该索赔事件首次发生之后的14天内向造价工程师发出索赔意向书，并抄送发包人。</w:t>
      </w:r>
    </w:p>
    <w:p w14:paraId="3FA04F86">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74.3  </w:t>
      </w:r>
      <w:r>
        <w:rPr>
          <w:rFonts w:hint="eastAsia" w:hAnsi="宋体" w:eastAsia="宋体" w:cs="宋体"/>
          <w:b/>
          <w:bCs/>
          <w:color w:val="auto"/>
          <w:sz w:val="24"/>
          <w:szCs w:val="24"/>
          <w:highlight w:val="none"/>
          <w:u w:val="dotted"/>
        </w:rPr>
        <w:t xml:space="preserve">                                                                                                        </w:t>
      </w:r>
    </w:p>
    <w:p w14:paraId="72F6C6B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1336" name="00020b"/>
                <wp:cNvGraphicFramePr/>
                <a:graphic xmlns:a="http://schemas.openxmlformats.org/drawingml/2006/main">
                  <a:graphicData uri="http://schemas.microsoft.com/office/word/2010/wordprocessingShape">
                    <wps:wsp>
                      <wps:cNvSpPr/>
                      <wps:spPr>
                        <a:xfrm>
                          <a:off x="0" y="0"/>
                          <a:ext cx="914400" cy="522605"/>
                        </a:xfrm>
                        <a:prstGeom prst="rect">
                          <a:avLst/>
                        </a:prstGeom>
                        <a:ln>
                          <a:noFill/>
                        </a:ln>
                      </wps:spPr>
                      <wps:txbx>
                        <w:txbxContent>
                          <w:p w14:paraId="391A9F29">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14:paraId="6907A844">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wps:txbx>
                      <wps:bodyPr wrap="square"/>
                    </wps:wsp>
                  </a:graphicData>
                </a:graphic>
              </wp:anchor>
            </w:drawing>
          </mc:Choice>
          <mc:Fallback>
            <w:pict>
              <v:rect id="00020b" o:spid="_x0000_s1026" o:spt="1" style="position:absolute;left:0pt;margin-left:-9pt;margin-top:0.05pt;height:41.15pt;width:72pt;z-index:251659264;mso-width-relative:page;mso-height-relative:page;" filled="f" stroked="f" coordsize="21600,21600" o:gfxdata="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&#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Cv8N83WAAAABwEAAA8AAAAAAAAAAQAgAAAAIgAAAGRy&#10;cy9kb3ducmV2LnhtbFBLAQIUABQAAAAIAIdO4kDR2eFslQEAADgDAAAOAAAAAAAAAAEAIAAAACUB&#10;AABkcnMvZTJvRG9jLnhtbFBLBQYAAAAABgAGAFkBAAAsBQAAAAA=&#10;">
                <v:fill on="f" focussize="0,0"/>
                <v:stroke on="f"/>
                <v:imagedata o:title=""/>
                <o:lock v:ext="edit" aspectratio="f"/>
                <v:textbox>
                  <w:txbxContent>
                    <w:p w14:paraId="391A9F29">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14:paraId="6907A844">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v:textbox>
              </v:rect>
            </w:pict>
          </mc:Fallback>
        </mc:AlternateContent>
      </w:r>
      <w:r>
        <w:rPr>
          <w:rFonts w:hint="eastAsia" w:hAnsi="宋体" w:eastAsia="宋体" w:cs="宋体"/>
          <w:color w:val="auto"/>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4BAA464A">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74.4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4CFF614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1337" name="00020c"/>
                <wp:cNvGraphicFramePr/>
                <a:graphic xmlns:a="http://schemas.openxmlformats.org/drawingml/2006/main">
                  <a:graphicData uri="http://schemas.microsoft.com/office/word/2010/wordprocessingShape">
                    <wps:wsp>
                      <wps:cNvSpPr/>
                      <wps:spPr>
                        <a:xfrm>
                          <a:off x="0" y="0"/>
                          <a:ext cx="1028700" cy="480059"/>
                        </a:xfrm>
                        <a:prstGeom prst="rect">
                          <a:avLst/>
                        </a:prstGeom>
                        <a:ln>
                          <a:noFill/>
                        </a:ln>
                      </wps:spPr>
                      <wps:txbx>
                        <w:txbxContent>
                          <w:p w14:paraId="21746F55">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39C5E38F">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14:paraId="1394B6B1">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14:paraId="2F28CAA8">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wps:wsp>
                  </a:graphicData>
                </a:graphic>
              </wp:anchor>
            </w:drawing>
          </mc:Choice>
          <mc:Fallback>
            <w:pict>
              <v:rect id="00020c" o:spid="_x0000_s1026" o:spt="1" style="position:absolute;left:0pt;margin-left:-9pt;margin-top:0.4pt;height:37.8pt;width:81pt;z-index:251659264;mso-width-relative:page;mso-height-relative:page;" filled="f" stroked="f" coordsize="21600,21600" o:gfxdata="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RNcVuNcAAAAHAQAADwAAAAAAAAABACAAAAAiAAAA&#10;ZHJzL2Rvd25yZXYueG1sUEsBAhQAFAAAAAgAh07iQJKrcB6WAQAAOQMAAA4AAAAAAAAAAQAgAAAA&#10;JgEAAGRycy9lMm9Eb2MueG1sUEsFBgAAAAAGAAYAWQEAAC4FAAAAAA==&#10;">
                <v:fill on="f" focussize="0,0"/>
                <v:stroke on="f"/>
                <v:imagedata o:title=""/>
                <o:lock v:ext="edit" aspectratio="f"/>
                <v:textbox>
                  <w:txbxContent>
                    <w:p w14:paraId="21746F55">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39C5E38F">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14:paraId="1394B6B1">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14:paraId="2F28CAA8">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rect>
            </w:pict>
          </mc:Fallback>
        </mc:AlternateContent>
      </w:r>
      <w:r>
        <w:rPr>
          <w:rFonts w:hint="eastAsia" w:hAnsi="宋体" w:eastAsia="宋体" w:cs="宋体"/>
          <w:color w:val="auto"/>
          <w:sz w:val="24"/>
          <w:szCs w:val="24"/>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14:paraId="5908EEE7">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1338" name="00020d"/>
                <wp:cNvGraphicFramePr/>
                <a:graphic xmlns:a="http://schemas.openxmlformats.org/drawingml/2006/main">
                  <a:graphicData uri="http://schemas.microsoft.com/office/word/2010/wordprocessingShape">
                    <wps:wsp>
                      <wps:cNvSpPr/>
                      <wps:spPr>
                        <a:xfrm>
                          <a:off x="0" y="0"/>
                          <a:ext cx="800100" cy="324485"/>
                        </a:xfrm>
                        <a:prstGeom prst="rect">
                          <a:avLst/>
                        </a:prstGeom>
                        <a:ln>
                          <a:noFill/>
                        </a:ln>
                      </wps:spPr>
                      <wps:txbx>
                        <w:txbxContent>
                          <w:p w14:paraId="28E67006">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14:paraId="03073BB6">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rect id="00020d" o:spid="_x0000_s1026" o:spt="1" style="position:absolute;left:0pt;margin-left:-9pt;margin-top:19.75pt;height:25.55pt;width:63pt;z-index:251659264;mso-width-relative:page;mso-height-relative:page;" filled="f" stroked="f" coordsize="21600,21600" o:gfxdata="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&#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8tidM9kAAAAJAQAADwAAAAAAAAABACAAAAAiAAAA&#10;ZHJzL2Rvd25yZXYueG1sUEsBAhQAFAAAAAgAh07iQExV5BKUAQAAOAMAAA4AAAAAAAAAAQAgAAAA&#10;KAEAAGRycy9lMm9Eb2MueG1sUEsFBgAAAAAGAAYAWQEAAC4FAAAAAA==&#10;">
                <v:fill on="f" focussize="0,0"/>
                <v:stroke on="f"/>
                <v:imagedata o:title=""/>
                <o:lock v:ext="edit" aspectratio="f"/>
                <v:textbox>
                  <w:txbxContent>
                    <w:p w14:paraId="28E67006">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14:paraId="03073BB6">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rect>
            </w:pict>
          </mc:Fallback>
        </mc:AlternateContent>
      </w:r>
      <w:r>
        <w:rPr>
          <w:rFonts w:hint="eastAsia" w:hAnsi="宋体" w:eastAsia="宋体" w:cs="宋体"/>
          <w:b/>
          <w:bCs/>
          <w:color w:val="auto"/>
          <w:sz w:val="24"/>
          <w:szCs w:val="24"/>
          <w:highlight w:val="none"/>
        </w:rPr>
        <w:t xml:space="preserve">74.5  </w:t>
      </w:r>
      <w:r>
        <w:rPr>
          <w:rFonts w:hint="eastAsia" w:hAnsi="宋体" w:eastAsia="宋体" w:cs="宋体"/>
          <w:b/>
          <w:bCs/>
          <w:color w:val="auto"/>
          <w:sz w:val="24"/>
          <w:szCs w:val="24"/>
          <w:highlight w:val="none"/>
          <w:u w:val="dotted"/>
        </w:rPr>
        <w:t xml:space="preserve">                                                                                                        </w:t>
      </w:r>
    </w:p>
    <w:p w14:paraId="1725861B">
      <w:pPr>
        <w:pStyle w:val="24"/>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w:t>如果承包人提出的索赔未能遵守第74.2款至第74.4款规定，则承包人无权获得索赔或只限于获得由造价工程师按照提供记录予以核实的部分款额。</w:t>
      </w:r>
    </w:p>
    <w:p w14:paraId="321CB394">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74.6  </w:t>
      </w:r>
      <w:r>
        <w:rPr>
          <w:rFonts w:hint="eastAsia" w:hAnsi="宋体" w:eastAsia="宋体" w:cs="宋体"/>
          <w:b/>
          <w:bCs/>
          <w:color w:val="auto"/>
          <w:sz w:val="24"/>
          <w:szCs w:val="24"/>
          <w:highlight w:val="none"/>
          <w:u w:val="dotted"/>
        </w:rPr>
        <w:t xml:space="preserve">                                                                                                        </w:t>
      </w:r>
    </w:p>
    <w:p w14:paraId="68C313A6">
      <w:pPr>
        <w:pStyle w:val="24"/>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1339" name="00020e"/>
                <wp:cNvGraphicFramePr/>
                <a:graphic xmlns:a="http://schemas.openxmlformats.org/drawingml/2006/main">
                  <a:graphicData uri="http://schemas.microsoft.com/office/word/2010/wordprocessingShape">
                    <wps:wsp>
                      <wps:cNvSpPr/>
                      <wps:spPr>
                        <a:xfrm>
                          <a:off x="0" y="0"/>
                          <a:ext cx="914400" cy="438785"/>
                        </a:xfrm>
                        <a:prstGeom prst="rect">
                          <a:avLst/>
                        </a:prstGeom>
                        <a:ln>
                          <a:noFill/>
                        </a:ln>
                      </wps:spPr>
                      <wps:txbx>
                        <w:txbxContent>
                          <w:p w14:paraId="5C94D94D">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14:paraId="572E8C3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wps:txbx>
                      <wps:bodyPr wrap="square"/>
                    </wps:wsp>
                  </a:graphicData>
                </a:graphic>
              </wp:anchor>
            </w:drawing>
          </mc:Choice>
          <mc:Fallback>
            <w:pict>
              <v:rect id="00020e" o:spid="_x0000_s1026" o:spt="1" style="position:absolute;left:0pt;margin-left:-9pt;margin-top:0.65pt;height:34.55pt;width:72pt;z-index:251659264;mso-width-relative:page;mso-height-relative:page;" filled="f" stroked="f" coordsize="21600,21600" o:gfxdata="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JcbMitgAAAAIAQAADwAAAAAAAAABACAAAAAiAAAA&#10;ZHJzL2Rvd25yZXYueG1sUEsBAhQAFAAAAAgAh07iQNgG+x+VAQAAOAMAAA4AAAAAAAAAAQAgAAAA&#10;JwEAAGRycy9lMm9Eb2MueG1sUEsFBgAAAAAGAAYAWQEAAC4FAAAAAA==&#10;">
                <v:fill on="f" focussize="0,0"/>
                <v:stroke on="f"/>
                <v:imagedata o:title=""/>
                <o:lock v:ext="edit" aspectratio="f"/>
                <v:textbox>
                  <w:txbxContent>
                    <w:p w14:paraId="5C94D94D">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14:paraId="572E8C3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v:textbox>
              </v:rect>
            </w:pict>
          </mc:Fallback>
        </mc:AlternateContent>
      </w:r>
      <w:r>
        <w:rPr>
          <w:rFonts w:hint="eastAsia" w:hAnsi="宋体" w:eastAsia="宋体" w:cs="宋体"/>
          <w:color w:val="auto"/>
          <w:sz w:val="24"/>
          <w:szCs w:val="24"/>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56F981F5">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74.7  </w:t>
      </w:r>
      <w:r>
        <w:rPr>
          <w:rFonts w:hint="eastAsia" w:hAnsi="宋体" w:eastAsia="宋体" w:cs="宋体"/>
          <w:b/>
          <w:bCs/>
          <w:color w:val="auto"/>
          <w:sz w:val="24"/>
          <w:szCs w:val="24"/>
          <w:highlight w:val="none"/>
          <w:u w:val="dotted"/>
        </w:rPr>
        <w:t xml:space="preserve">                                                                                                        </w:t>
      </w:r>
    </w:p>
    <w:p w14:paraId="5EB63FE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1340" name="00020f"/>
                <wp:cNvGraphicFramePr/>
                <a:graphic xmlns:a="http://schemas.openxmlformats.org/drawingml/2006/main">
                  <a:graphicData uri="http://schemas.microsoft.com/office/word/2010/wordprocessingShape">
                    <wps:wsp>
                      <wps:cNvSpPr/>
                      <wps:spPr>
                        <a:xfrm>
                          <a:off x="0" y="0"/>
                          <a:ext cx="800100" cy="349885"/>
                        </a:xfrm>
                        <a:prstGeom prst="rect">
                          <a:avLst/>
                        </a:prstGeom>
                        <a:ln>
                          <a:noFill/>
                        </a:ln>
                      </wps:spPr>
                      <wps:txbx>
                        <w:txbxContent>
                          <w:p w14:paraId="66A7796E">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14:paraId="29690356">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rect id="00020f" o:spid="_x0000_s1026" o:spt="1" style="position:absolute;left:0pt;margin-left:-9pt;margin-top:3.05pt;height:27.55pt;width:63pt;z-index:251659264;mso-width-relative:page;mso-height-relative:page;" filled="f" stroked="f" coordsize="21600,21600" o:gfxdata="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LTnE+bVAAAACAEAAA8AAAAAAAAAAQAgAAAAIgAAAGRycy9k&#10;b3ducmV2LnhtbFBLAQIUABQAAAAIAIdO4kB3j2bIkwEAADgDAAAOAAAAAAAAAAEAIAAAACQBAABk&#10;cnMvZTJvRG9jLnhtbFBLBQYAAAAABgAGAFkBAAApBQAAAAA=&#10;">
                <v:fill on="f" focussize="0,0"/>
                <v:stroke on="f"/>
                <v:imagedata o:title=""/>
                <o:lock v:ext="edit" aspectratio="f"/>
                <v:textbox>
                  <w:txbxContent>
                    <w:p w14:paraId="66A7796E">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14:paraId="29690356">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rect>
            </w:pict>
          </mc:Fallback>
        </mc:AlternateContent>
      </w:r>
      <w:r>
        <w:rPr>
          <w:rFonts w:hint="eastAsia" w:hAnsi="宋体" w:eastAsia="宋体" w:cs="宋体"/>
          <w:color w:val="auto"/>
          <w:sz w:val="24"/>
          <w:szCs w:val="24"/>
          <w:highlight w:val="none"/>
        </w:rPr>
        <w:t>承包人未能按照合同约定履行各项义务或发生错误，给发包人造成损失，发包人可按照本条规定的时限和要求向承包人提出索赔。</w:t>
      </w:r>
    </w:p>
    <w:p w14:paraId="32B919DF">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74.8  </w:t>
      </w:r>
      <w:r>
        <w:rPr>
          <w:rFonts w:hint="eastAsia" w:hAnsi="宋体" w:eastAsia="宋体" w:cs="宋体"/>
          <w:b/>
          <w:bCs/>
          <w:color w:val="auto"/>
          <w:sz w:val="24"/>
          <w:szCs w:val="24"/>
          <w:highlight w:val="none"/>
          <w:u w:val="dotted"/>
        </w:rPr>
        <w:t xml:space="preserve">                                                                                                        </w:t>
      </w:r>
    </w:p>
    <w:p w14:paraId="19C90B8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1341" name="000210"/>
                <wp:cNvGraphicFramePr/>
                <a:graphic xmlns:a="http://schemas.openxmlformats.org/drawingml/2006/main">
                  <a:graphicData uri="http://schemas.microsoft.com/office/word/2010/wordprocessingShape">
                    <wps:wsp>
                      <wps:cNvSpPr/>
                      <wps:spPr>
                        <a:xfrm>
                          <a:off x="0" y="0"/>
                          <a:ext cx="914400" cy="622300"/>
                        </a:xfrm>
                        <a:prstGeom prst="rect">
                          <a:avLst/>
                        </a:prstGeom>
                        <a:ln>
                          <a:noFill/>
                        </a:ln>
                      </wps:spPr>
                      <wps:txbx>
                        <w:txbxContent>
                          <w:p w14:paraId="67BA3C64">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0CD617A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wps:txbx>
                      <wps:bodyPr wrap="square"/>
                    </wps:wsp>
                  </a:graphicData>
                </a:graphic>
              </wp:anchor>
            </w:drawing>
          </mc:Choice>
          <mc:Fallback>
            <w:pict>
              <v:rect id="000210" o:spid="_x0000_s1026" o:spt="1" style="position:absolute;left:0pt;margin-left:-9pt;margin-top:1.45pt;height:49pt;width:72pt;z-index:251659264;mso-width-relative:page;mso-height-relative:page;" filled="f" stroked="f" coordsize="21600,21600" o:gfxdata="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&#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hQ1H62QAAAAkBAAAPAAAAAAAAAAEAIAAAACIAAABk&#10;cnMvZG93bnJldi54bWxQSwECFAAUAAAACACHTuJAYBeij5MBAAA4AwAADgAAAAAAAAABACAAAAAo&#10;AQAAZHJzL2Uyb0RvYy54bWxQSwUGAAAAAAYABgBZAQAALQUAAAAA&#10;">
                <v:fill on="f" focussize="0,0"/>
                <v:stroke on="f"/>
                <v:imagedata o:title=""/>
                <o:lock v:ext="edit" aspectratio="f"/>
                <v:textbox>
                  <w:txbxContent>
                    <w:p w14:paraId="67BA3C64">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0CD617AE">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v:textbox>
              </v:rect>
            </w:pict>
          </mc:Fallback>
        </mc:AlternateContent>
      </w:r>
      <w:r>
        <w:rPr>
          <w:rFonts w:hint="eastAsia" w:hAnsi="宋体" w:eastAsia="宋体" w:cs="宋体"/>
          <w:color w:val="auto"/>
          <w:sz w:val="24"/>
          <w:szCs w:val="24"/>
          <w:highlight w:val="none"/>
        </w:rPr>
        <w:t>费用索赔报告被认可，则表明该事件已索赔成功，合同双方当事人应确认由此引起调整的合同价款，并作为追加（减）合同价款，与工程进度款或结算款同期支付。</w:t>
      </w:r>
    </w:p>
    <w:p w14:paraId="09544A17">
      <w:pPr>
        <w:pStyle w:val="24"/>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88780DF">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82" w:name="_Toc469384059"/>
      <w:bookmarkStart w:id="183" w:name="_Toc46860880"/>
      <w:r>
        <w:rPr>
          <w:rFonts w:hint="eastAsia" w:hAnsi="宋体" w:eastAsia="宋体" w:cs="宋体"/>
          <w:b/>
          <w:bCs/>
          <w:color w:val="auto"/>
          <w:sz w:val="24"/>
          <w:szCs w:val="24"/>
          <w:highlight w:val="none"/>
        </w:rPr>
        <w:t>★75  现场签证事件</w:t>
      </w:r>
      <w:bookmarkEnd w:id="182"/>
      <w:bookmarkEnd w:id="183"/>
    </w:p>
    <w:p w14:paraId="704EFAA9">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75.1 </w:t>
      </w:r>
    </w:p>
    <w:p w14:paraId="3A9A5C9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1342" name="000211"/>
                <wp:cNvGraphicFramePr/>
                <a:graphic xmlns:a="http://schemas.openxmlformats.org/drawingml/2006/main">
                  <a:graphicData uri="http://schemas.microsoft.com/office/word/2010/wordprocessingShape">
                    <wps:wsp>
                      <wps:cNvSpPr/>
                      <wps:spPr>
                        <a:xfrm>
                          <a:off x="0" y="0"/>
                          <a:ext cx="914400" cy="510540"/>
                        </a:xfrm>
                        <a:prstGeom prst="rect">
                          <a:avLst/>
                        </a:prstGeom>
                        <a:ln>
                          <a:noFill/>
                        </a:ln>
                      </wps:spPr>
                      <wps:txbx>
                        <w:txbxContent>
                          <w:p w14:paraId="6046549B">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55C8E1AC">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14:paraId="78C74697"/>
                        </w:txbxContent>
                      </wps:txbx>
                      <wps:bodyPr wrap="square"/>
                    </wps:wsp>
                  </a:graphicData>
                </a:graphic>
              </wp:anchor>
            </w:drawing>
          </mc:Choice>
          <mc:Fallback>
            <w:pict>
              <v:rect id="000211" o:spid="_x0000_s1026" o:spt="1" style="position:absolute;left:0pt;margin-left:-9pt;margin-top:0.4pt;height:40.2pt;width:72pt;z-index:251659264;mso-width-relative:page;mso-height-relative:page;" filled="f" stroked="f" coordsize="21600,21600" o:gfxdata="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&#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nfkhrVAAAABwEAAA8AAAAAAAAAAQAgAAAAIgAAAGRy&#10;cy9kb3ducmV2LnhtbFBLAQIUABQAAAAIAIdO4kAgKTz8lgEAADgDAAAOAAAAAAAAAAEAIAAAACQB&#10;AABkcnMvZTJvRG9jLnhtbFBLBQYAAAAABgAGAFkBAAAsBQAAAAA=&#10;">
                <v:fill on="f" focussize="0,0"/>
                <v:stroke on="f"/>
                <v:imagedata o:title=""/>
                <o:lock v:ext="edit" aspectratio="f"/>
                <v:textbox>
                  <w:txbxContent>
                    <w:p w14:paraId="6046549B">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55C8E1AC">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14:paraId="78C74697"/>
                  </w:txbxContent>
                </v:textbox>
              </v:rect>
            </w:pict>
          </mc:Fallback>
        </mc:AlternateContent>
      </w:r>
      <w:r>
        <w:rPr>
          <w:rFonts w:hint="eastAsia" w:hAnsi="宋体" w:eastAsia="宋体" w:cs="宋体"/>
          <w:color w:val="auto"/>
          <w:sz w:val="24"/>
          <w:szCs w:val="24"/>
          <w:highlight w:val="none"/>
        </w:rPr>
        <w:t>现场签证是指合同双方当事人就施工过程中涉及的责任事件所作的签认证明。</w:t>
      </w:r>
    </w:p>
    <w:p w14:paraId="7F29ABA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合同履行期间，出现现场签证事件的，合同双方当事人应调整合同价款。</w:t>
      </w:r>
    </w:p>
    <w:p w14:paraId="341AB28F">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75.2  </w:t>
      </w:r>
      <w:r>
        <w:rPr>
          <w:rFonts w:hint="eastAsia" w:hAnsi="宋体" w:eastAsia="宋体" w:cs="宋体"/>
          <w:b/>
          <w:bCs/>
          <w:color w:val="auto"/>
          <w:sz w:val="24"/>
          <w:szCs w:val="24"/>
          <w:highlight w:val="none"/>
          <w:u w:val="dotted"/>
        </w:rPr>
        <w:t xml:space="preserve">                                                                          </w:t>
      </w:r>
    </w:p>
    <w:p w14:paraId="70AF71A7">
      <w:pPr>
        <w:pStyle w:val="24"/>
        <w:adjustRightInd w:val="0"/>
        <w:snapToGrid w:val="0"/>
        <w:spacing w:line="300" w:lineRule="auto"/>
        <w:ind w:left="1617" w:leftChars="770" w:firstLine="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1343" name="000212"/>
                <wp:cNvGraphicFramePr/>
                <a:graphic xmlns:a="http://schemas.openxmlformats.org/drawingml/2006/main">
                  <a:graphicData uri="http://schemas.microsoft.com/office/word/2010/wordprocessingShape">
                    <wps:wsp>
                      <wps:cNvSpPr/>
                      <wps:spPr>
                        <a:xfrm>
                          <a:off x="0" y="0"/>
                          <a:ext cx="914400" cy="510540"/>
                        </a:xfrm>
                        <a:prstGeom prst="rect">
                          <a:avLst/>
                        </a:prstGeom>
                        <a:ln>
                          <a:noFill/>
                        </a:ln>
                      </wps:spPr>
                      <wps:txbx>
                        <w:txbxContent>
                          <w:p w14:paraId="5F87AE5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137992C5">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14:paraId="019A4C47"/>
                        </w:txbxContent>
                      </wps:txbx>
                      <wps:bodyPr wrap="square"/>
                    </wps:wsp>
                  </a:graphicData>
                </a:graphic>
              </wp:anchor>
            </w:drawing>
          </mc:Choice>
          <mc:Fallback>
            <w:pict>
              <v:rect id="000212" o:spid="_x0000_s1026" o:spt="1" style="position:absolute;left:0pt;margin-left:-9pt;margin-top:1.45pt;height:40.2pt;width:72pt;z-index:251659264;mso-width-relative:page;mso-height-relative:page;" filled="f" stroked="f" coordsize="21600,21600" o:gfxdata="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uH/jYAAAACAEAAA8AAAAAAAAAAQAgAAAAIgAA&#10;AGRycy9kb3ducmV2LnhtbFBLAQIUABQAAAAIAIdO4kBpvnFjlgEAADgDAAAOAAAAAAAAAAEAIAAA&#10;ACcBAABkcnMvZTJvRG9jLnhtbFBLBQYAAAAABgAGAFkBAAAvBQAAAAA=&#10;">
                <v:fill on="f" focussize="0,0"/>
                <v:stroke on="f"/>
                <v:imagedata o:title=""/>
                <o:lock v:ext="edit" aspectratio="f"/>
                <v:textbox>
                  <w:txbxContent>
                    <w:p w14:paraId="5F87AE5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137992C5">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14:paraId="019A4C47"/>
                  </w:txbxContent>
                </v:textbox>
              </v:rect>
            </w:pict>
          </mc:Fallback>
        </mc:AlternateContent>
      </w:r>
      <w:r>
        <w:rPr>
          <w:rFonts w:hint="eastAsia" w:hAnsi="宋体" w:eastAsia="宋体" w:cs="宋体"/>
          <w:color w:val="auto"/>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1722A134">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75.3  </w:t>
      </w:r>
      <w:r>
        <w:rPr>
          <w:rFonts w:hint="eastAsia" w:hAnsi="宋体" w:eastAsia="宋体" w:cs="宋体"/>
          <w:b/>
          <w:bCs/>
          <w:color w:val="auto"/>
          <w:sz w:val="24"/>
          <w:szCs w:val="24"/>
          <w:highlight w:val="none"/>
          <w:u w:val="dotted"/>
        </w:rPr>
        <w:t xml:space="preserve">                                                                          </w:t>
      </w:r>
    </w:p>
    <w:p w14:paraId="3DC701AB">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1344" name="000213"/>
                <wp:cNvGraphicFramePr/>
                <a:graphic xmlns:a="http://schemas.openxmlformats.org/drawingml/2006/main">
                  <a:graphicData uri="http://schemas.microsoft.com/office/word/2010/wordprocessingShape">
                    <wps:wsp>
                      <wps:cNvSpPr/>
                      <wps:spPr>
                        <a:xfrm>
                          <a:off x="0" y="0"/>
                          <a:ext cx="914400" cy="510540"/>
                        </a:xfrm>
                        <a:prstGeom prst="rect">
                          <a:avLst/>
                        </a:prstGeom>
                        <a:ln>
                          <a:noFill/>
                        </a:ln>
                      </wps:spPr>
                      <wps:txbx>
                        <w:txbxContent>
                          <w:p w14:paraId="1DC700DE">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23484988">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14:paraId="3DDCC28F"/>
                        </w:txbxContent>
                      </wps:txbx>
                      <wps:bodyPr wrap="square"/>
                    </wps:wsp>
                  </a:graphicData>
                </a:graphic>
              </wp:anchor>
            </w:drawing>
          </mc:Choice>
          <mc:Fallback>
            <w:pict>
              <v:rect id="000213" o:spid="_x0000_s1026" o:spt="1" style="position:absolute;left:0pt;margin-left:-9pt;margin-top:0.4pt;height:40.2pt;width:72pt;z-index:251659264;mso-width-relative:page;mso-height-relative:page;" filled="f" stroked="f" coordsize="21600,21600" o:gfxdata="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nfkhrVAAAABwEAAA8AAAAAAAAAAQAgAAAAIgAAAGRy&#10;cy9kb3ducmV2LnhtbFBLAQIUABQAAAAIAIdO4kB+cVJolgEAADgDAAAOAAAAAAAAAAEAIAAAACQB&#10;AABkcnMvZTJvRG9jLnhtbFBLBQYAAAAABgAGAFkBAAAsBQAAAAA=&#10;">
                <v:fill on="f" focussize="0,0"/>
                <v:stroke on="f"/>
                <v:imagedata o:title=""/>
                <o:lock v:ext="edit" aspectratio="f"/>
                <v:textbox>
                  <w:txbxContent>
                    <w:p w14:paraId="1DC700DE">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23484988">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14:paraId="3DDCC28F"/>
                  </w:txbxContent>
                </v:textbox>
              </v:rect>
            </w:pict>
          </mc:Fallback>
        </mc:AlternateContent>
      </w:r>
      <w:r>
        <w:rPr>
          <w:rFonts w:hint="eastAsia" w:hAnsi="宋体" w:eastAsia="宋体" w:cs="宋体"/>
          <w:color w:val="auto"/>
          <w:sz w:val="24"/>
          <w:szCs w:val="24"/>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14:paraId="449C174C">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75.4  </w:t>
      </w:r>
      <w:r>
        <w:rPr>
          <w:rFonts w:hint="eastAsia" w:hAnsi="宋体" w:eastAsia="宋体" w:cs="宋体"/>
          <w:b/>
          <w:bCs/>
          <w:color w:val="auto"/>
          <w:sz w:val="24"/>
          <w:szCs w:val="24"/>
          <w:highlight w:val="none"/>
          <w:u w:val="dotted"/>
        </w:rPr>
        <w:t xml:space="preserve">                                                                          </w:t>
      </w:r>
    </w:p>
    <w:p w14:paraId="45C42BC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1345" name="000214"/>
                <wp:cNvGraphicFramePr/>
                <a:graphic xmlns:a="http://schemas.openxmlformats.org/drawingml/2006/main">
                  <a:graphicData uri="http://schemas.microsoft.com/office/word/2010/wordprocessingShape">
                    <wps:wsp>
                      <wps:cNvSpPr/>
                      <wps:spPr>
                        <a:xfrm>
                          <a:off x="0" y="0"/>
                          <a:ext cx="914400" cy="480059"/>
                        </a:xfrm>
                        <a:prstGeom prst="rect">
                          <a:avLst/>
                        </a:prstGeom>
                        <a:ln>
                          <a:noFill/>
                        </a:ln>
                      </wps:spPr>
                      <wps:txbx>
                        <w:txbxContent>
                          <w:p w14:paraId="763D94A0">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4A546AEF">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14:paraId="4BF4E7EE">
                            <w:pPr>
                              <w:pStyle w:val="24"/>
                              <w:adjustRightInd w:val="0"/>
                              <w:snapToGrid w:val="0"/>
                              <w:spacing w:line="360" w:lineRule="auto"/>
                              <w:rPr>
                                <w:rFonts w:ascii="Times New Roman" w:hAnsi="Times New Roman"/>
                                <w:b/>
                                <w:bCs/>
                                <w:sz w:val="18"/>
                                <w:szCs w:val="18"/>
                              </w:rPr>
                            </w:pPr>
                          </w:p>
                          <w:p w14:paraId="0E60E19A"/>
                        </w:txbxContent>
                      </wps:txbx>
                      <wps:bodyPr wrap="square"/>
                    </wps:wsp>
                  </a:graphicData>
                </a:graphic>
              </wp:anchor>
            </w:drawing>
          </mc:Choice>
          <mc:Fallback>
            <w:pict>
              <v:rect id="000214" o:spid="_x0000_s1026" o:spt="1" style="position:absolute;left:0pt;margin-left:-9pt;margin-top:2.7pt;height:37.8pt;width:72pt;z-index:251659264;mso-width-relative:page;mso-height-relative:page;" filled="f" stroked="f" coordsize="21600,21600" o:gfxdata="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eQo1eNgAAAAIAQAADwAAAAAAAAABACAAAAAiAAAA&#10;ZHJzL2Rvd25yZXYueG1sUEsBAhQAFAAAAAgAh07iQK2u1/mVAQAAOAMAAA4AAAAAAAAAAQAgAAAA&#10;JwEAAGRycy9lMm9Eb2MueG1sUEsFBgAAAAAGAAYAWQEAAC4FAAAAAA==&#10;">
                <v:fill on="f" focussize="0,0"/>
                <v:stroke on="f"/>
                <v:imagedata o:title=""/>
                <o:lock v:ext="edit" aspectratio="f"/>
                <v:textbox>
                  <w:txbxContent>
                    <w:p w14:paraId="763D94A0">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4A546AEF">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14:paraId="4BF4E7EE">
                      <w:pPr>
                        <w:pStyle w:val="24"/>
                        <w:adjustRightInd w:val="0"/>
                        <w:snapToGrid w:val="0"/>
                        <w:spacing w:line="360" w:lineRule="auto"/>
                        <w:rPr>
                          <w:rFonts w:ascii="Times New Roman" w:hAnsi="Times New Roman"/>
                          <w:b/>
                          <w:bCs/>
                          <w:sz w:val="18"/>
                          <w:szCs w:val="18"/>
                        </w:rPr>
                      </w:pPr>
                    </w:p>
                    <w:p w14:paraId="0E60E19A"/>
                  </w:txbxContent>
                </v:textbox>
              </v:rect>
            </w:pict>
          </mc:Fallback>
        </mc:AlternateContent>
      </w:r>
      <w:r>
        <w:rPr>
          <w:rFonts w:hint="eastAsia" w:hAnsi="宋体" w:eastAsia="宋体" w:cs="宋体"/>
          <w:color w:val="auto"/>
          <w:sz w:val="24"/>
          <w:szCs w:val="24"/>
          <w:highlight w:val="none"/>
        </w:rPr>
        <w:t>计日工有相应单价或合同中有适用单价的项目，合同双方当事人仅在现场签证报告中列明完成该类项目所需的人工、材料、工程设备和施工设备机械台班的数量。</w:t>
      </w:r>
    </w:p>
    <w:p w14:paraId="1C9C830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14:paraId="21E5F71F">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75.5  </w:t>
      </w:r>
      <w:r>
        <w:rPr>
          <w:rFonts w:hint="eastAsia" w:hAnsi="宋体" w:eastAsia="宋体" w:cs="宋体"/>
          <w:b/>
          <w:bCs/>
          <w:color w:val="auto"/>
          <w:sz w:val="24"/>
          <w:szCs w:val="24"/>
          <w:highlight w:val="none"/>
          <w:u w:val="dotted"/>
        </w:rPr>
        <w:t xml:space="preserve">                                                                          </w:t>
      </w:r>
    </w:p>
    <w:p w14:paraId="093200A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1346" name="000215"/>
                <wp:cNvGraphicFramePr/>
                <a:graphic xmlns:a="http://schemas.openxmlformats.org/drawingml/2006/main">
                  <a:graphicData uri="http://schemas.microsoft.com/office/word/2010/wordprocessingShape">
                    <wps:wsp>
                      <wps:cNvSpPr/>
                      <wps:spPr>
                        <a:xfrm>
                          <a:off x="0" y="0"/>
                          <a:ext cx="914400" cy="480059"/>
                        </a:xfrm>
                        <a:prstGeom prst="rect">
                          <a:avLst/>
                        </a:prstGeom>
                        <a:ln>
                          <a:noFill/>
                        </a:ln>
                      </wps:spPr>
                      <wps:txbx>
                        <w:txbxContent>
                          <w:p w14:paraId="25EA8D61">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2C7E60C4">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14:paraId="42BFE10B">
                            <w:pPr>
                              <w:pStyle w:val="24"/>
                              <w:adjustRightInd w:val="0"/>
                              <w:snapToGrid w:val="0"/>
                              <w:rPr>
                                <w:rFonts w:ascii="Times New Roman" w:hAnsi="Times New Roman"/>
                                <w:b/>
                                <w:bCs/>
                                <w:sz w:val="18"/>
                                <w:szCs w:val="18"/>
                              </w:rPr>
                            </w:pPr>
                          </w:p>
                          <w:p w14:paraId="06C5F33A">
                            <w:pPr>
                              <w:pStyle w:val="24"/>
                              <w:adjustRightInd w:val="0"/>
                              <w:snapToGrid w:val="0"/>
                              <w:spacing w:line="360" w:lineRule="auto"/>
                              <w:rPr>
                                <w:rFonts w:ascii="Times New Roman" w:hAnsi="Times New Roman"/>
                                <w:b/>
                                <w:bCs/>
                                <w:sz w:val="18"/>
                                <w:szCs w:val="18"/>
                              </w:rPr>
                            </w:pPr>
                          </w:p>
                          <w:p w14:paraId="5F8493B4"/>
                        </w:txbxContent>
                      </wps:txbx>
                      <wps:bodyPr wrap="square"/>
                    </wps:wsp>
                  </a:graphicData>
                </a:graphic>
              </wp:anchor>
            </w:drawing>
          </mc:Choice>
          <mc:Fallback>
            <w:pict>
              <v:rect id="000215" o:spid="_x0000_s1026" o:spt="1" style="position:absolute;left:0pt;margin-left:-9pt;margin-top:6.1pt;height:37.8pt;width:72pt;z-index:251659264;mso-width-relative:page;mso-height-relative:page;" filled="f" stroked="f" coordsize="21600,21600" o:gfxdata="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XzdQ3ZAAAACQEAAA8AAAAAAAAAAQAgAAAAIgAA&#10;AGRycy9kb3ducmV2LnhtbFBLAQIUABQAAAAIAIdO4kCCguCzlQEAADgDAAAOAAAAAAAAAAEAIAAA&#10;ACgBAABkcnMvZTJvRG9jLnhtbFBLBQYAAAAABgAGAFkBAAAvBQAAAAA=&#10;">
                <v:fill on="f" focussize="0,0"/>
                <v:stroke on="f"/>
                <v:imagedata o:title=""/>
                <o:lock v:ext="edit" aspectratio="f"/>
                <v:textbox>
                  <w:txbxContent>
                    <w:p w14:paraId="25EA8D61">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2C7E60C4">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14:paraId="42BFE10B">
                      <w:pPr>
                        <w:pStyle w:val="24"/>
                        <w:adjustRightInd w:val="0"/>
                        <w:snapToGrid w:val="0"/>
                        <w:rPr>
                          <w:rFonts w:ascii="Times New Roman" w:hAnsi="Times New Roman"/>
                          <w:b/>
                          <w:bCs/>
                          <w:sz w:val="18"/>
                          <w:szCs w:val="18"/>
                        </w:rPr>
                      </w:pPr>
                    </w:p>
                    <w:p w14:paraId="06C5F33A">
                      <w:pPr>
                        <w:pStyle w:val="24"/>
                        <w:adjustRightInd w:val="0"/>
                        <w:snapToGrid w:val="0"/>
                        <w:spacing w:line="360" w:lineRule="auto"/>
                        <w:rPr>
                          <w:rFonts w:ascii="Times New Roman" w:hAnsi="Times New Roman"/>
                          <w:b/>
                          <w:bCs/>
                          <w:sz w:val="18"/>
                          <w:szCs w:val="18"/>
                        </w:rPr>
                      </w:pPr>
                    </w:p>
                    <w:p w14:paraId="5F8493B4"/>
                  </w:txbxContent>
                </v:textbox>
              </v:rect>
            </w:pict>
          </mc:Fallback>
        </mc:AlternateContent>
      </w:r>
      <w:r>
        <w:rPr>
          <w:rFonts w:hint="eastAsia" w:hAnsi="宋体" w:eastAsia="宋体" w:cs="宋体"/>
          <w:color w:val="auto"/>
          <w:sz w:val="24"/>
          <w:szCs w:val="24"/>
          <w:highlight w:val="none"/>
        </w:rPr>
        <w:t>承包人应在发包人确认现场签证报告后的48小时内，按照监理工程师发出的工作指令及时组织实施相关工作。否则，由此引起的损失和（或）延误的工期由承包人承担。</w:t>
      </w:r>
    </w:p>
    <w:p w14:paraId="1AFB32C6">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75.6  </w:t>
      </w:r>
      <w:r>
        <w:rPr>
          <w:rFonts w:hint="eastAsia" w:hAnsi="宋体" w:eastAsia="宋体" w:cs="宋体"/>
          <w:b/>
          <w:bCs/>
          <w:color w:val="auto"/>
          <w:sz w:val="24"/>
          <w:szCs w:val="24"/>
          <w:highlight w:val="none"/>
          <w:u w:val="dotted"/>
        </w:rPr>
        <w:t xml:space="preserve">                                                                           </w:t>
      </w:r>
    </w:p>
    <w:p w14:paraId="2CC2F117">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1347" name="000216"/>
                <wp:cNvGraphicFramePr/>
                <a:graphic xmlns:a="http://schemas.openxmlformats.org/drawingml/2006/main">
                  <a:graphicData uri="http://schemas.microsoft.com/office/word/2010/wordprocessingShape">
                    <wps:wsp>
                      <wps:cNvSpPr/>
                      <wps:spPr>
                        <a:xfrm>
                          <a:off x="0" y="0"/>
                          <a:ext cx="914400" cy="480059"/>
                        </a:xfrm>
                        <a:prstGeom prst="rect">
                          <a:avLst/>
                        </a:prstGeom>
                        <a:ln>
                          <a:noFill/>
                        </a:ln>
                      </wps:spPr>
                      <wps:txbx>
                        <w:txbxContent>
                          <w:p w14:paraId="2CD70EC0">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73C3896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14:paraId="7D2BB5A2">
                            <w:pPr>
                              <w:pStyle w:val="18"/>
                              <w:spacing w:line="200" w:lineRule="exact"/>
                              <w:ind w:left="5250"/>
                              <w:rPr>
                                <w:rFonts w:ascii="楷体_GB2312" w:hAnsi="宋体" w:eastAsia="楷体_GB2312"/>
                                <w:b/>
                                <w:bCs/>
                                <w:color w:val="000000"/>
                                <w:sz w:val="18"/>
                                <w:szCs w:val="18"/>
                              </w:rPr>
                            </w:pPr>
                          </w:p>
                          <w:p w14:paraId="2B4B8CC8">
                            <w:pPr>
                              <w:pStyle w:val="24"/>
                              <w:adjustRightInd w:val="0"/>
                              <w:snapToGrid w:val="0"/>
                              <w:spacing w:line="360" w:lineRule="auto"/>
                              <w:rPr>
                                <w:rFonts w:ascii="Times New Roman" w:hAnsi="Times New Roman"/>
                                <w:b/>
                                <w:bCs/>
                                <w:sz w:val="18"/>
                                <w:szCs w:val="18"/>
                              </w:rPr>
                            </w:pPr>
                          </w:p>
                          <w:p w14:paraId="5BDDB5D7"/>
                        </w:txbxContent>
                      </wps:txbx>
                      <wps:bodyPr wrap="square"/>
                    </wps:wsp>
                  </a:graphicData>
                </a:graphic>
              </wp:anchor>
            </w:drawing>
          </mc:Choice>
          <mc:Fallback>
            <w:pict>
              <v:rect id="000216" o:spid="_x0000_s1026" o:spt="1" style="position:absolute;left:0pt;margin-left:-9pt;margin-top:6.1pt;height:37.8pt;width:72pt;z-index:251659264;mso-width-relative:page;mso-height-relative:page;" filled="f" stroked="f" coordsize="21600,21600" o:gfxdata="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183UN2QAAAAkBAAAPAAAAAAAAAAEAIAAAACIA&#10;AABkcnMvZG93bnJldi54bWxQSwECFAAUAAAACACHTuJAyxWtLJYBAAA4AwAADgAAAAAAAAABACAA&#10;AAAoAQAAZHJzL2Uyb0RvYy54bWxQSwUGAAAAAAYABgBZAQAAMAUAAAAA&#10;">
                <v:fill on="f" focussize="0,0"/>
                <v:stroke on="f"/>
                <v:imagedata o:title=""/>
                <o:lock v:ext="edit" aspectratio="f"/>
                <v:textbox>
                  <w:txbxContent>
                    <w:p w14:paraId="2CD70EC0">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73C38960">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14:paraId="7D2BB5A2">
                      <w:pPr>
                        <w:pStyle w:val="18"/>
                        <w:spacing w:line="200" w:lineRule="exact"/>
                        <w:ind w:left="5250"/>
                        <w:rPr>
                          <w:rFonts w:ascii="楷体_GB2312" w:hAnsi="宋体" w:eastAsia="楷体_GB2312"/>
                          <w:b/>
                          <w:bCs/>
                          <w:color w:val="000000"/>
                          <w:sz w:val="18"/>
                          <w:szCs w:val="18"/>
                        </w:rPr>
                      </w:pPr>
                    </w:p>
                    <w:p w14:paraId="2B4B8CC8">
                      <w:pPr>
                        <w:pStyle w:val="24"/>
                        <w:adjustRightInd w:val="0"/>
                        <w:snapToGrid w:val="0"/>
                        <w:spacing w:line="360" w:lineRule="auto"/>
                        <w:rPr>
                          <w:rFonts w:ascii="Times New Roman" w:hAnsi="Times New Roman"/>
                          <w:b/>
                          <w:bCs/>
                          <w:sz w:val="18"/>
                          <w:szCs w:val="18"/>
                        </w:rPr>
                      </w:pPr>
                    </w:p>
                    <w:p w14:paraId="5BDDB5D7"/>
                  </w:txbxContent>
                </v:textbox>
              </v:rect>
            </w:pict>
          </mc:Fallback>
        </mc:AlternateContent>
      </w:r>
      <w:r>
        <w:rPr>
          <w:rFonts w:hint="eastAsia" w:hAnsi="宋体" w:eastAsia="宋体" w:cs="宋体"/>
          <w:color w:val="auto"/>
          <w:sz w:val="24"/>
          <w:szCs w:val="24"/>
          <w:highlight w:val="none"/>
        </w:rPr>
        <w:t>合同工程发生现场签证事件，未经发包人签证、确认，承包人便擅自实施相关工作的，除非征得发包人同意，否则发生的费用由承包人承担。</w:t>
      </w:r>
    </w:p>
    <w:p w14:paraId="2447F206">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75.7  </w:t>
      </w:r>
      <w:r>
        <w:rPr>
          <w:rFonts w:hint="eastAsia" w:hAnsi="宋体" w:eastAsia="宋体" w:cs="宋体"/>
          <w:b/>
          <w:bCs/>
          <w:color w:val="auto"/>
          <w:sz w:val="24"/>
          <w:szCs w:val="24"/>
          <w:highlight w:val="none"/>
          <w:u w:val="dotted"/>
        </w:rPr>
        <w:t xml:space="preserve">                                                                           </w:t>
      </w:r>
    </w:p>
    <w:p w14:paraId="663FB6B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1348" name="000217"/>
                <wp:cNvGraphicFramePr/>
                <a:graphic xmlns:a="http://schemas.openxmlformats.org/drawingml/2006/main">
                  <a:graphicData uri="http://schemas.microsoft.com/office/word/2010/wordprocessingShape">
                    <wps:wsp>
                      <wps:cNvSpPr/>
                      <wps:spPr>
                        <a:xfrm>
                          <a:off x="0" y="0"/>
                          <a:ext cx="914400" cy="480059"/>
                        </a:xfrm>
                        <a:prstGeom prst="rect">
                          <a:avLst/>
                        </a:prstGeom>
                        <a:ln>
                          <a:noFill/>
                        </a:ln>
                      </wps:spPr>
                      <wps:txbx>
                        <w:txbxContent>
                          <w:p w14:paraId="16331629">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02D39586">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14:paraId="00A7A866">
                            <w:pPr>
                              <w:pStyle w:val="24"/>
                              <w:adjustRightInd w:val="0"/>
                              <w:snapToGrid w:val="0"/>
                              <w:rPr>
                                <w:rFonts w:ascii="Times New Roman" w:hAnsi="Times New Roman"/>
                                <w:b/>
                                <w:bCs/>
                                <w:sz w:val="18"/>
                                <w:szCs w:val="18"/>
                              </w:rPr>
                            </w:pPr>
                          </w:p>
                          <w:p w14:paraId="570E00EC">
                            <w:pPr>
                              <w:pStyle w:val="24"/>
                              <w:adjustRightInd w:val="0"/>
                              <w:snapToGrid w:val="0"/>
                              <w:spacing w:line="360" w:lineRule="auto"/>
                              <w:rPr>
                                <w:rFonts w:ascii="Times New Roman" w:hAnsi="Times New Roman"/>
                                <w:b/>
                                <w:bCs/>
                                <w:sz w:val="18"/>
                                <w:szCs w:val="18"/>
                              </w:rPr>
                            </w:pPr>
                          </w:p>
                          <w:p w14:paraId="52805EF4"/>
                        </w:txbxContent>
                      </wps:txbx>
                      <wps:bodyPr wrap="square"/>
                    </wps:wsp>
                  </a:graphicData>
                </a:graphic>
              </wp:anchor>
            </w:drawing>
          </mc:Choice>
          <mc:Fallback>
            <w:pict>
              <v:rect id="000217" o:spid="_x0000_s1026" o:spt="1" style="position:absolute;left:0pt;margin-left:-9pt;margin-top:6.1pt;height:37.8pt;width:72pt;z-index:251659264;mso-width-relative:page;mso-height-relative:page;" filled="f" stroked="f" coordsize="21600,21600" o:gfxdata="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XzdQ3ZAAAACQEAAA8AAAAAAAAAAQAgAAAAIgAA&#10;AGRycy9kb3ducmV2LnhtbFBLAQIUABQAAAAIAIdO4kCsHKellQEAADgDAAAOAAAAAAAAAAEAIAAA&#10;ACgBAABkcnMvZTJvRG9jLnhtbFBLBQYAAAAABgAGAFkBAAAvBQAAAAA=&#10;">
                <v:fill on="f" focussize="0,0"/>
                <v:stroke on="f"/>
                <v:imagedata o:title=""/>
                <o:lock v:ext="edit" aspectratio="f"/>
                <v:textbox>
                  <w:txbxContent>
                    <w:p w14:paraId="16331629">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02D39586">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14:paraId="00A7A866">
                      <w:pPr>
                        <w:pStyle w:val="24"/>
                        <w:adjustRightInd w:val="0"/>
                        <w:snapToGrid w:val="0"/>
                        <w:rPr>
                          <w:rFonts w:ascii="Times New Roman" w:hAnsi="Times New Roman"/>
                          <w:b/>
                          <w:bCs/>
                          <w:sz w:val="18"/>
                          <w:szCs w:val="18"/>
                        </w:rPr>
                      </w:pPr>
                    </w:p>
                    <w:p w14:paraId="570E00EC">
                      <w:pPr>
                        <w:pStyle w:val="24"/>
                        <w:adjustRightInd w:val="0"/>
                        <w:snapToGrid w:val="0"/>
                        <w:spacing w:line="360" w:lineRule="auto"/>
                        <w:rPr>
                          <w:rFonts w:ascii="Times New Roman" w:hAnsi="Times New Roman"/>
                          <w:b/>
                          <w:bCs/>
                          <w:sz w:val="18"/>
                          <w:szCs w:val="18"/>
                        </w:rPr>
                      </w:pPr>
                    </w:p>
                    <w:p w14:paraId="52805EF4"/>
                  </w:txbxContent>
                </v:textbox>
              </v:rect>
            </w:pict>
          </mc:Fallback>
        </mc:AlternateContent>
      </w:r>
      <w:r>
        <w:rPr>
          <w:rFonts w:hint="eastAsia" w:hAnsi="宋体" w:eastAsia="宋体" w:cs="宋体"/>
          <w:color w:val="auto"/>
          <w:sz w:val="24"/>
          <w:szCs w:val="24"/>
          <w:highlight w:val="none"/>
        </w:rPr>
        <w:t>现场签证工作完成后的48小时内，合同双方当事人应确认由此引起调整的合同价款，并作为追加合同价款，与工程进度款同期支付。</w:t>
      </w:r>
    </w:p>
    <w:p w14:paraId="70F78A85">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C9E185E">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84" w:name="_Toc469384060"/>
      <w:bookmarkStart w:id="185" w:name="_Toc46860881"/>
      <w:r>
        <w:rPr>
          <w:rFonts w:hint="eastAsia" w:hAnsi="宋体" w:eastAsia="宋体" w:cs="宋体"/>
          <w:b/>
          <w:bCs/>
          <w:color w:val="auto"/>
          <w:sz w:val="24"/>
          <w:szCs w:val="24"/>
          <w:highlight w:val="none"/>
        </w:rPr>
        <w:t>★76  物价涨落事件</w:t>
      </w:r>
      <w:bookmarkEnd w:id="184"/>
      <w:bookmarkEnd w:id="185"/>
    </w:p>
    <w:p w14:paraId="529A5E1E">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1349" name="000218"/>
                <wp:cNvGraphicFramePr/>
                <a:graphic xmlns:a="http://schemas.openxmlformats.org/drawingml/2006/main">
                  <a:graphicData uri="http://schemas.microsoft.com/office/word/2010/wordprocessingShape">
                    <wps:wsp>
                      <wps:cNvSpPr/>
                      <wps:spPr>
                        <a:xfrm>
                          <a:off x="0" y="0"/>
                          <a:ext cx="914400" cy="591185"/>
                        </a:xfrm>
                        <a:prstGeom prst="rect">
                          <a:avLst/>
                        </a:prstGeom>
                        <a:ln>
                          <a:noFill/>
                        </a:ln>
                      </wps:spPr>
                      <wps:txbx>
                        <w:txbxContent>
                          <w:p w14:paraId="61E7A129">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14:paraId="0D66DA4C">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wps:txbx>
                      <wps:bodyPr wrap="square"/>
                    </wps:wsp>
                  </a:graphicData>
                </a:graphic>
              </wp:anchor>
            </w:drawing>
          </mc:Choice>
          <mc:Fallback>
            <w:pict>
              <v:rect id="000218" o:spid="_x0000_s1026" o:spt="1" style="position:absolute;left:0pt;margin-left:-9pt;margin-top:21.6pt;height:46.55pt;width:72pt;z-index:251659264;mso-width-relative:page;mso-height-relative:page;" filled="f" stroked="f" coordsize="21600,21600" o:gfxdata="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2VdVHNoAAAAKAQAADwAAAAAAAAABACAAAAAi&#10;AAAAZHJzL2Rvd25yZXYueG1sUEsBAhQAFAAAAAgAh07iQE7wlH2WAQAAOAMAAA4AAAAAAAAAAQAg&#10;AAAAKQEAAGRycy9lMm9Eb2MueG1sUEsFBgAAAAAGAAYAWQEAADEFAAAAAA==&#10;">
                <v:fill on="f" focussize="0,0"/>
                <v:stroke on="f"/>
                <v:imagedata o:title=""/>
                <o:lock v:ext="edit" aspectratio="f"/>
                <v:textbox>
                  <w:txbxContent>
                    <w:p w14:paraId="61E7A129">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14:paraId="0D66DA4C">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v:textbox>
              </v:rect>
            </w:pict>
          </mc:Fallback>
        </mc:AlternateContent>
      </w:r>
      <w:r>
        <w:rPr>
          <w:rFonts w:hint="eastAsia" w:hAnsi="宋体" w:eastAsia="宋体" w:cs="宋体"/>
          <w:b/>
          <w:bCs/>
          <w:color w:val="auto"/>
          <w:sz w:val="24"/>
          <w:szCs w:val="24"/>
          <w:highlight w:val="none"/>
        </w:rPr>
        <w:t xml:space="preserve">76.1      </w:t>
      </w:r>
    </w:p>
    <w:p w14:paraId="3A3A149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合同履行期间，除专用合同条款另有约定外，市场价格波动超过合同当事人约定的范围，合同价格应当调整。合同当事人可以在专用条款中约定按通用条款76.3款选择一种方式对合同价格进行调整。</w:t>
      </w:r>
    </w:p>
    <w:p w14:paraId="16B4A8C1">
      <w:pPr>
        <w:spacing w:line="30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DA76E95">
      <w:pPr>
        <w:pStyle w:val="24"/>
        <w:tabs>
          <w:tab w:val="left" w:pos="54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1350" name="000219"/>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3EE10015">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14:paraId="6B4B866F">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wps:txbx>
                      <wps:bodyPr wrap="square"/>
                    </wps:wsp>
                  </a:graphicData>
                </a:graphic>
              </wp:anchor>
            </w:drawing>
          </mc:Choice>
          <mc:Fallback>
            <w:pict>
              <v:rect id="000219" o:spid="_x0000_s1026" o:spt="1" style="position:absolute;left:0pt;margin-left:-10.5pt;margin-top:19.5pt;height:48.75pt;width:72pt;z-index:251659264;mso-width-relative:page;mso-height-relative:page;" filled="f" stroked="f" coordsize="21600,21600" o:gfxdata="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rqlKm2gAAAAoBAAAPAAAAAAAAAAEAIAAAACIA&#10;AABkcnMvZG93bnJldi54bWxQSwECFAAUAAAACACHTuJAfk291ZUBAAA4AwAADgAAAAAAAAABACAA&#10;AAApAQAAZHJzL2Uyb0RvYy54bWxQSwUGAAAAAAYABgBZAQAAMAUAAAAA&#10;">
                <v:fill on="f" focussize="0,0"/>
                <v:stroke on="f"/>
                <v:imagedata o:title=""/>
                <o:lock v:ext="edit" aspectratio="f"/>
                <v:textbox>
                  <w:txbxContent>
                    <w:p w14:paraId="3EE10015">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14:paraId="6B4B866F">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v:textbox>
              </v:rect>
            </w:pict>
          </mc:Fallback>
        </mc:AlternateContent>
      </w:r>
      <w:r>
        <w:rPr>
          <w:rFonts w:hint="eastAsia" w:hAnsi="宋体" w:eastAsia="宋体" w:cs="宋体"/>
          <w:b/>
          <w:bCs/>
          <w:color w:val="auto"/>
          <w:sz w:val="24"/>
          <w:szCs w:val="24"/>
          <w:highlight w:val="none"/>
        </w:rPr>
        <w:t xml:space="preserve">76.2  </w:t>
      </w:r>
      <w:r>
        <w:rPr>
          <w:rFonts w:hint="eastAsia" w:hAnsi="宋体" w:eastAsia="宋体" w:cs="宋体"/>
          <w:b/>
          <w:bCs/>
          <w:color w:val="auto"/>
          <w:sz w:val="24"/>
          <w:szCs w:val="24"/>
          <w:highlight w:val="none"/>
          <w:u w:val="dotted"/>
        </w:rPr>
        <w:t xml:space="preserve">                                                                                                        </w:t>
      </w:r>
    </w:p>
    <w:p w14:paraId="0AECEA7F">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执行第76.3款“第1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1F621401">
      <w:pPr>
        <w:pStyle w:val="24"/>
        <w:tabs>
          <w:tab w:val="left" w:pos="54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76.3  </w:t>
      </w:r>
      <w:r>
        <w:rPr>
          <w:rFonts w:hint="eastAsia" w:hAnsi="宋体" w:eastAsia="宋体" w:cs="宋体"/>
          <w:b/>
          <w:bCs/>
          <w:color w:val="auto"/>
          <w:sz w:val="24"/>
          <w:szCs w:val="24"/>
          <w:highlight w:val="none"/>
          <w:u w:val="dotted"/>
        </w:rPr>
        <w:t xml:space="preserve">                                                                                                        </w:t>
      </w:r>
    </w:p>
    <w:p w14:paraId="250025FC">
      <w:pPr>
        <w:spacing w:line="30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1351" name="00021a"/>
                <wp:cNvGraphicFramePr/>
                <a:graphic xmlns:a="http://schemas.openxmlformats.org/drawingml/2006/main">
                  <a:graphicData uri="http://schemas.microsoft.com/office/word/2010/wordprocessingShape">
                    <wps:wsp>
                      <wps:cNvSpPr/>
                      <wps:spPr>
                        <a:xfrm>
                          <a:off x="0" y="0"/>
                          <a:ext cx="914400" cy="1003300"/>
                        </a:xfrm>
                        <a:prstGeom prst="rect">
                          <a:avLst/>
                        </a:prstGeom>
                        <a:ln>
                          <a:noFill/>
                        </a:ln>
                      </wps:spPr>
                      <wps:txbx>
                        <w:txbxContent>
                          <w:p w14:paraId="08B9AF2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14:paraId="5C38E36B">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wps:txbx>
                      <wps:bodyPr wrap="square"/>
                    </wps:wsp>
                  </a:graphicData>
                </a:graphic>
              </wp:anchor>
            </w:drawing>
          </mc:Choice>
          <mc:Fallback>
            <w:pict>
              <v:rect id="00021a" o:spid="_x0000_s1026" o:spt="1" style="position:absolute;left:0pt;margin-left:-9pt;margin-top:1.25pt;height:79pt;width:72pt;z-index:251659264;mso-width-relative:page;mso-height-relative:page;" filled="f" stroked="f" coordsize="21600,21600" o:gfxdata="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GtUF7ZAAAACQEAAA8AAAAAAAAAAQAgAAAAIgAA&#10;AGRycy9kb3ducmV2LnhtbFBLAQIUABQAAAAIAIdO4kD+Rv4jlQEAADkDAAAOAAAAAAAAAAEAIAAA&#10;ACgBAABkcnMvZTJvRG9jLnhtbFBLBQYAAAAABgAGAFkBAAAvBQAAAAA=&#10;">
                <v:fill on="f" focussize="0,0"/>
                <v:stroke on="f"/>
                <v:imagedata o:title=""/>
                <o:lock v:ext="edit" aspectratio="f"/>
                <v:textbox>
                  <w:txbxContent>
                    <w:p w14:paraId="08B9AF23">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14:paraId="5C38E36B">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v:textbox>
              </v:rect>
            </w:pict>
          </mc:Fallback>
        </mc:AlternateContent>
      </w:r>
      <w:r>
        <w:rPr>
          <w:rFonts w:hint="eastAsia" w:ascii="宋体" w:hAnsi="宋体" w:eastAsia="宋体" w:cs="宋体"/>
          <w:color w:val="auto"/>
          <w:sz w:val="24"/>
          <w:highlight w:val="none"/>
        </w:rPr>
        <w:t xml:space="preserve">         第1种方式：采用造价信息进行价格调整。</w:t>
      </w:r>
    </w:p>
    <w:p w14:paraId="580B0A27">
      <w:pPr>
        <w:spacing w:line="300" w:lineRule="auto"/>
        <w:ind w:left="1438" w:leftChars="685"/>
        <w:rPr>
          <w:rFonts w:ascii="宋体" w:hAnsi="宋体" w:eastAsia="宋体" w:cs="宋体"/>
          <w:color w:val="auto"/>
          <w:sz w:val="24"/>
          <w:highlight w:val="none"/>
        </w:rPr>
      </w:pPr>
      <w:r>
        <w:rPr>
          <w:rFonts w:hint="eastAsia" w:ascii="宋体" w:hAnsi="宋体" w:eastAsia="宋体" w:cs="宋体"/>
          <w:color w:val="auto"/>
          <w:sz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3F1B8899">
      <w:pPr>
        <w:spacing w:line="300" w:lineRule="auto"/>
        <w:ind w:left="1559" w:leftChars="6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（1）材料、工程设备价格变化的价款调整按照发包人提供的基准价格，按以下风险范围规定执行：</w:t>
      </w:r>
    </w:p>
    <w:p w14:paraId="0A4CAE5A">
      <w:pPr>
        <w:spacing w:line="300" w:lineRule="auto"/>
        <w:ind w:left="1514" w:leftChars="721"/>
        <w:rPr>
          <w:rFonts w:ascii="宋体" w:hAnsi="宋体" w:eastAsia="宋体" w:cs="宋体"/>
          <w:color w:val="auto"/>
          <w:sz w:val="24"/>
          <w:highlight w:val="none"/>
        </w:rPr>
      </w:pPr>
      <w:r>
        <w:rPr>
          <w:rFonts w:hint="eastAsia" w:ascii="宋体" w:hAnsi="宋体" w:eastAsia="宋体" w:cs="宋体"/>
          <w:color w:val="auto"/>
          <w:sz w:val="24"/>
          <w:highlight w:val="none"/>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14:paraId="7DAB8A8A">
      <w:pPr>
        <w:spacing w:line="300" w:lineRule="auto"/>
        <w:ind w:left="1514" w:leftChars="721"/>
        <w:rPr>
          <w:rFonts w:ascii="宋体" w:hAnsi="宋体" w:eastAsia="宋体" w:cs="宋体"/>
          <w:color w:val="auto"/>
          <w:sz w:val="24"/>
          <w:highlight w:val="none"/>
        </w:rPr>
      </w:pPr>
      <w:r>
        <w:rPr>
          <w:rFonts w:hint="eastAsia" w:ascii="宋体" w:hAnsi="宋体" w:eastAsia="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14:paraId="1EEA3B73">
      <w:pPr>
        <w:spacing w:line="300" w:lineRule="auto"/>
        <w:ind w:left="1514" w:leftChars="721"/>
        <w:rPr>
          <w:rFonts w:ascii="宋体" w:hAnsi="宋体" w:eastAsia="宋体" w:cs="宋体"/>
          <w:color w:val="auto"/>
          <w:sz w:val="24"/>
          <w:highlight w:val="none"/>
        </w:rPr>
      </w:pPr>
      <w:r>
        <w:rPr>
          <w:rFonts w:hint="eastAsia" w:ascii="宋体" w:hAnsi="宋体" w:eastAsia="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4352524F">
      <w:pPr>
        <w:spacing w:line="300" w:lineRule="auto"/>
        <w:ind w:left="1529" w:leftChars="728"/>
        <w:rPr>
          <w:rFonts w:ascii="宋体" w:hAnsi="宋体" w:eastAsia="宋体" w:cs="宋体"/>
          <w:color w:val="auto"/>
          <w:sz w:val="24"/>
          <w:highlight w:val="none"/>
        </w:rPr>
      </w:pPr>
      <w:r>
        <w:rPr>
          <w:rFonts w:hint="eastAsia" w:ascii="宋体" w:hAnsi="宋体" w:eastAsia="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28915AC5">
      <w:pPr>
        <w:spacing w:line="300" w:lineRule="auto"/>
        <w:ind w:left="1470" w:leftChars="700"/>
        <w:rPr>
          <w:rFonts w:ascii="宋体" w:hAnsi="宋体" w:eastAsia="宋体" w:cs="宋体"/>
          <w:color w:val="auto"/>
          <w:sz w:val="24"/>
          <w:highlight w:val="none"/>
        </w:rPr>
      </w:pPr>
      <w:r>
        <w:rPr>
          <w:rFonts w:hint="eastAsia" w:ascii="宋体" w:hAnsi="宋体" w:eastAsia="宋体" w:cs="宋体"/>
          <w:color w:val="auto"/>
          <w:sz w:val="24"/>
          <w:highlight w:val="none"/>
        </w:rPr>
        <w:t>（2）施工机械台班单价或施工机械使用费发生变化超过省级或行业建设主管部门或其授权的工程造价管理机构规定的范围时，按规定调整合同价格。</w:t>
      </w:r>
    </w:p>
    <w:p w14:paraId="0142DBA2">
      <w:pPr>
        <w:spacing w:line="300" w:lineRule="auto"/>
        <w:rPr>
          <w:rFonts w:ascii="宋体" w:hAnsi="宋体" w:eastAsia="宋体" w:cs="宋体"/>
          <w:color w:val="auto"/>
          <w:sz w:val="24"/>
          <w:highlight w:val="none"/>
        </w:rPr>
      </w:pPr>
    </w:p>
    <w:p w14:paraId="78B21543">
      <w:pPr>
        <w:spacing w:line="300" w:lineRule="auto"/>
        <w:ind w:firstLine="1680" w:firstLineChars="700"/>
        <w:rPr>
          <w:rFonts w:ascii="宋体" w:hAnsi="宋体" w:eastAsia="宋体" w:cs="宋体"/>
          <w:color w:val="auto"/>
          <w:sz w:val="24"/>
          <w:highlight w:val="none"/>
        </w:rPr>
      </w:pPr>
      <w:r>
        <w:rPr>
          <w:rFonts w:hint="eastAsia" w:ascii="宋体" w:hAnsi="宋体" w:eastAsia="宋体" w:cs="宋体"/>
          <w:color w:val="auto"/>
          <w:sz w:val="24"/>
          <w:highlight w:val="none"/>
        </w:rPr>
        <w:t>第2种方式：专用合同条款约定的其他方式。</w:t>
      </w:r>
    </w:p>
    <w:p w14:paraId="17634684">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446E02">
      <w:pPr>
        <w:pStyle w:val="24"/>
        <w:tabs>
          <w:tab w:val="left" w:pos="540"/>
        </w:tabs>
        <w:adjustRightInd w:val="0"/>
        <w:snapToGrid w:val="0"/>
        <w:spacing w:line="300" w:lineRule="auto"/>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76.4</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178D8AAB">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1352" name="00021b"/>
                <wp:cNvGraphicFramePr/>
                <a:graphic xmlns:a="http://schemas.openxmlformats.org/drawingml/2006/main">
                  <a:graphicData uri="http://schemas.microsoft.com/office/word/2010/wordprocessingShape">
                    <wps:wsp>
                      <wps:cNvSpPr/>
                      <wps:spPr>
                        <a:xfrm>
                          <a:off x="0" y="0"/>
                          <a:ext cx="914400" cy="711835"/>
                        </a:xfrm>
                        <a:prstGeom prst="rect">
                          <a:avLst/>
                        </a:prstGeom>
                        <a:ln>
                          <a:noFill/>
                        </a:ln>
                      </wps:spPr>
                      <wps:txbx>
                        <w:txbxContent>
                          <w:p w14:paraId="03008F11">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14:paraId="063C1552">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wps:txbx>
                      <wps:bodyPr wrap="square"/>
                    </wps:wsp>
                  </a:graphicData>
                </a:graphic>
              </wp:anchor>
            </w:drawing>
          </mc:Choice>
          <mc:Fallback>
            <w:pict>
              <v:rect id="00021b" o:spid="_x0000_s1026" o:spt="1" style="position:absolute;left:0pt;margin-left:-5.25pt;margin-top:2.45pt;height:56.05pt;width:72pt;z-index:251659264;mso-width-relative:page;mso-height-relative:page;" filled="f" stroked="f" coordsize="21600,21600" o:gfxdata="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mIllQ2QAAAAkBAAAPAAAAAAAAAAEAIAAAACIA&#10;AABkcnMvZG93bnJldi54bWxQSwECFAAUAAAACACHTuJAhoNW+5YBAAA4AwAADgAAAAAAAAABACAA&#10;AAAoAQAAZHJzL2Uyb0RvYy54bWxQSwUGAAAAAAYABgBZAQAAMAUAAAAA&#10;">
                <v:fill on="f" focussize="0,0"/>
                <v:stroke on="f"/>
                <v:imagedata o:title=""/>
                <o:lock v:ext="edit" aspectratio="f"/>
                <v:textbox>
                  <w:txbxContent>
                    <w:p w14:paraId="03008F11">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14:paraId="063C1552">
                      <w:pPr>
                        <w:pStyle w:val="18"/>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v:textbox>
              </v:rect>
            </w:pict>
          </mc:Fallback>
        </mc:AlternateContent>
      </w:r>
    </w:p>
    <w:p w14:paraId="41F82F91">
      <w:pPr>
        <w:pStyle w:val="24"/>
        <w:tabs>
          <w:tab w:val="left" w:pos="54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76.5 </w:t>
      </w:r>
      <w:r>
        <w:rPr>
          <w:rFonts w:hint="eastAsia" w:hAnsi="宋体" w:eastAsia="宋体" w:cs="宋体"/>
          <w:b/>
          <w:bCs/>
          <w:color w:val="auto"/>
          <w:sz w:val="24"/>
          <w:szCs w:val="24"/>
          <w:highlight w:val="none"/>
          <w:u w:val="dotted"/>
        </w:rPr>
        <w:t xml:space="preserve">                                                                                                        </w:t>
      </w:r>
    </w:p>
    <w:p w14:paraId="6B0759D7">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353" name="00021c"/>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06704E1E">
                            <w:pPr>
                              <w:pStyle w:val="39"/>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wps:txbx>
                      <wps:bodyPr wrap="square"/>
                    </wps:wsp>
                  </a:graphicData>
                </a:graphic>
              </wp:anchor>
            </w:drawing>
          </mc:Choice>
          <mc:Fallback>
            <w:pict>
              <v:rect id="00021c" o:spid="_x0000_s1026" o:spt="1" style="position:absolute;left:0pt;margin-left:-9pt;margin-top:1.25pt;height:48.75pt;width:72pt;z-index:251659264;mso-width-relative:page;mso-height-relative:page;" filled="f" stroked="f" coordsize="21600,21600" o:gfxdata="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fSXnltgAAAAJAQAADwAAAAAAAAABACAAAAAiAAAA&#10;ZHJzL2Rvd25yZXYueG1sUEsBAhQAFAAAAAgAh07iQLqQCgyVAQAAOAMAAA4AAAAAAAAAAQAgAAAA&#10;JwEAAGRycy9lMm9Eb2MueG1sUEsFBgAAAAAGAAYAWQEAAC4FAAAAAA==&#10;">
                <v:fill on="f" focussize="0,0"/>
                <v:stroke on="f"/>
                <v:imagedata o:title=""/>
                <o:lock v:ext="edit" aspectratio="f"/>
                <v:textbox>
                  <w:txbxContent>
                    <w:p w14:paraId="06704E1E">
                      <w:pPr>
                        <w:pStyle w:val="39"/>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v:textbox>
              </v:rect>
            </w:pict>
          </mc:Fallback>
        </mc:AlternateContent>
      </w:r>
      <w:r>
        <w:rPr>
          <w:rFonts w:hint="eastAsia" w:hAnsi="宋体" w:eastAsia="宋体" w:cs="宋体"/>
          <w:color w:val="auto"/>
          <w:sz w:val="24"/>
          <w:szCs w:val="24"/>
          <w:highlight w:val="none"/>
        </w:rPr>
        <w:t>发包人供应材料和工程设备的，由发包人按照实际变化调整，列入合同工程的工程造价内。</w:t>
      </w:r>
    </w:p>
    <w:p w14:paraId="783AD262">
      <w:pPr>
        <w:pStyle w:val="24"/>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437712E">
      <w:pPr>
        <w:pStyle w:val="4"/>
        <w:tabs>
          <w:tab w:val="left" w:pos="420"/>
        </w:tabs>
        <w:spacing w:line="300" w:lineRule="auto"/>
        <w:rPr>
          <w:rFonts w:ascii="宋体" w:hAnsi="宋体" w:eastAsia="宋体" w:cs="宋体"/>
          <w:b w:val="0"/>
          <w:bCs w:val="0"/>
          <w:color w:val="auto"/>
          <w:sz w:val="24"/>
          <w:szCs w:val="24"/>
          <w:highlight w:val="none"/>
        </w:rPr>
      </w:pPr>
      <w:bookmarkStart w:id="186" w:name="_Toc46860882"/>
      <w:bookmarkStart w:id="187" w:name="_Toc469384061"/>
      <w:r>
        <w:rPr>
          <w:rFonts w:hint="eastAsia" w:ascii="宋体" w:hAnsi="宋体" w:eastAsia="宋体" w:cs="宋体"/>
          <w:b w:val="0"/>
          <w:bCs w:val="0"/>
          <w:color w:val="auto"/>
          <w:sz w:val="24"/>
          <w:szCs w:val="24"/>
          <w:highlight w:val="none"/>
        </w:rPr>
        <w:t>★</w:t>
      </w:r>
      <w:r>
        <w:rPr>
          <w:rFonts w:hint="eastAsia" w:ascii="宋体" w:hAnsi="宋体" w:eastAsia="宋体" w:cs="宋体"/>
          <w:bCs w:val="0"/>
          <w:color w:val="auto"/>
          <w:sz w:val="24"/>
          <w:szCs w:val="24"/>
          <w:highlight w:val="none"/>
        </w:rPr>
        <w:t>77  合同价款调整程序</w:t>
      </w:r>
      <w:bookmarkEnd w:id="186"/>
      <w:bookmarkEnd w:id="187"/>
    </w:p>
    <w:p w14:paraId="4A10F674">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77.1</w:t>
      </w:r>
    </w:p>
    <w:p w14:paraId="50690E1D">
      <w:pPr>
        <w:spacing w:line="300" w:lineRule="auto"/>
        <w:ind w:left="1619" w:leftChars="771" w:firstLine="2"/>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1354" name="00021d"/>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50D158BF">
                            <w:pPr>
                              <w:pStyle w:val="39"/>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wps:wsp>
                  </a:graphicData>
                </a:graphic>
              </wp:anchor>
            </w:drawing>
          </mc:Choice>
          <mc:Fallback>
            <w:pict>
              <v:rect id="00021d" o:spid="_x0000_s1026" o:spt="1" style="position:absolute;left:0pt;margin-left:-9pt;margin-top:1.25pt;height:54.6pt;width:72pt;z-index:251659264;mso-width-relative:page;mso-height-relative:page;" filled="f" stroked="f" coordsize="21600,21600" o:gfxdata="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uFmQm2QAAAAkBAAAPAAAAAAAAAAEAIAAAACIA&#10;AABkcnMvZG93bnJldi54bWxQSwECFAAUAAAACACHTuJAz0GQK5YBAAA4AwAADgAAAAAAAAABACAA&#10;AAAoAQAAZHJzL2Uyb0RvYy54bWxQSwUGAAAAAAYABgBZAQAAMAUAAAAA&#10;">
                <v:fill on="f" focussize="0,0"/>
                <v:stroke on="f"/>
                <v:imagedata o:title=""/>
                <o:lock v:ext="edit" aspectratio="f"/>
                <v:textbox>
                  <w:txbxContent>
                    <w:p w14:paraId="50D158BF">
                      <w:pPr>
                        <w:pStyle w:val="39"/>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rect>
            </w:pict>
          </mc:Fallback>
        </mc:AlternateContent>
      </w:r>
      <w:r>
        <w:rPr>
          <w:rFonts w:hint="eastAsia" w:ascii="宋体" w:hAnsi="宋体" w:eastAsia="宋体" w:cs="宋体"/>
          <w:color w:val="auto"/>
          <w:sz w:val="24"/>
          <w:highlight w:val="none"/>
        </w:rPr>
        <w:t>合同履行期间，出现第68.2款规定调整合同价款事件的，除费用索赔、现场签证事件分别按照第74条、第75条规定程序外，合同双方当事人应按照本条规定程序调整合同价款。</w:t>
      </w:r>
    </w:p>
    <w:p w14:paraId="184B3A69">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-57785</wp:posOffset>
                </wp:positionH>
                <wp:positionV relativeFrom="paragraph">
                  <wp:posOffset>245745</wp:posOffset>
                </wp:positionV>
                <wp:extent cx="914400" cy="619125"/>
                <wp:effectExtent l="0" t="0" r="0" b="0"/>
                <wp:wrapNone/>
                <wp:docPr id="1355" name="00021e"/>
                <wp:cNvGraphicFramePr/>
                <a:graphic xmlns:a="http://schemas.openxmlformats.org/drawingml/2006/main">
                  <a:graphicData uri="http://schemas.microsoft.com/office/word/2010/wordprocessingShape">
                    <wps:wsp>
                      <wps:cNvSpPr/>
                      <wps:spPr>
                        <a:xfrm>
                          <a:off x="0" y="0"/>
                          <a:ext cx="914400" cy="619125"/>
                        </a:xfrm>
                        <a:prstGeom prst="rect">
                          <a:avLst/>
                        </a:prstGeom>
                        <a:ln>
                          <a:noFill/>
                        </a:ln>
                      </wps:spPr>
                      <wps:txbx>
                        <w:txbxContent>
                          <w:p w14:paraId="1CEE83D0">
                            <w:pPr>
                              <w:pStyle w:val="39"/>
                              <w:spacing w:line="200" w:lineRule="exact"/>
                              <w:rPr>
                                <w:rFonts w:ascii="楷体_GB2312" w:hAnsi="宋体"/>
                                <w:sz w:val="18"/>
                                <w:szCs w:val="18"/>
                              </w:rPr>
                            </w:pPr>
                            <w:r>
                              <w:rPr>
                                <w:rFonts w:hint="eastAsia" w:ascii="楷体_GB2312" w:hAnsi="宋体" w:cs="楷体_GB2312"/>
                                <w:sz w:val="18"/>
                                <w:szCs w:val="18"/>
                              </w:rPr>
                              <w:t>合同价款调增报告的提出</w:t>
                            </w:r>
                          </w:p>
                          <w:p w14:paraId="1B84A07F">
                            <w:pPr>
                              <w:pStyle w:val="39"/>
                              <w:spacing w:line="200" w:lineRule="exact"/>
                              <w:rPr>
                                <w:rFonts w:ascii="宋体" w:hAnsi="宋体" w:eastAsia="宋体"/>
                                <w:sz w:val="18"/>
                                <w:szCs w:val="18"/>
                              </w:rPr>
                            </w:pPr>
                          </w:p>
                        </w:txbxContent>
                      </wps:txbx>
                      <wps:bodyPr wrap="square"/>
                    </wps:wsp>
                  </a:graphicData>
                </a:graphic>
              </wp:anchor>
            </w:drawing>
          </mc:Choice>
          <mc:Fallback>
            <w:pict>
              <v:rect id="00021e" o:spid="_x0000_s1026" o:spt="1" style="position:absolute;left:0pt;margin-left:-4.55pt;margin-top:19.35pt;height:48.75pt;width:72pt;z-index:251659264;mso-width-relative:page;mso-height-relative:page;" filled="f" stroked="f" coordsize="21600,21600" o:gfxdata="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LBeRu2gAAAAkBAAAPAAAAAAAAAAEAIAAAACIA&#10;AABkcnMvZG93bnJldi54bWxQSwECFAAUAAAACACHTuJAUVv0qJUBAAA4AwAADgAAAAAAAAABACAA&#10;AAApAQAAZHJzL2Uyb0RvYy54bWxQSwUGAAAAAAYABgBZAQAAMAUAAAAA&#10;">
                <v:fill on="f" focussize="0,0"/>
                <v:stroke on="f"/>
                <v:imagedata o:title=""/>
                <o:lock v:ext="edit" aspectratio="f"/>
                <v:textbox>
                  <w:txbxContent>
                    <w:p w14:paraId="1CEE83D0">
                      <w:pPr>
                        <w:pStyle w:val="39"/>
                        <w:spacing w:line="200" w:lineRule="exact"/>
                        <w:rPr>
                          <w:rFonts w:ascii="楷体_GB2312" w:hAnsi="宋体"/>
                          <w:sz w:val="18"/>
                          <w:szCs w:val="18"/>
                        </w:rPr>
                      </w:pPr>
                      <w:r>
                        <w:rPr>
                          <w:rFonts w:hint="eastAsia" w:ascii="楷体_GB2312" w:hAnsi="宋体" w:cs="楷体_GB2312"/>
                          <w:sz w:val="18"/>
                          <w:szCs w:val="18"/>
                        </w:rPr>
                        <w:t>合同价款调增报告的提出</w:t>
                      </w:r>
                    </w:p>
                    <w:p w14:paraId="1B84A07F">
                      <w:pPr>
                        <w:pStyle w:val="39"/>
                        <w:spacing w:line="200" w:lineRule="exact"/>
                        <w:rPr>
                          <w:rFonts w:ascii="宋体" w:hAnsi="宋体" w:eastAsia="宋体"/>
                          <w:sz w:val="18"/>
                          <w:szCs w:val="18"/>
                        </w:rPr>
                      </w:pPr>
                    </w:p>
                  </w:txbxContent>
                </v:textbox>
              </v:rect>
            </w:pict>
          </mc:Fallback>
        </mc:AlternateContent>
      </w:r>
      <w:r>
        <w:rPr>
          <w:rFonts w:hint="eastAsia" w:hAnsi="宋体" w:eastAsia="宋体" w:cs="宋体"/>
          <w:b/>
          <w:bCs/>
          <w:color w:val="auto"/>
          <w:sz w:val="24"/>
          <w:szCs w:val="24"/>
          <w:highlight w:val="none"/>
        </w:rPr>
        <w:t xml:space="preserve">77.2 </w:t>
      </w:r>
      <w:r>
        <w:rPr>
          <w:rFonts w:hint="eastAsia" w:hAnsi="宋体" w:eastAsia="宋体" w:cs="宋体"/>
          <w:b/>
          <w:bCs/>
          <w:color w:val="auto"/>
          <w:sz w:val="24"/>
          <w:szCs w:val="24"/>
          <w:highlight w:val="none"/>
          <w:u w:val="dotted"/>
        </w:rPr>
        <w:t xml:space="preserve">                                                                               </w:t>
      </w:r>
    </w:p>
    <w:p w14:paraId="6FCFCB74">
      <w:pPr>
        <w:pStyle w:val="24"/>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14:paraId="1F38DA7D">
      <w:pPr>
        <w:pStyle w:val="24"/>
        <w:adjustRightInd w:val="0"/>
        <w:snapToGrid w:val="0"/>
        <w:spacing w:line="300" w:lineRule="auto"/>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 xml:space="preserve">77.3 </w:t>
      </w:r>
      <w:r>
        <w:rPr>
          <w:rFonts w:hint="eastAsia" w:hAnsi="宋体" w:eastAsia="宋体" w:cs="宋体"/>
          <w:color w:val="auto"/>
          <w:sz w:val="24"/>
          <w:szCs w:val="24"/>
          <w:highlight w:val="none"/>
          <w:u w:val="dotted"/>
        </w:rPr>
        <w:t xml:space="preserve">                                                                              </w:t>
      </w:r>
    </w:p>
    <w:p w14:paraId="709FF354">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1356" name="00021f"/>
                <wp:cNvGraphicFramePr/>
                <a:graphic xmlns:a="http://schemas.openxmlformats.org/drawingml/2006/main">
                  <a:graphicData uri="http://schemas.microsoft.com/office/word/2010/wordprocessingShape">
                    <wps:wsp>
                      <wps:cNvSpPr/>
                      <wps:spPr>
                        <a:xfrm>
                          <a:off x="0" y="0"/>
                          <a:ext cx="1028700" cy="495300"/>
                        </a:xfrm>
                        <a:prstGeom prst="rect">
                          <a:avLst/>
                        </a:prstGeom>
                        <a:ln>
                          <a:noFill/>
                        </a:ln>
                      </wps:spPr>
                      <wps:txbx>
                        <w:txbxContent>
                          <w:p w14:paraId="57388211">
                            <w:pPr>
                              <w:pStyle w:val="39"/>
                              <w:spacing w:line="200" w:lineRule="exact"/>
                              <w:rPr>
                                <w:rFonts w:ascii="楷体_GB2312" w:hAnsi="宋体"/>
                                <w:sz w:val="18"/>
                                <w:szCs w:val="18"/>
                              </w:rPr>
                            </w:pPr>
                            <w:r>
                              <w:rPr>
                                <w:rFonts w:hint="eastAsia" w:ascii="楷体_GB2312" w:hAnsi="宋体" w:cs="楷体_GB2312"/>
                                <w:sz w:val="18"/>
                                <w:szCs w:val="18"/>
                              </w:rPr>
                              <w:t>调增价款的核</w:t>
                            </w:r>
                          </w:p>
                          <w:p w14:paraId="27E0C889">
                            <w:pPr>
                              <w:pStyle w:val="39"/>
                              <w:spacing w:line="200" w:lineRule="exact"/>
                              <w:rPr>
                                <w:rFonts w:ascii="楷体_GB2312" w:hAnsi="宋体"/>
                                <w:sz w:val="18"/>
                                <w:szCs w:val="18"/>
                              </w:rPr>
                            </w:pPr>
                            <w:r>
                              <w:rPr>
                                <w:rFonts w:hint="eastAsia" w:ascii="楷体_GB2312" w:hAnsi="宋体" w:cs="楷体_GB2312"/>
                                <w:sz w:val="18"/>
                                <w:szCs w:val="18"/>
                              </w:rPr>
                              <w:t>实</w:t>
                            </w:r>
                          </w:p>
                        </w:txbxContent>
                      </wps:txbx>
                      <wps:bodyPr wrap="square"/>
                    </wps:wsp>
                  </a:graphicData>
                </a:graphic>
              </wp:anchor>
            </w:drawing>
          </mc:Choice>
          <mc:Fallback>
            <w:pict>
              <v:rect id="00021f" o:spid="_x0000_s1026" o:spt="1" style="position:absolute;left:0pt;margin-left:-9pt;margin-top:2.7pt;height:39pt;width:81pt;z-index:251659264;mso-width-relative:page;mso-height-relative:page;" filled="f" stroked="f" coordsize="21600,21600" o:gfxdata="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RbmcnYAAAACAEAAA8AAAAAAAAAAQAgAAAAIgAA&#10;AGRycy9kb3ducmV2LnhtbFBLAQIUABQAAAAIAIdO4kA0ZVY1lgEAADkDAAAOAAAAAAAAAAEAIAAA&#10;ACcBAABkcnMvZTJvRG9jLnhtbFBLBQYAAAAABgAGAFkBAAAvBQAAAAA=&#10;">
                <v:fill on="f" focussize="0,0"/>
                <v:stroke on="f"/>
                <v:imagedata o:title=""/>
                <o:lock v:ext="edit" aspectratio="f"/>
                <v:textbox>
                  <w:txbxContent>
                    <w:p w14:paraId="57388211">
                      <w:pPr>
                        <w:pStyle w:val="39"/>
                        <w:spacing w:line="200" w:lineRule="exact"/>
                        <w:rPr>
                          <w:rFonts w:ascii="楷体_GB2312" w:hAnsi="宋体"/>
                          <w:sz w:val="18"/>
                          <w:szCs w:val="18"/>
                        </w:rPr>
                      </w:pPr>
                      <w:r>
                        <w:rPr>
                          <w:rFonts w:hint="eastAsia" w:ascii="楷体_GB2312" w:hAnsi="宋体" w:cs="楷体_GB2312"/>
                          <w:sz w:val="18"/>
                          <w:szCs w:val="18"/>
                        </w:rPr>
                        <w:t>调增价款的核</w:t>
                      </w:r>
                    </w:p>
                    <w:p w14:paraId="27E0C889">
                      <w:pPr>
                        <w:pStyle w:val="39"/>
                        <w:spacing w:line="200" w:lineRule="exact"/>
                        <w:rPr>
                          <w:rFonts w:ascii="楷体_GB2312" w:hAnsi="宋体"/>
                          <w:sz w:val="18"/>
                          <w:szCs w:val="18"/>
                        </w:rPr>
                      </w:pPr>
                      <w:r>
                        <w:rPr>
                          <w:rFonts w:hint="eastAsia" w:ascii="楷体_GB2312" w:hAnsi="宋体" w:cs="楷体_GB2312"/>
                          <w:sz w:val="18"/>
                          <w:szCs w:val="18"/>
                        </w:rPr>
                        <w:t>实</w:t>
                      </w:r>
                    </w:p>
                  </w:txbxContent>
                </v:textbox>
              </v:rect>
            </w:pict>
          </mc:Fallback>
        </mc:AlternateContent>
      </w:r>
      <w:r>
        <w:rPr>
          <w:rFonts w:hint="eastAsia" w:hAnsi="宋体" w:eastAsia="宋体" w:cs="宋体"/>
          <w:color w:val="auto"/>
          <w:sz w:val="24"/>
          <w:szCs w:val="24"/>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6F4EB004">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77.4 </w:t>
      </w:r>
      <w:r>
        <w:rPr>
          <w:rFonts w:hint="eastAsia" w:hAnsi="宋体" w:eastAsia="宋体" w:cs="宋体"/>
          <w:b/>
          <w:bCs/>
          <w:color w:val="auto"/>
          <w:sz w:val="24"/>
          <w:szCs w:val="24"/>
          <w:highlight w:val="none"/>
          <w:u w:val="dotted"/>
        </w:rPr>
        <w:t xml:space="preserve">                                                                              </w:t>
      </w:r>
    </w:p>
    <w:p w14:paraId="4FE0059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1357" name="000220"/>
                <wp:cNvGraphicFramePr/>
                <a:graphic xmlns:a="http://schemas.openxmlformats.org/drawingml/2006/main">
                  <a:graphicData uri="http://schemas.microsoft.com/office/word/2010/wordprocessingShape">
                    <wps:wsp>
                      <wps:cNvSpPr/>
                      <wps:spPr>
                        <a:xfrm>
                          <a:off x="0" y="0"/>
                          <a:ext cx="1028700" cy="495300"/>
                        </a:xfrm>
                        <a:prstGeom prst="rect">
                          <a:avLst/>
                        </a:prstGeom>
                        <a:ln>
                          <a:noFill/>
                        </a:ln>
                      </wps:spPr>
                      <wps:txbx>
                        <w:txbxContent>
                          <w:p w14:paraId="130528C8">
                            <w:pPr>
                              <w:pStyle w:val="39"/>
                              <w:spacing w:line="200" w:lineRule="exact"/>
                              <w:rPr>
                                <w:rFonts w:ascii="楷体_GB2312" w:hAnsi="宋体"/>
                                <w:sz w:val="18"/>
                                <w:szCs w:val="18"/>
                              </w:rPr>
                            </w:pPr>
                            <w:r>
                              <w:rPr>
                                <w:rFonts w:hint="eastAsia" w:ascii="楷体_GB2312" w:hAnsi="宋体" w:cs="楷体_GB2312"/>
                                <w:sz w:val="18"/>
                                <w:szCs w:val="18"/>
                              </w:rPr>
                              <w:t>调增价款的支</w:t>
                            </w:r>
                          </w:p>
                          <w:p w14:paraId="322E530B">
                            <w:pPr>
                              <w:pStyle w:val="39"/>
                              <w:spacing w:line="200" w:lineRule="exact"/>
                              <w:rPr>
                                <w:rFonts w:ascii="楷体_GB2312" w:hAnsi="宋体"/>
                                <w:sz w:val="18"/>
                                <w:szCs w:val="18"/>
                              </w:rPr>
                            </w:pPr>
                            <w:r>
                              <w:rPr>
                                <w:rFonts w:hint="eastAsia" w:ascii="楷体_GB2312" w:hAnsi="宋体" w:cs="楷体_GB2312"/>
                                <w:sz w:val="18"/>
                                <w:szCs w:val="18"/>
                              </w:rPr>
                              <w:t>付</w:t>
                            </w:r>
                          </w:p>
                        </w:txbxContent>
                      </wps:txbx>
                      <wps:bodyPr wrap="square"/>
                    </wps:wsp>
                  </a:graphicData>
                </a:graphic>
              </wp:anchor>
            </w:drawing>
          </mc:Choice>
          <mc:Fallback>
            <w:pict>
              <v:rect id="000220" o:spid="_x0000_s1026" o:spt="1" style="position:absolute;left:0pt;margin-left:-9pt;margin-top:2.7pt;height:39pt;width:81pt;z-index:251659264;mso-width-relative:page;mso-height-relative:page;" filled="f" stroked="f" coordsize="21600,21600" o:gfxdata="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tFuZydgAAAAIAQAADwAAAAAAAAABACAAAAAiAAAA&#10;ZHJzL2Rvd25yZXYueG1sUEsBAhQAFAAAAAgAh07iQFLAiXSVAQAAOQMAAA4AAAAAAAAAAQAgAAAA&#10;JwEAAGRycy9lMm9Eb2MueG1sUEsFBgAAAAAGAAYAWQEAAC4FAAAAAA==&#10;">
                <v:fill on="f" focussize="0,0"/>
                <v:stroke on="f"/>
                <v:imagedata o:title=""/>
                <o:lock v:ext="edit" aspectratio="f"/>
                <v:textbox>
                  <w:txbxContent>
                    <w:p w14:paraId="130528C8">
                      <w:pPr>
                        <w:pStyle w:val="39"/>
                        <w:spacing w:line="200" w:lineRule="exact"/>
                        <w:rPr>
                          <w:rFonts w:ascii="楷体_GB2312" w:hAnsi="宋体"/>
                          <w:sz w:val="18"/>
                          <w:szCs w:val="18"/>
                        </w:rPr>
                      </w:pPr>
                      <w:r>
                        <w:rPr>
                          <w:rFonts w:hint="eastAsia" w:ascii="楷体_GB2312" w:hAnsi="宋体" w:cs="楷体_GB2312"/>
                          <w:sz w:val="18"/>
                          <w:szCs w:val="18"/>
                        </w:rPr>
                        <w:t>调增价款的支</w:t>
                      </w:r>
                    </w:p>
                    <w:p w14:paraId="322E530B">
                      <w:pPr>
                        <w:pStyle w:val="39"/>
                        <w:spacing w:line="200" w:lineRule="exact"/>
                        <w:rPr>
                          <w:rFonts w:ascii="楷体_GB2312" w:hAnsi="宋体"/>
                          <w:sz w:val="18"/>
                          <w:szCs w:val="18"/>
                        </w:rPr>
                      </w:pPr>
                      <w:r>
                        <w:rPr>
                          <w:rFonts w:hint="eastAsia" w:ascii="楷体_GB2312" w:hAnsi="宋体" w:cs="楷体_GB2312"/>
                          <w:sz w:val="18"/>
                          <w:szCs w:val="18"/>
                        </w:rPr>
                        <w:t>付</w:t>
                      </w:r>
                    </w:p>
                  </w:txbxContent>
                </v:textbox>
              </v:rect>
            </w:pict>
          </mc:Fallback>
        </mc:AlternateContent>
      </w:r>
      <w:r>
        <w:rPr>
          <w:rFonts w:hint="eastAsia" w:hAnsi="宋体" w:eastAsia="宋体" w:cs="宋体"/>
          <w:color w:val="auto"/>
          <w:sz w:val="24"/>
          <w:szCs w:val="24"/>
          <w:highlight w:val="none"/>
        </w:rPr>
        <w:t>经合同双方当事人确认或造价工程师暂定调增的合同价款，作为追加合同价款，与工程进度款或结算款同期支付。</w:t>
      </w:r>
    </w:p>
    <w:p w14:paraId="03399FF2">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77.5 </w:t>
      </w:r>
      <w:r>
        <w:rPr>
          <w:rFonts w:hint="eastAsia" w:hAnsi="宋体" w:eastAsia="宋体" w:cs="宋体"/>
          <w:b/>
          <w:bCs/>
          <w:color w:val="auto"/>
          <w:sz w:val="24"/>
          <w:szCs w:val="24"/>
          <w:highlight w:val="none"/>
          <w:u w:val="dotted"/>
        </w:rPr>
        <w:t xml:space="preserve">                                                                               </w:t>
      </w:r>
    </w:p>
    <w:p w14:paraId="0005CA48">
      <w:pPr>
        <w:pStyle w:val="24"/>
        <w:adjustRightInd w:val="0"/>
        <w:snapToGrid w:val="0"/>
        <w:spacing w:line="300" w:lineRule="auto"/>
        <w:ind w:left="1606" w:leftChars="765"/>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1358" name="000221"/>
                <wp:cNvGraphicFramePr/>
                <a:graphic xmlns:a="http://schemas.openxmlformats.org/drawingml/2006/main">
                  <a:graphicData uri="http://schemas.microsoft.com/office/word/2010/wordprocessingShape">
                    <wps:wsp>
                      <wps:cNvSpPr/>
                      <wps:spPr>
                        <a:xfrm>
                          <a:off x="0" y="0"/>
                          <a:ext cx="1143000" cy="495300"/>
                        </a:xfrm>
                        <a:prstGeom prst="rect">
                          <a:avLst/>
                        </a:prstGeom>
                        <a:ln>
                          <a:noFill/>
                        </a:ln>
                      </wps:spPr>
                      <wps:txbx>
                        <w:txbxContent>
                          <w:p w14:paraId="38CB2DE3">
                            <w:pPr>
                              <w:pStyle w:val="39"/>
                              <w:spacing w:line="200" w:lineRule="exact"/>
                              <w:rPr>
                                <w:rFonts w:ascii="楷体_GB2312" w:hAnsi="宋体"/>
                                <w:sz w:val="18"/>
                                <w:szCs w:val="18"/>
                              </w:rPr>
                            </w:pPr>
                            <w:r>
                              <w:rPr>
                                <w:rFonts w:hint="eastAsia" w:ascii="楷体_GB2312" w:hAnsi="宋体" w:cs="楷体_GB2312"/>
                                <w:sz w:val="18"/>
                                <w:szCs w:val="18"/>
                              </w:rPr>
                              <w:t>合同价款调减</w:t>
                            </w:r>
                          </w:p>
                          <w:p w14:paraId="47730BEA">
                            <w:pPr>
                              <w:pStyle w:val="39"/>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wps:wsp>
                  </a:graphicData>
                </a:graphic>
              </wp:anchor>
            </w:drawing>
          </mc:Choice>
          <mc:Fallback>
            <w:pict>
              <v:rect id="000221" o:spid="_x0000_s1026" o:spt="1" style="position:absolute;left:0pt;margin-left:-5.25pt;margin-top:0.45pt;height:39pt;width:90pt;z-index:251659264;mso-width-relative:page;mso-height-relative:page;" filled="f" stroked="f" coordsize="21600,21600" o:gfxdata="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rb+d3XAAAABwEAAA8AAAAAAAAAAQAgAAAAIgAAAGRy&#10;cy9kb3ducmV2LnhtbFBLAQIUABQAAAAIAIdO4kAXRSzrlAEAADkDAAAOAAAAAAAAAAEAIAAAACYB&#10;AABkcnMvZTJvRG9jLnhtbFBLBQYAAAAABgAGAFkBAAAsBQAAAAA=&#10;">
                <v:fill on="f" focussize="0,0"/>
                <v:stroke on="f"/>
                <v:imagedata o:title=""/>
                <o:lock v:ext="edit" aspectratio="f"/>
                <v:textbox>
                  <w:txbxContent>
                    <w:p w14:paraId="38CB2DE3">
                      <w:pPr>
                        <w:pStyle w:val="39"/>
                        <w:spacing w:line="200" w:lineRule="exact"/>
                        <w:rPr>
                          <w:rFonts w:ascii="楷体_GB2312" w:hAnsi="宋体"/>
                          <w:sz w:val="18"/>
                          <w:szCs w:val="18"/>
                        </w:rPr>
                      </w:pPr>
                      <w:r>
                        <w:rPr>
                          <w:rFonts w:hint="eastAsia" w:ascii="楷体_GB2312" w:hAnsi="宋体" w:cs="楷体_GB2312"/>
                          <w:sz w:val="18"/>
                          <w:szCs w:val="18"/>
                        </w:rPr>
                        <w:t>合同价款调减</w:t>
                      </w:r>
                    </w:p>
                    <w:p w14:paraId="47730BEA">
                      <w:pPr>
                        <w:pStyle w:val="39"/>
                        <w:spacing w:line="200" w:lineRule="exact"/>
                        <w:rPr>
                          <w:rFonts w:ascii="楷体_GB2312" w:hAnsi="宋体"/>
                          <w:sz w:val="18"/>
                          <w:szCs w:val="18"/>
                        </w:rPr>
                      </w:pPr>
                      <w:r>
                        <w:rPr>
                          <w:rFonts w:hint="eastAsia" w:ascii="楷体_GB2312" w:hAnsi="宋体" w:cs="楷体_GB2312"/>
                          <w:sz w:val="18"/>
                          <w:szCs w:val="18"/>
                        </w:rPr>
                        <w:t>事件的处理</w:t>
                      </w:r>
                    </w:p>
                  </w:txbxContent>
                </v:textbox>
              </v:rect>
            </w:pict>
          </mc:Fallback>
        </mc:AlternateContent>
      </w:r>
      <w:r>
        <w:rPr>
          <w:rFonts w:hint="eastAsia" w:hAnsi="宋体" w:eastAsia="宋体" w:cs="宋体"/>
          <w:color w:val="auto"/>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14:paraId="766BDA8C">
      <w:pPr>
        <w:pStyle w:val="24"/>
        <w:adjustRightInd w:val="0"/>
        <w:snapToGrid w:val="0"/>
        <w:spacing w:line="300" w:lineRule="auto"/>
        <w:ind w:left="1626" w:right="-238" w:hanging="1626" w:hangingChars="675"/>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343CFAA">
      <w:pPr>
        <w:pStyle w:val="4"/>
        <w:tabs>
          <w:tab w:val="left" w:pos="420"/>
        </w:tabs>
        <w:spacing w:line="300" w:lineRule="auto"/>
        <w:rPr>
          <w:rFonts w:ascii="宋体" w:hAnsi="宋体" w:eastAsia="宋体" w:cs="宋体"/>
          <w:color w:val="auto"/>
          <w:sz w:val="24"/>
          <w:szCs w:val="24"/>
          <w:highlight w:val="none"/>
        </w:rPr>
      </w:pPr>
      <w:bookmarkStart w:id="188" w:name="_Toc46860883"/>
      <w:bookmarkStart w:id="189" w:name="_Toc469384062"/>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78  支付事项</w:t>
      </w:r>
      <w:bookmarkEnd w:id="188"/>
      <w:bookmarkEnd w:id="189"/>
    </w:p>
    <w:p w14:paraId="1B6C4103">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78.1   </w:t>
      </w:r>
    </w:p>
    <w:p w14:paraId="600C82F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1359" name="000222"/>
                <wp:cNvGraphicFramePr/>
                <a:graphic xmlns:a="http://schemas.openxmlformats.org/drawingml/2006/main">
                  <a:graphicData uri="http://schemas.microsoft.com/office/word/2010/wordprocessingShape">
                    <wps:wsp>
                      <wps:cNvSpPr/>
                      <wps:spPr>
                        <a:xfrm>
                          <a:off x="0" y="0"/>
                          <a:ext cx="1143000" cy="314325"/>
                        </a:xfrm>
                        <a:prstGeom prst="rect">
                          <a:avLst/>
                        </a:prstGeom>
                        <a:ln>
                          <a:noFill/>
                        </a:ln>
                      </wps:spPr>
                      <wps:txbx>
                        <w:txbxContent>
                          <w:p w14:paraId="5CD3D2D1">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wps:wsp>
                  </a:graphicData>
                </a:graphic>
              </wp:anchor>
            </w:drawing>
          </mc:Choice>
          <mc:Fallback>
            <w:pict>
              <v:rect id="000222" o:spid="_x0000_s1026" o:spt="1" style="position:absolute;left:0pt;margin-left:-9pt;margin-top:1.7pt;height:24.75pt;width:90pt;z-index:251659264;mso-width-relative:page;mso-height-relative:page;" filled="f" stroked="f" coordsize="21600,21600" o:gfxdata="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Lx1RNkAAAAIAQAADwAAAAAAAAABACAAAAAiAAAA&#10;ZHJzL2Rvd25yZXYueG1sUEsBAhQAFAAAAAgAh07iQFTxTYuUAQAAOQMAAA4AAAAAAAAAAQAgAAAA&#10;KAEAAGRycy9lMm9Eb2MueG1sUEsFBgAAAAAGAAYAWQEAAC4FAAAAAA==&#10;">
                <v:fill on="f" focussize="0,0"/>
                <v:stroke on="f"/>
                <v:imagedata o:title=""/>
                <o:lock v:ext="edit" aspectratio="f"/>
                <v:textbox>
                  <w:txbxContent>
                    <w:p w14:paraId="5CD3D2D1">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v:textbox>
              </v:rect>
            </w:pict>
          </mc:Fallback>
        </mc:AlternateContent>
      </w:r>
      <w:r>
        <w:rPr>
          <w:rFonts w:hint="eastAsia" w:hAnsi="宋体" w:eastAsia="宋体" w:cs="宋体"/>
          <w:color w:val="auto"/>
          <w:sz w:val="24"/>
          <w:szCs w:val="24"/>
          <w:highlight w:val="none"/>
        </w:rPr>
        <w:t>发包人应按照下列规定向承包人支付工程款及其他各种款项：</w:t>
      </w:r>
    </w:p>
    <w:p w14:paraId="2077EC5A">
      <w:pPr>
        <w:pStyle w:val="24"/>
        <w:adjustRightInd w:val="0"/>
        <w:snapToGrid w:val="0"/>
        <w:spacing w:line="300" w:lineRule="auto"/>
        <w:ind w:left="1079" w:leftChars="514" w:firstLine="720" w:firstLineChars="300"/>
        <w:rPr>
          <w:rFonts w:hAnsi="宋体" w:eastAsia="宋体" w:cs="宋体"/>
          <w:color w:val="auto"/>
          <w:sz w:val="24"/>
          <w:szCs w:val="24"/>
          <w:highlight w:val="none"/>
        </w:rPr>
      </w:pPr>
      <w:r>
        <w:rPr>
          <w:rFonts w:hint="eastAsia" w:hAnsi="宋体" w:eastAsia="宋体" w:cs="宋体"/>
          <w:color w:val="auto"/>
          <w:sz w:val="24"/>
          <w:szCs w:val="24"/>
          <w:highlight w:val="none"/>
        </w:rPr>
        <w:t>(1)预付款按照第79条的规定支付；</w:t>
      </w:r>
    </w:p>
    <w:p w14:paraId="0BE64A9A">
      <w:pPr>
        <w:pStyle w:val="24"/>
        <w:adjustRightInd w:val="0"/>
        <w:snapToGrid w:val="0"/>
        <w:spacing w:line="300" w:lineRule="auto"/>
        <w:ind w:left="1079" w:leftChars="514" w:firstLine="720" w:firstLineChars="300"/>
        <w:rPr>
          <w:rFonts w:hAnsi="宋体" w:eastAsia="宋体" w:cs="宋体"/>
          <w:color w:val="auto"/>
          <w:sz w:val="24"/>
          <w:szCs w:val="24"/>
          <w:highlight w:val="none"/>
        </w:rPr>
      </w:pPr>
      <w:r>
        <w:rPr>
          <w:rFonts w:hint="eastAsia" w:hAnsi="宋体" w:eastAsia="宋体" w:cs="宋体"/>
          <w:color w:val="auto"/>
          <w:sz w:val="24"/>
          <w:szCs w:val="24"/>
          <w:highlight w:val="none"/>
        </w:rPr>
        <w:t>(2) 绿色施工安全防护费按照第80条规定支付；</w:t>
      </w:r>
    </w:p>
    <w:p w14:paraId="15721EDF">
      <w:pPr>
        <w:pStyle w:val="24"/>
        <w:adjustRightInd w:val="0"/>
        <w:snapToGrid w:val="0"/>
        <w:spacing w:line="300" w:lineRule="auto"/>
        <w:ind w:left="1079" w:leftChars="514" w:firstLine="720" w:firstLineChars="300"/>
        <w:rPr>
          <w:rFonts w:hAnsi="宋体" w:eastAsia="宋体" w:cs="宋体"/>
          <w:color w:val="auto"/>
          <w:sz w:val="24"/>
          <w:szCs w:val="24"/>
          <w:highlight w:val="none"/>
        </w:rPr>
      </w:pPr>
      <w:r>
        <w:rPr>
          <w:rFonts w:hint="eastAsia" w:hAnsi="宋体" w:eastAsia="宋体" w:cs="宋体"/>
          <w:color w:val="auto"/>
          <w:sz w:val="24"/>
          <w:szCs w:val="24"/>
          <w:highlight w:val="none"/>
        </w:rPr>
        <w:t>(3)进度款按照第81条的规定支付；</w:t>
      </w:r>
    </w:p>
    <w:p w14:paraId="45A1353A">
      <w:pPr>
        <w:pStyle w:val="24"/>
        <w:adjustRightInd w:val="0"/>
        <w:snapToGrid w:val="0"/>
        <w:spacing w:line="300" w:lineRule="auto"/>
        <w:ind w:left="481" w:leftChars="229" w:firstLine="1320" w:firstLineChars="550"/>
        <w:rPr>
          <w:rFonts w:hAnsi="宋体" w:eastAsia="宋体" w:cs="宋体"/>
          <w:color w:val="auto"/>
          <w:sz w:val="24"/>
          <w:szCs w:val="24"/>
          <w:highlight w:val="none"/>
        </w:rPr>
      </w:pPr>
      <w:r>
        <w:rPr>
          <w:rFonts w:hint="eastAsia" w:hAnsi="宋体" w:eastAsia="宋体" w:cs="宋体"/>
          <w:color w:val="auto"/>
          <w:sz w:val="24"/>
          <w:szCs w:val="24"/>
          <w:highlight w:val="none"/>
        </w:rPr>
        <w:t>(4)结算款按照第83条的规定支付；</w:t>
      </w:r>
    </w:p>
    <w:p w14:paraId="26C58F9E">
      <w:pPr>
        <w:pStyle w:val="24"/>
        <w:adjustRightInd w:val="0"/>
        <w:snapToGrid w:val="0"/>
        <w:spacing w:line="300" w:lineRule="auto"/>
        <w:ind w:left="1079" w:leftChars="514" w:firstLine="720" w:firstLineChars="300"/>
        <w:rPr>
          <w:rFonts w:hAnsi="宋体" w:eastAsia="宋体" w:cs="宋体"/>
          <w:color w:val="auto"/>
          <w:sz w:val="24"/>
          <w:szCs w:val="24"/>
          <w:highlight w:val="none"/>
        </w:rPr>
      </w:pPr>
      <w:r>
        <w:rPr>
          <w:rFonts w:hint="eastAsia" w:hAnsi="宋体" w:eastAsia="宋体" w:cs="宋体"/>
          <w:color w:val="auto"/>
          <w:sz w:val="24"/>
          <w:szCs w:val="24"/>
          <w:highlight w:val="none"/>
        </w:rPr>
        <w:t>(5)质量保证金按照第84条的规定支付；</w:t>
      </w:r>
    </w:p>
    <w:p w14:paraId="7981F870">
      <w:pPr>
        <w:pStyle w:val="24"/>
        <w:adjustRightInd w:val="0"/>
        <w:snapToGrid w:val="0"/>
        <w:spacing w:line="300" w:lineRule="auto"/>
        <w:ind w:left="1079" w:leftChars="514" w:firstLine="720" w:firstLineChars="300"/>
        <w:rPr>
          <w:rFonts w:hAnsi="宋体" w:eastAsia="宋体" w:cs="宋体"/>
          <w:color w:val="auto"/>
          <w:sz w:val="24"/>
          <w:szCs w:val="24"/>
          <w:highlight w:val="none"/>
        </w:rPr>
      </w:pPr>
      <w:r>
        <w:rPr>
          <w:rFonts w:hint="eastAsia" w:hAnsi="宋体" w:eastAsia="宋体" w:cs="宋体"/>
          <w:color w:val="auto"/>
          <w:sz w:val="24"/>
          <w:szCs w:val="24"/>
          <w:highlight w:val="none"/>
        </w:rPr>
        <w:t>(6)最终清算款按照第85条的规定支付。</w:t>
      </w:r>
    </w:p>
    <w:p w14:paraId="72C2419F">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78.2  </w:t>
      </w:r>
      <w:r>
        <w:rPr>
          <w:rFonts w:hint="eastAsia" w:hAnsi="宋体" w:eastAsia="宋体" w:cs="宋体"/>
          <w:b/>
          <w:bCs/>
          <w:color w:val="auto"/>
          <w:sz w:val="24"/>
          <w:szCs w:val="24"/>
          <w:highlight w:val="none"/>
          <w:u w:val="dotted"/>
        </w:rPr>
        <w:t xml:space="preserve">                                                                                                         </w:t>
      </w:r>
    </w:p>
    <w:p w14:paraId="2ED7054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1360" name="000223"/>
                <wp:cNvGraphicFramePr/>
                <a:graphic xmlns:a="http://schemas.openxmlformats.org/drawingml/2006/main">
                  <a:graphicData uri="http://schemas.microsoft.com/office/word/2010/wordprocessingShape">
                    <wps:wsp>
                      <wps:cNvSpPr/>
                      <wps:spPr>
                        <a:xfrm>
                          <a:off x="0" y="0"/>
                          <a:ext cx="914400" cy="398144"/>
                        </a:xfrm>
                        <a:prstGeom prst="rect">
                          <a:avLst/>
                        </a:prstGeom>
                        <a:ln>
                          <a:noFill/>
                        </a:ln>
                      </wps:spPr>
                      <wps:txbx>
                        <w:txbxContent>
                          <w:p w14:paraId="679E03A4">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wps:wsp>
                  </a:graphicData>
                </a:graphic>
              </wp:anchor>
            </w:drawing>
          </mc:Choice>
          <mc:Fallback>
            <w:pict>
              <v:rect id="000223" o:spid="_x0000_s1026" o:spt="1" style="position:absolute;left:0pt;margin-left:-9pt;margin-top:3.45pt;height:31.35pt;width:72pt;z-index:251659264;mso-width-relative:page;mso-height-relative:page;" filled="f" stroked="f" coordsize="21600,21600" o:gfxdata="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JNkcLNcAAAAIAQAADwAAAAAAAAABACAAAAAiAAAAZHJz&#10;L2Rvd25yZXYueG1sUEsBAhQAFAAAAAgAh07iQC+UoLKTAQAAOAMAAA4AAAAAAAAAAQAgAAAAJgEA&#10;AGRycy9lMm9Eb2MueG1sUEsFBgAAAAAGAAYAWQEAACsFAAAAAA==&#10;">
                <v:fill on="f" focussize="0,0"/>
                <v:stroke on="f"/>
                <v:imagedata o:title=""/>
                <o:lock v:ext="edit" aspectratio="f"/>
                <v:textbox>
                  <w:txbxContent>
                    <w:p w14:paraId="679E03A4">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rect>
            </w:pict>
          </mc:Fallback>
        </mc:AlternateContent>
      </w:r>
      <w:r>
        <w:rPr>
          <w:rFonts w:hint="eastAsia" w:hAnsi="宋体" w:eastAsia="宋体" w:cs="宋体"/>
          <w:color w:val="auto"/>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69EBE07A">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78.3  </w:t>
      </w:r>
      <w:r>
        <w:rPr>
          <w:rFonts w:hint="eastAsia" w:hAnsi="宋体" w:eastAsia="宋体" w:cs="宋体"/>
          <w:b/>
          <w:bCs/>
          <w:color w:val="auto"/>
          <w:sz w:val="24"/>
          <w:szCs w:val="24"/>
          <w:highlight w:val="none"/>
          <w:u w:val="dotted"/>
        </w:rPr>
        <w:t xml:space="preserve">                                                                                                        </w:t>
      </w:r>
    </w:p>
    <w:p w14:paraId="7174BEC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1361" name="000224"/>
                <wp:cNvGraphicFramePr/>
                <a:graphic xmlns:a="http://schemas.openxmlformats.org/drawingml/2006/main">
                  <a:graphicData uri="http://schemas.microsoft.com/office/word/2010/wordprocessingShape">
                    <wps:wsp>
                      <wps:cNvSpPr/>
                      <wps:spPr>
                        <a:xfrm>
                          <a:off x="0" y="0"/>
                          <a:ext cx="914400" cy="438150"/>
                        </a:xfrm>
                        <a:prstGeom prst="rect">
                          <a:avLst/>
                        </a:prstGeom>
                        <a:ln>
                          <a:noFill/>
                        </a:ln>
                      </wps:spPr>
                      <wps:txbx>
                        <w:txbxContent>
                          <w:p w14:paraId="10548525">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wps:wsp>
                  </a:graphicData>
                </a:graphic>
              </wp:anchor>
            </w:drawing>
          </mc:Choice>
          <mc:Fallback>
            <w:pict>
              <v:rect id="000224" o:spid="_x0000_s1026" o:spt="1" style="position:absolute;left:0pt;margin-left:-9pt;margin-top:0.35pt;height:34.5pt;width:72pt;z-index:251659264;mso-width-relative:page;mso-height-relative:page;" filled="f" stroked="f" coordsize="21600,21600" o:gfxdata="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YaHEbXAAAABwEAAA8AAAAAAAAAAQAgAAAAIgAA&#10;AGRycy9kb3ducmV2LnhtbFBLAQIUABQAAAAIAIdO4kCnm9IRlwEAADgDAAAOAAAAAAAAAAEAIAAA&#10;ACYBAABkcnMvZTJvRG9jLnhtbFBLBQYAAAAABgAGAFkBAAAvBQAAAAA=&#10;">
                <v:fill on="f" focussize="0,0"/>
                <v:stroke on="f"/>
                <v:imagedata o:title=""/>
                <o:lock v:ext="edit" aspectratio="f"/>
                <v:textbox>
                  <w:txbxContent>
                    <w:p w14:paraId="10548525">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rect>
            </w:pict>
          </mc:Fallback>
        </mc:AlternateContent>
      </w:r>
      <w:r>
        <w:rPr>
          <w:rFonts w:hint="eastAsia" w:hAnsi="宋体" w:eastAsia="宋体" w:cs="宋体"/>
          <w:color w:val="auto"/>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3D6AA427">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78.4  </w:t>
      </w:r>
      <w:r>
        <w:rPr>
          <w:rFonts w:hint="eastAsia" w:hAnsi="宋体" w:eastAsia="宋体" w:cs="宋体"/>
          <w:b/>
          <w:bCs/>
          <w:color w:val="auto"/>
          <w:sz w:val="24"/>
          <w:szCs w:val="24"/>
          <w:highlight w:val="none"/>
          <w:u w:val="dotted"/>
        </w:rPr>
        <w:t xml:space="preserve">                                                                                                       </w:t>
      </w:r>
    </w:p>
    <w:p w14:paraId="28D5798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1362" name="000225"/>
                <wp:cNvGraphicFramePr/>
                <a:graphic xmlns:a="http://schemas.openxmlformats.org/drawingml/2006/main">
                  <a:graphicData uri="http://schemas.microsoft.com/office/word/2010/wordprocessingShape">
                    <wps:wsp>
                      <wps:cNvSpPr/>
                      <wps:spPr>
                        <a:xfrm>
                          <a:off x="0" y="0"/>
                          <a:ext cx="914400" cy="504189"/>
                        </a:xfrm>
                        <a:prstGeom prst="rect">
                          <a:avLst/>
                        </a:prstGeom>
                        <a:ln>
                          <a:noFill/>
                        </a:ln>
                      </wps:spPr>
                      <wps:txbx>
                        <w:txbxContent>
                          <w:p w14:paraId="13205FCB">
                            <w:pPr>
                              <w:pStyle w:val="39"/>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wps:wsp>
                  </a:graphicData>
                </a:graphic>
              </wp:anchor>
            </w:drawing>
          </mc:Choice>
          <mc:Fallback>
            <w:pict>
              <v:rect id="000225" o:spid="_x0000_s1026" o:spt="1" style="position:absolute;left:0pt;margin-left:-9pt;margin-top:1.75pt;height:39.7pt;width:72pt;z-index:251659264;mso-width-relative:page;mso-height-relative:page;" filled="f" stroked="f" coordsize="21600,21600" o:gfxdata="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twbSjYAAAACAEAAA8AAAAAAAAAAQAgAAAAIgAA&#10;AGRycy9kb3ducmV2LnhtbFBLAQIUABQAAAAIAIdO4kCMeQMFlgEAADgDAAAOAAAAAAAAAAEAIAAA&#10;ACcBAABkcnMvZTJvRG9jLnhtbFBLBQYAAAAABgAGAFkBAAAvBQAAAAA=&#10;">
                <v:fill on="f" focussize="0,0"/>
                <v:stroke on="f"/>
                <v:imagedata o:title=""/>
                <o:lock v:ext="edit" aspectratio="f"/>
                <v:textbox>
                  <w:txbxContent>
                    <w:p w14:paraId="13205FCB">
                      <w:pPr>
                        <w:pStyle w:val="39"/>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rect>
            </w:pict>
          </mc:Fallback>
        </mc:AlternateContent>
      </w:r>
      <w:r>
        <w:rPr>
          <w:rFonts w:hint="eastAsia" w:hAnsi="宋体" w:eastAsia="宋体" w:cs="宋体"/>
          <w:color w:val="auto"/>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14:paraId="0963CC6D">
      <w:pPr>
        <w:pStyle w:val="24"/>
        <w:numPr>
          <w:ilvl w:val="0"/>
          <w:numId w:val="24"/>
        </w:numPr>
        <w:tabs>
          <w:tab w:val="left" w:pos="2160"/>
        </w:tabs>
        <w:adjustRightInd w:val="0"/>
        <w:snapToGrid w:val="0"/>
        <w:spacing w:line="300" w:lineRule="auto"/>
        <w:ind w:left="1619" w:leftChars="771" w:firstLine="0"/>
        <w:rPr>
          <w:rFonts w:hAnsi="宋体" w:eastAsia="宋体" w:cs="宋体"/>
          <w:color w:val="auto"/>
          <w:sz w:val="24"/>
          <w:szCs w:val="24"/>
          <w:highlight w:val="none"/>
        </w:rPr>
      </w:pPr>
      <w:r>
        <w:rPr>
          <w:rFonts w:hint="eastAsia" w:hAnsi="宋体" w:eastAsia="宋体" w:cs="宋体"/>
          <w:color w:val="auto"/>
          <w:sz w:val="24"/>
          <w:szCs w:val="24"/>
          <w:highlight w:val="none"/>
        </w:rPr>
        <w:t>立即停止向承包人支付应付的款项；</w:t>
      </w:r>
    </w:p>
    <w:p w14:paraId="766D783C">
      <w:pPr>
        <w:pStyle w:val="24"/>
        <w:numPr>
          <w:ilvl w:val="0"/>
          <w:numId w:val="24"/>
        </w:numPr>
        <w:tabs>
          <w:tab w:val="left" w:pos="2160"/>
        </w:tabs>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在相应支付期应付的工程款范围内，直接向雇员、分包人和材料设备供应商支付承包人应付的款项。</w:t>
      </w:r>
    </w:p>
    <w:p w14:paraId="7EF34F1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14:paraId="2B4E1748">
      <w:pPr>
        <w:pStyle w:val="24"/>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47FB507E">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90" w:name="_Toc46860884"/>
      <w:bookmarkStart w:id="191" w:name="_Toc469384063"/>
      <w:r>
        <w:rPr>
          <w:rFonts w:hint="eastAsia" w:hAnsi="宋体" w:eastAsia="宋体" w:cs="宋体"/>
          <w:b/>
          <w:bCs/>
          <w:color w:val="auto"/>
          <w:sz w:val="24"/>
          <w:szCs w:val="24"/>
          <w:highlight w:val="none"/>
        </w:rPr>
        <w:t>★79  预付款</w:t>
      </w:r>
      <w:bookmarkEnd w:id="190"/>
      <w:bookmarkEnd w:id="191"/>
    </w:p>
    <w:p w14:paraId="69EF3651">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1363" name="000226"/>
                <wp:cNvGraphicFramePr/>
                <a:graphic xmlns:a="http://schemas.openxmlformats.org/drawingml/2006/main">
                  <a:graphicData uri="http://schemas.microsoft.com/office/word/2010/wordprocessingShape">
                    <wps:wsp>
                      <wps:cNvSpPr/>
                      <wps:spPr>
                        <a:xfrm>
                          <a:off x="0" y="0"/>
                          <a:ext cx="1371600" cy="560705"/>
                        </a:xfrm>
                        <a:prstGeom prst="rect">
                          <a:avLst/>
                        </a:prstGeom>
                        <a:ln>
                          <a:noFill/>
                        </a:ln>
                      </wps:spPr>
                      <wps:txbx>
                        <w:txbxContent>
                          <w:p w14:paraId="338097C4">
                            <w:pPr>
                              <w:pStyle w:val="39"/>
                              <w:spacing w:line="200" w:lineRule="exact"/>
                              <w:rPr>
                                <w:rFonts w:ascii="楷体_GB2312" w:hAnsi="宋体"/>
                                <w:sz w:val="18"/>
                                <w:szCs w:val="18"/>
                              </w:rPr>
                            </w:pPr>
                            <w:r>
                              <w:rPr>
                                <w:rFonts w:hint="eastAsia" w:ascii="楷体_GB2312" w:hAnsi="宋体" w:cs="楷体_GB2312"/>
                                <w:sz w:val="18"/>
                                <w:szCs w:val="18"/>
                              </w:rPr>
                              <w:t>预付款的约定</w:t>
                            </w:r>
                          </w:p>
                          <w:p w14:paraId="11B90D49">
                            <w:pPr>
                              <w:pStyle w:val="39"/>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wps:wsp>
                  </a:graphicData>
                </a:graphic>
              </wp:anchor>
            </w:drawing>
          </mc:Choice>
          <mc:Fallback>
            <w:pict>
              <v:rect id="000226" o:spid="_x0000_s1026" o:spt="1" style="position:absolute;left:0pt;margin-left:-9pt;margin-top:17.85pt;height:44.15pt;width:108pt;z-index:251659264;mso-width-relative:page;mso-height-relative:page;" filled="f" stroked="f" coordsize="21600,21600" o:gfxdata="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DB/wO7bAAAACgEAAA8AAAAAAAAAAQAgAAAA&#10;IgAAAGRycy9kb3ducmV2LnhtbFBLAQIUABQAAAAIAIdO4kC9LYwwlgEAADkDAAAOAAAAAAAAAAEA&#10;IAAAACoBAABkcnMvZTJvRG9jLnhtbFBLBQYAAAAABgAGAFkBAAAyBQAAAAA=&#10;">
                <v:fill on="f" focussize="0,0"/>
                <v:stroke on="f"/>
                <v:imagedata o:title=""/>
                <o:lock v:ext="edit" aspectratio="f"/>
                <v:textbox>
                  <w:txbxContent>
                    <w:p w14:paraId="338097C4">
                      <w:pPr>
                        <w:pStyle w:val="39"/>
                        <w:spacing w:line="200" w:lineRule="exact"/>
                        <w:rPr>
                          <w:rFonts w:ascii="楷体_GB2312" w:hAnsi="宋体"/>
                          <w:sz w:val="18"/>
                          <w:szCs w:val="18"/>
                        </w:rPr>
                      </w:pPr>
                      <w:r>
                        <w:rPr>
                          <w:rFonts w:hint="eastAsia" w:ascii="楷体_GB2312" w:hAnsi="宋体" w:cs="楷体_GB2312"/>
                          <w:sz w:val="18"/>
                          <w:szCs w:val="18"/>
                        </w:rPr>
                        <w:t>预付款的约定</w:t>
                      </w:r>
                    </w:p>
                    <w:p w14:paraId="11B90D49">
                      <w:pPr>
                        <w:pStyle w:val="39"/>
                        <w:spacing w:line="200" w:lineRule="exact"/>
                        <w:rPr>
                          <w:rFonts w:ascii="楷体_GB2312" w:hAnsi="宋体"/>
                          <w:sz w:val="18"/>
                          <w:szCs w:val="18"/>
                        </w:rPr>
                      </w:pPr>
                      <w:r>
                        <w:rPr>
                          <w:rFonts w:hint="eastAsia" w:ascii="楷体_GB2312" w:hAnsi="宋体" w:cs="楷体_GB2312"/>
                          <w:sz w:val="18"/>
                          <w:szCs w:val="18"/>
                        </w:rPr>
                        <w:t>及管理</w:t>
                      </w:r>
                    </w:p>
                  </w:txbxContent>
                </v:textbox>
              </v:rect>
            </w:pict>
          </mc:Fallback>
        </mc:AlternateContent>
      </w:r>
      <w:r>
        <w:rPr>
          <w:rFonts w:hint="eastAsia" w:hAnsi="宋体" w:eastAsia="宋体" w:cs="宋体"/>
          <w:b/>
          <w:bCs/>
          <w:color w:val="auto"/>
          <w:sz w:val="24"/>
          <w:szCs w:val="24"/>
          <w:highlight w:val="none"/>
        </w:rPr>
        <w:t xml:space="preserve">79.1      </w:t>
      </w:r>
    </w:p>
    <w:p w14:paraId="37221A8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除专用条款另有约定外，合同双方当事人应约定预付款，并在专用条款中明确预付款金额、支付办法和抵扣方式。</w:t>
      </w:r>
    </w:p>
    <w:p w14:paraId="75D4D9A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14:paraId="2D0D8684">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79.2  </w:t>
      </w:r>
      <w:r>
        <w:rPr>
          <w:rFonts w:hint="eastAsia" w:hAnsi="宋体" w:eastAsia="宋体" w:cs="宋体"/>
          <w:b/>
          <w:bCs/>
          <w:color w:val="auto"/>
          <w:sz w:val="24"/>
          <w:szCs w:val="24"/>
          <w:highlight w:val="none"/>
          <w:u w:val="dotted"/>
        </w:rPr>
        <w:t xml:space="preserve">                                                                                                        </w:t>
      </w:r>
    </w:p>
    <w:p w14:paraId="163473B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1364" name="000227"/>
                <wp:cNvGraphicFramePr/>
                <a:graphic xmlns:a="http://schemas.openxmlformats.org/drawingml/2006/main">
                  <a:graphicData uri="http://schemas.microsoft.com/office/word/2010/wordprocessingShape">
                    <wps:wsp>
                      <wps:cNvSpPr/>
                      <wps:spPr>
                        <a:xfrm>
                          <a:off x="0" y="0"/>
                          <a:ext cx="914400" cy="591185"/>
                        </a:xfrm>
                        <a:prstGeom prst="rect">
                          <a:avLst/>
                        </a:prstGeom>
                        <a:ln>
                          <a:noFill/>
                        </a:ln>
                      </wps:spPr>
                      <wps:txbx>
                        <w:txbxContent>
                          <w:p w14:paraId="7AFE69EE">
                            <w:pPr>
                              <w:pStyle w:val="39"/>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wps:wsp>
                  </a:graphicData>
                </a:graphic>
              </wp:anchor>
            </w:drawing>
          </mc:Choice>
          <mc:Fallback>
            <w:pict>
              <v:rect id="000227" o:spid="_x0000_s1026" o:spt="1" style="position:absolute;left:0pt;margin-left:-9pt;margin-top:1.55pt;height:46.55pt;width:72pt;z-index:251659264;mso-width-relative:page;mso-height-relative:page;" filled="f" stroked="f" coordsize="21600,21600" o:gfxdata="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fb/WvYAAAACAEAAA8AAAAAAAAAAQAgAAAAIgAA&#10;AGRycy9kb3ducmV2LnhtbFBLAQIUABQAAAAIAIdO4kCivZ/6lgEAADgDAAAOAAAAAAAAAAEAIAAA&#10;ACcBAABkcnMvZTJvRG9jLnhtbFBLBQYAAAAABgAGAFkBAAAvBQAAAAA=&#10;">
                <v:fill on="f" focussize="0,0"/>
                <v:stroke on="f"/>
                <v:imagedata o:title=""/>
                <o:lock v:ext="edit" aspectratio="f"/>
                <v:textbox>
                  <w:txbxContent>
                    <w:p w14:paraId="7AFE69EE">
                      <w:pPr>
                        <w:pStyle w:val="39"/>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rect>
            </w:pict>
          </mc:Fallback>
        </mc:AlternateContent>
      </w:r>
      <w:r>
        <w:rPr>
          <w:rFonts w:hint="eastAsia" w:hAnsi="宋体" w:eastAsia="宋体" w:cs="宋体"/>
          <w:color w:val="auto"/>
          <w:sz w:val="24"/>
          <w:szCs w:val="24"/>
          <w:highlight w:val="none"/>
        </w:rPr>
        <w:t>承包人在完成下列工作后，应按照专用条款约定的期限内向造价工程师提交预付款支付申请，并抄送发包人。</w:t>
      </w:r>
    </w:p>
    <w:p w14:paraId="5C1B8E88">
      <w:pPr>
        <w:pStyle w:val="24"/>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（1）签订本合同；</w:t>
      </w:r>
    </w:p>
    <w:p w14:paraId="3C15AA6D">
      <w:pPr>
        <w:pStyle w:val="24"/>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（2）按照第28.1款规定提供履约担保；</w:t>
      </w:r>
    </w:p>
    <w:p w14:paraId="5413388A">
      <w:pPr>
        <w:pStyle w:val="24"/>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（3）向发包人提供与预付款等额的预付款保函的正本。</w:t>
      </w:r>
    </w:p>
    <w:p w14:paraId="02A58B99">
      <w:pPr>
        <w:pStyle w:val="24"/>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w:t>造价工程师应对支付申请进行核实，并在收到支付申请后的7天内报发包人确认后向发包人发出支付证书，同时抄送承包人。</w:t>
      </w:r>
    </w:p>
    <w:p w14:paraId="57985E5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发包人在造价工程师签发支付证书后的30天内向承包人支付预付款，并通知造价工程师。</w:t>
      </w:r>
    </w:p>
    <w:p w14:paraId="69E70343">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79.3  </w:t>
      </w:r>
      <w:r>
        <w:rPr>
          <w:rFonts w:hint="eastAsia" w:hAnsi="宋体" w:eastAsia="宋体" w:cs="宋体"/>
          <w:b/>
          <w:bCs/>
          <w:color w:val="auto"/>
          <w:sz w:val="24"/>
          <w:szCs w:val="24"/>
          <w:highlight w:val="none"/>
          <w:u w:val="dotted"/>
        </w:rPr>
        <w:t xml:space="preserve">                                                                                                        </w:t>
      </w:r>
    </w:p>
    <w:p w14:paraId="1C332DA9">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1365" name="000228"/>
                <wp:cNvGraphicFramePr/>
                <a:graphic xmlns:a="http://schemas.openxmlformats.org/drawingml/2006/main">
                  <a:graphicData uri="http://schemas.microsoft.com/office/word/2010/wordprocessingShape">
                    <wps:wsp>
                      <wps:cNvSpPr/>
                      <wps:spPr>
                        <a:xfrm>
                          <a:off x="0" y="0"/>
                          <a:ext cx="914400" cy="400685"/>
                        </a:xfrm>
                        <a:prstGeom prst="rect">
                          <a:avLst/>
                        </a:prstGeom>
                        <a:ln>
                          <a:noFill/>
                        </a:ln>
                      </wps:spPr>
                      <wps:txbx>
                        <w:txbxContent>
                          <w:p w14:paraId="02214001">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wps:wsp>
                  </a:graphicData>
                </a:graphic>
              </wp:anchor>
            </w:drawing>
          </mc:Choice>
          <mc:Fallback>
            <w:pict>
              <v:rect id="000228" o:spid="_x0000_s1026" o:spt="1" style="position:absolute;left:0pt;margin-left:-9pt;margin-top:0.85pt;height:31.55pt;width:72pt;z-index:251659264;mso-width-relative:page;mso-height-relative:page;" filled="f" stroked="f" coordsize="21600,21600" o:gfxdata="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S5mKD2AAAAAgBAAAPAAAAAAAAAAEAIAAAACIAAABk&#10;cnMvZG93bnJldi54bWxQSwECFAAUAAAACACHTuJABevoIJQBAAA4AwAADgAAAAAAAAABACAAAAAn&#10;AQAAZHJzL2Uyb0RvYy54bWxQSwUGAAAAAAYABgBZAQAALQUAAAAA&#10;">
                <v:fill on="f" focussize="0,0"/>
                <v:stroke on="f"/>
                <v:imagedata o:title=""/>
                <o:lock v:ext="edit" aspectratio="f"/>
                <v:textbox>
                  <w:txbxContent>
                    <w:p w14:paraId="02214001">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rect>
            </w:pict>
          </mc:Fallback>
        </mc:AlternateContent>
      </w:r>
      <w:r>
        <w:rPr>
          <w:rFonts w:hint="eastAsia" w:ascii="宋体" w:hAnsi="宋体" w:eastAsia="宋体" w:cs="宋体"/>
          <w:color w:val="auto"/>
          <w:sz w:val="24"/>
          <w:highlight w:val="none"/>
        </w:rPr>
        <w:t>发包人没有按时支付预付款的，承包人应在付款期满后的10天向发包人发出要求支付的通知；发包人收到通知后仍不按要求支付，承包人可在发出通知14天后暂停施工。发包人可与承包人协商签订延期支付协议，经承包人同意后可延期支付，承包人有权按照第78.2款规定获得延期支付的利息。发包方承担由此增加的费用和（或）延误的工期，并向承包人支付合理利润。</w:t>
      </w:r>
    </w:p>
    <w:p w14:paraId="1EF9AA8E">
      <w:pPr>
        <w:pStyle w:val="24"/>
        <w:tabs>
          <w:tab w:val="left" w:pos="1320"/>
        </w:tabs>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79.4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41A4D14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1366" name="000229"/>
                <wp:cNvGraphicFramePr/>
                <a:graphic xmlns:a="http://schemas.openxmlformats.org/drawingml/2006/main">
                  <a:graphicData uri="http://schemas.microsoft.com/office/word/2010/wordprocessingShape">
                    <wps:wsp>
                      <wps:cNvSpPr/>
                      <wps:spPr>
                        <a:xfrm>
                          <a:off x="0" y="0"/>
                          <a:ext cx="1028700" cy="304165"/>
                        </a:xfrm>
                        <a:prstGeom prst="rect">
                          <a:avLst/>
                        </a:prstGeom>
                        <a:ln>
                          <a:noFill/>
                        </a:ln>
                      </wps:spPr>
                      <wps:txbx>
                        <w:txbxContent>
                          <w:p w14:paraId="274F737D">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wps:wsp>
                  </a:graphicData>
                </a:graphic>
              </wp:anchor>
            </w:drawing>
          </mc:Choice>
          <mc:Fallback>
            <w:pict>
              <v:rect id="000229" o:spid="_x0000_s1026" o:spt="1" style="position:absolute;left:0pt;margin-left:-9pt;margin-top:3.65pt;height:23.95pt;width:81pt;z-index:251659264;mso-width-relative:page;mso-height-relative:page;" filled="f" stroked="f" coordsize="21600,21600" o:gfxdata="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3SJb+2QAAAAgBAAAPAAAAAAAAAAEAIAAAACIA&#10;AABkcnMvZG93bnJldi54bWxQSwECFAAUAAAACACHTuJANv5zCpYBAAA5AwAADgAAAAAAAAABACAA&#10;AAAoAQAAZHJzL2Uyb0RvYy54bWxQSwUGAAAAAAYABgBZAQAAMAUAAAAA&#10;">
                <v:fill on="f" focussize="0,0"/>
                <v:stroke on="f"/>
                <v:imagedata o:title=""/>
                <o:lock v:ext="edit" aspectratio="f"/>
                <v:textbox>
                  <w:txbxContent>
                    <w:p w14:paraId="274F737D">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v:textbox>
              </v:rect>
            </w:pict>
          </mc:Fallback>
        </mc:AlternateContent>
      </w:r>
      <w:r>
        <w:rPr>
          <w:rFonts w:hint="eastAsia" w:hAnsi="宋体" w:eastAsia="宋体" w:cs="宋体"/>
          <w:color w:val="auto"/>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1D87D24D">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79.5  </w:t>
      </w:r>
      <w:r>
        <w:rPr>
          <w:rFonts w:hint="eastAsia" w:hAnsi="宋体" w:eastAsia="宋体" w:cs="宋体"/>
          <w:b/>
          <w:bCs/>
          <w:color w:val="auto"/>
          <w:sz w:val="24"/>
          <w:szCs w:val="24"/>
          <w:highlight w:val="none"/>
          <w:u w:val="dotted"/>
        </w:rPr>
        <w:t xml:space="preserve">                                                                                                        </w:t>
      </w:r>
    </w:p>
    <w:p w14:paraId="364A810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12700</wp:posOffset>
                </wp:positionV>
                <wp:extent cx="914400" cy="408305"/>
                <wp:effectExtent l="0" t="0" r="0" b="0"/>
                <wp:wrapNone/>
                <wp:docPr id="1367" name="00022a"/>
                <wp:cNvGraphicFramePr/>
                <a:graphic xmlns:a="http://schemas.openxmlformats.org/drawingml/2006/main">
                  <a:graphicData uri="http://schemas.microsoft.com/office/word/2010/wordprocessingShape">
                    <wps:wsp>
                      <wps:cNvSpPr/>
                      <wps:spPr>
                        <a:xfrm>
                          <a:off x="0" y="0"/>
                          <a:ext cx="914400" cy="408305"/>
                        </a:xfrm>
                        <a:prstGeom prst="rect">
                          <a:avLst/>
                        </a:prstGeom>
                        <a:ln>
                          <a:noFill/>
                        </a:ln>
                      </wps:spPr>
                      <wps:txbx>
                        <w:txbxContent>
                          <w:p w14:paraId="1B0E2501">
                            <w:pPr>
                              <w:pStyle w:val="39"/>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wps:wsp>
                  </a:graphicData>
                </a:graphic>
              </wp:anchor>
            </w:drawing>
          </mc:Choice>
          <mc:Fallback>
            <w:pict>
              <v:rect id="00022a" o:spid="_x0000_s1026" o:spt="1" style="position:absolute;left:0pt;margin-left:-9pt;margin-top:1pt;height:32.15pt;width:72pt;z-index:251659264;mso-width-relative:page;mso-height-relative:page;" filled="f" stroked="f" coordsize="21600,21600" o:gfxdata="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xeK5dgAAAAIAQAADwAAAAAAAAABACAAAAAiAAAA&#10;ZHJzL2Rvd25yZXYueG1sUEsBAhQAFAAAAAgAh07iQGnurcaVAQAAOAMAAA4AAAAAAAAAAQAgAAAA&#10;JwEAAGRycy9lMm9Eb2MueG1sUEsFBgAAAAAGAAYAWQEAAC4FAAAAAA==&#10;">
                <v:fill on="f" focussize="0,0"/>
                <v:stroke on="f"/>
                <v:imagedata o:title=""/>
                <o:lock v:ext="edit" aspectratio="f"/>
                <v:textbox>
                  <w:txbxContent>
                    <w:p w14:paraId="1B0E2501">
                      <w:pPr>
                        <w:pStyle w:val="39"/>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rect>
            </w:pict>
          </mc:Fallback>
        </mc:AlternateContent>
      </w:r>
      <w:r>
        <w:rPr>
          <w:rFonts w:hint="eastAsia" w:hAnsi="宋体" w:eastAsia="宋体" w:cs="宋体"/>
          <w:color w:val="auto"/>
          <w:sz w:val="24"/>
          <w:szCs w:val="24"/>
          <w:highlight w:val="none"/>
        </w:rPr>
        <w:t>承包人应保持预付款保函在预付款全部扣回之前一直有效。发包人应在预付款扣完后的14天内将预付款保函退还承包人，并不得向承包人收取预付款的任何利息。</w:t>
      </w:r>
    </w:p>
    <w:p w14:paraId="52B35265">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0155373">
      <w:pPr>
        <w:pStyle w:val="24"/>
        <w:tabs>
          <w:tab w:val="left" w:pos="540"/>
        </w:tabs>
        <w:adjustRightInd w:val="0"/>
        <w:snapToGrid w:val="0"/>
        <w:spacing w:before="240" w:beforeLines="100" w:line="300" w:lineRule="auto"/>
        <w:ind w:firstLine="482"/>
        <w:rPr>
          <w:rFonts w:hAnsi="宋体" w:eastAsia="宋体" w:cs="宋体"/>
          <w:b/>
          <w:bCs/>
          <w:color w:val="auto"/>
          <w:sz w:val="24"/>
          <w:szCs w:val="24"/>
          <w:highlight w:val="none"/>
        </w:rPr>
      </w:pPr>
      <w:bookmarkStart w:id="192" w:name="_Toc469384064"/>
      <w:bookmarkStart w:id="193" w:name="_Toc46860885"/>
    </w:p>
    <w:p w14:paraId="04BBDBA0">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r>
        <w:rPr>
          <w:rFonts w:hint="eastAsia" w:hAnsi="宋体" w:eastAsia="宋体" w:cs="宋体"/>
          <w:b/>
          <w:bCs/>
          <w:color w:val="auto"/>
          <w:sz w:val="24"/>
          <w:szCs w:val="24"/>
          <w:highlight w:val="none"/>
        </w:rPr>
        <w:t>★80  绿色施工安全防护费</w:t>
      </w:r>
      <w:bookmarkEnd w:id="192"/>
      <w:bookmarkEnd w:id="193"/>
    </w:p>
    <w:p w14:paraId="70888767">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80.1      </w:t>
      </w:r>
    </w:p>
    <w:p w14:paraId="4FD99E0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1368" name="00022b"/>
                <wp:cNvGraphicFramePr/>
                <a:graphic xmlns:a="http://schemas.openxmlformats.org/drawingml/2006/main">
                  <a:graphicData uri="http://schemas.microsoft.com/office/word/2010/wordprocessingShape">
                    <wps:wsp>
                      <wps:cNvSpPr/>
                      <wps:spPr>
                        <a:xfrm>
                          <a:off x="0" y="0"/>
                          <a:ext cx="1028700" cy="440054"/>
                        </a:xfrm>
                        <a:prstGeom prst="rect">
                          <a:avLst/>
                        </a:prstGeom>
                        <a:ln>
                          <a:noFill/>
                        </a:ln>
                      </wps:spPr>
                      <wps:txbx>
                        <w:txbxContent>
                          <w:p w14:paraId="1C558BED">
                            <w:pPr>
                              <w:pStyle w:val="39"/>
                              <w:spacing w:line="200" w:lineRule="exact"/>
                              <w:rPr>
                                <w:rFonts w:ascii="楷体_GB2312" w:hAnsi="宋体"/>
                                <w:sz w:val="18"/>
                                <w:szCs w:val="18"/>
                              </w:rPr>
                            </w:pPr>
                            <w:r>
                              <w:rPr>
                                <w:rFonts w:hint="eastAsia" w:ascii="楷体_GB2312" w:hAnsi="宋体" w:cs="楷体_GB2312"/>
                                <w:sz w:val="18"/>
                                <w:szCs w:val="18"/>
                              </w:rPr>
                              <w:t>内容、范围和</w:t>
                            </w:r>
                          </w:p>
                          <w:p w14:paraId="31846EBA">
                            <w:pPr>
                              <w:pStyle w:val="39"/>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wps:wsp>
                  </a:graphicData>
                </a:graphic>
              </wp:anchor>
            </w:drawing>
          </mc:Choice>
          <mc:Fallback>
            <w:pict>
              <v:rect id="00022b" o:spid="_x0000_s1026" o:spt="1" style="position:absolute;left:0pt;margin-left:-9pt;margin-top:1.4pt;height:34.65pt;width:81pt;z-index:251659264;mso-width-relative:page;mso-height-relative:page;" filled="f" stroked="f" coordsize="21600,21600" o:gfxdata="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A4qOi1wAAAAgBAAAPAAAAAAAAAAEAIAAAACIAAABk&#10;cnMvZG93bnJldi54bWxQSwECFAAUAAAACACHTuJAQS1TmpUBAAA5AwAADgAAAAAAAAABACAAAAAm&#10;AQAAZHJzL2Uyb0RvYy54bWxQSwUGAAAAAAYABgBZAQAALQUAAAAA&#10;">
                <v:fill on="f" focussize="0,0"/>
                <v:stroke on="f"/>
                <v:imagedata o:title=""/>
                <o:lock v:ext="edit" aspectratio="f"/>
                <v:textbox>
                  <w:txbxContent>
                    <w:p w14:paraId="1C558BED">
                      <w:pPr>
                        <w:pStyle w:val="39"/>
                        <w:spacing w:line="200" w:lineRule="exact"/>
                        <w:rPr>
                          <w:rFonts w:ascii="楷体_GB2312" w:hAnsi="宋体"/>
                          <w:sz w:val="18"/>
                          <w:szCs w:val="18"/>
                        </w:rPr>
                      </w:pPr>
                      <w:r>
                        <w:rPr>
                          <w:rFonts w:hint="eastAsia" w:ascii="楷体_GB2312" w:hAnsi="宋体" w:cs="楷体_GB2312"/>
                          <w:sz w:val="18"/>
                          <w:szCs w:val="18"/>
                        </w:rPr>
                        <w:t>内容、范围和</w:t>
                      </w:r>
                    </w:p>
                    <w:p w14:paraId="31846EBA">
                      <w:pPr>
                        <w:pStyle w:val="39"/>
                        <w:spacing w:line="200" w:lineRule="exact"/>
                        <w:rPr>
                          <w:rFonts w:ascii="楷体_GB2312" w:hAnsi="宋体"/>
                          <w:sz w:val="18"/>
                          <w:szCs w:val="18"/>
                        </w:rPr>
                      </w:pPr>
                      <w:r>
                        <w:rPr>
                          <w:rFonts w:hint="eastAsia" w:ascii="楷体_GB2312" w:hAnsi="宋体" w:cs="楷体_GB2312"/>
                          <w:sz w:val="18"/>
                          <w:szCs w:val="18"/>
                        </w:rPr>
                        <w:t>金额</w:t>
                      </w:r>
                    </w:p>
                  </w:txbxContent>
                </v:textbox>
              </v:rect>
            </w:pict>
          </mc:Fallback>
        </mc:AlternateContent>
      </w:r>
      <w:r>
        <w:rPr>
          <w:rFonts w:hint="eastAsia" w:hAnsi="宋体" w:eastAsia="宋体" w:cs="宋体"/>
          <w:color w:val="auto"/>
          <w:sz w:val="24"/>
          <w:szCs w:val="24"/>
          <w:highlight w:val="none"/>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14:paraId="4DC332B7">
      <w:pPr>
        <w:pStyle w:val="24"/>
        <w:adjustRightInd w:val="0"/>
        <w:snapToGrid w:val="0"/>
        <w:spacing w:line="300" w:lineRule="auto"/>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 xml:space="preserve">80.2  </w:t>
      </w:r>
      <w:r>
        <w:rPr>
          <w:rFonts w:hint="eastAsia" w:hAnsi="宋体" w:eastAsia="宋体" w:cs="宋体"/>
          <w:color w:val="auto"/>
          <w:sz w:val="24"/>
          <w:szCs w:val="24"/>
          <w:highlight w:val="none"/>
          <w:u w:val="dotted"/>
        </w:rPr>
        <w:t xml:space="preserve">                                                                             </w:t>
      </w:r>
    </w:p>
    <w:p w14:paraId="5957C93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1369" name="00022c"/>
                <wp:cNvGraphicFramePr/>
                <a:graphic xmlns:a="http://schemas.openxmlformats.org/drawingml/2006/main">
                  <a:graphicData uri="http://schemas.microsoft.com/office/word/2010/wordprocessingShape">
                    <wps:wsp>
                      <wps:cNvSpPr/>
                      <wps:spPr>
                        <a:xfrm>
                          <a:off x="0" y="0"/>
                          <a:ext cx="914400" cy="789304"/>
                        </a:xfrm>
                        <a:prstGeom prst="rect">
                          <a:avLst/>
                        </a:prstGeom>
                        <a:ln>
                          <a:noFill/>
                        </a:ln>
                      </wps:spPr>
                      <wps:txbx>
                        <w:txbxContent>
                          <w:p w14:paraId="7D46D5E1">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wps:wsp>
                  </a:graphicData>
                </a:graphic>
              </wp:anchor>
            </w:drawing>
          </mc:Choice>
          <mc:Fallback>
            <w:pict>
              <v:rect id="00022c" o:spid="_x0000_s1026" o:spt="1" style="position:absolute;left:0pt;margin-left:-9pt;margin-top:2.7pt;height:62.15pt;width:72pt;z-index:251659264;mso-width-relative:page;mso-height-relative:page;" filled="f" stroked="f" coordsize="21600,21600" o:gfxdata="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IyoCVbZAAAACQEAAA8AAAAAAAAAAQAgAAAAIgAA&#10;AGRycy9kb3ducmV2LnhtbFBLAQIUABQAAAAIAIdO4kCjI2HllQEAADgDAAAOAAAAAAAAAAEAIAAA&#10;ACgBAABkcnMvZTJvRG9jLnhtbFBLBQYAAAAABgAGAFkBAAAvBQAAAAA=&#10;">
                <v:fill on="f" focussize="0,0"/>
                <v:stroke on="f"/>
                <v:imagedata o:title=""/>
                <o:lock v:ext="edit" aspectratio="f"/>
                <v:textbox>
                  <w:txbxContent>
                    <w:p w14:paraId="7D46D5E1">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rect>
            </w:pict>
          </mc:Fallback>
        </mc:AlternateContent>
      </w:r>
      <w:r>
        <w:rPr>
          <w:rFonts w:hint="eastAsia" w:hAnsi="宋体" w:eastAsia="宋体" w:cs="宋体"/>
          <w:color w:val="auto"/>
          <w:sz w:val="24"/>
          <w:szCs w:val="24"/>
          <w:highlight w:val="none"/>
        </w:rPr>
        <w:t>专用条款没有约定的，承包人应在接到监理工程师按照第34.2款规定发出开工令后的7天内向造价工程师提交绿色施工安全防护费支付申请，并抄送发包人。造价工程师应对支付申请进行核实，并在收到支付申请后的7天内报发包人确认后向发包人发出支付证书，同时抄送承包人。</w:t>
      </w:r>
    </w:p>
    <w:p w14:paraId="35A0C4AE">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80.3  </w:t>
      </w:r>
      <w:r>
        <w:rPr>
          <w:rFonts w:hint="eastAsia" w:hAnsi="宋体" w:eastAsia="宋体" w:cs="宋体"/>
          <w:b/>
          <w:bCs/>
          <w:color w:val="auto"/>
          <w:sz w:val="24"/>
          <w:szCs w:val="24"/>
          <w:highlight w:val="none"/>
          <w:u w:val="dotted"/>
        </w:rPr>
        <w:t xml:space="preserve">                                                                                                        </w:t>
      </w:r>
    </w:p>
    <w:p w14:paraId="2F8176F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合同双方当事人应按照建设行政主管部门的规定，在专用条款中约定绿色施工安全防护费的支付办法和抵扣方式。除专用条款另有约定外，</w:t>
      </w: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1370" name="00022d"/>
                <wp:cNvGraphicFramePr/>
                <a:graphic xmlns:a="http://schemas.openxmlformats.org/drawingml/2006/main">
                  <a:graphicData uri="http://schemas.microsoft.com/office/word/2010/wordprocessingShape">
                    <wps:wsp>
                      <wps:cNvSpPr/>
                      <wps:spPr>
                        <a:xfrm>
                          <a:off x="0" y="0"/>
                          <a:ext cx="1028700" cy="352425"/>
                        </a:xfrm>
                        <a:prstGeom prst="rect">
                          <a:avLst/>
                        </a:prstGeom>
                        <a:ln>
                          <a:noFill/>
                        </a:ln>
                      </wps:spPr>
                      <wps:txbx>
                        <w:txbxContent>
                          <w:p w14:paraId="10A0E144">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wrap="square"/>
                    </wps:wsp>
                  </a:graphicData>
                </a:graphic>
              </wp:anchor>
            </w:drawing>
          </mc:Choice>
          <mc:Fallback>
            <w:pict>
              <v:rect id="00022d" o:spid="_x0000_s1026" o:spt="1" style="position:absolute;left:0pt;margin-left:-9pt;margin-top:5.65pt;height:27.75pt;width:81pt;z-index:251659264;mso-width-relative:page;mso-height-relative:page;" filled="f" stroked="f" coordsize="21600,21600" o:gfxdata="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NUFxubZAAAACQEAAA8AAAAAAAAAAQAgAAAAIgAA&#10;AGRycy9kb3ducmV2LnhtbFBLAQIUABQAAAAIAIdO4kD5I9KLlQEAADkDAAAOAAAAAAAAAAEAIAAA&#10;ACgBAABkcnMvZTJvRG9jLnhtbFBLBQYAAAAABgAGAFkBAAAvBQAAAAA=&#10;">
                <v:fill on="f" focussize="0,0"/>
                <v:stroke on="f"/>
                <v:imagedata o:title=""/>
                <o:lock v:ext="edit" aspectratio="f"/>
                <v:textbox>
                  <w:txbxContent>
                    <w:p w14:paraId="10A0E144">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rect>
            </w:pict>
          </mc:Fallback>
        </mc:AlternateContent>
      </w:r>
      <w:r>
        <w:rPr>
          <w:rFonts w:hint="eastAsia" w:hAnsi="宋体" w:eastAsia="宋体" w:cs="宋体"/>
          <w:color w:val="auto"/>
          <w:sz w:val="24"/>
          <w:szCs w:val="24"/>
          <w:highlight w:val="none"/>
        </w:rPr>
        <w:t>发包人应在造价工程师签发支付证书后的7天内向承包人支付绿色施工安全防护费，并保证在工程开工后的28天内支付绿色施工安全防护费金额的50%，同时通知造价工程师。其余部分与进度款同期支付。</w:t>
      </w:r>
    </w:p>
    <w:p w14:paraId="2F4FFCD7">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80.4  </w:t>
      </w:r>
      <w:r>
        <w:rPr>
          <w:rFonts w:hint="eastAsia" w:hAnsi="宋体" w:eastAsia="宋体" w:cs="宋体"/>
          <w:b/>
          <w:bCs/>
          <w:color w:val="auto"/>
          <w:sz w:val="24"/>
          <w:szCs w:val="24"/>
          <w:highlight w:val="none"/>
          <w:u w:val="dotted"/>
        </w:rPr>
        <w:t xml:space="preserve">                                                                                                        </w:t>
      </w:r>
    </w:p>
    <w:p w14:paraId="391E79C3">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1371" name="00022e"/>
                <wp:cNvGraphicFramePr/>
                <a:graphic xmlns:a="http://schemas.openxmlformats.org/drawingml/2006/main">
                  <a:graphicData uri="http://schemas.microsoft.com/office/word/2010/wordprocessingShape">
                    <wps:wsp>
                      <wps:cNvSpPr/>
                      <wps:spPr>
                        <a:xfrm>
                          <a:off x="0" y="0"/>
                          <a:ext cx="914400" cy="400685"/>
                        </a:xfrm>
                        <a:prstGeom prst="rect">
                          <a:avLst/>
                        </a:prstGeom>
                        <a:ln>
                          <a:noFill/>
                        </a:ln>
                      </wps:spPr>
                      <wps:txbx>
                        <w:txbxContent>
                          <w:p w14:paraId="56282D90">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wrap="square"/>
                    </wps:wsp>
                  </a:graphicData>
                </a:graphic>
              </wp:anchor>
            </w:drawing>
          </mc:Choice>
          <mc:Fallback>
            <w:pict>
              <v:rect id="00022e" o:spid="_x0000_s1026" o:spt="1" style="position:absolute;left:0pt;margin-left:-9pt;margin-top:0.85pt;height:31.55pt;width:72pt;z-index:251659264;mso-width-relative:page;mso-height-relative:page;" filled="f" stroked="f" coordsize="21600,21600" o:gfxdata="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S5mKD2AAAAAgBAAAPAAAAAAAAAAEAIAAAACIAAABk&#10;cnMvZG93bnJldi54bWxQSwECFAAUAAAACACHTuJAFgrQS5QBAAA4AwAADgAAAAAAAAABACAAAAAn&#10;AQAAZHJzL2Uyb0RvYy54bWxQSwUGAAAAAAYABgBZAQAALQUAAAAA&#10;">
                <v:fill on="f" focussize="0,0"/>
                <v:stroke on="f"/>
                <v:imagedata o:title=""/>
                <o:lock v:ext="edit" aspectratio="f"/>
                <v:textbox>
                  <w:txbxContent>
                    <w:p w14:paraId="56282D90">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rect>
            </w:pict>
          </mc:Fallback>
        </mc:AlternateContent>
      </w:r>
      <w:r>
        <w:rPr>
          <w:rFonts w:hint="eastAsia" w:ascii="宋体" w:hAnsi="宋体" w:eastAsia="宋体" w:cs="宋体"/>
          <w:color w:val="auto"/>
          <w:sz w:val="24"/>
          <w:highlight w:val="none"/>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14:paraId="0310E64C">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80.5  </w:t>
      </w:r>
      <w:r>
        <w:rPr>
          <w:rFonts w:hint="eastAsia" w:hAnsi="宋体" w:eastAsia="宋体" w:cs="宋体"/>
          <w:b/>
          <w:bCs/>
          <w:color w:val="auto"/>
          <w:sz w:val="24"/>
          <w:szCs w:val="24"/>
          <w:highlight w:val="none"/>
          <w:u w:val="dotted"/>
        </w:rPr>
        <w:t xml:space="preserve">                                                                                                        </w:t>
      </w:r>
    </w:p>
    <w:p w14:paraId="4DFCE77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1372" name="00022f"/>
                <wp:cNvGraphicFramePr/>
                <a:graphic xmlns:a="http://schemas.openxmlformats.org/drawingml/2006/main">
                  <a:graphicData uri="http://schemas.microsoft.com/office/word/2010/wordprocessingShape">
                    <wps:wsp>
                      <wps:cNvSpPr/>
                      <wps:spPr>
                        <a:xfrm>
                          <a:off x="0" y="0"/>
                          <a:ext cx="914400" cy="471170"/>
                        </a:xfrm>
                        <a:prstGeom prst="rect">
                          <a:avLst/>
                        </a:prstGeom>
                        <a:ln>
                          <a:noFill/>
                        </a:ln>
                      </wps:spPr>
                      <wps:txbx>
                        <w:txbxContent>
                          <w:p w14:paraId="4EB84A5A">
                            <w:pPr>
                              <w:spacing w:line="240" w:lineRule="exact"/>
                              <w:rPr>
                                <w:rFonts w:ascii="宋体"/>
                              </w:rPr>
                            </w:pPr>
                            <w:r>
                              <w:rPr>
                                <w:rFonts w:hint="eastAsia" w:ascii="楷体_GB2312" w:hAnsi="宋体" w:eastAsia="楷体_GB2312" w:cs="楷体_GB2312"/>
                                <w:b/>
                                <w:bCs/>
                                <w:sz w:val="18"/>
                                <w:szCs w:val="18"/>
                              </w:rPr>
                              <w:t>管理要求</w:t>
                            </w:r>
                          </w:p>
                        </w:txbxContent>
                      </wps:txbx>
                      <wps:bodyPr wrap="square"/>
                    </wps:wsp>
                  </a:graphicData>
                </a:graphic>
              </wp:anchor>
            </w:drawing>
          </mc:Choice>
          <mc:Fallback>
            <w:pict>
              <v:rect id="00022f" o:spid="_x0000_s1026" o:spt="1" style="position:absolute;left:0pt;margin-left:-9pt;margin-top:0.15pt;height:37.1pt;width:72pt;z-index:251659264;mso-width-relative:page;mso-height-relative:page;" filled="f" stroked="f" coordsize="21600,21600" o:gfxdata="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PBcyPYAAAABwEAAA8AAAAAAAAAAQAgAAAAIgAA&#10;AGRycy9kb3ducmV2LnhtbFBLAQIUABQAAAAIAIdO4kBI6kCClgEAADgDAAAOAAAAAAAAAAEAIAAA&#10;ACcBAABkcnMvZTJvRG9jLnhtbFBLBQYAAAAABgAGAFkBAAAvBQAAAAA=&#10;">
                <v:fill on="f" focussize="0,0"/>
                <v:stroke on="f"/>
                <v:imagedata o:title=""/>
                <o:lock v:ext="edit" aspectratio="f"/>
                <v:textbox>
                  <w:txbxContent>
                    <w:p w14:paraId="4EB84A5A">
                      <w:pPr>
                        <w:spacing w:line="240" w:lineRule="exact"/>
                        <w:rPr>
                          <w:rFonts w:ascii="宋体"/>
                        </w:rPr>
                      </w:pPr>
                      <w:r>
                        <w:rPr>
                          <w:rFonts w:hint="eastAsia" w:ascii="楷体_GB2312" w:hAnsi="宋体" w:eastAsia="楷体_GB2312" w:cs="楷体_GB2312"/>
                          <w:b/>
                          <w:bCs/>
                          <w:sz w:val="18"/>
                          <w:szCs w:val="18"/>
                        </w:rPr>
                        <w:t>管理要求</w:t>
                      </w:r>
                    </w:p>
                  </w:txbxContent>
                </v:textbox>
              </v:rect>
            </w:pict>
          </mc:Fallback>
        </mc:AlternateContent>
      </w:r>
      <w:r>
        <w:rPr>
          <w:rFonts w:hint="eastAsia" w:hAnsi="宋体" w:eastAsia="宋体" w:cs="宋体"/>
          <w:color w:val="auto"/>
          <w:sz w:val="24"/>
          <w:szCs w:val="24"/>
          <w:highlight w:val="none"/>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5613DD85">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1373" name="000230"/>
                <wp:cNvGraphicFramePr/>
                <a:graphic xmlns:a="http://schemas.openxmlformats.org/drawingml/2006/main">
                  <a:graphicData uri="http://schemas.microsoft.com/office/word/2010/wordprocessingShape">
                    <wps:wsp>
                      <wps:cNvSpPr/>
                      <wps:spPr>
                        <a:xfrm>
                          <a:off x="0" y="0"/>
                          <a:ext cx="914400" cy="609600"/>
                        </a:xfrm>
                        <a:prstGeom prst="rect">
                          <a:avLst/>
                        </a:prstGeom>
                        <a:ln>
                          <a:noFill/>
                        </a:ln>
                      </wps:spPr>
                      <wps:txbx>
                        <w:txbxContent>
                          <w:p w14:paraId="5AB2E706">
                            <w:pPr>
                              <w:pStyle w:val="18"/>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wps:wsp>
                  </a:graphicData>
                </a:graphic>
              </wp:anchor>
            </w:drawing>
          </mc:Choice>
          <mc:Fallback>
            <w:pict>
              <v:rect id="000230" o:spid="_x0000_s1026" o:spt="1" style="position:absolute;left:0pt;margin-left:0pt;margin-top:23.5pt;height:48pt;width:72pt;z-index:251659264;mso-width-relative:page;mso-height-relative:page;" filled="f" stroked="f" coordsize="21600,21600" o:gfxdata="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HzeV+tYAAAAHAQAADwAAAAAAAAABACAAAAAiAAAAZHJz&#10;L2Rvd25yZXYueG1sUEsBAhQAFAAAAAgAh07iQPfy6o2UAQAAOAMAAA4AAAAAAAAAAQAgAAAAJQEA&#10;AGRycy9lMm9Eb2MueG1sUEsFBgAAAAAGAAYAWQEAACsFAAAAAA==&#10;">
                <v:fill on="f" focussize="0,0"/>
                <v:stroke on="f"/>
                <v:imagedata o:title=""/>
                <o:lock v:ext="edit" aspectratio="f"/>
                <v:textbox>
                  <w:txbxContent>
                    <w:p w14:paraId="5AB2E706">
                      <w:pPr>
                        <w:pStyle w:val="18"/>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rect>
            </w:pict>
          </mc:Fallback>
        </mc:AlternateContent>
      </w:r>
      <w:r>
        <w:rPr>
          <w:rFonts w:hint="eastAsia" w:hAnsi="宋体" w:eastAsia="宋体" w:cs="宋体"/>
          <w:b/>
          <w:bCs/>
          <w:color w:val="auto"/>
          <w:sz w:val="24"/>
          <w:szCs w:val="24"/>
          <w:highlight w:val="none"/>
        </w:rPr>
        <w:t xml:space="preserve">80.6  </w:t>
      </w:r>
      <w:r>
        <w:rPr>
          <w:rFonts w:hint="eastAsia" w:hAnsi="宋体" w:eastAsia="宋体" w:cs="宋体"/>
          <w:b/>
          <w:bCs/>
          <w:color w:val="auto"/>
          <w:sz w:val="24"/>
          <w:szCs w:val="24"/>
          <w:highlight w:val="none"/>
          <w:u w:val="dotted"/>
        </w:rPr>
        <w:t xml:space="preserve">                                                                                 </w:t>
      </w:r>
    </w:p>
    <w:p w14:paraId="372C4C0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除专用条款另有约定外，</w:t>
      </w:r>
      <w:r>
        <w:rPr>
          <w:rFonts w:hint="eastAsia" w:hAnsi="宋体" w:eastAsia="宋体" w:cs="宋体"/>
          <w:caps/>
          <w:color w:val="auto"/>
          <w:sz w:val="24"/>
          <w:szCs w:val="24"/>
          <w:highlight w:val="none"/>
        </w:rPr>
        <w:t>获得省、市级或其它级别文明工地的文明工地增加费</w:t>
      </w:r>
      <w:r>
        <w:rPr>
          <w:rFonts w:hint="eastAsia" w:hAnsi="宋体" w:eastAsia="宋体" w:cs="宋体"/>
          <w:color w:val="auto"/>
          <w:sz w:val="24"/>
          <w:szCs w:val="24"/>
          <w:highlight w:val="none"/>
        </w:rPr>
        <w:t>，招标工程的根据中标通知书日期，非招标工程的根据合同签订日期的同时期执行的广东省建设工程计价依据</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、广州市住房和城乡建设局发布的</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、广州市建设工程造价管理站发布的</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计算。当合同工程同时获得上述多个奖项的，</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只按最高奖项的额度计算。</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列入竣工结算文件中，与竣工结算款一并支付。在竣工结算后获得奖项的，发包人应在获得奖项后的28天内支付。</w:t>
      </w:r>
    </w:p>
    <w:p w14:paraId="2FA0FF70">
      <w:pPr>
        <w:pStyle w:val="24"/>
        <w:tabs>
          <w:tab w:val="left" w:pos="1620"/>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1BB7763">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94" w:name="_Toc469384065"/>
      <w:bookmarkStart w:id="195" w:name="_Toc46860886"/>
      <w:r>
        <w:rPr>
          <w:rFonts w:hint="eastAsia" w:hAnsi="宋体" w:eastAsia="宋体" w:cs="宋体"/>
          <w:b/>
          <w:bCs/>
          <w:color w:val="auto"/>
          <w:sz w:val="24"/>
          <w:szCs w:val="24"/>
          <w:highlight w:val="none"/>
        </w:rPr>
        <w:t>★81  进度款</w:t>
      </w:r>
      <w:bookmarkEnd w:id="194"/>
      <w:bookmarkEnd w:id="195"/>
    </w:p>
    <w:p w14:paraId="2D3B04A4">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81.1</w:t>
      </w:r>
    </w:p>
    <w:p w14:paraId="167DC9E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1374" name="000231"/>
                <wp:cNvGraphicFramePr/>
                <a:graphic xmlns:a="http://schemas.openxmlformats.org/drawingml/2006/main">
                  <a:graphicData uri="http://schemas.microsoft.com/office/word/2010/wordprocessingShape">
                    <wps:wsp>
                      <wps:cNvSpPr/>
                      <wps:spPr>
                        <a:xfrm>
                          <a:off x="0" y="0"/>
                          <a:ext cx="914400" cy="686435"/>
                        </a:xfrm>
                        <a:prstGeom prst="rect">
                          <a:avLst/>
                        </a:prstGeom>
                        <a:ln>
                          <a:noFill/>
                        </a:ln>
                      </wps:spPr>
                      <wps:txbx>
                        <w:txbxContent>
                          <w:p w14:paraId="00BE7225">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wps:wsp>
                  </a:graphicData>
                </a:graphic>
              </wp:anchor>
            </w:drawing>
          </mc:Choice>
          <mc:Fallback>
            <w:pict>
              <v:rect id="000231" o:spid="_x0000_s1026" o:spt="1" style="position:absolute;left:0pt;margin-left:-9pt;margin-top:0.65pt;height:54.05pt;width:72pt;z-index:251659264;mso-width-relative:page;mso-height-relative:page;" filled="f" stroked="f" coordsize="21600,21600" o:gfxdata="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Muxl+2QAAAAkBAAAPAAAAAAAAAAEAIAAAACIA&#10;AABkcnMvZG93bnJldi54bWxQSwECFAAUAAAACACHTuJAFNQPhJYBAAA4AwAADgAAAAAAAAABACAA&#10;AAAoAQAAZHJzL2Uyb0RvYy54bWxQSwUGAAAAAAYABgBZAQAAMAUAAAAA&#10;">
                <v:fill on="f" focussize="0,0"/>
                <v:stroke on="f"/>
                <v:imagedata o:title=""/>
                <o:lock v:ext="edit" aspectratio="f"/>
                <v:textbox>
                  <w:txbxContent>
                    <w:p w14:paraId="00BE7225">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v:textbox>
              </v:rect>
            </w:pict>
          </mc:Fallback>
        </mc:AlternateContent>
      </w:r>
      <w:r>
        <w:rPr>
          <w:rFonts w:hint="eastAsia" w:hAnsi="宋体" w:eastAsia="宋体" w:cs="宋体"/>
          <w:color w:val="auto"/>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14:paraId="2723E107">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1375" name="000232"/>
                <wp:cNvGraphicFramePr/>
                <a:graphic xmlns:a="http://schemas.openxmlformats.org/drawingml/2006/main">
                  <a:graphicData uri="http://schemas.microsoft.com/office/word/2010/wordprocessingShape">
                    <wps:wsp>
                      <wps:cNvSpPr/>
                      <wps:spPr>
                        <a:xfrm>
                          <a:off x="0" y="0"/>
                          <a:ext cx="1409700" cy="597534"/>
                        </a:xfrm>
                        <a:prstGeom prst="rect">
                          <a:avLst/>
                        </a:prstGeom>
                        <a:ln>
                          <a:noFill/>
                        </a:ln>
                      </wps:spPr>
                      <wps:txbx>
                        <w:txbxContent>
                          <w:p w14:paraId="713B593A">
                            <w:pPr>
                              <w:spacing w:line="240" w:lineRule="exact"/>
                              <w:rPr>
                                <w:rFonts w:eastAsia="楷体_GB2312"/>
                                <w:b/>
                                <w:bCs/>
                                <w:sz w:val="18"/>
                                <w:szCs w:val="18"/>
                              </w:rPr>
                            </w:pPr>
                            <w:r>
                              <w:rPr>
                                <w:rFonts w:hint="eastAsia" w:eastAsia="楷体_GB2312" w:cs="楷体_GB2312"/>
                                <w:b/>
                                <w:bCs/>
                                <w:sz w:val="18"/>
                                <w:szCs w:val="18"/>
                              </w:rPr>
                              <w:t>安全文明施工费</w:t>
                            </w:r>
                          </w:p>
                          <w:p w14:paraId="31CEA6DD">
                            <w:pPr>
                              <w:spacing w:line="240" w:lineRule="exact"/>
                              <w:rPr>
                                <w:rFonts w:eastAsia="楷体_GB2312"/>
                                <w:b/>
                                <w:bCs/>
                                <w:sz w:val="18"/>
                                <w:szCs w:val="18"/>
                              </w:rPr>
                            </w:pPr>
                            <w:r>
                              <w:rPr>
                                <w:rFonts w:hint="eastAsia" w:eastAsia="楷体_GB2312" w:cs="楷体_GB2312"/>
                                <w:b/>
                                <w:bCs/>
                                <w:sz w:val="18"/>
                                <w:szCs w:val="18"/>
                              </w:rPr>
                              <w:t>支付申请的提交、</w:t>
                            </w:r>
                          </w:p>
                          <w:p w14:paraId="26BC06E5">
                            <w:pPr>
                              <w:spacing w:line="240" w:lineRule="exact"/>
                              <w:rPr>
                                <w:rFonts w:eastAsia="楷体_GB2312"/>
                                <w:b/>
                                <w:bCs/>
                                <w:sz w:val="18"/>
                                <w:szCs w:val="18"/>
                              </w:rPr>
                            </w:pPr>
                            <w:r>
                              <w:rPr>
                                <w:rFonts w:hint="eastAsia" w:eastAsia="楷体_GB2312" w:cs="楷体_GB2312"/>
                                <w:b/>
                                <w:bCs/>
                                <w:sz w:val="18"/>
                                <w:szCs w:val="18"/>
                              </w:rPr>
                              <w:t>核实与支付</w:t>
                            </w:r>
                          </w:p>
                          <w:p w14:paraId="44D4BF0F">
                            <w:pPr>
                              <w:rPr>
                                <w:rFonts w:eastAsia="楷体_GB2312"/>
                                <w:b/>
                                <w:bCs/>
                                <w:sz w:val="18"/>
                                <w:szCs w:val="18"/>
                              </w:rPr>
                            </w:pPr>
                          </w:p>
                        </w:txbxContent>
                      </wps:txbx>
                      <wps:bodyPr wrap="square"/>
                    </wps:wsp>
                  </a:graphicData>
                </a:graphic>
              </wp:anchor>
            </w:drawing>
          </mc:Choice>
          <mc:Fallback>
            <w:pict>
              <v:rect id="000232" o:spid="_x0000_s1026" o:spt="1" style="position:absolute;left:0pt;margin-left:-18pt;margin-top:737pt;height:47.05pt;width:111pt;z-index:251659264;mso-width-relative:page;mso-height-relative:page;" filled="f" stroked="f" coordsize="21600,21600" o:gfxdata="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LENIPaAAAADQEAAA8AAAAAAAAAAQAgAAAA&#10;IgAAAGRycy9kb3ducmV2LnhtbFBLAQIUABQAAAAIAIdO4kDiRFEBlwEAADkDAAAOAAAAAAAAAAEA&#10;IAAAACkBAABkcnMvZTJvRG9jLnhtbFBLBQYAAAAABgAGAFkBAAAyBQAAAAA=&#10;">
                <v:fill on="f" focussize="0,0"/>
                <v:stroke on="f"/>
                <v:imagedata o:title=""/>
                <o:lock v:ext="edit" aspectratio="f"/>
                <v:textbox>
                  <w:txbxContent>
                    <w:p w14:paraId="713B593A">
                      <w:pPr>
                        <w:spacing w:line="240" w:lineRule="exact"/>
                        <w:rPr>
                          <w:rFonts w:eastAsia="楷体_GB2312"/>
                          <w:b/>
                          <w:bCs/>
                          <w:sz w:val="18"/>
                          <w:szCs w:val="18"/>
                        </w:rPr>
                      </w:pPr>
                      <w:r>
                        <w:rPr>
                          <w:rFonts w:hint="eastAsia" w:eastAsia="楷体_GB2312" w:cs="楷体_GB2312"/>
                          <w:b/>
                          <w:bCs/>
                          <w:sz w:val="18"/>
                          <w:szCs w:val="18"/>
                        </w:rPr>
                        <w:t>安全文明施工费</w:t>
                      </w:r>
                    </w:p>
                    <w:p w14:paraId="31CEA6DD">
                      <w:pPr>
                        <w:spacing w:line="240" w:lineRule="exact"/>
                        <w:rPr>
                          <w:rFonts w:eastAsia="楷体_GB2312"/>
                          <w:b/>
                          <w:bCs/>
                          <w:sz w:val="18"/>
                          <w:szCs w:val="18"/>
                        </w:rPr>
                      </w:pPr>
                      <w:r>
                        <w:rPr>
                          <w:rFonts w:hint="eastAsia" w:eastAsia="楷体_GB2312" w:cs="楷体_GB2312"/>
                          <w:b/>
                          <w:bCs/>
                          <w:sz w:val="18"/>
                          <w:szCs w:val="18"/>
                        </w:rPr>
                        <w:t>支付申请的提交、</w:t>
                      </w:r>
                    </w:p>
                    <w:p w14:paraId="26BC06E5">
                      <w:pPr>
                        <w:spacing w:line="240" w:lineRule="exact"/>
                        <w:rPr>
                          <w:rFonts w:eastAsia="楷体_GB2312"/>
                          <w:b/>
                          <w:bCs/>
                          <w:sz w:val="18"/>
                          <w:szCs w:val="18"/>
                        </w:rPr>
                      </w:pPr>
                      <w:r>
                        <w:rPr>
                          <w:rFonts w:hint="eastAsia" w:eastAsia="楷体_GB2312" w:cs="楷体_GB2312"/>
                          <w:b/>
                          <w:bCs/>
                          <w:sz w:val="18"/>
                          <w:szCs w:val="18"/>
                        </w:rPr>
                        <w:t>核实与支付</w:t>
                      </w:r>
                    </w:p>
                    <w:p w14:paraId="44D4BF0F">
                      <w:pPr>
                        <w:rPr>
                          <w:rFonts w:eastAsia="楷体_GB2312"/>
                          <w:b/>
                          <w:bCs/>
                          <w:sz w:val="18"/>
                          <w:szCs w:val="18"/>
                        </w:rPr>
                      </w:pPr>
                    </w:p>
                  </w:txbxContent>
                </v:textbox>
              </v:rect>
            </w:pict>
          </mc:Fallback>
        </mc:AlternateContent>
      </w:r>
      <w:r>
        <w:rPr>
          <w:rFonts w:hint="eastAsia" w:hAnsi="宋体" w:eastAsia="宋体" w:cs="宋体"/>
          <w:color w:val="auto"/>
          <w:sz w:val="24"/>
          <w:szCs w:val="24"/>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14:paraId="439ACA62">
      <w:pPr>
        <w:pStyle w:val="24"/>
        <w:numPr>
          <w:ilvl w:val="0"/>
          <w:numId w:val="25"/>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已完工程款；</w:t>
      </w:r>
    </w:p>
    <w:p w14:paraId="029A98A6">
      <w:pPr>
        <w:pStyle w:val="24"/>
        <w:numPr>
          <w:ilvl w:val="0"/>
          <w:numId w:val="25"/>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已实际支付的工程款；</w:t>
      </w:r>
    </w:p>
    <w:p w14:paraId="52FB7623">
      <w:pPr>
        <w:pStyle w:val="24"/>
        <w:numPr>
          <w:ilvl w:val="0"/>
          <w:numId w:val="25"/>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本期间完成的工程款；</w:t>
      </w:r>
    </w:p>
    <w:p w14:paraId="79BC0D11">
      <w:pPr>
        <w:pStyle w:val="24"/>
        <w:numPr>
          <w:ilvl w:val="0"/>
          <w:numId w:val="25"/>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本期间完成的计日工费用；</w:t>
      </w:r>
    </w:p>
    <w:p w14:paraId="1DE23B57">
      <w:pPr>
        <w:pStyle w:val="24"/>
        <w:numPr>
          <w:ilvl w:val="0"/>
          <w:numId w:val="25"/>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本期间应支付的暂列金额价款；</w:t>
      </w:r>
    </w:p>
    <w:p w14:paraId="70180A6D">
      <w:pPr>
        <w:pStyle w:val="24"/>
        <w:numPr>
          <w:ilvl w:val="0"/>
          <w:numId w:val="25"/>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根据第66条规定本期间应扣除的误期赔偿费；</w:t>
      </w:r>
    </w:p>
    <w:p w14:paraId="3AAA2B6B">
      <w:pPr>
        <w:pStyle w:val="24"/>
        <w:numPr>
          <w:ilvl w:val="0"/>
          <w:numId w:val="25"/>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根据第68条至第76条规定本期间应支付的调整工程款；</w:t>
      </w:r>
    </w:p>
    <w:p w14:paraId="6C677963">
      <w:pPr>
        <w:pStyle w:val="24"/>
        <w:numPr>
          <w:ilvl w:val="0"/>
          <w:numId w:val="25"/>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根据第79条本期间应扣回的预付款；</w:t>
      </w:r>
    </w:p>
    <w:p w14:paraId="1DB1C2A5">
      <w:pPr>
        <w:pStyle w:val="24"/>
        <w:numPr>
          <w:ilvl w:val="0"/>
          <w:numId w:val="25"/>
        </w:numPr>
        <w:tabs>
          <w:tab w:val="left" w:pos="216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根据第80条规定本期间应支付或扣回的绿色施工安全防护费；</w:t>
      </w:r>
    </w:p>
    <w:p w14:paraId="6A3F4027">
      <w:pPr>
        <w:pStyle w:val="24"/>
        <w:numPr>
          <w:ilvl w:val="0"/>
          <w:numId w:val="25"/>
        </w:numPr>
        <w:tabs>
          <w:tab w:val="left" w:pos="216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根据第84条本期间应扣留的质量保证金；</w:t>
      </w:r>
    </w:p>
    <w:p w14:paraId="0A0FB256">
      <w:pPr>
        <w:pStyle w:val="24"/>
        <w:numPr>
          <w:ilvl w:val="0"/>
          <w:numId w:val="25"/>
        </w:numPr>
        <w:tabs>
          <w:tab w:val="left" w:pos="216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根据合同约定，本期间应支付或扣留（回）的其他款项；</w:t>
      </w:r>
    </w:p>
    <w:p w14:paraId="00CFCF27">
      <w:pPr>
        <w:pStyle w:val="24"/>
        <w:numPr>
          <w:ilvl w:val="0"/>
          <w:numId w:val="25"/>
        </w:numPr>
        <w:tabs>
          <w:tab w:val="left" w:pos="216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本期间应支付的工程款。</w:t>
      </w:r>
    </w:p>
    <w:p w14:paraId="3C7D4A45">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81.2 </w:t>
      </w:r>
      <w:r>
        <w:rPr>
          <w:rFonts w:hint="eastAsia" w:hAnsi="宋体" w:eastAsia="宋体" w:cs="宋体"/>
          <w:b/>
          <w:bCs/>
          <w:color w:val="auto"/>
          <w:sz w:val="24"/>
          <w:szCs w:val="24"/>
          <w:highlight w:val="none"/>
          <w:u w:val="dotted"/>
        </w:rPr>
        <w:t xml:space="preserve">                                                                                                         </w:t>
      </w:r>
    </w:p>
    <w:p w14:paraId="08ACE58C">
      <w:pPr>
        <w:pStyle w:val="24"/>
        <w:adjustRightInd w:val="0"/>
        <w:snapToGrid w:val="0"/>
        <w:spacing w:line="300" w:lineRule="auto"/>
        <w:ind w:left="1619" w:leftChars="771"/>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1376" name="000233"/>
                <wp:cNvGraphicFramePr/>
                <a:graphic xmlns:a="http://schemas.openxmlformats.org/drawingml/2006/main">
                  <a:graphicData uri="http://schemas.microsoft.com/office/word/2010/wordprocessingShape">
                    <wps:wsp>
                      <wps:cNvSpPr/>
                      <wps:spPr>
                        <a:xfrm>
                          <a:off x="0" y="0"/>
                          <a:ext cx="914400" cy="670560"/>
                        </a:xfrm>
                        <a:prstGeom prst="rect">
                          <a:avLst/>
                        </a:prstGeom>
                        <a:ln>
                          <a:noFill/>
                        </a:ln>
                      </wps:spPr>
                      <wps:txbx>
                        <w:txbxContent>
                          <w:p w14:paraId="1ABC5F6D">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wrap="square"/>
                    </wps:wsp>
                  </a:graphicData>
                </a:graphic>
              </wp:anchor>
            </w:drawing>
          </mc:Choice>
          <mc:Fallback>
            <w:pict>
              <v:rect id="000233" o:spid="_x0000_s1026" o:spt="1" style="position:absolute;left:0pt;margin-left:-9pt;margin-top:0pt;height:52.8pt;width:72pt;z-index:251659264;mso-width-relative:page;mso-height-relative:page;" filled="f" stroked="f" coordsize="21600,21600" o:gfxdata="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JWMqG2AAAAAgBAAAPAAAAAAAAAAEAIAAAACIA&#10;AABkcnMvZG93bnJldi54bWxQSwECFAAUAAAACACHTuJAZHQZ05cBAAA4AwAADgAAAAAAAAABACAA&#10;AAAnAQAAZHJzL2Uyb0RvYy54bWxQSwUGAAAAAAYABgBZAQAAMAUAAAAA&#10;">
                <v:fill on="f" focussize="0,0"/>
                <v:stroke on="f"/>
                <v:imagedata o:title=""/>
                <o:lock v:ext="edit" aspectratio="f"/>
                <v:textbox>
                  <w:txbxContent>
                    <w:p w14:paraId="1ABC5F6D">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rect>
            </w:pict>
          </mc:Fallback>
        </mc:AlternateContent>
      </w:r>
      <w:r>
        <w:rPr>
          <w:rFonts w:hint="eastAsia" w:hAnsi="宋体" w:eastAsia="宋体" w:cs="宋体"/>
          <w:color w:val="auto"/>
          <w:sz w:val="24"/>
          <w:szCs w:val="24"/>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p>
    <w:p w14:paraId="0E9DB1A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1056EA9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造价工程师签发期中支付证书，不应视为发包人已同意、批准或接受了承包人完成该部分工作。</w:t>
      </w:r>
    </w:p>
    <w:p w14:paraId="13E1ABAD">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81.3  </w:t>
      </w:r>
      <w:r>
        <w:rPr>
          <w:rFonts w:hint="eastAsia" w:hAnsi="宋体" w:eastAsia="宋体" w:cs="宋体"/>
          <w:b/>
          <w:bCs/>
          <w:color w:val="auto"/>
          <w:sz w:val="24"/>
          <w:szCs w:val="24"/>
          <w:highlight w:val="none"/>
          <w:u w:val="dotted"/>
        </w:rPr>
        <w:t xml:space="preserve">                                                                                                        </w:t>
      </w:r>
    </w:p>
    <w:p w14:paraId="5F8CF94B">
      <w:pPr>
        <w:pStyle w:val="24"/>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1377" name="000234"/>
                <wp:cNvGraphicFramePr/>
                <a:graphic xmlns:a="http://schemas.openxmlformats.org/drawingml/2006/main">
                  <a:graphicData uri="http://schemas.microsoft.com/office/word/2010/wordprocessingShape">
                    <wps:wsp>
                      <wps:cNvSpPr/>
                      <wps:spPr>
                        <a:xfrm>
                          <a:off x="0" y="0"/>
                          <a:ext cx="1028700" cy="267970"/>
                        </a:xfrm>
                        <a:prstGeom prst="rect">
                          <a:avLst/>
                        </a:prstGeom>
                        <a:ln>
                          <a:noFill/>
                        </a:ln>
                      </wps:spPr>
                      <wps:txbx>
                        <w:txbxContent>
                          <w:p w14:paraId="1AC099E2">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wrap="square"/>
                    </wps:wsp>
                  </a:graphicData>
                </a:graphic>
              </wp:anchor>
            </w:drawing>
          </mc:Choice>
          <mc:Fallback>
            <w:pict>
              <v:rect id="000234" o:spid="_x0000_s1026" o:spt="1" style="position:absolute;left:0pt;margin-left:-9pt;margin-top:0.5pt;height:21.1pt;width:81pt;z-index:251659264;mso-width-relative:page;mso-height-relative:page;" filled="f" stroked="f" coordsize="21600,21600" o:gfxdata="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CU0012AAAAAgBAAAPAAAAAAAAAAEAIAAAACIA&#10;AABkcnMvZG93bnJldi54bWxQSwECFAAUAAAACACHTuJAsABF45cBAAA5AwAADgAAAAAAAAABACAA&#10;AAAnAQAAZHJzL2Uyb0RvYy54bWxQSwUGAAAAAAYABgBZAQAAMAUAAAAA&#10;">
                <v:fill on="f" focussize="0,0"/>
                <v:stroke on="f"/>
                <v:imagedata o:title=""/>
                <o:lock v:ext="edit" aspectratio="f"/>
                <v:textbox>
                  <w:txbxContent>
                    <w:p w14:paraId="1AC099E2">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rect>
            </w:pict>
          </mc:Fallback>
        </mc:AlternateContent>
      </w:r>
      <w:r>
        <w:rPr>
          <w:rFonts w:hint="eastAsia" w:hAnsi="宋体" w:eastAsia="宋体" w:cs="宋体"/>
          <w:color w:val="auto"/>
          <w:sz w:val="24"/>
          <w:szCs w:val="24"/>
          <w:highlight w:val="none"/>
        </w:rPr>
        <w:t>发包人应在造价工程师签发期中支付证书后的14天内，按照期中支付证书列明的金额向承包人支付进度款，并通知造价工程师。</w:t>
      </w:r>
    </w:p>
    <w:p w14:paraId="7C17A87C">
      <w:pPr>
        <w:pStyle w:val="24"/>
        <w:tabs>
          <w:tab w:val="left" w:pos="1320"/>
        </w:tabs>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81.4</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7DCC20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1378" name="000235"/>
                <wp:cNvGraphicFramePr/>
                <a:graphic xmlns:a="http://schemas.openxmlformats.org/drawingml/2006/main">
                  <a:graphicData uri="http://schemas.microsoft.com/office/word/2010/wordprocessingShape">
                    <wps:wsp>
                      <wps:cNvSpPr/>
                      <wps:spPr>
                        <a:xfrm>
                          <a:off x="0" y="0"/>
                          <a:ext cx="914400" cy="647700"/>
                        </a:xfrm>
                        <a:prstGeom prst="rect">
                          <a:avLst/>
                        </a:prstGeom>
                        <a:ln>
                          <a:noFill/>
                        </a:ln>
                      </wps:spPr>
                      <wps:txbx>
                        <w:txbxContent>
                          <w:p w14:paraId="42EA2BD9">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wps:txbx>
                      <wps:bodyPr wrap="square"/>
                    </wps:wsp>
                  </a:graphicData>
                </a:graphic>
              </wp:anchor>
            </w:drawing>
          </mc:Choice>
          <mc:Fallback>
            <w:pict>
              <v:rect id="000235" o:spid="_x0000_s1026" o:spt="1" style="position:absolute;left:0pt;margin-left:-9pt;margin-top:0.65pt;height:51pt;width:72pt;z-index:251659264;mso-width-relative:page;mso-height-relative:page;" filled="f" stroked="f" coordsize="21600,21600" o:gfxdata="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ZAyY9gAAAAJAQAADwAAAAAAAAABACAAAAAiAAAA&#10;ZHJzL2Rvd25yZXYueG1sUEsBAhQAFAAAAAgAh07iQM/qsN+VAQAAOAMAAA4AAAAAAAAAAQAgAAAA&#10;JwEAAGRycy9lMm9Eb2MueG1sUEsFBgAAAAAGAAYAWQEAAC4FAAAAAA==&#10;">
                <v:fill on="f" focussize="0,0"/>
                <v:stroke on="f"/>
                <v:imagedata o:title=""/>
                <o:lock v:ext="edit" aspectratio="f"/>
                <v:textbox>
                  <w:txbxContent>
                    <w:p w14:paraId="42EA2BD9">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v:textbox>
              </v:rect>
            </w:pict>
          </mc:Fallback>
        </mc:AlternateContent>
      </w:r>
      <w:r>
        <w:rPr>
          <w:rFonts w:hint="eastAsia" w:hAnsi="宋体" w:eastAsia="宋体" w:cs="宋体"/>
          <w:color w:val="auto"/>
          <w:sz w:val="24"/>
          <w:szCs w:val="24"/>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14:paraId="77A03B61">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81.5  </w:t>
      </w:r>
      <w:r>
        <w:rPr>
          <w:rFonts w:hint="eastAsia" w:hAnsi="宋体" w:eastAsia="宋体" w:cs="宋体"/>
          <w:b/>
          <w:bCs/>
          <w:color w:val="auto"/>
          <w:sz w:val="24"/>
          <w:szCs w:val="24"/>
          <w:highlight w:val="none"/>
          <w:u w:val="dotted"/>
        </w:rPr>
        <w:t xml:space="preserve">                                                                                                        </w:t>
      </w:r>
    </w:p>
    <w:p w14:paraId="7A5ABF1C">
      <w:pPr>
        <w:pStyle w:val="6"/>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1379" name="000236"/>
                <wp:cNvGraphicFramePr/>
                <a:graphic xmlns:a="http://schemas.openxmlformats.org/drawingml/2006/main">
                  <a:graphicData uri="http://schemas.microsoft.com/office/word/2010/wordprocessingShape">
                    <wps:wsp>
                      <wps:cNvSpPr/>
                      <wps:spPr>
                        <a:xfrm>
                          <a:off x="0" y="0"/>
                          <a:ext cx="914400" cy="647065"/>
                        </a:xfrm>
                        <a:prstGeom prst="rect">
                          <a:avLst/>
                        </a:prstGeom>
                        <a:ln>
                          <a:noFill/>
                        </a:ln>
                      </wps:spPr>
                      <wps:txbx>
                        <w:txbxContent>
                          <w:p w14:paraId="4A14CF48">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wrap="square"/>
                    </wps:wsp>
                  </a:graphicData>
                </a:graphic>
              </wp:anchor>
            </w:drawing>
          </mc:Choice>
          <mc:Fallback>
            <w:pict>
              <v:rect id="000236" o:spid="_x0000_s1026" o:spt="1" style="position:absolute;left:0pt;margin-left:-9pt;margin-top:0.95pt;height:50.95pt;width:72pt;z-index:251659264;mso-width-relative:page;mso-height-relative:page;" filled="f" stroked="f" coordsize="21600,21600" o:gfxdata="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SO8s/YAAAACQEAAA8AAAAAAAAAAQAgAAAAIgAA&#10;AGRycy9kb3ducmV2LnhtbFBLAQIUABQAAAAIAIdO4kBSZp+vlgEAADgDAAAOAAAAAAAAAAEAIAAA&#10;ACcBAABkcnMvZTJvRG9jLnhtbFBLBQYAAAAABgAGAFkBAAAvBQAAAAA=&#10;">
                <v:fill on="f" focussize="0,0"/>
                <v:stroke on="f"/>
                <v:imagedata o:title=""/>
                <o:lock v:ext="edit" aspectratio="f"/>
                <v:textbox>
                  <w:txbxContent>
                    <w:p w14:paraId="4A14CF48">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rect>
            </w:pict>
          </mc:Fallback>
        </mc:AlternateContent>
      </w:r>
      <w:r>
        <w:rPr>
          <w:rFonts w:hint="eastAsia" w:ascii="宋体" w:hAnsi="宋体" w:eastAsia="宋体" w:cs="宋体"/>
          <w:color w:val="auto"/>
          <w:sz w:val="24"/>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14:paraId="6F3D8BC5">
      <w:pPr>
        <w:pStyle w:val="6"/>
        <w:adjustRightInd w:val="0"/>
        <w:snapToGrid w:val="0"/>
        <w:spacing w:line="300" w:lineRule="auto"/>
        <w:ind w:left="1640" w:leftChars="78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14:paraId="081AE56C">
      <w:pPr>
        <w:pStyle w:val="24"/>
        <w:tabs>
          <w:tab w:val="left" w:pos="1320"/>
        </w:tabs>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81.6</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6FED501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1380" name="000237"/>
                <wp:cNvGraphicFramePr/>
                <a:graphic xmlns:a="http://schemas.openxmlformats.org/drawingml/2006/main">
                  <a:graphicData uri="http://schemas.microsoft.com/office/word/2010/wordprocessingShape">
                    <wps:wsp>
                      <wps:cNvSpPr/>
                      <wps:spPr>
                        <a:xfrm>
                          <a:off x="0" y="0"/>
                          <a:ext cx="1028700" cy="266065"/>
                        </a:xfrm>
                        <a:prstGeom prst="rect">
                          <a:avLst/>
                        </a:prstGeom>
                        <a:ln>
                          <a:noFill/>
                        </a:ln>
                      </wps:spPr>
                      <wps:txbx>
                        <w:txbxContent>
                          <w:p w14:paraId="5E54D606">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wrap="square"/>
                    </wps:wsp>
                  </a:graphicData>
                </a:graphic>
              </wp:anchor>
            </w:drawing>
          </mc:Choice>
          <mc:Fallback>
            <w:pict>
              <v:rect id="000237" o:spid="_x0000_s1026" o:spt="1" style="position:absolute;left:0pt;margin-left:-9pt;margin-top:1.25pt;height:20.95pt;width:81pt;z-index:251659264;mso-width-relative:page;mso-height-relative:page;" filled="f" stroked="f" coordsize="21600,21600" o:gfxdata="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oE2UvtgAAAAIAQAADwAAAAAAAAABACAAAAAiAAAA&#10;ZHJzL2Rvd25yZXYueG1sUEsBAhQAFAAAAAgAh07iQLIyGxuVAQAAOQMAAA4AAAAAAAAAAQAgAAAA&#10;JwEAAGRycy9lMm9Eb2MueG1sUEsFBgAAAAAGAAYAWQEAAC4FAAAAAA==&#10;">
                <v:fill on="f" focussize="0,0"/>
                <v:stroke on="f"/>
                <v:imagedata o:title=""/>
                <o:lock v:ext="edit" aspectratio="f"/>
                <v:textbox>
                  <w:txbxContent>
                    <w:p w14:paraId="5E54D606">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rect>
            </w:pict>
          </mc:Fallback>
        </mc:AlternateContent>
      </w:r>
      <w:r>
        <w:rPr>
          <w:rFonts w:hint="eastAsia" w:hAnsi="宋体" w:eastAsia="宋体" w:cs="宋体"/>
          <w:color w:val="auto"/>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027AE10C">
      <w:pPr>
        <w:pStyle w:val="24"/>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0CA6E19">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96" w:name="_Toc469384066"/>
      <w:bookmarkStart w:id="197" w:name="_Toc46860887"/>
      <w:r>
        <w:rPr>
          <w:rFonts w:hint="eastAsia" w:hAnsi="宋体" w:eastAsia="宋体" w:cs="宋体"/>
          <w:b/>
          <w:bCs/>
          <w:color w:val="auto"/>
          <w:sz w:val="24"/>
          <w:szCs w:val="24"/>
          <w:highlight w:val="none"/>
        </w:rPr>
        <w:t>★82  竣工结算</w:t>
      </w:r>
      <w:bookmarkEnd w:id="196"/>
      <w:bookmarkEnd w:id="197"/>
    </w:p>
    <w:p w14:paraId="40C7ED9F">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82.1      </w:t>
      </w:r>
    </w:p>
    <w:p w14:paraId="1BBE317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1381" name="000238"/>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3A49BF5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wrap="square"/>
                    </wps:wsp>
                  </a:graphicData>
                </a:graphic>
              </wp:anchor>
            </w:drawing>
          </mc:Choice>
          <mc:Fallback>
            <w:pict>
              <v:rect id="000238" o:spid="_x0000_s1026" o:spt="1" style="position:absolute;left:0pt;margin-left:-9pt;margin-top:3.05pt;height:31.2pt;width:72pt;z-index:251659264;mso-width-relative:page;mso-height-relative:page;" filled="f" stroked="f" coordsize="21600,21600" o:gfxdata="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&#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5dWNmtcAAAAIAQAADwAAAAAAAAABACAAAAAiAAAA&#10;ZHJzL2Rvd25yZXYueG1sUEsBAhQAFAAAAAgAh07iQLudXwmWAQAAOAMAAA4AAAAAAAAAAQAgAAAA&#10;JgEAAGRycy9lMm9Eb2MueG1sUEsFBgAAAAAGAAYAWQEAAC4FAAAAAA==&#10;">
                <v:fill on="f" focussize="0,0"/>
                <v:stroke on="f"/>
                <v:imagedata o:title=""/>
                <o:lock v:ext="edit" aspectratio="f"/>
                <v:textbox>
                  <w:txbxContent>
                    <w:p w14:paraId="3A49BF5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rect>
            </w:pict>
          </mc:Fallback>
        </mc:AlternateContent>
      </w:r>
      <w:r>
        <w:rPr>
          <w:rFonts w:hint="eastAsia" w:hAnsi="宋体" w:eastAsia="宋体" w:cs="宋体"/>
          <w:color w:val="auto"/>
          <w:sz w:val="24"/>
          <w:szCs w:val="24"/>
          <w:highlight w:val="none"/>
        </w:rPr>
        <w:t>合同双方当事人应按照国家标准《建设工程工程量清单计价规范》（GBGB50500-2013）规定在专用条款中明确办理竣工结算的程序和时限。专用条款没有约定的，竣工结算按照第82.2款至第82.5款规定办理。</w:t>
      </w:r>
    </w:p>
    <w:p w14:paraId="2D6D62E5">
      <w:pPr>
        <w:spacing w:line="300" w:lineRule="auto"/>
        <w:ind w:left="1920" w:hanging="1920" w:hangingChars="800"/>
        <w:rPr>
          <w:rFonts w:ascii="宋体" w:hAnsi="宋体" w:eastAsia="宋体" w:cs="宋体"/>
          <w:color w:val="auto"/>
          <w:sz w:val="24"/>
          <w:highlight w:val="none"/>
        </w:rPr>
      </w:pPr>
      <w:r>
        <w:rPr>
          <w:rFonts w:hint="eastAsia" w:ascii="宋体" w:hAnsi="宋体" w:eastAsia="宋体" w:cs="宋体"/>
          <w:color w:val="auto"/>
          <w:sz w:val="24"/>
          <w:highlight w:val="none"/>
        </w:rPr>
        <w:t xml:space="preserve">              建设工程施工过程结算是指在房屋建筑和市政设施工程发承包</w:t>
      </w:r>
    </w:p>
    <w:p w14:paraId="7D67A97F">
      <w:pPr>
        <w:spacing w:line="300" w:lineRule="auto"/>
        <w:ind w:left="1680" w:leftChars="800"/>
        <w:rPr>
          <w:rFonts w:ascii="宋体" w:hAnsi="宋体" w:eastAsia="宋体" w:cs="宋体"/>
          <w:color w:val="auto"/>
          <w:sz w:val="24"/>
          <w:highlight w:val="none"/>
        </w:rPr>
      </w:pPr>
      <w:r>
        <w:rPr>
          <w:rFonts w:hint="eastAsia" w:ascii="宋体" w:hAnsi="宋体" w:eastAsia="宋体" w:cs="宋体"/>
          <w:color w:val="auto"/>
          <w:sz w:val="24"/>
          <w:highlight w:val="none"/>
        </w:rPr>
        <w:t>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59D4885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在办理竣工结算期间，发包人按照第78条规定应向承包人支付的工程款及其他款项不停止。</w:t>
      </w:r>
    </w:p>
    <w:p w14:paraId="29986FB7">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82.2  </w:t>
      </w:r>
      <w:r>
        <w:rPr>
          <w:rFonts w:hint="eastAsia" w:hAnsi="宋体" w:eastAsia="宋体" w:cs="宋体"/>
          <w:b/>
          <w:bCs/>
          <w:color w:val="auto"/>
          <w:sz w:val="24"/>
          <w:szCs w:val="24"/>
          <w:highlight w:val="none"/>
          <w:u w:val="dotted"/>
        </w:rPr>
        <w:t xml:space="preserve">                                                                                                       </w:t>
      </w:r>
    </w:p>
    <w:p w14:paraId="31DFA9D3">
      <w:pPr>
        <w:pStyle w:val="24"/>
        <w:tabs>
          <w:tab w:val="left" w:pos="2641"/>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1382" name="000239"/>
                <wp:cNvGraphicFramePr/>
                <a:graphic xmlns:a="http://schemas.openxmlformats.org/drawingml/2006/main">
                  <a:graphicData uri="http://schemas.microsoft.com/office/word/2010/wordprocessingShape">
                    <wps:wsp>
                      <wps:cNvSpPr/>
                      <wps:spPr>
                        <a:xfrm>
                          <a:off x="0" y="0"/>
                          <a:ext cx="914400" cy="459105"/>
                        </a:xfrm>
                        <a:prstGeom prst="rect">
                          <a:avLst/>
                        </a:prstGeom>
                        <a:ln>
                          <a:noFill/>
                        </a:ln>
                      </wps:spPr>
                      <wps:txbx>
                        <w:txbxContent>
                          <w:p w14:paraId="4C8B708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wrap="square"/>
                    </wps:wsp>
                  </a:graphicData>
                </a:graphic>
              </wp:anchor>
            </w:drawing>
          </mc:Choice>
          <mc:Fallback>
            <w:pict>
              <v:rect id="000239" o:spid="_x0000_s1026" o:spt="1" style="position:absolute;left:0pt;margin-left:-9pt;margin-top:1.85pt;height:36.15pt;width:72pt;z-index:251659264;mso-width-relative:page;mso-height-relative:page;" filled="f" stroked="f" coordsize="21600,21600" o:gfxdata="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PomRgXYAAAACAEAAA8AAAAAAAAAAQAgAAAAIgAA&#10;AGRycy9kb3ducmV2LnhtbFBLAQIUABQAAAAIAIdO4kCYBplLlgEAADgDAAAOAAAAAAAAAAEAIAAA&#10;ACcBAABkcnMvZTJvRG9jLnhtbFBLBQYAAAAABgAGAFkBAAAvBQAAAAA=&#10;">
                <v:fill on="f" focussize="0,0"/>
                <v:stroke on="f"/>
                <v:imagedata o:title=""/>
                <o:lock v:ext="edit" aspectratio="f"/>
                <v:textbox>
                  <w:txbxContent>
                    <w:p w14:paraId="4C8B708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rect>
            </w:pict>
          </mc:Fallback>
        </mc:AlternateContent>
      </w:r>
      <w:r>
        <w:rPr>
          <w:rFonts w:hint="eastAsia" w:hAnsi="宋体" w:eastAsia="宋体" w:cs="宋体"/>
          <w:color w:val="auto"/>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14:paraId="5F32D70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56DABF00">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rPr>
        <w:t xml:space="preserve">82.3  </w:t>
      </w:r>
      <w:r>
        <w:rPr>
          <w:rFonts w:hint="eastAsia" w:hAnsi="宋体" w:eastAsia="宋体" w:cs="宋体"/>
          <w:b/>
          <w:bCs/>
          <w:color w:val="auto"/>
          <w:sz w:val="24"/>
          <w:szCs w:val="24"/>
          <w:highlight w:val="none"/>
          <w:u w:val="dotted"/>
        </w:rPr>
        <w:t xml:space="preserve">                                                                                                        </w:t>
      </w:r>
    </w:p>
    <w:p w14:paraId="3E1410D7">
      <w:pPr>
        <w:pStyle w:val="24"/>
        <w:adjustRightInd w:val="0"/>
        <w:snapToGrid w:val="0"/>
        <w:spacing w:line="300" w:lineRule="auto"/>
        <w:ind w:left="1619" w:leftChars="771"/>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1383" name="00023a"/>
                <wp:cNvGraphicFramePr/>
                <a:graphic xmlns:a="http://schemas.openxmlformats.org/drawingml/2006/main">
                  <a:graphicData uri="http://schemas.microsoft.com/office/word/2010/wordprocessingShape">
                    <wps:wsp>
                      <wps:cNvSpPr/>
                      <wps:spPr>
                        <a:xfrm>
                          <a:off x="0" y="0"/>
                          <a:ext cx="914400" cy="418465"/>
                        </a:xfrm>
                        <a:prstGeom prst="rect">
                          <a:avLst/>
                        </a:prstGeom>
                        <a:ln>
                          <a:noFill/>
                        </a:ln>
                      </wps:spPr>
                      <wps:txbx>
                        <w:txbxContent>
                          <w:p w14:paraId="706D70C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wrap="square"/>
                    </wps:wsp>
                  </a:graphicData>
                </a:graphic>
              </wp:anchor>
            </w:drawing>
          </mc:Choice>
          <mc:Fallback>
            <w:pict>
              <v:rect id="00023a" o:spid="_x0000_s1026" o:spt="1" style="position:absolute;left:0pt;margin-left:-9pt;margin-top:3.05pt;height:32.95pt;width:72pt;z-index:251659264;mso-width-relative:page;mso-height-relative:page;" filled="f" stroked="f" coordsize="21600,21600" o:gfxdata="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&#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e8hs1wAAAAgBAAAPAAAAAAAAAAEAIAAAACIAAABk&#10;cnMvZG93bnJldi54bWxQSwECFAAUAAAACACHTuJA8vqxU5UBAAA4AwAADgAAAAAAAAABACAAAAAm&#10;AQAAZHJzL2Uyb0RvYy54bWxQSwUGAAAAAAYABgBZAQAALQUAAAAA&#10;">
                <v:fill on="f" focussize="0,0"/>
                <v:stroke on="f"/>
                <v:imagedata o:title=""/>
                <o:lock v:ext="edit" aspectratio="f"/>
                <v:textbox>
                  <w:txbxContent>
                    <w:p w14:paraId="706D70C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rect>
            </w:pict>
          </mc:Fallback>
        </mc:AlternateContent>
      </w:r>
      <w:r>
        <w:rPr>
          <w:rFonts w:hint="eastAsia" w:hAnsi="宋体" w:eastAsia="宋体" w:cs="宋体"/>
          <w:color w:val="auto"/>
          <w:sz w:val="24"/>
          <w:szCs w:val="24"/>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14:paraId="4706E90D">
      <w:pPr>
        <w:rPr>
          <w:rFonts w:hint="eastAsia"/>
          <w:color w:val="auto"/>
          <w:highlight w:val="none"/>
          <w:lang w:eastAsia="zh-CN"/>
        </w:rPr>
      </w:pPr>
    </w:p>
    <w:p w14:paraId="0794E5E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造价工程师在收到竣工结算文件后的28天内，不核实竣工结算或未提出核实意见的，视为承包人递交的竣工结算已被认可。</w:t>
      </w:r>
    </w:p>
    <w:p w14:paraId="04D69D8E">
      <w:pPr>
        <w:pStyle w:val="24"/>
        <w:adjustRightInd w:val="0"/>
        <w:snapToGrid w:val="0"/>
        <w:spacing w:line="300" w:lineRule="auto"/>
        <w:ind w:left="1619" w:leftChars="771"/>
        <w:rPr>
          <w:rFonts w:hAnsi="宋体" w:eastAsia="宋体" w:cs="宋体"/>
          <w:color w:val="auto"/>
          <w:sz w:val="24"/>
          <w:szCs w:val="24"/>
          <w:highlight w:val="none"/>
          <w:u w:val="single"/>
        </w:rPr>
      </w:pPr>
      <w:r>
        <w:rPr>
          <w:rFonts w:hint="eastAsia" w:hAnsi="宋体" w:eastAsia="宋体" w:cs="宋体"/>
          <w:color w:val="auto"/>
          <w:sz w:val="24"/>
          <w:szCs w:val="24"/>
          <w:highlight w:val="none"/>
        </w:rPr>
        <w:t>承包人在收到造价工程师提出的核实意见后的28天内，不确认也未提出异议的，视为造价工程师提出的核实意见已被认可，竣工结算办理完毕。</w:t>
      </w:r>
    </w:p>
    <w:p w14:paraId="0AAAE154">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rPr>
        <w:t xml:space="preserve">82.4  </w:t>
      </w:r>
      <w:r>
        <w:rPr>
          <w:rFonts w:hint="eastAsia" w:hAnsi="宋体" w:eastAsia="宋体" w:cs="宋体"/>
          <w:b/>
          <w:bCs/>
          <w:color w:val="auto"/>
          <w:sz w:val="24"/>
          <w:szCs w:val="24"/>
          <w:highlight w:val="none"/>
          <w:u w:val="dotted"/>
        </w:rPr>
        <w:t xml:space="preserve">                                                                                                        </w:t>
      </w:r>
    </w:p>
    <w:p w14:paraId="4FE88F5E">
      <w:pPr>
        <w:pStyle w:val="24"/>
        <w:adjustRightInd w:val="0"/>
        <w:snapToGrid w:val="0"/>
        <w:spacing w:line="300" w:lineRule="auto"/>
        <w:ind w:left="1619" w:leftChars="771"/>
        <w:rPr>
          <w:rFonts w:hAnsi="宋体" w:eastAsia="宋体" w:cs="宋体"/>
          <w:color w:val="auto"/>
          <w:sz w:val="24"/>
          <w:szCs w:val="24"/>
          <w:highlight w:val="none"/>
          <w:u w:val="singl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1384" name="00023b"/>
                <wp:cNvGraphicFramePr/>
                <a:graphic xmlns:a="http://schemas.openxmlformats.org/drawingml/2006/main">
                  <a:graphicData uri="http://schemas.microsoft.com/office/word/2010/wordprocessingShape">
                    <wps:wsp>
                      <wps:cNvSpPr/>
                      <wps:spPr>
                        <a:xfrm>
                          <a:off x="0" y="0"/>
                          <a:ext cx="914400" cy="718185"/>
                        </a:xfrm>
                        <a:prstGeom prst="rect">
                          <a:avLst/>
                        </a:prstGeom>
                        <a:ln>
                          <a:noFill/>
                        </a:ln>
                      </wps:spPr>
                      <wps:txbx>
                        <w:txbxContent>
                          <w:p w14:paraId="5623EF9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wrap="square"/>
                    </wps:wsp>
                  </a:graphicData>
                </a:graphic>
              </wp:anchor>
            </w:drawing>
          </mc:Choice>
          <mc:Fallback>
            <w:pict>
              <v:rect id="00023b" o:spid="_x0000_s1026" o:spt="1" style="position:absolute;left:0pt;margin-left:-9pt;margin-top:1.25pt;height:56.55pt;width:72pt;z-index:251659264;mso-width-relative:page;mso-height-relative:page;" filled="f" stroked="f" coordsize="21600,21600" o:gfxdata="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vfWu/2QAAAAkBAAAPAAAAAAAAAAEAIAAAACIA&#10;AABkcnMvZG93bnJldi54bWxQSwECFAAUAAAACACHTuJAQCpG55YBAAA4AwAADgAAAAAAAAABACAA&#10;AAAoAQAAZHJzL2Uyb0RvYy54bWxQSwUGAAAAAAYABgBZAQAAMAUAAAAA&#10;">
                <v:fill on="f" focussize="0,0"/>
                <v:stroke on="f"/>
                <v:imagedata o:title=""/>
                <o:lock v:ext="edit" aspectratio="f"/>
                <v:textbox>
                  <w:txbxContent>
                    <w:p w14:paraId="5623EF9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rect>
            </w:pict>
          </mc:Fallback>
        </mc:AlternateContent>
      </w:r>
      <w:r>
        <w:rPr>
          <w:rFonts w:hint="eastAsia" w:hAnsi="宋体" w:eastAsia="宋体" w:cs="宋体"/>
          <w:color w:val="auto"/>
          <w:sz w:val="24"/>
          <w:szCs w:val="24"/>
          <w:highlight w:val="none"/>
        </w:rPr>
        <w:t>造价工程师应在收到承包人按照第82.3款规定再次递交的竣工结算文件后的28天内予以复核，并将复核结果通知承包人、抄报发包人。</w:t>
      </w:r>
    </w:p>
    <w:p w14:paraId="16F7FDBD">
      <w:pPr>
        <w:pStyle w:val="24"/>
        <w:adjustRightInd w:val="0"/>
        <w:snapToGrid w:val="0"/>
        <w:spacing w:line="300" w:lineRule="auto"/>
        <w:ind w:left="1615"/>
        <w:rPr>
          <w:rFonts w:hAnsi="宋体" w:eastAsia="宋体" w:cs="宋体"/>
          <w:color w:val="auto"/>
          <w:sz w:val="24"/>
          <w:szCs w:val="24"/>
          <w:highlight w:val="none"/>
        </w:rPr>
      </w:pPr>
      <w:r>
        <w:rPr>
          <w:rFonts w:hint="eastAsia" w:hAnsi="宋体" w:eastAsia="宋体" w:cs="宋体"/>
          <w:color w:val="auto"/>
          <w:sz w:val="24"/>
          <w:szCs w:val="24"/>
          <w:highlight w:val="none"/>
        </w:rPr>
        <w:t>（1）经复核无误的，除属于第86条规定的争议外，发包人应在7天内在竣工结算文件上签字确认，竣工结算办理完毕。</w:t>
      </w:r>
    </w:p>
    <w:p w14:paraId="5937BF87">
      <w:pPr>
        <w:pStyle w:val="24"/>
        <w:adjustRightInd w:val="0"/>
        <w:snapToGrid w:val="0"/>
        <w:spacing w:line="300" w:lineRule="auto"/>
        <w:ind w:left="1615"/>
        <w:rPr>
          <w:rFonts w:hAnsi="宋体" w:eastAsia="宋体" w:cs="宋体"/>
          <w:color w:val="auto"/>
          <w:sz w:val="24"/>
          <w:szCs w:val="24"/>
          <w:highlight w:val="none"/>
          <w:u w:val="single"/>
        </w:rPr>
      </w:pPr>
      <w:r>
        <w:rPr>
          <w:rFonts w:hint="eastAsia" w:hAnsi="宋体" w:eastAsia="宋体" w:cs="宋体"/>
          <w:color w:val="auto"/>
          <w:sz w:val="24"/>
          <w:szCs w:val="24"/>
          <w:highlight w:val="none"/>
        </w:rPr>
        <w:t>（2）经复核认为有误的：无误部分按照本款第(1)点规定办理不完全竣工结算；有误部分由造价工程师与合同双方当事人协商解决，或按照第86条规定处理。</w:t>
      </w:r>
    </w:p>
    <w:p w14:paraId="0C4BFDFA">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82.5</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673E001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1385" name="00023c"/>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388D949B">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wrap="square"/>
                    </wps:wsp>
                  </a:graphicData>
                </a:graphic>
              </wp:anchor>
            </w:drawing>
          </mc:Choice>
          <mc:Fallback>
            <w:pict>
              <v:rect id="00023c" o:spid="_x0000_s1026" o:spt="1" style="position:absolute;left:0pt;margin-left:-9pt;margin-top:0.45pt;height:31.2pt;width:72pt;z-index:251659264;mso-width-relative:page;mso-height-relative:page;" filled="f" stroked="f" coordsize="21600,21600" o:gfxdata="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PEBQdcAAAAHAQAADwAAAAAAAAABACAAAAAiAAAA&#10;ZHJzL2Rvd25yZXYueG1sUEsBAhQAFAAAAAgAh07iQGiPy9uWAQAAOAMAAA4AAAAAAAAAAQAgAAAA&#10;JgEAAGRycy9lMm9Eb2MueG1sUEsFBgAAAAAGAAYAWQEAAC4FAAAAAA==&#10;">
                <v:fill on="f" focussize="0,0"/>
                <v:stroke on="f"/>
                <v:imagedata o:title=""/>
                <o:lock v:ext="edit" aspectratio="f"/>
                <v:textbox>
                  <w:txbxContent>
                    <w:p w14:paraId="388D949B">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rect>
            </w:pict>
          </mc:Fallback>
        </mc:AlternateContent>
      </w:r>
      <w:r>
        <w:rPr>
          <w:rFonts w:hint="eastAsia" w:hAnsi="宋体" w:eastAsia="宋体" w:cs="宋体"/>
          <w:color w:val="auto"/>
          <w:sz w:val="24"/>
          <w:szCs w:val="24"/>
          <w:highlight w:val="none"/>
        </w:rPr>
        <w:t>发包人应在已核实无误的竣工结算文件上签名确认，拒不签认的，承包人可不交付竣工工程。</w:t>
      </w:r>
    </w:p>
    <w:p w14:paraId="4B2C53C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承包人未及时递交竣工结算文件的，发包人要求交付竣工工程，承包人应当交付；发包人不要求交付竣工工程，承包人承担照管永久工程责任。</w:t>
      </w:r>
    </w:p>
    <w:p w14:paraId="109EE247">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10A0CBDE">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98" w:name="_Toc469384067"/>
      <w:bookmarkStart w:id="199" w:name="_Toc46860888"/>
      <w:r>
        <w:rPr>
          <w:rFonts w:hint="eastAsia" w:hAnsi="宋体" w:eastAsia="宋体" w:cs="宋体"/>
          <w:b/>
          <w:bCs/>
          <w:color w:val="auto"/>
          <w:sz w:val="24"/>
          <w:szCs w:val="24"/>
          <w:highlight w:val="none"/>
        </w:rPr>
        <w:t>★83  结算款</w:t>
      </w:r>
      <w:bookmarkEnd w:id="198"/>
      <w:bookmarkEnd w:id="199"/>
    </w:p>
    <w:p w14:paraId="271ED521">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83.1 </w:t>
      </w:r>
      <w:r>
        <w:rPr>
          <w:rFonts w:hint="eastAsia" w:hAnsi="宋体" w:eastAsia="宋体" w:cs="宋体"/>
          <w:color w:val="auto"/>
          <w:sz w:val="24"/>
          <w:szCs w:val="24"/>
          <w:highlight w:val="none"/>
        </w:rPr>
        <w:t xml:space="preserve"> </w:t>
      </w:r>
    </w:p>
    <w:p w14:paraId="56D6FB27">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1386" name="00023d"/>
                <wp:cNvGraphicFramePr/>
                <a:graphic xmlns:a="http://schemas.openxmlformats.org/drawingml/2006/main">
                  <a:graphicData uri="http://schemas.microsoft.com/office/word/2010/wordprocessingShape">
                    <wps:wsp>
                      <wps:cNvSpPr/>
                      <wps:spPr>
                        <a:xfrm>
                          <a:off x="0" y="0"/>
                          <a:ext cx="914400" cy="459105"/>
                        </a:xfrm>
                        <a:prstGeom prst="rect">
                          <a:avLst/>
                        </a:prstGeom>
                        <a:ln>
                          <a:noFill/>
                        </a:ln>
                      </wps:spPr>
                      <wps:txbx>
                        <w:txbxContent>
                          <w:p w14:paraId="65DCFEF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wrap="square"/>
                    </wps:wsp>
                  </a:graphicData>
                </a:graphic>
              </wp:anchor>
            </w:drawing>
          </mc:Choice>
          <mc:Fallback>
            <w:pict>
              <v:rect id="00023d" o:spid="_x0000_s1026" o:spt="1" style="position:absolute;left:0pt;margin-left:-9pt;margin-top:2.85pt;height:36.15pt;width:72pt;z-index:251659264;mso-width-relative:page;mso-height-relative:page;" filled="f" stroked="f" coordsize="21600,21600" o:gfxdata="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0TfKjYAAAACAEAAA8AAAAAAAAAAQAgAAAAIgAA&#10;AGRycy9kb3ducmV2LnhtbFBLAQIUABQAAAAIAIdO4kAETW1clgEAADgDAAAOAAAAAAAAAAEAIAAA&#10;ACcBAABkcnMvZTJvRG9jLnhtbFBLBQYAAAAABgAGAFkBAAAvBQAAAAA=&#10;">
                <v:fill on="f" focussize="0,0"/>
                <v:stroke on="f"/>
                <v:imagedata o:title=""/>
                <o:lock v:ext="edit" aspectratio="f"/>
                <v:textbox>
                  <w:txbxContent>
                    <w:p w14:paraId="65DCFEF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rect>
            </w:pict>
          </mc:Fallback>
        </mc:AlternateContent>
      </w:r>
      <w:r>
        <w:rPr>
          <w:rFonts w:hint="eastAsia" w:hAnsi="宋体" w:eastAsia="宋体" w:cs="宋体"/>
          <w:color w:val="auto"/>
          <w:sz w:val="24"/>
          <w:szCs w:val="24"/>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14:paraId="06E2DA2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3BF4A6DD">
      <w:pPr>
        <w:pStyle w:val="24"/>
        <w:tabs>
          <w:tab w:val="left" w:pos="2641"/>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（1）根据合同完成全部或所有工程的总造价；</w:t>
      </w:r>
    </w:p>
    <w:p w14:paraId="6A566EDC">
      <w:pPr>
        <w:pStyle w:val="24"/>
        <w:tabs>
          <w:tab w:val="left" w:pos="2641"/>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（2）根据合同约定发包人应付的所有款项。</w:t>
      </w:r>
    </w:p>
    <w:p w14:paraId="62A4A3AB">
      <w:pPr>
        <w:pStyle w:val="24"/>
        <w:tabs>
          <w:tab w:val="left" w:pos="2641"/>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rPr>
        <w:t xml:space="preserve">83.2  </w:t>
      </w:r>
      <w:r>
        <w:rPr>
          <w:rFonts w:hint="eastAsia" w:hAnsi="宋体" w:eastAsia="宋体" w:cs="宋体"/>
          <w:b/>
          <w:bCs/>
          <w:color w:val="auto"/>
          <w:sz w:val="24"/>
          <w:szCs w:val="24"/>
          <w:highlight w:val="none"/>
          <w:u w:val="dotted"/>
        </w:rPr>
        <w:t xml:space="preserve">                                                                                                        </w:t>
      </w:r>
    </w:p>
    <w:p w14:paraId="1D5DF12A">
      <w:pPr>
        <w:pStyle w:val="24"/>
        <w:adjustRightInd w:val="0"/>
        <w:snapToGrid w:val="0"/>
        <w:spacing w:line="300" w:lineRule="auto"/>
        <w:ind w:left="1619" w:leftChars="771"/>
        <w:rPr>
          <w:rFonts w:hAnsi="宋体" w:eastAsia="宋体" w:cs="宋体"/>
          <w:color w:val="auto"/>
          <w:sz w:val="24"/>
          <w:szCs w:val="24"/>
          <w:highlight w:val="none"/>
          <w:u w:val="singl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1387" name="00023e"/>
                <wp:cNvGraphicFramePr/>
                <a:graphic xmlns:a="http://schemas.openxmlformats.org/drawingml/2006/main">
                  <a:graphicData uri="http://schemas.microsoft.com/office/word/2010/wordprocessingShape">
                    <wps:wsp>
                      <wps:cNvSpPr/>
                      <wps:spPr>
                        <a:xfrm>
                          <a:off x="0" y="0"/>
                          <a:ext cx="914400" cy="718185"/>
                        </a:xfrm>
                        <a:prstGeom prst="rect">
                          <a:avLst/>
                        </a:prstGeom>
                        <a:ln>
                          <a:noFill/>
                        </a:ln>
                      </wps:spPr>
                      <wps:txbx>
                        <w:txbxContent>
                          <w:p w14:paraId="4EA8FA1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wrap="square"/>
                    </wps:wsp>
                  </a:graphicData>
                </a:graphic>
              </wp:anchor>
            </w:drawing>
          </mc:Choice>
          <mc:Fallback>
            <w:pict>
              <v:rect id="00023e" o:spid="_x0000_s1026" o:spt="1" style="position:absolute;left:0pt;margin-left:-9pt;margin-top:1.25pt;height:56.55pt;width:72pt;z-index:251659264;mso-width-relative:page;mso-height-relative:page;" filled="f" stroked="f" coordsize="21600,21600" o:gfxdata="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vfWu/2QAAAAkBAAAPAAAAAAAAAAEAIAAAACIA&#10;AABkcnMvZG93bnJldi54bWxQSwECFAAUAAAACACHTuJAIF8RaJYBAAA4AwAADgAAAAAAAAABACAA&#10;AAAoAQAAZHJzL2Uyb0RvYy54bWxQSwUGAAAAAAYABgBZAQAAMAUAAAAA&#10;">
                <v:fill on="f" focussize="0,0"/>
                <v:stroke on="f"/>
                <v:imagedata o:title=""/>
                <o:lock v:ext="edit" aspectratio="f"/>
                <v:textbox>
                  <w:txbxContent>
                    <w:p w14:paraId="4EA8FA1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rect>
            </w:pict>
          </mc:Fallback>
        </mc:AlternateContent>
      </w:r>
      <w:r>
        <w:rPr>
          <w:rFonts w:hint="eastAsia" w:hAnsi="宋体" w:eastAsia="宋体" w:cs="宋体"/>
          <w:color w:val="auto"/>
          <w:sz w:val="24"/>
          <w:szCs w:val="24"/>
          <w:highlight w:val="none"/>
        </w:rPr>
        <w:t>造价工程师在收到上述资料后，应按照第82.3款、第82.4款规定核实竣工结算文件，并在发包人签字确认竣工结算文件后的7天内，向发包人签发竣工结算支付证书，同时抄送承包人。</w:t>
      </w:r>
    </w:p>
    <w:p w14:paraId="1698F53E">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83.3</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0C57FD3F">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1388" name="00023f"/>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53D434E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wrap="square"/>
                    </wps:wsp>
                  </a:graphicData>
                </a:graphic>
              </wp:anchor>
            </w:drawing>
          </mc:Choice>
          <mc:Fallback>
            <w:pict>
              <v:rect id="00023f" o:spid="_x0000_s1026" o:spt="1" style="position:absolute;left:0pt;margin-left:-9pt;margin-top:0.45pt;height:31.2pt;width:72pt;z-index:251659264;mso-width-relative:page;mso-height-relative:page;" filled="f" stroked="f" coordsize="21600,21600" o:gfxdata="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48QFB1wAAAAcBAAAPAAAAAAAAAAEAIAAAACIAAABk&#10;cnMvZG93bnJldi54bWxQSwECFAAUAAAACACHTuJAJmTbQpUBAAA4AwAADgAAAAAAAAABACAAAAAm&#10;AQAAZHJzL2Uyb0RvYy54bWxQSwUGAAAAAAYABgBZAQAALQUAAAAA&#10;">
                <v:fill on="f" focussize="0,0"/>
                <v:stroke on="f"/>
                <v:imagedata o:title=""/>
                <o:lock v:ext="edit" aspectratio="f"/>
                <v:textbox>
                  <w:txbxContent>
                    <w:p w14:paraId="53D434E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rect>
            </w:pict>
          </mc:Fallback>
        </mc:AlternateContent>
      </w:r>
      <w:r>
        <w:rPr>
          <w:rFonts w:hint="eastAsia" w:hAnsi="宋体" w:eastAsia="宋体" w:cs="宋体"/>
          <w:color w:val="auto"/>
          <w:sz w:val="24"/>
          <w:szCs w:val="24"/>
          <w:highlight w:val="none"/>
        </w:rPr>
        <w:t>发包人应在造价工程师签发竣工结算支付证书后的28天内，按照竣工结算支付证书列明的金额向承包人支付结算款，并通知造价工程师。</w:t>
      </w:r>
    </w:p>
    <w:p w14:paraId="547CC865">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83.4  </w:t>
      </w:r>
      <w:r>
        <w:rPr>
          <w:rFonts w:hint="eastAsia" w:hAnsi="宋体" w:eastAsia="宋体" w:cs="宋体"/>
          <w:b/>
          <w:bCs/>
          <w:color w:val="auto"/>
          <w:sz w:val="24"/>
          <w:szCs w:val="24"/>
          <w:highlight w:val="none"/>
          <w:u w:val="dotted"/>
        </w:rPr>
        <w:t xml:space="preserve">                                                                                                        </w:t>
      </w:r>
    </w:p>
    <w:p w14:paraId="5DD37E5D">
      <w:pPr>
        <w:pStyle w:val="24"/>
        <w:adjustRightInd w:val="0"/>
        <w:snapToGrid w:val="0"/>
        <w:spacing w:line="300" w:lineRule="auto"/>
        <w:ind w:left="1678" w:leftChars="799" w:firstLine="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1389" name="000240"/>
                <wp:cNvGraphicFramePr/>
                <a:graphic xmlns:a="http://schemas.openxmlformats.org/drawingml/2006/main">
                  <a:graphicData uri="http://schemas.microsoft.com/office/word/2010/wordprocessingShape">
                    <wps:wsp>
                      <wps:cNvSpPr/>
                      <wps:spPr>
                        <a:xfrm>
                          <a:off x="0" y="0"/>
                          <a:ext cx="1047750" cy="829310"/>
                        </a:xfrm>
                        <a:prstGeom prst="rect">
                          <a:avLst/>
                        </a:prstGeom>
                        <a:ln>
                          <a:noFill/>
                        </a:ln>
                      </wps:spPr>
                      <wps:txbx>
                        <w:txbxContent>
                          <w:p w14:paraId="3F08FF5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14:paraId="41AB8EF6">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14:paraId="69313DC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wrap="square"/>
                    </wps:wsp>
                  </a:graphicData>
                </a:graphic>
              </wp:anchor>
            </w:drawing>
          </mc:Choice>
          <mc:Fallback>
            <w:pict>
              <v:rect id="000240" o:spid="_x0000_s1026" o:spt="1" style="position:absolute;left:0pt;margin-left:-5.25pt;margin-top:0.95pt;height:65.3pt;width:82.5pt;z-index:251659264;mso-width-relative:page;mso-height-relative:page;" filled="f" stroked="f" coordsize="21600,21600" o:gfxdata="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aPYEM2AAAAAkBAAAPAAAAAAAAAAEAIAAAACIA&#10;AABkcnMvZG93bnJldi54bWxQSwECFAAUAAAACACHTuJASnzBuJcBAAA5AwAADgAAAAAAAAABACAA&#10;AAAnAQAAZHJzL2Uyb0RvYy54bWxQSwUGAAAAAAYABgBZAQAAMAUAAAAA&#10;">
                <v:fill on="f" focussize="0,0"/>
                <v:stroke on="f"/>
                <v:imagedata o:title=""/>
                <o:lock v:ext="edit" aspectratio="f"/>
                <v:textbox>
                  <w:txbxContent>
                    <w:p w14:paraId="3F08FF5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14:paraId="41AB8EF6">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14:paraId="69313DC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rect>
            </w:pict>
          </mc:Fallback>
        </mc:AlternateContent>
      </w:r>
      <w:r>
        <w:rPr>
          <w:rFonts w:hint="eastAsia" w:hAnsi="宋体" w:eastAsia="宋体" w:cs="宋体"/>
          <w:color w:val="auto"/>
          <w:sz w:val="24"/>
          <w:szCs w:val="24"/>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14:paraId="5D782B8E">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83.5  </w:t>
      </w:r>
      <w:r>
        <w:rPr>
          <w:rFonts w:hint="eastAsia" w:hAnsi="宋体" w:eastAsia="宋体" w:cs="宋体"/>
          <w:b/>
          <w:bCs/>
          <w:color w:val="auto"/>
          <w:sz w:val="24"/>
          <w:szCs w:val="24"/>
          <w:highlight w:val="none"/>
          <w:u w:val="dotted"/>
        </w:rPr>
        <w:t xml:space="preserve">                                                                                                        </w:t>
      </w:r>
    </w:p>
    <w:p w14:paraId="24598463">
      <w:pPr>
        <w:pStyle w:val="24"/>
        <w:adjustRightInd w:val="0"/>
        <w:snapToGrid w:val="0"/>
        <w:spacing w:line="300" w:lineRule="auto"/>
        <w:ind w:left="1680" w:leftChars="800"/>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57785</wp:posOffset>
                </wp:positionV>
                <wp:extent cx="914400" cy="407670"/>
                <wp:effectExtent l="0" t="0" r="0" b="0"/>
                <wp:wrapNone/>
                <wp:docPr id="1390" name="000241"/>
                <wp:cNvGraphicFramePr/>
                <a:graphic xmlns:a="http://schemas.openxmlformats.org/drawingml/2006/main">
                  <a:graphicData uri="http://schemas.microsoft.com/office/word/2010/wordprocessingShape">
                    <wps:wsp>
                      <wps:cNvSpPr/>
                      <wps:spPr>
                        <a:xfrm>
                          <a:off x="0" y="0"/>
                          <a:ext cx="914400" cy="407670"/>
                        </a:xfrm>
                        <a:prstGeom prst="rect">
                          <a:avLst/>
                        </a:prstGeom>
                        <a:ln>
                          <a:noFill/>
                        </a:ln>
                      </wps:spPr>
                      <wps:txbx>
                        <w:txbxContent>
                          <w:p w14:paraId="3C632F4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wrap="square"/>
                    </wps:wsp>
                  </a:graphicData>
                </a:graphic>
              </wp:anchor>
            </w:drawing>
          </mc:Choice>
          <mc:Fallback>
            <w:pict>
              <v:rect id="000241" o:spid="_x0000_s1026" o:spt="1" style="position:absolute;left:0pt;margin-left:-9pt;margin-top:4.55pt;height:32.1pt;width:72pt;z-index:251659264;mso-width-relative:page;mso-height-relative:page;" filled="f" stroked="f" coordsize="21600,21600" o:gfxdata="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ECbULYAAAACAEAAA8AAAAAAAAAAQAgAAAAIgAA&#10;AGRycy9kb3ducmV2LnhtbFBLAQIUABQAAAAIAIdO4kDZSps5lgEAADgDAAAOAAAAAAAAAAEAIAAA&#10;ACcBAABkcnMvZTJvRG9jLnhtbFBLBQYAAAAABgAGAFkBAAAvBQAAAAA=&#10;">
                <v:fill on="f" focussize="0,0"/>
                <v:stroke on="f"/>
                <v:imagedata o:title=""/>
                <o:lock v:ext="edit" aspectratio="f"/>
                <v:textbox>
                  <w:txbxContent>
                    <w:p w14:paraId="3C632F4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rect>
            </w:pict>
          </mc:Fallback>
        </mc:AlternateContent>
      </w:r>
      <w:r>
        <w:rPr>
          <w:rFonts w:hint="eastAsia" w:hAnsi="宋体" w:eastAsia="宋体" w:cs="宋体"/>
          <w:color w:val="auto"/>
          <w:sz w:val="24"/>
          <w:szCs w:val="24"/>
          <w:highlight w:val="none"/>
        </w:rPr>
        <w:t>发包人未按照第83.3款和第83.4款规定支付竣工结算款的，承包人可催告发包人支付竣工结算款，如双方达成延期支付协议，承包人有权按照第78.2款规定获得延期支付的利息。</w:t>
      </w:r>
    </w:p>
    <w:p w14:paraId="155DE452">
      <w:pPr>
        <w:pStyle w:val="24"/>
        <w:adjustRightInd w:val="0"/>
        <w:snapToGrid w:val="0"/>
        <w:spacing w:line="300" w:lineRule="auto"/>
        <w:ind w:left="1680" w:leftChars="800"/>
        <w:rPr>
          <w:rFonts w:hAnsi="宋体" w:eastAsia="宋体" w:cs="宋体"/>
          <w:color w:val="auto"/>
          <w:sz w:val="24"/>
          <w:szCs w:val="24"/>
          <w:highlight w:val="none"/>
        </w:rPr>
      </w:pPr>
      <w:r>
        <w:rPr>
          <w:rFonts w:hint="eastAsia" w:hAnsi="宋体" w:eastAsia="宋体" w:cs="宋体"/>
          <w:color w:val="auto"/>
          <w:sz w:val="24"/>
          <w:szCs w:val="24"/>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30B6BDE0">
      <w:pPr>
        <w:pStyle w:val="24"/>
        <w:adjustRightInd w:val="0"/>
        <w:snapToGrid w:val="0"/>
        <w:spacing w:line="300" w:lineRule="auto"/>
        <w:rPr>
          <w:rFonts w:hAnsi="宋体" w:eastAsia="宋体" w:cs="宋体"/>
          <w:color w:val="auto"/>
          <w:highlight w:val="none"/>
        </w:rPr>
      </w:pPr>
      <w:r>
        <w:rPr>
          <w:rFonts w:hint="eastAsia" w:hAnsi="宋体" w:eastAsia="宋体" w:cs="宋体"/>
          <w:b/>
          <w:bCs/>
          <w:color w:val="auto"/>
          <w:sz w:val="24"/>
          <w:szCs w:val="24"/>
          <w:highlight w:val="none"/>
          <w:u w:val="single"/>
        </w:rPr>
        <w:t xml:space="preserve">                                                                                                              </w:t>
      </w:r>
    </w:p>
    <w:p w14:paraId="61AD5B65">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00" w:name="_Toc46860889"/>
      <w:bookmarkStart w:id="201" w:name="_Toc469384068"/>
      <w:r>
        <w:rPr>
          <w:rFonts w:hint="eastAsia" w:hAnsi="宋体" w:eastAsia="宋体" w:cs="宋体"/>
          <w:b/>
          <w:bCs/>
          <w:color w:val="auto"/>
          <w:sz w:val="24"/>
          <w:szCs w:val="24"/>
          <w:highlight w:val="none"/>
        </w:rPr>
        <w:t>★84  质量保证金</w:t>
      </w:r>
      <w:bookmarkEnd w:id="200"/>
      <w:bookmarkEnd w:id="201"/>
    </w:p>
    <w:p w14:paraId="0BB944C9">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84.1     </w:t>
      </w:r>
    </w:p>
    <w:p w14:paraId="0B0DCC3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1391" name="000242"/>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5CE07EB2">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wps:txbx>
                      <wps:bodyPr wrap="square"/>
                    </wps:wsp>
                  </a:graphicData>
                </a:graphic>
              </wp:anchor>
            </w:drawing>
          </mc:Choice>
          <mc:Fallback>
            <w:pict>
              <v:rect id="000242" o:spid="_x0000_s1026" o:spt="1" style="position:absolute;left:0pt;margin-left:-9pt;margin-top:0.65pt;height:31.2pt;width:72pt;z-index:251659264;mso-width-relative:page;mso-height-relative:page;" filled="f" stroked="f" coordsize="21600,21600" o:gfxdata="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&#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2I7pGdcAAAAIAQAADwAAAAAAAAABACAAAAAiAAAA&#10;ZHJzL2Rvd25yZXYueG1sUEsBAhQAFAAAAAgAh07iQBgTKimWAQAAOAMAAA4AAAAAAAAAAQAgAAAA&#10;JgEAAGRycy9lMm9Eb2MueG1sUEsFBgAAAAAGAAYAWQEAAC4FAAAAAA==&#10;">
                <v:fill on="f" focussize="0,0"/>
                <v:stroke on="f"/>
                <v:imagedata o:title=""/>
                <o:lock v:ext="edit" aspectratio="f"/>
                <v:textbox>
                  <w:txbxContent>
                    <w:p w14:paraId="5CE07EB2">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v:textbox>
              </v:rect>
            </w:pict>
          </mc:Fallback>
        </mc:AlternateContent>
      </w:r>
      <w:r>
        <w:rPr>
          <w:rFonts w:hint="eastAsia" w:hAnsi="宋体" w:eastAsia="宋体" w:cs="宋体"/>
          <w:color w:val="auto"/>
          <w:sz w:val="24"/>
          <w:szCs w:val="24"/>
          <w:highlight w:val="none"/>
        </w:rPr>
        <w:t>质量保证金用于承包人对合同工程质量的担保。承包人未按照法律有关规定和合同约定履行质量保修义务的，发包人有权从质量保证金中扣留用于质量保修的各项支出。</w:t>
      </w:r>
    </w:p>
    <w:p w14:paraId="076ED796">
      <w:pPr>
        <w:pStyle w:val="24"/>
        <w:tabs>
          <w:tab w:val="left" w:pos="90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84.2  </w:t>
      </w:r>
      <w:r>
        <w:rPr>
          <w:rFonts w:hint="eastAsia" w:hAnsi="宋体" w:eastAsia="宋体" w:cs="宋体"/>
          <w:b/>
          <w:bCs/>
          <w:color w:val="auto"/>
          <w:sz w:val="24"/>
          <w:szCs w:val="24"/>
          <w:highlight w:val="none"/>
          <w:u w:val="dotted"/>
        </w:rPr>
        <w:t xml:space="preserve">                                                                                                       </w:t>
      </w:r>
    </w:p>
    <w:p w14:paraId="0660471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合同双方当事人应在专用条款中约定质量保证金金额</w:t>
      </w: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1392" name="000243"/>
                <wp:cNvGraphicFramePr/>
                <a:graphic xmlns:a="http://schemas.openxmlformats.org/drawingml/2006/main">
                  <a:graphicData uri="http://schemas.microsoft.com/office/word/2010/wordprocessingShape">
                    <wps:wsp>
                      <wps:cNvSpPr/>
                      <wps:spPr>
                        <a:xfrm>
                          <a:off x="0" y="0"/>
                          <a:ext cx="914400" cy="519430"/>
                        </a:xfrm>
                        <a:prstGeom prst="rect">
                          <a:avLst/>
                        </a:prstGeom>
                        <a:ln>
                          <a:noFill/>
                        </a:ln>
                      </wps:spPr>
                      <wps:txbx>
                        <w:txbxContent>
                          <w:p w14:paraId="5E5F835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wps:txbx>
                      <wps:bodyPr wrap="square"/>
                    </wps:wsp>
                  </a:graphicData>
                </a:graphic>
              </wp:anchor>
            </w:drawing>
          </mc:Choice>
          <mc:Fallback>
            <w:pict>
              <v:rect id="000243" o:spid="_x0000_s1026" o:spt="1" style="position:absolute;left:0pt;margin-left:-9pt;margin-top:1.6pt;height:40.9pt;width:72pt;z-index:251659264;mso-width-relative:page;mso-height-relative:page;" filled="f" stroked="f" coordsize="21600,21600" o:gfxdata="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xo2kvYAAAACAEAAA8AAAAAAAAAAQAgAAAAIgAA&#10;AGRycy9kb3ducmV2LnhtbFBLAQIUABQAAAAIAIdO4kAWXmHClgEAADgDAAAOAAAAAAAAAAEAIAAA&#10;ACcBAABkcnMvZTJvRG9jLnhtbFBLBQYAAAAABgAGAFkBAAAvBQAAAAA=&#10;">
                <v:fill on="f" focussize="0,0"/>
                <v:stroke on="f"/>
                <v:imagedata o:title=""/>
                <o:lock v:ext="edit" aspectratio="f"/>
                <v:textbox>
                  <w:txbxContent>
                    <w:p w14:paraId="5E5F835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v:textbox>
              </v:rect>
            </w:pict>
          </mc:Fallback>
        </mc:AlternateContent>
      </w:r>
      <w:r>
        <w:rPr>
          <w:rFonts w:hint="eastAsia" w:hAnsi="宋体" w:eastAsia="宋体" w:cs="宋体"/>
          <w:color w:val="auto"/>
          <w:sz w:val="24"/>
          <w:szCs w:val="24"/>
          <w:highlight w:val="none"/>
        </w:rPr>
        <w:t>。除专用条款另有约定外，质量保证金为合同价款的3％（采取银行保函）。发包人应按照该比例从每支付期应支付给承包人的进度款或结算款中扣留，直到扣留的质量保证金总额达到专用条款约定的的金额为止。</w:t>
      </w:r>
    </w:p>
    <w:p w14:paraId="2B62678A">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84.3  </w:t>
      </w:r>
      <w:r>
        <w:rPr>
          <w:rFonts w:hint="eastAsia" w:hAnsi="宋体" w:eastAsia="宋体" w:cs="宋体"/>
          <w:b/>
          <w:bCs/>
          <w:color w:val="auto"/>
          <w:sz w:val="24"/>
          <w:szCs w:val="24"/>
          <w:highlight w:val="none"/>
          <w:u w:val="dotted"/>
        </w:rPr>
        <w:t xml:space="preserve">                                                                                                       </w:t>
      </w:r>
    </w:p>
    <w:p w14:paraId="67A0EA7D">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1393" name="000244"/>
                <wp:cNvGraphicFramePr/>
                <a:graphic xmlns:a="http://schemas.openxmlformats.org/drawingml/2006/main">
                  <a:graphicData uri="http://schemas.microsoft.com/office/word/2010/wordprocessingShape">
                    <wps:wsp>
                      <wps:cNvSpPr/>
                      <wps:spPr>
                        <a:xfrm>
                          <a:off x="0" y="0"/>
                          <a:ext cx="914400" cy="462915"/>
                        </a:xfrm>
                        <a:prstGeom prst="rect">
                          <a:avLst/>
                        </a:prstGeom>
                        <a:ln>
                          <a:noFill/>
                        </a:ln>
                      </wps:spPr>
                      <wps:txbx>
                        <w:txbxContent>
                          <w:p w14:paraId="7BEDD3F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wrap="square"/>
                    </wps:wsp>
                  </a:graphicData>
                </a:graphic>
              </wp:anchor>
            </w:drawing>
          </mc:Choice>
          <mc:Fallback>
            <w:pict>
              <v:rect id="000244" o:spid="_x0000_s1026" o:spt="1" style="position:absolute;left:0pt;margin-left:-9pt;margin-top:3.6pt;height:36.45pt;width:72pt;z-index:251659264;mso-width-relative:page;mso-height-relative:page;" filled="f" stroked="f" coordsize="21600,21600" o:gfxdata="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&#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5G7h2dcAAAAIAQAADwAAAAAAAAABACAAAAAiAAAA&#10;ZHJzL2Rvd25yZXYueG1sUEsBAhQAFAAAAAgAh07iQDjqDcKWAQAAOAMAAA4AAAAAAAAAAQAgAAAA&#10;JgEAAGRycy9lMm9Eb2MueG1sUEsFBgAAAAAGAAYAWQEAAC4FAAAAAA==&#10;">
                <v:fill on="f" focussize="0,0"/>
                <v:stroke on="f"/>
                <v:imagedata o:title=""/>
                <o:lock v:ext="edit" aspectratio="f"/>
                <v:textbox>
                  <w:txbxContent>
                    <w:p w14:paraId="7BEDD3F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rect>
            </w:pict>
          </mc:Fallback>
        </mc:AlternateContent>
      </w:r>
      <w:r>
        <w:rPr>
          <w:rFonts w:hint="eastAsia" w:hAnsi="宋体" w:eastAsia="宋体" w:cs="宋体"/>
          <w:color w:val="auto"/>
          <w:sz w:val="24"/>
          <w:szCs w:val="24"/>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eastAsia="宋体" w:cs="宋体"/>
          <w:color w:val="auto"/>
          <w:kern w:val="0"/>
          <w:sz w:val="24"/>
          <w:szCs w:val="24"/>
          <w:highlight w:val="none"/>
        </w:rPr>
        <w:t>发包人在退还质量保证金的同时按照中国人民银行发布的同期同类贷款基准利率支付利息。</w:t>
      </w:r>
    </w:p>
    <w:p w14:paraId="03F7AF1D">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84.4  </w:t>
      </w:r>
      <w:r>
        <w:rPr>
          <w:rFonts w:hint="eastAsia" w:hAnsi="宋体" w:eastAsia="宋体" w:cs="宋体"/>
          <w:b/>
          <w:bCs/>
          <w:color w:val="auto"/>
          <w:sz w:val="24"/>
          <w:szCs w:val="24"/>
          <w:highlight w:val="none"/>
          <w:u w:val="dotted"/>
        </w:rPr>
        <w:t xml:space="preserve">                                                                                                       </w:t>
      </w:r>
    </w:p>
    <w:p w14:paraId="402986AB">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1394" name="000245"/>
                <wp:cNvGraphicFramePr/>
                <a:graphic xmlns:a="http://schemas.openxmlformats.org/drawingml/2006/main">
                  <a:graphicData uri="http://schemas.microsoft.com/office/word/2010/wordprocessingShape">
                    <wps:wsp>
                      <wps:cNvSpPr/>
                      <wps:spPr>
                        <a:xfrm>
                          <a:off x="0" y="0"/>
                          <a:ext cx="914400" cy="462915"/>
                        </a:xfrm>
                        <a:prstGeom prst="rect">
                          <a:avLst/>
                        </a:prstGeom>
                        <a:ln>
                          <a:noFill/>
                        </a:ln>
                      </wps:spPr>
                      <wps:txbx>
                        <w:txbxContent>
                          <w:p w14:paraId="258EC9E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wrap="square"/>
                    </wps:wsp>
                  </a:graphicData>
                </a:graphic>
              </wp:anchor>
            </w:drawing>
          </mc:Choice>
          <mc:Fallback>
            <w:pict>
              <v:rect id="000245" o:spid="_x0000_s1026" o:spt="1" style="position:absolute;left:0pt;margin-left:-9pt;margin-top:3.6pt;height:36.45pt;width:72pt;z-index:251659264;mso-width-relative:page;mso-height-relative:page;" filled="f" stroked="f" coordsize="21600,21600" o:gfxdata="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&#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5G7h2dcAAAAIAQAADwAAAAAAAAABACAAAAAiAAAA&#10;ZHJzL2Rvd25yZXYueG1sUEsBAhQAFAAAAAgAh07iQC8lLsmWAQAAOAMAAA4AAAAAAAAAAQAgAAAA&#10;JgEAAGRycy9lMm9Eb2MueG1sUEsFBgAAAAAGAAYAWQEAAC4FAAAAAA==&#10;">
                <v:fill on="f" focussize="0,0"/>
                <v:stroke on="f"/>
                <v:imagedata o:title=""/>
                <o:lock v:ext="edit" aspectratio="f"/>
                <v:textbox>
                  <w:txbxContent>
                    <w:p w14:paraId="258EC9E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rect>
            </w:pict>
          </mc:Fallback>
        </mc:AlternateContent>
      </w:r>
      <w:r>
        <w:rPr>
          <w:rFonts w:hint="eastAsia" w:hAnsi="宋体" w:eastAsia="宋体" w:cs="宋体"/>
          <w:color w:val="auto"/>
          <w:sz w:val="24"/>
          <w:szCs w:val="24"/>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14:paraId="1D6173C5">
      <w:pPr>
        <w:pStyle w:val="24"/>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09D26B7">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02" w:name="_Toc46860890"/>
      <w:r>
        <w:rPr>
          <w:rFonts w:hint="eastAsia" w:hAnsi="宋体" w:eastAsia="宋体" w:cs="宋体"/>
          <w:b/>
          <w:bCs/>
          <w:color w:val="auto"/>
          <w:sz w:val="24"/>
          <w:szCs w:val="24"/>
          <w:highlight w:val="none"/>
        </w:rPr>
        <w:t>85  最终清算款</w:t>
      </w:r>
      <w:bookmarkEnd w:id="202"/>
    </w:p>
    <w:p w14:paraId="4DA5F9CD">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85.1     </w:t>
      </w:r>
    </w:p>
    <w:p w14:paraId="115A9F37">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1395" name="000246"/>
                <wp:cNvGraphicFramePr/>
                <a:graphic xmlns:a="http://schemas.openxmlformats.org/drawingml/2006/main">
                  <a:graphicData uri="http://schemas.microsoft.com/office/word/2010/wordprocessingShape">
                    <wps:wsp>
                      <wps:cNvSpPr/>
                      <wps:spPr>
                        <a:xfrm>
                          <a:off x="0" y="0"/>
                          <a:ext cx="914400" cy="396239"/>
                        </a:xfrm>
                        <a:prstGeom prst="rect">
                          <a:avLst/>
                        </a:prstGeom>
                        <a:ln>
                          <a:noFill/>
                        </a:ln>
                      </wps:spPr>
                      <wps:txbx>
                        <w:txbxContent>
                          <w:p w14:paraId="63D5C58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wrap="square"/>
                    </wps:wsp>
                  </a:graphicData>
                </a:graphic>
              </wp:anchor>
            </w:drawing>
          </mc:Choice>
          <mc:Fallback>
            <w:pict>
              <v:rect id="000246" o:spid="_x0000_s1026" o:spt="1" style="position:absolute;left:0pt;margin-left:-9pt;margin-top:5.85pt;height:31.2pt;width:72pt;z-index:251659264;mso-width-relative:page;mso-height-relative:page;" filled="f" stroked="f" coordsize="21600,21600" o:gfxdata="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4fy8fZAAAACQEAAA8AAAAAAAAAAQAgAAAAIgAA&#10;AGRycy9kb3ducmV2LnhtbFBLAQIUABQAAAAIAIdO4kBQQA+mlQEAADgDAAAOAAAAAAAAAAEAIAAA&#10;ACgBAABkcnMvZTJvRG9jLnhtbFBLBQYAAAAABgAGAFkBAAAvBQAAAAA=&#10;">
                <v:fill on="f" focussize="0,0"/>
                <v:stroke on="f"/>
                <v:imagedata o:title=""/>
                <o:lock v:ext="edit" aspectratio="f"/>
                <v:textbox>
                  <w:txbxContent>
                    <w:p w14:paraId="63D5C58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rect>
            </w:pict>
          </mc:Fallback>
        </mc:AlternateContent>
      </w:r>
      <w:r>
        <w:rPr>
          <w:rFonts w:hint="eastAsia" w:ascii="宋体" w:hAnsi="宋体" w:eastAsia="宋体" w:cs="宋体"/>
          <w:color w:val="auto"/>
          <w:sz w:val="24"/>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14:paraId="4EA674B5">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08C6F279">
      <w:pPr>
        <w:pStyle w:val="24"/>
        <w:tabs>
          <w:tab w:val="left" w:pos="900"/>
        </w:tabs>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85.2</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20B9774F">
      <w:pPr>
        <w:pStyle w:val="24"/>
        <w:adjustRightInd w:val="0"/>
        <w:snapToGrid w:val="0"/>
        <w:spacing w:line="300" w:lineRule="auto"/>
        <w:ind w:left="1619" w:leftChars="771"/>
        <w:rPr>
          <w:rFonts w:hAnsi="宋体" w:eastAsia="宋体" w:cs="宋体"/>
          <w:color w:val="auto"/>
          <w:sz w:val="24"/>
          <w:szCs w:val="24"/>
          <w:highlight w:val="none"/>
          <w:u w:val="singl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1396" name="000247"/>
                <wp:cNvGraphicFramePr/>
                <a:graphic xmlns:a="http://schemas.openxmlformats.org/drawingml/2006/main">
                  <a:graphicData uri="http://schemas.microsoft.com/office/word/2010/wordprocessingShape">
                    <wps:wsp>
                      <wps:cNvSpPr/>
                      <wps:spPr>
                        <a:xfrm>
                          <a:off x="0" y="0"/>
                          <a:ext cx="1028700" cy="462915"/>
                        </a:xfrm>
                        <a:prstGeom prst="rect">
                          <a:avLst/>
                        </a:prstGeom>
                        <a:ln>
                          <a:noFill/>
                        </a:ln>
                      </wps:spPr>
                      <wps:txbx>
                        <w:txbxContent>
                          <w:p w14:paraId="333DC1E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14:paraId="5E600F8D">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wps:txbx>
                      <wps:bodyPr wrap="square"/>
                    </wps:wsp>
                  </a:graphicData>
                </a:graphic>
              </wp:anchor>
            </w:drawing>
          </mc:Choice>
          <mc:Fallback>
            <w:pict>
              <v:rect id="000247" o:spid="_x0000_s1026" o:spt="1" style="position:absolute;left:0pt;margin-left:-9pt;margin-top:0.7pt;height:36.45pt;width:81pt;z-index:251659264;mso-width-relative:page;mso-height-relative:page;" filled="f" stroked="f" coordsize="21600,21600" o:gfxdata="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9r6VA2AAAAAgBAAAPAAAAAAAAAAEAIAAAACIA&#10;AABkcnMvZG93bnJldi54bWxQSwECFAAUAAAACACHTuJAc+BarJcBAAA5AwAADgAAAAAAAAABACAA&#10;AAAnAQAAZHJzL2Uyb0RvYy54bWxQSwUGAAAAAAYABgBZAQAAMAUAAAAA&#10;">
                <v:fill on="f" focussize="0,0"/>
                <v:stroke on="f"/>
                <v:imagedata o:title=""/>
                <o:lock v:ext="edit" aspectratio="f"/>
                <v:textbox>
                  <w:txbxContent>
                    <w:p w14:paraId="333DC1E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14:paraId="5E600F8D">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v:textbox>
              </v:rect>
            </w:pict>
          </mc:Fallback>
        </mc:AlternateContent>
      </w:r>
      <w:r>
        <w:rPr>
          <w:rFonts w:hint="eastAsia" w:hAnsi="宋体" w:eastAsia="宋体" w:cs="宋体"/>
          <w:color w:val="auto"/>
          <w:sz w:val="24"/>
          <w:szCs w:val="24"/>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14:paraId="3FA45AA5">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229235</wp:posOffset>
                </wp:positionV>
                <wp:extent cx="914400" cy="462915"/>
                <wp:effectExtent l="0" t="0" r="0" b="0"/>
                <wp:wrapNone/>
                <wp:docPr id="1397" name="000248"/>
                <wp:cNvGraphicFramePr/>
                <a:graphic xmlns:a="http://schemas.openxmlformats.org/drawingml/2006/main">
                  <a:graphicData uri="http://schemas.microsoft.com/office/word/2010/wordprocessingShape">
                    <wps:wsp>
                      <wps:cNvSpPr/>
                      <wps:spPr>
                        <a:xfrm>
                          <a:off x="0" y="0"/>
                          <a:ext cx="914400" cy="462914"/>
                        </a:xfrm>
                        <a:prstGeom prst="rect">
                          <a:avLst/>
                        </a:prstGeom>
                        <a:ln>
                          <a:noFill/>
                        </a:ln>
                      </wps:spPr>
                      <wps:txbx>
                        <w:txbxContent>
                          <w:p w14:paraId="4437F60B">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wps:wsp>
                  </a:graphicData>
                </a:graphic>
              </wp:anchor>
            </w:drawing>
          </mc:Choice>
          <mc:Fallback>
            <w:pict>
              <v:rect id="000248" o:spid="_x0000_s1026" o:spt="1" style="position:absolute;left:0pt;margin-left:-9pt;margin-top:18.05pt;height:36.45pt;width:72pt;z-index:251659264;mso-width-relative:page;mso-height-relative:page;" filled="f" stroked="f" coordsize="21600,21600" o:gfxdata="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UoFQbaAAAACgEAAA8AAAAAAAAAAQAgAAAAIgAA&#10;AGRycy9kb3ducmV2LnhtbFBLAQIUABQAAAAIAIdO4kA+61JwlAEAADgDAAAOAAAAAAAAAAEAIAAA&#10;ACkBAABkcnMvZTJvRG9jLnhtbFBLBQYAAAAABgAGAFkBAAAvBQAAAAA=&#10;">
                <v:fill on="f" focussize="0,0"/>
                <v:stroke on="f"/>
                <v:imagedata o:title=""/>
                <o:lock v:ext="edit" aspectratio="f"/>
                <v:textbox>
                  <w:txbxContent>
                    <w:p w14:paraId="4437F60B">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rect>
            </w:pict>
          </mc:Fallback>
        </mc:AlternateContent>
      </w:r>
      <w:r>
        <w:rPr>
          <w:rFonts w:hint="eastAsia" w:hAnsi="宋体" w:eastAsia="宋体" w:cs="宋体"/>
          <w:b/>
          <w:bCs/>
          <w:color w:val="auto"/>
          <w:sz w:val="24"/>
          <w:szCs w:val="24"/>
          <w:highlight w:val="none"/>
        </w:rPr>
        <w:t>85.3</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6B5C869C">
      <w:pPr>
        <w:pStyle w:val="24"/>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发包人应在造价工程师签发最终清算支付证书后的14 天内，按照最终清算支付证书列明的金额向承包人支付最终清算款，并通知造价工程师。</w:t>
      </w:r>
    </w:p>
    <w:p w14:paraId="76EE2B1A">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1398" name="000249"/>
                <wp:cNvGraphicFramePr/>
                <a:graphic xmlns:a="http://schemas.openxmlformats.org/drawingml/2006/main">
                  <a:graphicData uri="http://schemas.microsoft.com/office/word/2010/wordprocessingShape">
                    <wps:wsp>
                      <wps:cNvSpPr/>
                      <wps:spPr>
                        <a:xfrm>
                          <a:off x="0" y="0"/>
                          <a:ext cx="914400" cy="462915"/>
                        </a:xfrm>
                        <a:prstGeom prst="rect">
                          <a:avLst/>
                        </a:prstGeom>
                        <a:ln>
                          <a:noFill/>
                        </a:ln>
                      </wps:spPr>
                      <wps:txbx>
                        <w:txbxContent>
                          <w:p w14:paraId="2F006FFB">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wps:txbx>
                      <wps:bodyPr wrap="square"/>
                    </wps:wsp>
                  </a:graphicData>
                </a:graphic>
              </wp:anchor>
            </w:drawing>
          </mc:Choice>
          <mc:Fallback>
            <w:pict>
              <v:rect id="000249" o:spid="_x0000_s1026" o:spt="1" style="position:absolute;left:0pt;margin-left:-9pt;margin-top:18.45pt;height:36.45pt;width:72pt;z-index:251659264;mso-width-relative:page;mso-height-relative:page;" filled="f" stroked="f" coordsize="21600,21600" o:gfxdata="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npgS09sAAAAKAQAADwAAAAAAAAABACAAAAAi&#10;AAAAZHJzL2Rvd25yZXYueG1sUEsBAhQAFAAAAAgAh07iQLi0oluVAQAAOAMAAA4AAAAAAAAAAQAg&#10;AAAAKgEAAGRycy9lMm9Eb2MueG1sUEsFBgAAAAAGAAYAWQEAADEFAAAAAA==&#10;">
                <v:fill on="f" focussize="0,0"/>
                <v:stroke on="f"/>
                <v:imagedata o:title=""/>
                <o:lock v:ext="edit" aspectratio="f"/>
                <v:textbox>
                  <w:txbxContent>
                    <w:p w14:paraId="2F006FFB">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v:textbox>
              </v:rect>
            </w:pict>
          </mc:Fallback>
        </mc:AlternateContent>
      </w:r>
      <w:r>
        <w:rPr>
          <w:rFonts w:hint="eastAsia" w:hAnsi="宋体" w:eastAsia="宋体" w:cs="宋体"/>
          <w:b/>
          <w:bCs/>
          <w:color w:val="auto"/>
          <w:sz w:val="24"/>
          <w:szCs w:val="24"/>
          <w:highlight w:val="none"/>
        </w:rPr>
        <w:t xml:space="preserve">85.4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AF7A5C9">
      <w:pPr>
        <w:pStyle w:val="24"/>
        <w:adjustRightInd w:val="0"/>
        <w:snapToGrid w:val="0"/>
        <w:spacing w:line="300" w:lineRule="auto"/>
        <w:ind w:left="1576" w:leftChars="750" w:hanging="1"/>
        <w:rPr>
          <w:rFonts w:hAnsi="宋体" w:eastAsia="宋体" w:cs="宋体"/>
          <w:color w:val="auto"/>
          <w:sz w:val="24"/>
          <w:szCs w:val="24"/>
          <w:highlight w:val="none"/>
        </w:rPr>
      </w:pPr>
      <w:r>
        <w:rPr>
          <w:rFonts w:hint="eastAsia" w:hAnsi="宋体" w:eastAsia="宋体" w:cs="宋体"/>
          <w:color w:val="auto"/>
          <w:sz w:val="24"/>
          <w:szCs w:val="24"/>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14:paraId="3CC95447">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85.5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3639145D">
      <w:pPr>
        <w:spacing w:line="300" w:lineRule="auto"/>
        <w:ind w:left="1576" w:leftChars="750" w:hanging="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1399" name="00024a"/>
                <wp:cNvGraphicFramePr/>
                <a:graphic xmlns:a="http://schemas.openxmlformats.org/drawingml/2006/main">
                  <a:graphicData uri="http://schemas.microsoft.com/office/word/2010/wordprocessingShape">
                    <wps:wsp>
                      <wps:cNvSpPr/>
                      <wps:spPr>
                        <a:xfrm>
                          <a:off x="0" y="0"/>
                          <a:ext cx="1028700" cy="407670"/>
                        </a:xfrm>
                        <a:prstGeom prst="rect">
                          <a:avLst/>
                        </a:prstGeom>
                        <a:ln>
                          <a:noFill/>
                        </a:ln>
                      </wps:spPr>
                      <wps:txbx>
                        <w:txbxContent>
                          <w:p w14:paraId="3222F5C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14:paraId="250AB14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wrap="square"/>
                    </wps:wsp>
                  </a:graphicData>
                </a:graphic>
              </wp:anchor>
            </w:drawing>
          </mc:Choice>
          <mc:Fallback>
            <w:pict>
              <v:rect id="00024a" o:spid="_x0000_s1026" o:spt="1" style="position:absolute;left:0pt;margin-left:-9pt;margin-top:0.65pt;height:32.1pt;width:81pt;z-index:251659264;mso-width-relative:page;mso-height-relative:page;" filled="f" stroked="f" coordsize="21600,21600" o:gfxdata="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fP3R72AAAAAgBAAAPAAAAAAAAAAEAIAAAACIA&#10;AABkcnMvZG93bnJldi54bWxQSwECFAAUAAAACACHTuJACsRC35cBAAA5AwAADgAAAAAAAAABACAA&#10;AAAnAQAAZHJzL2Uyb0RvYy54bWxQSwUGAAAAAAYABgBZAQAAMAUAAAAA&#10;">
                <v:fill on="f" focussize="0,0"/>
                <v:stroke on="f"/>
                <v:imagedata o:title=""/>
                <o:lock v:ext="edit" aspectratio="f"/>
                <v:textbox>
                  <w:txbxContent>
                    <w:p w14:paraId="3222F5C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14:paraId="250AB14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rect>
            </w:pict>
          </mc:Fallback>
        </mc:AlternateContent>
      </w:r>
      <w:r>
        <w:rPr>
          <w:rFonts w:hint="eastAsia" w:ascii="宋体" w:hAnsi="宋体" w:eastAsia="宋体" w:cs="宋体"/>
          <w:color w:val="auto"/>
          <w:sz w:val="24"/>
          <w:highlight w:val="none"/>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14:paraId="4C203485">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85.6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276A0F82">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1400" name="00024b"/>
                <wp:cNvGraphicFramePr/>
                <a:graphic xmlns:a="http://schemas.openxmlformats.org/drawingml/2006/main">
                  <a:graphicData uri="http://schemas.microsoft.com/office/word/2010/wordprocessingShape">
                    <wps:wsp>
                      <wps:cNvSpPr/>
                      <wps:spPr>
                        <a:xfrm>
                          <a:off x="0" y="0"/>
                          <a:ext cx="914400" cy="462915"/>
                        </a:xfrm>
                        <a:prstGeom prst="rect">
                          <a:avLst/>
                        </a:prstGeom>
                        <a:ln>
                          <a:noFill/>
                        </a:ln>
                      </wps:spPr>
                      <wps:txbx>
                        <w:txbxContent>
                          <w:p w14:paraId="228EA6AB">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wrap="square"/>
                    </wps:wsp>
                  </a:graphicData>
                </a:graphic>
              </wp:anchor>
            </w:drawing>
          </mc:Choice>
          <mc:Fallback>
            <w:pict>
              <v:rect id="00024b" o:spid="_x0000_s1026" o:spt="1" style="position:absolute;left:0pt;margin-left:-9pt;margin-top:3.6pt;height:36.45pt;width:72pt;z-index:251659264;mso-width-relative:page;mso-height-relative:page;" filled="f" stroked="f" coordsize="21600,21600" o:gfxdata="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5G7h2dcAAAAIAQAADwAAAAAAAAABACAAAAAiAAAAZHJz&#10;L2Rvd25yZXYueG1sUEsBAhQAFAAAAAgAh07iQFbJUc+TAQAAOAMAAA4AAAAAAAAAAQAgAAAAJgEA&#10;AGRycy9lMm9Eb2MueG1sUEsFBgAAAAAGAAYAWQEAACsFAAAAAA==&#10;">
                <v:fill on="f" focussize="0,0"/>
                <v:stroke on="f"/>
                <v:imagedata o:title=""/>
                <o:lock v:ext="edit" aspectratio="f"/>
                <v:textbox>
                  <w:txbxContent>
                    <w:p w14:paraId="228EA6AB">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rect>
            </w:pict>
          </mc:Fallback>
        </mc:AlternateContent>
      </w:r>
      <w:r>
        <w:rPr>
          <w:rFonts w:hint="eastAsia" w:ascii="宋体" w:hAnsi="宋体" w:eastAsia="宋体" w:cs="宋体"/>
          <w:color w:val="auto"/>
          <w:sz w:val="24"/>
          <w:highlight w:val="none"/>
        </w:rPr>
        <w:t>承包人对发包人支付的最终清算款有异议的，按照第86条约定的争议处理。</w:t>
      </w:r>
    </w:p>
    <w:p w14:paraId="7ACB4DA8">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74CFD9D9">
      <w:pPr>
        <w:pStyle w:val="24"/>
        <w:adjustRightInd w:val="0"/>
        <w:snapToGrid w:val="0"/>
        <w:spacing w:line="300" w:lineRule="auto"/>
        <w:outlineLvl w:val="1"/>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                        </w:t>
      </w:r>
      <w:bookmarkStart w:id="203" w:name="_Toc469384069"/>
      <w:bookmarkStart w:id="204" w:name="_Toc46860891"/>
      <w:r>
        <w:rPr>
          <w:rFonts w:hint="eastAsia" w:hAnsi="宋体" w:eastAsia="宋体" w:cs="宋体"/>
          <w:b/>
          <w:bCs/>
          <w:color w:val="auto"/>
          <w:sz w:val="24"/>
          <w:szCs w:val="24"/>
          <w:highlight w:val="none"/>
        </w:rPr>
        <w:t>七、合同争议、解除与终止</w:t>
      </w:r>
      <w:bookmarkEnd w:id="203"/>
      <w:bookmarkEnd w:id="204"/>
    </w:p>
    <w:p w14:paraId="59A17B91">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05" w:name="_Toc46860892"/>
      <w:bookmarkStart w:id="206" w:name="_Toc469384070"/>
      <w:r>
        <w:rPr>
          <w:rFonts w:hint="eastAsia" w:hAnsi="宋体" w:eastAsia="宋体" w:cs="宋体"/>
          <w:b/>
          <w:bCs/>
          <w:color w:val="auto"/>
          <w:sz w:val="24"/>
          <w:szCs w:val="24"/>
          <w:highlight w:val="none"/>
        </w:rPr>
        <w:t>86  合同争议</w:t>
      </w:r>
      <w:bookmarkEnd w:id="205"/>
      <w:bookmarkEnd w:id="206"/>
    </w:p>
    <w:p w14:paraId="420F4F78">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1401" name="00024c"/>
                <wp:cNvGraphicFramePr/>
                <a:graphic xmlns:a="http://schemas.openxmlformats.org/drawingml/2006/main">
                  <a:graphicData uri="http://schemas.microsoft.com/office/word/2010/wordprocessingShape">
                    <wps:wsp>
                      <wps:cNvSpPr/>
                      <wps:spPr>
                        <a:xfrm>
                          <a:off x="0" y="0"/>
                          <a:ext cx="914400" cy="469900"/>
                        </a:xfrm>
                        <a:prstGeom prst="rect">
                          <a:avLst/>
                        </a:prstGeom>
                        <a:ln>
                          <a:noFill/>
                        </a:ln>
                      </wps:spPr>
                      <wps:txbx>
                        <w:txbxContent>
                          <w:p w14:paraId="5418AC9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wps:txbx>
                      <wps:bodyPr wrap="square"/>
                    </wps:wsp>
                  </a:graphicData>
                </a:graphic>
              </wp:anchor>
            </w:drawing>
          </mc:Choice>
          <mc:Fallback>
            <w:pict>
              <v:rect id="00024c" o:spid="_x0000_s1026" o:spt="1" style="position:absolute;left:0pt;margin-left:-9pt;margin-top:22.4pt;height:37pt;width:72pt;z-index:251659264;mso-width-relative:page;mso-height-relative:page;" filled="f" stroked="f" coordsize="21600,21600" o:gfxdata="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L+8VvaAAAACgEAAA8AAAAAAAAAAQAgAAAAIgAA&#10;AGRycy9kb3ducmV2LnhtbFBLAQIUABQAAAAIAIdO4kD8iHLRlAEAADgDAAAOAAAAAAAAAAEAIAAA&#10;ACkBAABkcnMvZTJvRG9jLnhtbFBLBQYAAAAABgAGAFkBAAAvBQAAAAA=&#10;">
                <v:fill on="f" focussize="0,0"/>
                <v:stroke on="f"/>
                <v:imagedata o:title=""/>
                <o:lock v:ext="edit" aspectratio="f"/>
                <v:textbox>
                  <w:txbxContent>
                    <w:p w14:paraId="5418AC9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v:textbox>
              </v:rect>
            </w:pict>
          </mc:Fallback>
        </mc:AlternateContent>
      </w:r>
      <w:r>
        <w:rPr>
          <w:rFonts w:hint="eastAsia" w:hAnsi="宋体" w:eastAsia="宋体" w:cs="宋体"/>
          <w:b/>
          <w:bCs/>
          <w:color w:val="auto"/>
          <w:sz w:val="24"/>
          <w:szCs w:val="24"/>
          <w:highlight w:val="none"/>
        </w:rPr>
        <w:t xml:space="preserve">86.1    </w:t>
      </w:r>
    </w:p>
    <w:p w14:paraId="216A27F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4772988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合同双方当事人在收到监理工程师或造价工程师的暂定结果之日起，超过14天，未对暂定结果予以确认也未提出意见的，视为合同双方当事人已认可暂定结果。</w:t>
      </w:r>
    </w:p>
    <w:p w14:paraId="66CF75CF">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86.2  </w:t>
      </w:r>
      <w:r>
        <w:rPr>
          <w:rFonts w:hint="eastAsia" w:hAnsi="宋体" w:eastAsia="宋体" w:cs="宋体"/>
          <w:b/>
          <w:bCs/>
          <w:color w:val="auto"/>
          <w:sz w:val="24"/>
          <w:szCs w:val="24"/>
          <w:highlight w:val="none"/>
          <w:u w:val="dotted"/>
        </w:rPr>
        <w:t xml:space="preserve">                                                                                                        </w:t>
      </w:r>
    </w:p>
    <w:p w14:paraId="0DAC13E6">
      <w:pPr>
        <w:pStyle w:val="24"/>
        <w:tabs>
          <w:tab w:val="left" w:pos="1320"/>
        </w:tabs>
        <w:adjustRightInd w:val="0"/>
        <w:snapToGrid w:val="0"/>
        <w:spacing w:line="300" w:lineRule="auto"/>
        <w:ind w:left="1680" w:leftChars="800"/>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26035</wp:posOffset>
                </wp:positionV>
                <wp:extent cx="800100" cy="373380"/>
                <wp:effectExtent l="0" t="0" r="0" b="0"/>
                <wp:wrapNone/>
                <wp:docPr id="1402" name="00024d"/>
                <wp:cNvGraphicFramePr/>
                <a:graphic xmlns:a="http://schemas.openxmlformats.org/drawingml/2006/main">
                  <a:graphicData uri="http://schemas.microsoft.com/office/word/2010/wordprocessingShape">
                    <wps:wsp>
                      <wps:cNvSpPr/>
                      <wps:spPr>
                        <a:xfrm>
                          <a:off x="0" y="0"/>
                          <a:ext cx="800100" cy="373380"/>
                        </a:xfrm>
                        <a:prstGeom prst="rect">
                          <a:avLst/>
                        </a:prstGeom>
                        <a:ln>
                          <a:noFill/>
                        </a:ln>
                      </wps:spPr>
                      <wps:txbx>
                        <w:txbxContent>
                          <w:p w14:paraId="70386CA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wrap="square"/>
                    </wps:wsp>
                  </a:graphicData>
                </a:graphic>
              </wp:anchor>
            </w:drawing>
          </mc:Choice>
          <mc:Fallback>
            <w:pict>
              <v:rect id="00024d" o:spid="_x0000_s1026" o:spt="1" style="position:absolute;left:0pt;margin-left:-9pt;margin-top:2.05pt;height:29.4pt;width:63pt;z-index:251659264;mso-width-relative:page;mso-height-relative:page;" filled="f" stroked="f" coordsize="21600,21600" o:gfxdata="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&#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C0Z3DnXAAAACAEAAA8AAAAAAAAAAQAgAAAAIgAAAGRy&#10;cy9kb3ducmV2LnhtbFBLAQIUABQAAAAIAIdO4kADXgg/lAEAADgDAAAOAAAAAAAAAAEAIAAAACYB&#10;AABkcnMvZTJvRG9jLnhtbFBLBQYAAAAABgAGAFkBAAAsBQAAAAA=&#10;">
                <v:fill on="f" focussize="0,0"/>
                <v:stroke on="f"/>
                <v:imagedata o:title=""/>
                <o:lock v:ext="edit" aspectratio="f"/>
                <v:textbox>
                  <w:txbxContent>
                    <w:p w14:paraId="70386CA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rect>
            </w:pict>
          </mc:Fallback>
        </mc:AlternateContent>
      </w:r>
      <w:r>
        <w:rPr>
          <w:rFonts w:hint="eastAsia" w:hAnsi="宋体" w:eastAsia="宋体" w:cs="宋体"/>
          <w:color w:val="auto"/>
          <w:sz w:val="24"/>
          <w:szCs w:val="24"/>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14:paraId="58A14B1E">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86.3  </w:t>
      </w:r>
      <w:r>
        <w:rPr>
          <w:rFonts w:hint="eastAsia" w:hAnsi="宋体" w:eastAsia="宋体" w:cs="宋体"/>
          <w:b/>
          <w:bCs/>
          <w:color w:val="auto"/>
          <w:sz w:val="24"/>
          <w:szCs w:val="24"/>
          <w:highlight w:val="none"/>
          <w:u w:val="dotted"/>
        </w:rPr>
        <w:t xml:space="preserve">                                                                                                        </w:t>
      </w:r>
    </w:p>
    <w:p w14:paraId="6720A2E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1403" name="00024e"/>
                <wp:cNvGraphicFramePr/>
                <a:graphic xmlns:a="http://schemas.openxmlformats.org/drawingml/2006/main">
                  <a:graphicData uri="http://schemas.microsoft.com/office/word/2010/wordprocessingShape">
                    <wps:wsp>
                      <wps:cNvSpPr/>
                      <wps:spPr>
                        <a:xfrm>
                          <a:off x="0" y="0"/>
                          <a:ext cx="1028700" cy="325120"/>
                        </a:xfrm>
                        <a:prstGeom prst="rect">
                          <a:avLst/>
                        </a:prstGeom>
                        <a:ln>
                          <a:noFill/>
                        </a:ln>
                      </wps:spPr>
                      <wps:txbx>
                        <w:txbxContent>
                          <w:p w14:paraId="61ACEFD2">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wrap="square"/>
                    </wps:wsp>
                  </a:graphicData>
                </a:graphic>
              </wp:anchor>
            </w:drawing>
          </mc:Choice>
          <mc:Fallback>
            <w:pict>
              <v:rect id="00024e" o:spid="_x0000_s1026" o:spt="1" style="position:absolute;left:0pt;margin-left:-9pt;margin-top:0.9pt;height:25.6pt;width:81pt;z-index:251659264;mso-width-relative:page;mso-height-relative:page;" filled="f" stroked="f" coordsize="21600,21600" o:gfxdata="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DZ4Ou1wAAAAgBAAAPAAAAAAAAAAEAIAAAACIAAABk&#10;cnMvZG93bnJldi54bWxQSwECFAAUAAAACACHTuJAGIW/3pUBAAA5AwAADgAAAAAAAAABACAAAAAm&#10;AQAAZHJzL2Uyb0RvYy54bWxQSwUGAAAAAAYABgBZAQAALQUAAAAA&#10;">
                <v:fill on="f" focussize="0,0"/>
                <v:stroke on="f"/>
                <v:imagedata o:title=""/>
                <o:lock v:ext="edit" aspectratio="f"/>
                <v:textbox>
                  <w:txbxContent>
                    <w:p w14:paraId="61ACEFD2">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rect>
            </w:pict>
          </mc:Fallback>
        </mc:AlternateContent>
      </w:r>
      <w:r>
        <w:rPr>
          <w:rFonts w:hint="eastAsia" w:hAnsi="宋体" w:eastAsia="宋体" w:cs="宋体"/>
          <w:color w:val="auto"/>
          <w:sz w:val="24"/>
          <w:szCs w:val="24"/>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14:paraId="3170B83F">
      <w:pPr>
        <w:pStyle w:val="24"/>
        <w:tabs>
          <w:tab w:val="left" w:pos="1320"/>
        </w:tabs>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86.4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662DB04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1404" name="00024f"/>
                <wp:cNvGraphicFramePr/>
                <a:graphic xmlns:a="http://schemas.openxmlformats.org/drawingml/2006/main">
                  <a:graphicData uri="http://schemas.microsoft.com/office/word/2010/wordprocessingShape">
                    <wps:wsp>
                      <wps:cNvSpPr/>
                      <wps:spPr>
                        <a:xfrm>
                          <a:off x="0" y="0"/>
                          <a:ext cx="1028700" cy="378459"/>
                        </a:xfrm>
                        <a:prstGeom prst="rect">
                          <a:avLst/>
                        </a:prstGeom>
                        <a:ln>
                          <a:noFill/>
                        </a:ln>
                      </wps:spPr>
                      <wps:txbx>
                        <w:txbxContent>
                          <w:p w14:paraId="02D0A02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wrap="square"/>
                    </wps:wsp>
                  </a:graphicData>
                </a:graphic>
              </wp:anchor>
            </w:drawing>
          </mc:Choice>
          <mc:Fallback>
            <w:pict>
              <v:rect id="00024f" o:spid="_x0000_s1026" o:spt="1" style="position:absolute;left:0pt;margin-left:-9pt;margin-top:4.7pt;height:29.8pt;width:81pt;z-index:251659264;mso-width-relative:page;mso-height-relative:page;" filled="f" stroked="f" coordsize="21600,21600" o:gfxdata="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kB3hbYAAAACAEAAA8AAAAAAAAAAQAgAAAAIgAA&#10;AGRycy9kb3ducmV2LnhtbFBLAQIUABQAAAAIAIdO4kCWh1kNlgEAADkDAAAOAAAAAAAAAAEAIAAA&#10;ACcBAABkcnMvZTJvRG9jLnhtbFBLBQYAAAAABgAGAFkBAAAvBQAAAAA=&#10;">
                <v:fill on="f" focussize="0,0"/>
                <v:stroke on="f"/>
                <v:imagedata o:title=""/>
                <o:lock v:ext="edit" aspectratio="f"/>
                <v:textbox>
                  <w:txbxContent>
                    <w:p w14:paraId="02D0A02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rect>
            </w:pict>
          </mc:Fallback>
        </mc:AlternateContent>
      </w:r>
      <w:r>
        <w:rPr>
          <w:rFonts w:hint="eastAsia" w:hAnsi="宋体" w:eastAsia="宋体" w:cs="宋体"/>
          <w:color w:val="auto"/>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2CD97D59">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(1) 建设工程安全监督机构，负责有关工程安全方面争议的调解或认定；</w:t>
      </w:r>
    </w:p>
    <w:p w14:paraId="3D6D27FB">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(2) 建设工程质量监督机构，负责有关工程质量方面争议的调解或认定；</w:t>
      </w:r>
    </w:p>
    <w:p w14:paraId="24A617B0">
      <w:pPr>
        <w:pStyle w:val="24"/>
        <w:adjustRightInd w:val="0"/>
        <w:snapToGrid w:val="0"/>
        <w:spacing w:line="300" w:lineRule="auto"/>
        <w:ind w:left="1620"/>
        <w:rPr>
          <w:rFonts w:hAnsi="宋体" w:eastAsia="宋体" w:cs="宋体"/>
          <w:b/>
          <w:bCs/>
          <w:color w:val="auto"/>
          <w:sz w:val="24"/>
          <w:szCs w:val="24"/>
          <w:highlight w:val="none"/>
        </w:rPr>
      </w:pPr>
      <w:r>
        <w:rPr>
          <w:rFonts w:hint="eastAsia" w:hAnsi="宋体" w:eastAsia="宋体" w:cs="宋体"/>
          <w:color w:val="auto"/>
          <w:sz w:val="24"/>
          <w:szCs w:val="24"/>
          <w:highlight w:val="none"/>
        </w:rPr>
        <w:t>(3) 建设工程造价管理机构，负责有关工程造价方面争议的调解或认定。</w:t>
      </w:r>
    </w:p>
    <w:p w14:paraId="17B9DA4F">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86.5  </w:t>
      </w:r>
      <w:r>
        <w:rPr>
          <w:rFonts w:hint="eastAsia" w:hAnsi="宋体" w:eastAsia="宋体" w:cs="宋体"/>
          <w:b/>
          <w:bCs/>
          <w:color w:val="auto"/>
          <w:sz w:val="24"/>
          <w:szCs w:val="24"/>
          <w:highlight w:val="none"/>
          <w:u w:val="dotted"/>
        </w:rPr>
        <w:t xml:space="preserve">                                                                                                        </w:t>
      </w:r>
    </w:p>
    <w:p w14:paraId="24F032BA">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31750</wp:posOffset>
                </wp:positionV>
                <wp:extent cx="914400" cy="464820"/>
                <wp:effectExtent l="0" t="0" r="0" b="0"/>
                <wp:wrapNone/>
                <wp:docPr id="1405" name="000250"/>
                <wp:cNvGraphicFramePr/>
                <a:graphic xmlns:a="http://schemas.openxmlformats.org/drawingml/2006/main">
                  <a:graphicData uri="http://schemas.microsoft.com/office/word/2010/wordprocessingShape">
                    <wps:wsp>
                      <wps:cNvSpPr/>
                      <wps:spPr>
                        <a:xfrm>
                          <a:off x="0" y="0"/>
                          <a:ext cx="914400" cy="464820"/>
                        </a:xfrm>
                        <a:prstGeom prst="rect">
                          <a:avLst/>
                        </a:prstGeom>
                        <a:ln>
                          <a:noFill/>
                        </a:ln>
                      </wps:spPr>
                      <wps:txbx>
                        <w:txbxContent>
                          <w:p w14:paraId="7C1FCC7C">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wrap="square"/>
                    </wps:wsp>
                  </a:graphicData>
                </a:graphic>
              </wp:anchor>
            </w:drawing>
          </mc:Choice>
          <mc:Fallback>
            <w:pict>
              <v:rect id="000250" o:spid="_x0000_s1026" o:spt="1" style="position:absolute;left:0pt;margin-left:-9pt;margin-top:2.5pt;height:36.6pt;width:72pt;z-index:251659264;mso-width-relative:page;mso-height-relative:page;" filled="f" stroked="f" coordsize="21600,21600" o:gfxdata="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U2eIDZAAAACAEAAA8AAAAAAAAAAQAgAAAAIgAA&#10;AGRycy9kb3ducmV2LnhtbFBLAQIUABQAAAAIAIdO4kBfYA1PlQEAADgDAAAOAAAAAAAAAAEAIAAA&#10;ACgBAABkcnMvZTJvRG9jLnhtbFBLBQYAAAAABgAGAFkBAAAvBQAAAAA=&#10;">
                <v:fill on="f" focussize="0,0"/>
                <v:stroke on="f"/>
                <v:imagedata o:title=""/>
                <o:lock v:ext="edit" aspectratio="f"/>
                <v:textbox>
                  <w:txbxContent>
                    <w:p w14:paraId="7C1FCC7C">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rect>
            </w:pict>
          </mc:Fallback>
        </mc:AlternateContent>
      </w:r>
      <w:r>
        <w:rPr>
          <w:rFonts w:hint="eastAsia" w:hAnsi="宋体" w:eastAsia="宋体" w:cs="宋体"/>
          <w:color w:val="auto"/>
          <w:sz w:val="24"/>
          <w:szCs w:val="24"/>
          <w:highlight w:val="none"/>
        </w:rPr>
        <w:t>合同双方当事人应在收到争议调解或认定机构书面结果后的28天内，对调解或认定结果以书面形式予以确认。</w:t>
      </w:r>
    </w:p>
    <w:p w14:paraId="5DFA2D2C">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86.6  </w:t>
      </w:r>
      <w:r>
        <w:rPr>
          <w:rFonts w:hint="eastAsia" w:hAnsi="宋体" w:eastAsia="宋体" w:cs="宋体"/>
          <w:b/>
          <w:bCs/>
          <w:color w:val="auto"/>
          <w:sz w:val="24"/>
          <w:szCs w:val="24"/>
          <w:highlight w:val="none"/>
          <w:u w:val="dotted"/>
        </w:rPr>
        <w:t xml:space="preserve">                                                                                                        </w:t>
      </w:r>
    </w:p>
    <w:p w14:paraId="5AE2C211">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1406" name="000251"/>
                <wp:cNvGraphicFramePr/>
                <a:graphic xmlns:a="http://schemas.openxmlformats.org/drawingml/2006/main">
                  <a:graphicData uri="http://schemas.microsoft.com/office/word/2010/wordprocessingShape">
                    <wps:wsp>
                      <wps:cNvSpPr/>
                      <wps:spPr>
                        <a:xfrm>
                          <a:off x="0" y="0"/>
                          <a:ext cx="1028700" cy="334645"/>
                        </a:xfrm>
                        <a:prstGeom prst="rect">
                          <a:avLst/>
                        </a:prstGeom>
                        <a:ln>
                          <a:noFill/>
                        </a:ln>
                      </wps:spPr>
                      <wps:txbx>
                        <w:txbxContent>
                          <w:p w14:paraId="7DA769B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wrap="square"/>
                    </wps:wsp>
                  </a:graphicData>
                </a:graphic>
              </wp:anchor>
            </w:drawing>
          </mc:Choice>
          <mc:Fallback>
            <w:pict>
              <v:rect id="000251" o:spid="_x0000_s1026" o:spt="1" style="position:absolute;left:0pt;margin-left:-9pt;margin-top:0.95pt;height:26.35pt;width:81pt;z-index:251659264;mso-width-relative:page;mso-height-relative:page;" filled="f" stroked="f" coordsize="21600,21600" o:gfxdata="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BYea0fYAAAACAEAAA8AAAAAAAAAAQAgAAAAIgAA&#10;AGRycy9kb3ducmV2LnhtbFBLAQIUABQAAAAIAIdO4kA/T+5ZlgEAADkDAAAOAAAAAAAAAAEAIAAA&#10;ACcBAABkcnMvZTJvRG9jLnhtbFBLBQYAAAAABgAGAFkBAAAvBQAAAAA=&#10;">
                <v:fill on="f" focussize="0,0"/>
                <v:stroke on="f"/>
                <v:imagedata o:title=""/>
                <o:lock v:ext="edit" aspectratio="f"/>
                <v:textbox>
                  <w:txbxContent>
                    <w:p w14:paraId="7DA769B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rect>
            </w:pict>
          </mc:Fallback>
        </mc:AlternateContent>
      </w:r>
      <w:r>
        <w:rPr>
          <w:rFonts w:hint="eastAsia" w:hAnsi="宋体" w:eastAsia="宋体" w:cs="宋体"/>
          <w:color w:val="auto"/>
          <w:sz w:val="24"/>
          <w:szCs w:val="24"/>
          <w:highlight w:val="none"/>
        </w:rPr>
        <w:t>若合同双方或一方当事人在收到争议调解或认定机构的书面结果后明确表示不同意，或在28天内没有书面确认，任何一方均可按照专用条款约定的下列任一种方式解决争议：</w:t>
      </w:r>
    </w:p>
    <w:p w14:paraId="5A86F94B">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(1) 向约定的仲裁委员会申请仲裁；</w:t>
      </w:r>
    </w:p>
    <w:p w14:paraId="6304B6AD">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(2) 向有管辖权的人民法院提起诉讼。</w:t>
      </w:r>
    </w:p>
    <w:p w14:paraId="762809FF">
      <w:pPr>
        <w:pStyle w:val="24"/>
        <w:adjustRightInd w:val="0"/>
        <w:snapToGrid w:val="0"/>
        <w:spacing w:line="300" w:lineRule="auto"/>
        <w:ind w:left="1620"/>
        <w:rPr>
          <w:rFonts w:hAnsi="宋体" w:eastAsia="宋体" w:cs="宋体"/>
          <w:color w:val="auto"/>
          <w:sz w:val="24"/>
          <w:szCs w:val="24"/>
          <w:highlight w:val="none"/>
        </w:rPr>
      </w:pPr>
    </w:p>
    <w:p w14:paraId="5ADFE5E8">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86.7  </w:t>
      </w:r>
      <w:r>
        <w:rPr>
          <w:rFonts w:hint="eastAsia" w:hAnsi="宋体" w:eastAsia="宋体" w:cs="宋体"/>
          <w:b/>
          <w:bCs/>
          <w:color w:val="auto"/>
          <w:sz w:val="24"/>
          <w:szCs w:val="24"/>
          <w:highlight w:val="none"/>
          <w:u w:val="dotted"/>
        </w:rPr>
        <w:t xml:space="preserve">                                                                                                        </w:t>
      </w:r>
    </w:p>
    <w:p w14:paraId="0D9B1649">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1407" name="000252"/>
                <wp:cNvGraphicFramePr/>
                <a:graphic xmlns:a="http://schemas.openxmlformats.org/drawingml/2006/main">
                  <a:graphicData uri="http://schemas.microsoft.com/office/word/2010/wordprocessingShape">
                    <wps:wsp>
                      <wps:cNvSpPr/>
                      <wps:spPr>
                        <a:xfrm>
                          <a:off x="0" y="0"/>
                          <a:ext cx="914400" cy="460375"/>
                        </a:xfrm>
                        <a:prstGeom prst="rect">
                          <a:avLst/>
                        </a:prstGeom>
                        <a:ln>
                          <a:noFill/>
                        </a:ln>
                      </wps:spPr>
                      <wps:txbx>
                        <w:txbxContent>
                          <w:p w14:paraId="1311BF9F">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wrap="square"/>
                    </wps:wsp>
                  </a:graphicData>
                </a:graphic>
              </wp:anchor>
            </w:drawing>
          </mc:Choice>
          <mc:Fallback>
            <w:pict>
              <v:rect id="000252" o:spid="_x0000_s1026" o:spt="1" style="position:absolute;left:0pt;margin-left:-9pt;margin-top:1.25pt;height:36.25pt;width:72pt;z-index:251659264;mso-width-relative:page;mso-height-relative:page;" filled="f" stroked="f" coordsize="21600,21600" o:gfxdata="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TTj9vYAAAACAEAAA8AAAAAAAAAAQAgAAAAIgAA&#10;AGRycy9kb3ducmV2LnhtbFBLAQIUABQAAAAIAIdO4kDfNb2OlgEAADgDAAAOAAAAAAAAAAEAIAAA&#10;ACcBAABkcnMvZTJvRG9jLnhtbFBLBQYAAAAABgAGAFkBAAAvBQAAAAA=&#10;">
                <v:fill on="f" focussize="0,0"/>
                <v:stroke on="f"/>
                <v:imagedata o:title=""/>
                <o:lock v:ext="edit" aspectratio="f"/>
                <v:textbox>
                  <w:txbxContent>
                    <w:p w14:paraId="1311BF9F">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rect>
            </w:pict>
          </mc:Fallback>
        </mc:AlternateContent>
      </w:r>
      <w:r>
        <w:rPr>
          <w:rFonts w:hint="eastAsia" w:hAnsi="宋体" w:eastAsia="宋体" w:cs="宋体"/>
          <w:color w:val="auto"/>
          <w:sz w:val="24"/>
          <w:szCs w:val="24"/>
          <w:highlight w:val="none"/>
        </w:rPr>
        <w:t>争议期间，除下列情况停止施工外，合同双方当事人都应继续履行合同，保持工程连续施工，保护好已完工程：</w:t>
      </w:r>
    </w:p>
    <w:p w14:paraId="09F8FFB4">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(1) 合同双方当事人协商同意；</w:t>
      </w:r>
    </w:p>
    <w:p w14:paraId="35E10E75">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(2) 合同一方当事人违约导致合同无法履行；</w:t>
      </w:r>
    </w:p>
    <w:p w14:paraId="117086E2">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(3) 工程造价管理机构调解需要，且合同双方当事人同意；</w:t>
      </w:r>
    </w:p>
    <w:p w14:paraId="3CA5619C">
      <w:pPr>
        <w:pStyle w:val="24"/>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(4) 仲裁委员会仲裁需要，且合同双方当事人同意：</w:t>
      </w:r>
    </w:p>
    <w:p w14:paraId="2795EA5A">
      <w:pPr>
        <w:pStyle w:val="24"/>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(5) 人民法院诉讼需要。</w:t>
      </w:r>
    </w:p>
    <w:p w14:paraId="175B432C">
      <w:pPr>
        <w:pStyle w:val="24"/>
        <w:tabs>
          <w:tab w:val="left" w:pos="1620"/>
        </w:tabs>
        <w:adjustRightInd w:val="0"/>
        <w:snapToGrid w:val="0"/>
        <w:spacing w:line="300" w:lineRule="auto"/>
        <w:ind w:right="-240"/>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B0E8CB9">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07" w:name="_Toc46860893"/>
      <w:bookmarkStart w:id="208" w:name="_Toc469384071"/>
      <w:r>
        <w:rPr>
          <w:rFonts w:hint="eastAsia" w:hAnsi="宋体" w:eastAsia="宋体" w:cs="宋体"/>
          <w:b/>
          <w:bCs/>
          <w:color w:val="auto"/>
          <w:sz w:val="24"/>
          <w:szCs w:val="24"/>
          <w:highlight w:val="none"/>
        </w:rPr>
        <w:t>87  合同解除</w:t>
      </w:r>
      <w:bookmarkEnd w:id="207"/>
      <w:bookmarkEnd w:id="208"/>
    </w:p>
    <w:p w14:paraId="6EACC846">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87.1   </w:t>
      </w:r>
    </w:p>
    <w:p w14:paraId="6F2CEA6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1408" name="000253"/>
                <wp:cNvGraphicFramePr/>
                <a:graphic xmlns:a="http://schemas.openxmlformats.org/drawingml/2006/main">
                  <a:graphicData uri="http://schemas.microsoft.com/office/word/2010/wordprocessingShape">
                    <wps:wsp>
                      <wps:cNvSpPr/>
                      <wps:spPr>
                        <a:xfrm>
                          <a:off x="0" y="0"/>
                          <a:ext cx="1028700" cy="263525"/>
                        </a:xfrm>
                        <a:prstGeom prst="rect">
                          <a:avLst/>
                        </a:prstGeom>
                        <a:ln>
                          <a:noFill/>
                        </a:ln>
                      </wps:spPr>
                      <wps:txbx>
                        <w:txbxContent>
                          <w:p w14:paraId="1342B28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wrap="square"/>
                    </wps:wsp>
                  </a:graphicData>
                </a:graphic>
              </wp:anchor>
            </w:drawing>
          </mc:Choice>
          <mc:Fallback>
            <w:pict>
              <v:rect id="000253" o:spid="_x0000_s1026" o:spt="1" style="position:absolute;left:0pt;margin-left:-9pt;margin-top:-0.3pt;height:20.75pt;width:81pt;z-index:251659264;mso-width-relative:page;mso-height-relative:page;" filled="f" stroked="f" coordsize="21600,21600" o:gfxdata="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TVGinYAAAACAEAAA8AAAAAAAAAAQAgAAAAIgAA&#10;AGRycy9kb3ducmV2LnhtbFBLAQIUABQAAAAIAIdO4kCfHws5lgEAADkDAAAOAAAAAAAAAAEAIAAA&#10;ACcBAABkcnMvZTJvRG9jLnhtbFBLBQYAAAAABgAGAFkBAAAvBQAAAAA=&#10;">
                <v:fill on="f" focussize="0,0"/>
                <v:stroke on="f"/>
                <v:imagedata o:title=""/>
                <o:lock v:ext="edit" aspectratio="f"/>
                <v:textbox>
                  <w:txbxContent>
                    <w:p w14:paraId="1342B28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rect>
            </w:pict>
          </mc:Fallback>
        </mc:AlternateContent>
      </w:r>
      <w:r>
        <w:rPr>
          <w:rFonts w:hint="eastAsia" w:hAnsi="宋体" w:eastAsia="宋体" w:cs="宋体"/>
          <w:color w:val="auto"/>
          <w:sz w:val="24"/>
          <w:szCs w:val="24"/>
          <w:highlight w:val="none"/>
        </w:rPr>
        <w:t>合同双方当事人协商一致，可以解除合同。</w:t>
      </w:r>
    </w:p>
    <w:p w14:paraId="10F65267">
      <w:pPr>
        <w:spacing w:line="300" w:lineRule="auto"/>
        <w:rPr>
          <w:rFonts w:ascii="宋体" w:hAnsi="宋体" w:eastAsia="宋体" w:cs="宋体"/>
          <w:color w:val="auto"/>
          <w:sz w:val="24"/>
          <w:highlight w:val="none"/>
        </w:rPr>
      </w:pPr>
    </w:p>
    <w:p w14:paraId="6E1058E7">
      <w:pPr>
        <w:pStyle w:val="24"/>
        <w:tabs>
          <w:tab w:val="left" w:pos="132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1409" name="000254"/>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453B191F">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wrap="square"/>
                    </wps:wsp>
                  </a:graphicData>
                </a:graphic>
              </wp:anchor>
            </w:drawing>
          </mc:Choice>
          <mc:Fallback>
            <w:pict>
              <v:rect id="000254" o:spid="_x0000_s1026" o:spt="1" style="position:absolute;left:0pt;margin-left:-9pt;margin-top:22.95pt;height:39pt;width:72pt;z-index:251659264;mso-width-relative:page;mso-height-relative:page;" filled="f" stroked="f" coordsize="21600,21600" o:gfxdata="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I0HyNsAAAAKAQAADwAAAAAAAAABACAAAAAi&#10;AAAAZHJzL2Rvd25yZXYueG1sUEsBAhQAFAAAAAgAh07iQNoMv7GVAQAAOAMAAA4AAAAAAAAAAQAg&#10;AAAAKgEAAGRycy9lMm9Eb2MueG1sUEsFBgAAAAAGAAYAWQEAADEFAAAAAA==&#10;">
                <v:fill on="f" focussize="0,0"/>
                <v:stroke on="f"/>
                <v:imagedata o:title=""/>
                <o:lock v:ext="edit" aspectratio="f"/>
                <v:textbox>
                  <w:txbxContent>
                    <w:p w14:paraId="453B191F">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rect>
            </w:pict>
          </mc:Fallback>
        </mc:AlternateContent>
      </w:r>
      <w:r>
        <w:rPr>
          <w:rFonts w:hint="eastAsia" w:hAnsi="宋体" w:eastAsia="宋体" w:cs="宋体"/>
          <w:b/>
          <w:bCs/>
          <w:color w:val="auto"/>
          <w:sz w:val="24"/>
          <w:szCs w:val="24"/>
          <w:highlight w:val="none"/>
        </w:rPr>
        <w:t xml:space="preserve">87.2  </w:t>
      </w:r>
      <w:r>
        <w:rPr>
          <w:rFonts w:hint="eastAsia" w:hAnsi="宋体" w:eastAsia="宋体" w:cs="宋体"/>
          <w:b/>
          <w:bCs/>
          <w:color w:val="auto"/>
          <w:sz w:val="24"/>
          <w:szCs w:val="24"/>
          <w:highlight w:val="none"/>
          <w:u w:val="dotted"/>
        </w:rPr>
        <w:t xml:space="preserve">  </w:t>
      </w:r>
      <w:r>
        <w:rPr>
          <w:rFonts w:hint="eastAsia" w:hAnsi="宋体" w:eastAsia="宋体" w:cs="宋体"/>
          <w:color w:val="auto"/>
          <w:sz w:val="24"/>
          <w:szCs w:val="24"/>
          <w:highlight w:val="none"/>
          <w:u w:val="dotted"/>
        </w:rPr>
        <w:t xml:space="preserve">                                                                                                      </w:t>
      </w:r>
    </w:p>
    <w:p w14:paraId="45E1FBF6">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因不可抗力事件致使合同无法继续履行的，合同双方当事人可以解除合同。</w:t>
      </w:r>
    </w:p>
    <w:p w14:paraId="50943C72">
      <w:pPr>
        <w:spacing w:line="300" w:lineRule="auto"/>
        <w:rPr>
          <w:rFonts w:ascii="宋体" w:hAnsi="宋体" w:eastAsia="宋体" w:cs="宋体"/>
          <w:color w:val="auto"/>
          <w:sz w:val="24"/>
          <w:highlight w:val="none"/>
        </w:rPr>
      </w:pPr>
    </w:p>
    <w:p w14:paraId="6D8FA1E4">
      <w:pPr>
        <w:pStyle w:val="24"/>
        <w:tabs>
          <w:tab w:val="left" w:pos="1320"/>
        </w:tabs>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87.3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256A91D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1410" name="000255"/>
                <wp:cNvGraphicFramePr/>
                <a:graphic xmlns:a="http://schemas.openxmlformats.org/drawingml/2006/main">
                  <a:graphicData uri="http://schemas.microsoft.com/office/word/2010/wordprocessingShape">
                    <wps:wsp>
                      <wps:cNvSpPr/>
                      <wps:spPr>
                        <a:xfrm>
                          <a:off x="0" y="0"/>
                          <a:ext cx="914400" cy="404494"/>
                        </a:xfrm>
                        <a:prstGeom prst="rect">
                          <a:avLst/>
                        </a:prstGeom>
                        <a:ln>
                          <a:noFill/>
                        </a:ln>
                      </wps:spPr>
                      <wps:txbx>
                        <w:txbxContent>
                          <w:p w14:paraId="3BF05E3F">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wrap="square"/>
                    </wps:wsp>
                  </a:graphicData>
                </a:graphic>
              </wp:anchor>
            </w:drawing>
          </mc:Choice>
          <mc:Fallback>
            <w:pict>
              <v:rect id="000255" o:spid="_x0000_s1026" o:spt="1" style="position:absolute;left:0pt;margin-left:-9pt;margin-top:2.95pt;height:31.85pt;width:72pt;z-index:251659264;mso-width-relative:page;mso-height-relative:page;" filled="f" stroked="f" coordsize="21600,21600" o:gfxdata="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E5n122AAAAAgBAAAPAAAAAAAAAAEAIAAAACIAAABk&#10;cnMvZG93bnJldi54bWxQSwECFAAUAAAACACHTuJAof3F1JQBAAA4AwAADgAAAAAAAAABACAAAAAn&#10;AQAAZHJzL2Uyb0RvYy54bWxQSwUGAAAAAAYABgBZAQAALQUAAAAA&#10;">
                <v:fill on="f" focussize="0,0"/>
                <v:stroke on="f"/>
                <v:imagedata o:title=""/>
                <o:lock v:ext="edit" aspectratio="f"/>
                <v:textbox>
                  <w:txbxContent>
                    <w:p w14:paraId="3BF05E3F">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rect>
            </w:pict>
          </mc:Fallback>
        </mc:AlternateContent>
      </w:r>
      <w:r>
        <w:rPr>
          <w:rFonts w:hint="eastAsia" w:hAnsi="宋体" w:eastAsia="宋体" w:cs="宋体"/>
          <w:color w:val="auto"/>
          <w:sz w:val="24"/>
          <w:szCs w:val="24"/>
          <w:highlight w:val="none"/>
        </w:rPr>
        <w:t>承包人有下列情形之一者，发包人可以解除合同：</w:t>
      </w:r>
    </w:p>
    <w:p w14:paraId="3E55A6CE">
      <w:pPr>
        <w:pStyle w:val="24"/>
        <w:numPr>
          <w:ilvl w:val="0"/>
          <w:numId w:val="26"/>
        </w:numPr>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承包人未能按照第34.2款规定的开工期限内开工，经监理工程师催告后的28天内仍未开工的；</w:t>
      </w:r>
    </w:p>
    <w:p w14:paraId="5F245BDE">
      <w:pPr>
        <w:pStyle w:val="24"/>
        <w:numPr>
          <w:ilvl w:val="0"/>
          <w:numId w:val="26"/>
        </w:numPr>
        <w:adjustRightInd w:val="0"/>
        <w:snapToGrid w:val="0"/>
        <w:spacing w:line="300" w:lineRule="auto"/>
        <w:ind w:left="1621" w:leftChars="771" w:hanging="2"/>
        <w:rPr>
          <w:rFonts w:hAnsi="宋体" w:eastAsia="宋体" w:cs="宋体"/>
          <w:color w:val="auto"/>
          <w:sz w:val="24"/>
          <w:szCs w:val="24"/>
          <w:highlight w:val="none"/>
        </w:rPr>
      </w:pPr>
      <w:r>
        <w:rPr>
          <w:rFonts w:hint="eastAsia" w:hAnsi="宋体" w:eastAsia="宋体" w:cs="宋体"/>
          <w:color w:val="auto"/>
          <w:sz w:val="24"/>
          <w:szCs w:val="24"/>
          <w:highlight w:val="none"/>
        </w:rPr>
        <w:t>按照第33条规定的进度计划未表明有停工且监理工程师也未按照第35.1款规定发出暂停施工令，但承包人停止施工时间持续达56天或累计停止施工时间达70天的；</w:t>
      </w:r>
    </w:p>
    <w:p w14:paraId="6C35EFB1">
      <w:pPr>
        <w:pStyle w:val="24"/>
        <w:numPr>
          <w:ilvl w:val="0"/>
          <w:numId w:val="26"/>
        </w:numPr>
        <w:tabs>
          <w:tab w:val="clear" w:pos="1560"/>
        </w:tabs>
        <w:adjustRightInd w:val="0"/>
        <w:snapToGrid w:val="0"/>
        <w:spacing w:line="300" w:lineRule="auto"/>
        <w:ind w:left="1659" w:leftChars="770" w:hanging="42"/>
        <w:rPr>
          <w:rFonts w:hAnsi="宋体" w:eastAsia="宋体" w:cs="宋体"/>
          <w:color w:val="auto"/>
          <w:sz w:val="24"/>
          <w:szCs w:val="24"/>
          <w:highlight w:val="none"/>
        </w:rPr>
      </w:pPr>
      <w:r>
        <w:rPr>
          <w:rFonts w:hint="eastAsia" w:hAnsi="宋体" w:eastAsia="宋体" w:cs="宋体"/>
          <w:color w:val="auto"/>
          <w:sz w:val="24"/>
          <w:szCs w:val="24"/>
          <w:highlight w:val="none"/>
        </w:rPr>
        <w:t>承包人违反第18.1款或第51.4款规定未经监理工程师批准，私自将已按照合同约定进入施工现场的施工设备、临时设施或材料运出施工现场的；</w:t>
      </w:r>
    </w:p>
    <w:p w14:paraId="7A433EB5">
      <w:pPr>
        <w:pStyle w:val="24"/>
        <w:numPr>
          <w:ilvl w:val="0"/>
          <w:numId w:val="26"/>
        </w:numPr>
        <w:adjustRightInd w:val="0"/>
        <w:snapToGrid w:val="0"/>
        <w:spacing w:line="300" w:lineRule="auto"/>
        <w:ind w:left="1678" w:leftChars="799" w:firstLine="2"/>
        <w:rPr>
          <w:rFonts w:hAnsi="宋体" w:eastAsia="宋体" w:cs="宋体"/>
          <w:color w:val="auto"/>
          <w:sz w:val="24"/>
          <w:szCs w:val="24"/>
          <w:highlight w:val="none"/>
        </w:rPr>
      </w:pPr>
      <w:r>
        <w:rPr>
          <w:rFonts w:hint="eastAsia" w:hAnsi="宋体" w:eastAsia="宋体" w:cs="宋体"/>
          <w:color w:val="auto"/>
          <w:sz w:val="24"/>
          <w:szCs w:val="24"/>
          <w:highlight w:val="none"/>
        </w:rPr>
        <w:t xml:space="preserve">承包人拖延完工且能偿付的误期赔偿费已达到专用条款约定最高限额的； </w:t>
      </w:r>
    </w:p>
    <w:p w14:paraId="5E0BB966">
      <w:pPr>
        <w:pStyle w:val="24"/>
        <w:numPr>
          <w:ilvl w:val="0"/>
          <w:numId w:val="26"/>
        </w:numPr>
        <w:adjustRightInd w:val="0"/>
        <w:snapToGrid w:val="0"/>
        <w:spacing w:line="300" w:lineRule="auto"/>
        <w:ind w:left="2096" w:leftChars="771" w:hanging="477" w:hangingChars="199"/>
        <w:rPr>
          <w:rFonts w:hAnsi="宋体" w:eastAsia="宋体" w:cs="宋体"/>
          <w:color w:val="auto"/>
          <w:sz w:val="24"/>
          <w:szCs w:val="24"/>
          <w:highlight w:val="none"/>
        </w:rPr>
      </w:pPr>
      <w:r>
        <w:rPr>
          <w:rFonts w:hint="eastAsia" w:hAnsi="宋体" w:eastAsia="宋体" w:cs="宋体"/>
          <w:color w:val="auto"/>
          <w:sz w:val="24"/>
          <w:szCs w:val="24"/>
          <w:highlight w:val="none"/>
        </w:rPr>
        <w:t>承包人转包工程、违法分包或未经许可擅自分包工程的；</w:t>
      </w:r>
    </w:p>
    <w:p w14:paraId="1DA2029D">
      <w:pPr>
        <w:pStyle w:val="24"/>
        <w:numPr>
          <w:ilvl w:val="0"/>
          <w:numId w:val="26"/>
        </w:numPr>
        <w:adjustRightInd w:val="0"/>
        <w:snapToGrid w:val="0"/>
        <w:spacing w:line="300" w:lineRule="auto"/>
        <w:ind w:left="1617" w:leftChars="770" w:firstLine="2"/>
        <w:rPr>
          <w:rFonts w:hAnsi="宋体" w:eastAsia="宋体" w:cs="宋体"/>
          <w:color w:val="auto"/>
          <w:sz w:val="24"/>
          <w:szCs w:val="24"/>
          <w:highlight w:val="none"/>
        </w:rPr>
      </w:pPr>
      <w:r>
        <w:rPr>
          <w:rFonts w:hint="eastAsia" w:hAnsi="宋体" w:eastAsia="宋体" w:cs="宋体"/>
          <w:color w:val="auto"/>
          <w:sz w:val="24"/>
          <w:szCs w:val="24"/>
          <w:highlight w:val="none"/>
        </w:rPr>
        <w:t>承包人未按照合同约定或监理工程师的指令，经监理工程师书面指出后仍未按要求改正的；</w:t>
      </w:r>
    </w:p>
    <w:p w14:paraId="20DA67DE">
      <w:pPr>
        <w:pStyle w:val="24"/>
        <w:numPr>
          <w:ilvl w:val="0"/>
          <w:numId w:val="26"/>
        </w:numPr>
        <w:adjustRightInd w:val="0"/>
        <w:snapToGrid w:val="0"/>
        <w:spacing w:line="300" w:lineRule="auto"/>
        <w:ind w:left="2096" w:leftChars="771" w:hanging="477" w:hangingChars="199"/>
        <w:rPr>
          <w:rFonts w:hAnsi="宋体" w:eastAsia="宋体" w:cs="宋体"/>
          <w:color w:val="auto"/>
          <w:sz w:val="24"/>
          <w:szCs w:val="24"/>
          <w:highlight w:val="none"/>
        </w:rPr>
      </w:pPr>
      <w:r>
        <w:rPr>
          <w:rFonts w:hint="eastAsia" w:hAnsi="宋体" w:eastAsia="宋体" w:cs="宋体"/>
          <w:color w:val="auto"/>
          <w:sz w:val="24"/>
          <w:szCs w:val="24"/>
          <w:highlight w:val="none"/>
        </w:rPr>
        <w:t>承包人履行合同期间有欺诈行为的；</w:t>
      </w:r>
    </w:p>
    <w:p w14:paraId="686C73EE">
      <w:pPr>
        <w:pStyle w:val="24"/>
        <w:numPr>
          <w:ilvl w:val="0"/>
          <w:numId w:val="26"/>
        </w:numPr>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承包人向任何人付给或企图付给任何贿赂、礼品、赏金、回扣或其他贵重物品，以引诱或报偿他人，但付给承包人相关人员的奖励则属例外；</w:t>
      </w:r>
    </w:p>
    <w:p w14:paraId="2B6DB550">
      <w:pPr>
        <w:pStyle w:val="24"/>
        <w:adjustRightInd w:val="0"/>
        <w:snapToGrid w:val="0"/>
        <w:spacing w:line="300" w:lineRule="auto"/>
        <w:ind w:left="1617"/>
        <w:rPr>
          <w:rFonts w:hAnsi="宋体" w:eastAsia="宋体" w:cs="宋体"/>
          <w:color w:val="auto"/>
          <w:sz w:val="24"/>
          <w:szCs w:val="24"/>
          <w:highlight w:val="none"/>
        </w:rPr>
      </w:pPr>
      <w:r>
        <w:rPr>
          <w:rFonts w:hint="eastAsia" w:hAnsi="宋体" w:eastAsia="宋体" w:cs="宋体"/>
          <w:color w:val="auto"/>
          <w:sz w:val="24"/>
          <w:szCs w:val="24"/>
          <w:highlight w:val="none"/>
        </w:rPr>
        <w:t>(9)承包人在缺陷责任期内未能对发生的缺陷进行修复，且又拒绝按照监理工程师指令再进行修补的；</w:t>
      </w:r>
    </w:p>
    <w:p w14:paraId="44937E62">
      <w:pPr>
        <w:pStyle w:val="24"/>
        <w:adjustRightInd w:val="0"/>
        <w:snapToGrid w:val="0"/>
        <w:spacing w:line="300" w:lineRule="auto"/>
        <w:ind w:left="1680" w:leftChars="800"/>
        <w:rPr>
          <w:rFonts w:hAnsi="宋体" w:eastAsia="宋体" w:cs="宋体"/>
          <w:color w:val="auto"/>
          <w:sz w:val="24"/>
          <w:szCs w:val="24"/>
          <w:highlight w:val="none"/>
        </w:rPr>
      </w:pPr>
      <w:r>
        <w:rPr>
          <w:rFonts w:hint="eastAsia" w:hAnsi="宋体" w:eastAsia="宋体" w:cs="宋体"/>
          <w:color w:val="auto"/>
          <w:sz w:val="24"/>
          <w:szCs w:val="24"/>
          <w:highlight w:val="none"/>
        </w:rPr>
        <w:t>(10)承包人无法继续履行、明确表示或以行为表明不履行合同约定主要义务的；</w:t>
      </w:r>
    </w:p>
    <w:p w14:paraId="4125FEDD">
      <w:pPr>
        <w:pStyle w:val="24"/>
        <w:adjustRightInd w:val="0"/>
        <w:snapToGrid w:val="0"/>
        <w:spacing w:line="300" w:lineRule="auto"/>
        <w:ind w:left="1680"/>
        <w:rPr>
          <w:rFonts w:hAnsi="宋体" w:eastAsia="宋体" w:cs="宋体"/>
          <w:color w:val="auto"/>
          <w:sz w:val="24"/>
          <w:szCs w:val="24"/>
          <w:highlight w:val="none"/>
        </w:rPr>
      </w:pPr>
      <w:r>
        <w:rPr>
          <w:rFonts w:hint="eastAsia" w:hAnsi="宋体" w:eastAsia="宋体" w:cs="宋体"/>
          <w:color w:val="auto"/>
          <w:sz w:val="24"/>
          <w:szCs w:val="24"/>
          <w:highlight w:val="none"/>
        </w:rPr>
        <w:t>(11)承包人延迟履行合同约定主要义务，经催告后在合理期限内仍未履行的；</w:t>
      </w:r>
    </w:p>
    <w:p w14:paraId="34D939D0">
      <w:pPr>
        <w:pStyle w:val="24"/>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(12)承包人破产或清偿的，但以机构重组或联合为目的的除外；</w:t>
      </w:r>
    </w:p>
    <w:p w14:paraId="205A8883">
      <w:pPr>
        <w:spacing w:line="300" w:lineRule="auto"/>
        <w:ind w:left="1920" w:hanging="1920" w:hangingChars="800"/>
        <w:rPr>
          <w:rFonts w:ascii="宋体" w:hAnsi="宋体" w:eastAsia="宋体" w:cs="宋体"/>
          <w:color w:val="auto"/>
          <w:sz w:val="24"/>
          <w:highlight w:val="none"/>
        </w:rPr>
      </w:pPr>
      <w:r>
        <w:rPr>
          <w:rFonts w:hint="eastAsia" w:ascii="宋体" w:hAnsi="宋体" w:eastAsia="宋体" w:cs="宋体"/>
          <w:color w:val="auto"/>
          <w:sz w:val="24"/>
          <w:highlight w:val="none"/>
        </w:rPr>
        <w:t xml:space="preserve">               (13)承包人被认为是严重违反合同的其他违约行为。</w:t>
      </w:r>
    </w:p>
    <w:p w14:paraId="21203B3A">
      <w:pPr>
        <w:pStyle w:val="24"/>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w:t>在这种情况下，发包人可自行或委托第三方实施、完成合同工程或其任何部分，并可使用根据第18.2款留下的承包人临时工程，直至永久工程完工为止。</w:t>
      </w:r>
    </w:p>
    <w:p w14:paraId="1F25AEC3">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87.4  </w:t>
      </w:r>
      <w:r>
        <w:rPr>
          <w:rFonts w:hint="eastAsia" w:hAnsi="宋体" w:eastAsia="宋体" w:cs="宋体"/>
          <w:b/>
          <w:bCs/>
          <w:color w:val="auto"/>
          <w:sz w:val="24"/>
          <w:szCs w:val="24"/>
          <w:highlight w:val="none"/>
          <w:u w:val="dotted"/>
        </w:rPr>
        <w:t xml:space="preserve">                                                                                                        </w:t>
      </w:r>
    </w:p>
    <w:p w14:paraId="660EFAEC">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1411" name="000256"/>
                <wp:cNvGraphicFramePr/>
                <a:graphic xmlns:a="http://schemas.openxmlformats.org/drawingml/2006/main">
                  <a:graphicData uri="http://schemas.microsoft.com/office/word/2010/wordprocessingShape">
                    <wps:wsp>
                      <wps:cNvSpPr/>
                      <wps:spPr>
                        <a:xfrm>
                          <a:off x="0" y="0"/>
                          <a:ext cx="914400" cy="503555"/>
                        </a:xfrm>
                        <a:prstGeom prst="rect">
                          <a:avLst/>
                        </a:prstGeom>
                        <a:ln>
                          <a:noFill/>
                        </a:ln>
                      </wps:spPr>
                      <wps:txbx>
                        <w:txbxContent>
                          <w:p w14:paraId="1CF7392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wps:txbx>
                      <wps:bodyPr wrap="square"/>
                    </wps:wsp>
                  </a:graphicData>
                </a:graphic>
              </wp:anchor>
            </w:drawing>
          </mc:Choice>
          <mc:Fallback>
            <w:pict>
              <v:rect id="000256" o:spid="_x0000_s1026" o:spt="1" style="position:absolute;left:0pt;margin-left:-9pt;margin-top:2.35pt;height:39.65pt;width:72pt;z-index:251659264;mso-width-relative:page;mso-height-relative:page;" filled="f" stroked="f" coordsize="21600,21600" o:gfxdata="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h7avt9gAAAAIAQAADwAAAAAAAAABACAAAAAiAAAA&#10;ZHJzL2Rvd25yZXYueG1sUEsBAhQAFAAAAAgAh07iQL9JY1yVAQAAOAMAAA4AAAAAAAAAAQAgAAAA&#10;JwEAAGRycy9lMm9Eb2MueG1sUEsFBgAAAAAGAAYAWQEAAC4FAAAAAA==&#10;">
                <v:fill on="f" focussize="0,0"/>
                <v:stroke on="f"/>
                <v:imagedata o:title=""/>
                <o:lock v:ext="edit" aspectratio="f"/>
                <v:textbox>
                  <w:txbxContent>
                    <w:p w14:paraId="1CF7392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v:textbox>
              </v:rect>
            </w:pict>
          </mc:Fallback>
        </mc:AlternateContent>
      </w:r>
      <w:r>
        <w:rPr>
          <w:rFonts w:hint="eastAsia" w:hAnsi="宋体" w:eastAsia="宋体" w:cs="宋体"/>
          <w:color w:val="auto"/>
          <w:sz w:val="24"/>
          <w:szCs w:val="24"/>
          <w:highlight w:val="none"/>
        </w:rPr>
        <w:t>发包人有下列情形之一者，承包人可以解除合同：</w:t>
      </w:r>
    </w:p>
    <w:p w14:paraId="1A319655">
      <w:pPr>
        <w:pStyle w:val="24"/>
        <w:numPr>
          <w:ilvl w:val="0"/>
          <w:numId w:val="27"/>
        </w:numPr>
        <w:tabs>
          <w:tab w:val="left" w:pos="216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非承包人原因未按照第34.2款规定期限内发出开工令，经承包人催告后28天内仍未发出开工令的；</w:t>
      </w:r>
    </w:p>
    <w:p w14:paraId="1B2ECFB3">
      <w:pPr>
        <w:pStyle w:val="24"/>
        <w:numPr>
          <w:ilvl w:val="0"/>
          <w:numId w:val="27"/>
        </w:numPr>
        <w:tabs>
          <w:tab w:val="left" w:pos="2160"/>
        </w:tabs>
        <w:adjustRightInd w:val="0"/>
        <w:snapToGrid w:val="0"/>
        <w:spacing w:line="300" w:lineRule="auto"/>
        <w:ind w:left="1620" w:leftChars="771" w:hanging="1"/>
        <w:rPr>
          <w:rFonts w:hAnsi="宋体" w:eastAsia="宋体" w:cs="宋体"/>
          <w:color w:val="auto"/>
          <w:sz w:val="24"/>
          <w:szCs w:val="24"/>
          <w:highlight w:val="none"/>
        </w:rPr>
      </w:pPr>
      <w:r>
        <w:rPr>
          <w:rFonts w:hint="eastAsia" w:hAnsi="宋体" w:eastAsia="宋体" w:cs="宋体"/>
          <w:color w:val="auto"/>
          <w:sz w:val="24"/>
          <w:szCs w:val="24"/>
          <w:highlight w:val="none"/>
        </w:rPr>
        <w:t xml:space="preserve">按照第35.3款规定非承包人原因造成暂停施工持续56天以上或累计停工时间超过了70天的；           </w:t>
      </w:r>
    </w:p>
    <w:p w14:paraId="756AA9EF">
      <w:pPr>
        <w:pStyle w:val="24"/>
        <w:numPr>
          <w:ilvl w:val="0"/>
          <w:numId w:val="27"/>
        </w:numPr>
        <w:tabs>
          <w:tab w:val="left" w:pos="1800"/>
        </w:tabs>
        <w:adjustRightInd w:val="0"/>
        <w:snapToGrid w:val="0"/>
        <w:spacing w:line="300" w:lineRule="auto"/>
        <w:ind w:left="1620" w:leftChars="771" w:hanging="1"/>
        <w:rPr>
          <w:rFonts w:hAnsi="宋体" w:eastAsia="宋体" w:cs="宋体"/>
          <w:color w:val="auto"/>
          <w:sz w:val="24"/>
          <w:szCs w:val="24"/>
          <w:highlight w:val="none"/>
        </w:rPr>
      </w:pPr>
      <w:r>
        <w:rPr>
          <w:rFonts w:hint="eastAsia" w:hAnsi="宋体" w:eastAsia="宋体" w:cs="宋体"/>
          <w:color w:val="auto"/>
          <w:sz w:val="24"/>
          <w:szCs w:val="24"/>
          <w:highlight w:val="none"/>
        </w:rPr>
        <w:t>发包人按照第5条规定提供的施工设计图纸存在缺陷或按照第48条规定供应的材料和工程设备不符合强制性标准，致使承包人无法施工，经承包人催告后28天内仍未修正或更换的；</w:t>
      </w:r>
    </w:p>
    <w:p w14:paraId="452F89AA">
      <w:pPr>
        <w:pStyle w:val="24"/>
        <w:numPr>
          <w:ilvl w:val="0"/>
          <w:numId w:val="27"/>
        </w:numPr>
        <w:tabs>
          <w:tab w:val="clear" w:pos="1560"/>
        </w:tabs>
        <w:adjustRightInd w:val="0"/>
        <w:snapToGrid w:val="0"/>
        <w:spacing w:line="300" w:lineRule="auto"/>
        <w:ind w:left="1620" w:leftChars="771" w:hanging="1"/>
        <w:rPr>
          <w:rFonts w:hAnsi="宋体" w:eastAsia="宋体" w:cs="宋体"/>
          <w:color w:val="auto"/>
          <w:sz w:val="24"/>
          <w:szCs w:val="24"/>
          <w:highlight w:val="none"/>
        </w:rPr>
      </w:pPr>
      <w:r>
        <w:rPr>
          <w:rFonts w:hint="eastAsia" w:hAnsi="宋体" w:eastAsia="宋体" w:cs="宋体"/>
          <w:color w:val="auto"/>
          <w:sz w:val="24"/>
          <w:szCs w:val="24"/>
          <w:highlight w:val="none"/>
        </w:rPr>
        <w:t xml:space="preserve">监理工程师未按照合同约定及时发出工作指令，导致承包人无法继续施工的； </w:t>
      </w:r>
    </w:p>
    <w:p w14:paraId="301FB927">
      <w:pPr>
        <w:pStyle w:val="24"/>
        <w:numPr>
          <w:ilvl w:val="0"/>
          <w:numId w:val="27"/>
        </w:numPr>
        <w:tabs>
          <w:tab w:val="left" w:pos="2160"/>
        </w:tabs>
        <w:adjustRightInd w:val="0"/>
        <w:snapToGrid w:val="0"/>
        <w:spacing w:line="300" w:lineRule="auto"/>
        <w:ind w:left="1620" w:leftChars="771" w:hanging="1"/>
        <w:rPr>
          <w:rFonts w:hAnsi="宋体" w:eastAsia="宋体" w:cs="宋体"/>
          <w:color w:val="auto"/>
          <w:sz w:val="24"/>
          <w:szCs w:val="24"/>
          <w:highlight w:val="none"/>
        </w:rPr>
      </w:pPr>
      <w:r>
        <w:rPr>
          <w:rFonts w:hint="eastAsia" w:hAnsi="宋体" w:eastAsia="宋体" w:cs="宋体"/>
          <w:color w:val="auto"/>
          <w:sz w:val="24"/>
          <w:szCs w:val="24"/>
          <w:highlight w:val="none"/>
        </w:rPr>
        <w:t>发包人未按照第78.1款规定向承包人支付工程款，经承包人催告后28天内仍未支付的；</w:t>
      </w:r>
    </w:p>
    <w:p w14:paraId="5CD9F25A">
      <w:pPr>
        <w:pStyle w:val="24"/>
        <w:numPr>
          <w:ilvl w:val="0"/>
          <w:numId w:val="27"/>
        </w:numPr>
        <w:tabs>
          <w:tab w:val="left" w:pos="2160"/>
        </w:tabs>
        <w:adjustRightInd w:val="0"/>
        <w:snapToGrid w:val="0"/>
        <w:spacing w:line="300" w:lineRule="auto"/>
        <w:ind w:left="1620" w:leftChars="771" w:hanging="1"/>
        <w:rPr>
          <w:rFonts w:hAnsi="宋体" w:eastAsia="宋体" w:cs="宋体"/>
          <w:color w:val="auto"/>
          <w:sz w:val="24"/>
          <w:szCs w:val="24"/>
          <w:highlight w:val="none"/>
        </w:rPr>
      </w:pPr>
      <w:r>
        <w:rPr>
          <w:rFonts w:hint="eastAsia" w:hAnsi="宋体" w:eastAsia="宋体" w:cs="宋体"/>
          <w:color w:val="auto"/>
          <w:sz w:val="24"/>
          <w:szCs w:val="24"/>
          <w:highlight w:val="none"/>
        </w:rPr>
        <w:t>发包人无法继续履行、明确表示或以行为表明不履行合同约定主要义务的；</w:t>
      </w:r>
    </w:p>
    <w:p w14:paraId="212F4C7C">
      <w:pPr>
        <w:pStyle w:val="24"/>
        <w:tabs>
          <w:tab w:val="left" w:pos="2160"/>
        </w:tabs>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(7)发包人延迟履行合同约定主要义务，经催告后在合理期限内仍未履行的；</w:t>
      </w:r>
    </w:p>
    <w:p w14:paraId="6EAA3364">
      <w:pPr>
        <w:pStyle w:val="24"/>
        <w:tabs>
          <w:tab w:val="left" w:pos="2160"/>
        </w:tabs>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(8)发包人破产或清偿的，但以机构重组或联合为目的的除外；</w:t>
      </w:r>
    </w:p>
    <w:p w14:paraId="4D548003">
      <w:pPr>
        <w:pStyle w:val="24"/>
        <w:tabs>
          <w:tab w:val="left" w:pos="2160"/>
        </w:tabs>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(9)发包人被认为是严重违反合同的其他违约行为。</w:t>
      </w:r>
    </w:p>
    <w:p w14:paraId="68118B83">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1412" name="000257"/>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6EE5C29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wrap="square"/>
                    </wps:wsp>
                  </a:graphicData>
                </a:graphic>
              </wp:anchor>
            </w:drawing>
          </mc:Choice>
          <mc:Fallback>
            <w:pict>
              <v:rect id="000257" o:spid="_x0000_s1026" o:spt="1" style="position:absolute;left:0pt;margin-left:-9pt;margin-top:15.95pt;height:31.2pt;width:72pt;z-index:251659264;mso-width-relative:page;mso-height-relative:page;" filled="f" stroked="f" coordsize="21600,21600" o:gfxdata="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DiusBnaAAAACQEAAA8AAAAAAAAAAQAgAAAA&#10;IgAAAGRycy9kb3ducmV2LnhtbFBLAQIUABQAAAAIAIdO4kCcudWElwEAADgDAAAOAAAAAAAAAAEA&#10;IAAAACkBAABkcnMvZTJvRG9jLnhtbFBLBQYAAAAABgAGAFkBAAAyBQAAAAA=&#10;">
                <v:fill on="f" focussize="0,0"/>
                <v:stroke on="f"/>
                <v:imagedata o:title=""/>
                <o:lock v:ext="edit" aspectratio="f"/>
                <v:textbox>
                  <w:txbxContent>
                    <w:p w14:paraId="6EE5C29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rect>
            </w:pict>
          </mc:Fallback>
        </mc:AlternateContent>
      </w:r>
      <w:r>
        <w:rPr>
          <w:rFonts w:hint="eastAsia" w:hAnsi="宋体" w:eastAsia="宋体" w:cs="宋体"/>
          <w:b/>
          <w:bCs/>
          <w:color w:val="auto"/>
          <w:sz w:val="24"/>
          <w:szCs w:val="24"/>
          <w:highlight w:val="none"/>
        </w:rPr>
        <w:t xml:space="preserve">87.5  </w:t>
      </w:r>
      <w:r>
        <w:rPr>
          <w:rFonts w:hint="eastAsia" w:hAnsi="宋体" w:eastAsia="宋体" w:cs="宋体"/>
          <w:b/>
          <w:bCs/>
          <w:color w:val="auto"/>
          <w:sz w:val="24"/>
          <w:szCs w:val="24"/>
          <w:highlight w:val="none"/>
          <w:u w:val="dotted"/>
        </w:rPr>
        <w:t xml:space="preserve">                                                                                                        </w:t>
      </w:r>
    </w:p>
    <w:p w14:paraId="7582964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根据第87.2款至第87.4款规定要求解除合同的，解除方应以书面形式向另一方当事人发出解除合同的通知，另一方当事人收到通知时合同即告解除。对解除合同有争议的，应按照第86条规定处理。</w:t>
      </w:r>
    </w:p>
    <w:p w14:paraId="5981B5AC">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87.6  </w:t>
      </w:r>
      <w:r>
        <w:rPr>
          <w:rFonts w:hint="eastAsia" w:hAnsi="宋体" w:eastAsia="宋体" w:cs="宋体"/>
          <w:b/>
          <w:bCs/>
          <w:color w:val="auto"/>
          <w:sz w:val="24"/>
          <w:szCs w:val="24"/>
          <w:highlight w:val="none"/>
          <w:u w:val="dotted"/>
        </w:rPr>
        <w:t xml:space="preserve">                                                                                                        </w:t>
      </w:r>
    </w:p>
    <w:p w14:paraId="34C5009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1413" name="000258"/>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186417E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wps:txbx>
                      <wps:bodyPr wrap="square"/>
                    </wps:wsp>
                  </a:graphicData>
                </a:graphic>
              </wp:anchor>
            </w:drawing>
          </mc:Choice>
          <mc:Fallback>
            <w:pict>
              <v:rect id="000258" o:spid="_x0000_s1026" o:spt="1" style="position:absolute;left:0pt;margin-left:-9pt;margin-top:0.55pt;height:46.8pt;width:72pt;z-index:251659264;mso-width-relative:page;mso-height-relative:page;" filled="f" stroked="f" coordsize="21600,21600" o:gfxdata="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OCChF2AAAAAgBAAAPAAAAAAAAAAEAIAAAACIA&#10;AABkcnMvZG93bnJldi54bWxQSwECFAAUAAAACACHTuJArJEJZJcBAAA4AwAADgAAAAAAAAABACAA&#10;AAAnAQAAZHJzL2Uyb0RvYy54bWxQSwUGAAAAAAYABgBZAQAAMAUAAAAA&#10;">
                <v:fill on="f" focussize="0,0"/>
                <v:stroke on="f"/>
                <v:imagedata o:title=""/>
                <o:lock v:ext="edit" aspectratio="f"/>
                <v:textbox>
                  <w:txbxContent>
                    <w:p w14:paraId="186417E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v:textbox>
              </v:rect>
            </w:pict>
          </mc:Fallback>
        </mc:AlternateContent>
      </w:r>
      <w:r>
        <w:rPr>
          <w:rFonts w:hint="eastAsia" w:hAnsi="宋体" w:eastAsia="宋体" w:cs="宋体"/>
          <w:color w:val="auto"/>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4695E9D5">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CB8A8BC">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09" w:name="_Toc46860894"/>
      <w:bookmarkStart w:id="210" w:name="_Toc469384072"/>
      <w:r>
        <w:rPr>
          <w:rFonts w:hint="eastAsia" w:hAnsi="宋体" w:eastAsia="宋体" w:cs="宋体"/>
          <w:b/>
          <w:bCs/>
          <w:color w:val="auto"/>
          <w:sz w:val="24"/>
          <w:szCs w:val="24"/>
          <w:highlight w:val="none"/>
        </w:rPr>
        <w:t>88  合同解除的支付</w:t>
      </w:r>
      <w:bookmarkEnd w:id="209"/>
      <w:bookmarkEnd w:id="210"/>
    </w:p>
    <w:p w14:paraId="1AE8781A">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1414" name="000259"/>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606F16D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wrap="square"/>
                    </wps:wsp>
                  </a:graphicData>
                </a:graphic>
              </wp:anchor>
            </w:drawing>
          </mc:Choice>
          <mc:Fallback>
            <w:pict>
              <v:rect id="000259" o:spid="_x0000_s1026" o:spt="1" style="position:absolute;left:0pt;margin-left:-5.25pt;margin-top:14.85pt;height:31.2pt;width:72pt;z-index:251659264;mso-width-relative:page;mso-height-relative:page;" filled="f" stroked="f" coordsize="21600,21600" o:gfxdata="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guv9NoAAAAJAQAADwAAAAAAAAABACAAAAAi&#10;AAAAZHJzL2Rvd25yZXYueG1sUEsBAhQAFAAAAAgAh07iQB1VCkGWAQAAOAMAAA4AAAAAAAAAAQAg&#10;AAAAKQEAAGRycy9lMm9Eb2MueG1sUEsFBgAAAAAGAAYAWQEAADEFAAAAAA==&#10;">
                <v:fill on="f" focussize="0,0"/>
                <v:stroke on="f"/>
                <v:imagedata o:title=""/>
                <o:lock v:ext="edit" aspectratio="f"/>
                <v:textbox>
                  <w:txbxContent>
                    <w:p w14:paraId="606F16D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rect>
            </w:pict>
          </mc:Fallback>
        </mc:AlternateContent>
      </w:r>
      <w:r>
        <w:rPr>
          <w:rFonts w:hint="eastAsia" w:hAnsi="宋体" w:eastAsia="宋体" w:cs="宋体"/>
          <w:b/>
          <w:bCs/>
          <w:color w:val="auto"/>
          <w:sz w:val="24"/>
          <w:szCs w:val="24"/>
          <w:highlight w:val="none"/>
        </w:rPr>
        <w:t xml:space="preserve">88.1     </w:t>
      </w:r>
    </w:p>
    <w:p w14:paraId="62429806">
      <w:pPr>
        <w:pStyle w:val="24"/>
        <w:adjustRightInd w:val="0"/>
        <w:snapToGrid w:val="0"/>
        <w:spacing w:line="300" w:lineRule="auto"/>
        <w:ind w:left="1470" w:leftChars="700"/>
        <w:rPr>
          <w:rFonts w:hAnsi="宋体" w:eastAsia="宋体" w:cs="宋体"/>
          <w:color w:val="auto"/>
          <w:sz w:val="24"/>
          <w:szCs w:val="24"/>
          <w:highlight w:val="none"/>
        </w:rPr>
      </w:pPr>
      <w:r>
        <w:rPr>
          <w:rFonts w:hint="eastAsia" w:hAnsi="宋体" w:eastAsia="宋体" w:cs="宋体"/>
          <w:color w:val="auto"/>
          <w:sz w:val="24"/>
          <w:szCs w:val="24"/>
          <w:highlight w:val="none"/>
        </w:rPr>
        <w:t>根据第87.1款规定解除合同的，按照达成的协议办理结算和支付工程款。</w:t>
      </w:r>
    </w:p>
    <w:p w14:paraId="44BC6064">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88.2  </w:t>
      </w:r>
      <w:r>
        <w:rPr>
          <w:rFonts w:hint="eastAsia" w:hAnsi="宋体" w:eastAsia="宋体" w:cs="宋体"/>
          <w:b/>
          <w:bCs/>
          <w:color w:val="auto"/>
          <w:sz w:val="24"/>
          <w:szCs w:val="24"/>
          <w:highlight w:val="none"/>
          <w:u w:val="dotted"/>
        </w:rPr>
        <w:t xml:space="preserve">                                                                                                        </w:t>
      </w:r>
    </w:p>
    <w:p w14:paraId="0943D279">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1415" name="00025a"/>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3CC124F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wrap="square"/>
                    </wps:wsp>
                  </a:graphicData>
                </a:graphic>
              </wp:anchor>
            </w:drawing>
          </mc:Choice>
          <mc:Fallback>
            <w:pict>
              <v:rect id="00025a" o:spid="_x0000_s1026" o:spt="1" style="position:absolute;left:0pt;margin-left:-9pt;margin-top:1.25pt;height:54.6pt;width:72pt;z-index:251659264;mso-width-relative:page;mso-height-relative:page;" filled="f" stroked="f" coordsize="21600,21600" o:gfxdata="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uFmQm2QAAAAkBAAAPAAAAAAAAAAEAIAAAACIA&#10;AABkcnMvZG93bnJldi54bWxQSwECFAAUAAAACACHTuJAJEzUS5YBAAA4AwAADgAAAAAAAAABACAA&#10;AAAoAQAAZHJzL2Uyb0RvYy54bWxQSwUGAAAAAAYABgBZAQAAMAUAAAAA&#10;">
                <v:fill on="f" focussize="0,0"/>
                <v:stroke on="f"/>
                <v:imagedata o:title=""/>
                <o:lock v:ext="edit" aspectratio="f"/>
                <v:textbox>
                  <w:txbxContent>
                    <w:p w14:paraId="3CC124F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rect>
            </w:pict>
          </mc:Fallback>
        </mc:AlternateContent>
      </w:r>
      <w:r>
        <w:rPr>
          <w:rFonts w:hint="eastAsia" w:hAnsi="宋体" w:eastAsia="宋体" w:cs="宋体"/>
          <w:color w:val="auto"/>
          <w:sz w:val="24"/>
          <w:szCs w:val="24"/>
          <w:highlight w:val="none"/>
        </w:rPr>
        <w:t>根据第87.2款规定解除合同的，发包人应向承包人支付合同解除之日前已完成工程但尚未支付的工程款。此外，发包人还应支付下列款项：</w:t>
      </w:r>
    </w:p>
    <w:p w14:paraId="53D63653">
      <w:pPr>
        <w:pStyle w:val="24"/>
        <w:numPr>
          <w:ilvl w:val="0"/>
          <w:numId w:val="28"/>
        </w:numPr>
        <w:adjustRightInd w:val="0"/>
        <w:snapToGrid w:val="0"/>
        <w:spacing w:line="300" w:lineRule="auto"/>
        <w:ind w:left="2096" w:leftChars="771" w:hanging="477" w:hangingChars="199"/>
        <w:rPr>
          <w:rFonts w:hAnsi="宋体" w:eastAsia="宋体" w:cs="宋体"/>
          <w:color w:val="auto"/>
          <w:sz w:val="24"/>
          <w:szCs w:val="24"/>
          <w:highlight w:val="none"/>
        </w:rPr>
      </w:pPr>
      <w:r>
        <w:rPr>
          <w:rFonts w:hint="eastAsia" w:hAnsi="宋体" w:eastAsia="宋体" w:cs="宋体"/>
          <w:color w:val="auto"/>
          <w:sz w:val="24"/>
          <w:szCs w:val="24"/>
          <w:highlight w:val="none"/>
        </w:rPr>
        <w:t>已实施或部分实施的措施项目应付款项；</w:t>
      </w:r>
    </w:p>
    <w:p w14:paraId="7632D54F">
      <w:pPr>
        <w:pStyle w:val="24"/>
        <w:numPr>
          <w:ilvl w:val="0"/>
          <w:numId w:val="28"/>
        </w:numPr>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承包人为合同工程合理订购且已交付的材料和工程设备货款。发包人一经支付此项货款，该材料和工程设备即成为发包人的财产；</w:t>
      </w:r>
    </w:p>
    <w:p w14:paraId="54831BC4">
      <w:pPr>
        <w:pStyle w:val="24"/>
        <w:numPr>
          <w:ilvl w:val="0"/>
          <w:numId w:val="28"/>
        </w:numPr>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承包人为完成合同工程而预期开支的任何合理款项，且该项款项未包括在本款其他各项支付之内；</w:t>
      </w:r>
    </w:p>
    <w:p w14:paraId="3B8452C9">
      <w:pPr>
        <w:pStyle w:val="24"/>
        <w:numPr>
          <w:ilvl w:val="0"/>
          <w:numId w:val="28"/>
        </w:numPr>
        <w:adjustRightInd w:val="0"/>
        <w:snapToGrid w:val="0"/>
        <w:spacing w:line="300" w:lineRule="auto"/>
        <w:ind w:left="2096" w:leftChars="771" w:hanging="477" w:hangingChars="199"/>
        <w:rPr>
          <w:rFonts w:hAnsi="宋体" w:eastAsia="宋体" w:cs="宋体"/>
          <w:color w:val="auto"/>
          <w:sz w:val="24"/>
          <w:szCs w:val="24"/>
          <w:highlight w:val="none"/>
        </w:rPr>
      </w:pPr>
      <w:r>
        <w:rPr>
          <w:rFonts w:hint="eastAsia" w:hAnsi="宋体" w:eastAsia="宋体" w:cs="宋体"/>
          <w:color w:val="auto"/>
          <w:sz w:val="24"/>
          <w:szCs w:val="24"/>
          <w:highlight w:val="none"/>
        </w:rPr>
        <w:t>根据第31.3款规定的任何工作应支付的款项；</w:t>
      </w:r>
    </w:p>
    <w:p w14:paraId="4786671E">
      <w:pPr>
        <w:pStyle w:val="24"/>
        <w:numPr>
          <w:ilvl w:val="0"/>
          <w:numId w:val="28"/>
        </w:numPr>
        <w:tabs>
          <w:tab w:val="left" w:pos="1980"/>
        </w:tabs>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根据第87.6款规定承包人撤离现场所需的合理款项，包括雇员遣送费和临时工程拆除、施工设备运离现场的款项。</w:t>
      </w:r>
    </w:p>
    <w:p w14:paraId="649B49A9">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14:paraId="60280DE6">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88.3  </w:t>
      </w:r>
      <w:r>
        <w:rPr>
          <w:rFonts w:hint="eastAsia" w:hAnsi="宋体" w:eastAsia="宋体" w:cs="宋体"/>
          <w:b/>
          <w:bCs/>
          <w:color w:val="auto"/>
          <w:sz w:val="24"/>
          <w:szCs w:val="24"/>
          <w:highlight w:val="none"/>
          <w:u w:val="dotted"/>
        </w:rPr>
        <w:t xml:space="preserve">                                                                                                        </w:t>
      </w:r>
    </w:p>
    <w:p w14:paraId="4C4ABA41">
      <w:pPr>
        <w:pStyle w:val="24"/>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416" name="00025b"/>
                <wp:cNvGraphicFramePr/>
                <a:graphic xmlns:a="http://schemas.openxmlformats.org/drawingml/2006/main">
                  <a:graphicData uri="http://schemas.microsoft.com/office/word/2010/wordprocessingShape">
                    <wps:wsp>
                      <wps:cNvSpPr/>
                      <wps:spPr>
                        <a:xfrm>
                          <a:off x="0" y="0"/>
                          <a:ext cx="914400" cy="693420"/>
                        </a:xfrm>
                        <a:prstGeom prst="rect">
                          <a:avLst/>
                        </a:prstGeom>
                        <a:ln>
                          <a:noFill/>
                        </a:ln>
                      </wps:spPr>
                      <wps:txbx>
                        <w:txbxContent>
                          <w:p w14:paraId="27243022">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wrap="square"/>
                    </wps:wsp>
                  </a:graphicData>
                </a:graphic>
              </wp:anchor>
            </w:drawing>
          </mc:Choice>
          <mc:Fallback>
            <w:pict>
              <v:rect id="00025b" o:spid="_x0000_s1026" o:spt="1" style="position:absolute;left:0pt;margin-left:-9pt;margin-top:3.9pt;height:54.6pt;width:72pt;z-index:251659264;mso-width-relative:page;mso-height-relative:page;" filled="f" stroked="f" coordsize="21600,21600" o:gfxdata="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fsRAzYAAAACQEAAA8AAAAAAAAAAQAgAAAAIgAA&#10;AGRycy9kb3ducmV2LnhtbFBLAQIUABQAAAAIAIdO4kDxqhP0lgEAADgDAAAOAAAAAAAAAAEAIAAA&#10;ACcBAABkcnMvZTJvRG9jLnhtbFBLBQYAAAAABgAGAFkBAAAvBQAAAAA=&#10;">
                <v:fill on="f" focussize="0,0"/>
                <v:stroke on="f"/>
                <v:imagedata o:title=""/>
                <o:lock v:ext="edit" aspectratio="f"/>
                <v:textbox>
                  <w:txbxContent>
                    <w:p w14:paraId="27243022">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rect>
            </w:pict>
          </mc:Fallback>
        </mc:AlternateContent>
      </w:r>
      <w:r>
        <w:rPr>
          <w:rFonts w:hint="eastAsia" w:hAnsi="宋体" w:eastAsia="宋体" w:cs="宋体"/>
          <w:color w:val="auto"/>
          <w:sz w:val="24"/>
          <w:szCs w:val="24"/>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14:paraId="7F7FA2E4">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88.4  </w:t>
      </w:r>
      <w:r>
        <w:rPr>
          <w:rFonts w:hint="eastAsia" w:hAnsi="宋体" w:eastAsia="宋体" w:cs="宋体"/>
          <w:b/>
          <w:bCs/>
          <w:color w:val="auto"/>
          <w:sz w:val="24"/>
          <w:szCs w:val="24"/>
          <w:highlight w:val="none"/>
          <w:u w:val="dotted"/>
        </w:rPr>
        <w:t xml:space="preserve">                                                                                                        </w:t>
      </w:r>
    </w:p>
    <w:p w14:paraId="39E8B245">
      <w:pPr>
        <w:pStyle w:val="24"/>
        <w:adjustRightInd w:val="0"/>
        <w:snapToGrid w:val="0"/>
        <w:spacing w:line="300" w:lineRule="auto"/>
        <w:ind w:left="1619" w:leftChars="771"/>
        <w:jc w:val="left"/>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417" name="00025c"/>
                <wp:cNvGraphicFramePr/>
                <a:graphic xmlns:a="http://schemas.openxmlformats.org/drawingml/2006/main">
                  <a:graphicData uri="http://schemas.microsoft.com/office/word/2010/wordprocessingShape">
                    <wps:wsp>
                      <wps:cNvSpPr/>
                      <wps:spPr>
                        <a:xfrm>
                          <a:off x="0" y="0"/>
                          <a:ext cx="914400" cy="463549"/>
                        </a:xfrm>
                        <a:prstGeom prst="rect">
                          <a:avLst/>
                        </a:prstGeom>
                        <a:ln>
                          <a:noFill/>
                        </a:ln>
                      </wps:spPr>
                      <wps:txbx>
                        <w:txbxContent>
                          <w:p w14:paraId="030D521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wps:txbx>
                      <wps:bodyPr wrap="square"/>
                    </wps:wsp>
                  </a:graphicData>
                </a:graphic>
              </wp:anchor>
            </w:drawing>
          </mc:Choice>
          <mc:Fallback>
            <w:pict>
              <v:rect id="00025c" o:spid="_x0000_s1026" o:spt="1" style="position:absolute;left:0pt;margin-left:-9pt;margin-top:3.6pt;height:36.5pt;width:72pt;z-index:251659264;mso-width-relative:page;mso-height-relative:page;" filled="f" stroked="f" coordsize="21600,21600" o:gfxdata="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Tei3etcAAAAIAQAADwAAAAAAAAABACAAAAAiAAAA&#10;ZHJzL2Rvd25yZXYueG1sUEsBAhQAFAAAAAgAh07iQLKUWn+WAQAAOAMAAA4AAAAAAAAAAQAgAAAA&#10;JgEAAGRycy9lMm9Eb2MueG1sUEsFBgAAAAAGAAYAWQEAAC4FAAAAAA==&#10;">
                <v:fill on="f" focussize="0,0"/>
                <v:stroke on="f"/>
                <v:imagedata o:title=""/>
                <o:lock v:ext="edit" aspectratio="f"/>
                <v:textbox>
                  <w:txbxContent>
                    <w:p w14:paraId="030D521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v:textbox>
              </v:rect>
            </w:pict>
          </mc:Fallback>
        </mc:AlternateContent>
      </w:r>
      <w:r>
        <w:rPr>
          <w:rFonts w:hint="eastAsia" w:hAnsi="宋体" w:eastAsia="宋体" w:cs="宋体"/>
          <w:color w:val="auto"/>
          <w:sz w:val="24"/>
          <w:szCs w:val="24"/>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14:paraId="2D08047C">
      <w:pPr>
        <w:pStyle w:val="24"/>
        <w:adjustRightInd w:val="0"/>
        <w:snapToGrid w:val="0"/>
        <w:spacing w:line="300" w:lineRule="auto"/>
        <w:jc w:val="left"/>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F5429B8">
      <w:pPr>
        <w:pStyle w:val="24"/>
        <w:adjustRightInd w:val="0"/>
        <w:snapToGrid w:val="0"/>
        <w:spacing w:line="300" w:lineRule="auto"/>
        <w:jc w:val="left"/>
        <w:outlineLvl w:val="2"/>
        <w:rPr>
          <w:rFonts w:hAnsi="宋体" w:eastAsia="宋体" w:cs="宋体"/>
          <w:b/>
          <w:bCs/>
          <w:color w:val="auto"/>
          <w:sz w:val="24"/>
          <w:szCs w:val="24"/>
          <w:highlight w:val="none"/>
        </w:rPr>
      </w:pPr>
      <w:bookmarkStart w:id="211" w:name="_Toc46860895"/>
      <w:bookmarkStart w:id="212" w:name="_Toc469384073"/>
      <w:r>
        <w:rPr>
          <w:rFonts w:hint="eastAsia" w:hAnsi="宋体" w:eastAsia="宋体" w:cs="宋体"/>
          <w:b/>
          <w:bCs/>
          <w:color w:val="auto"/>
          <w:sz w:val="24"/>
          <w:szCs w:val="24"/>
          <w:highlight w:val="none"/>
        </w:rPr>
        <w:t>89  合同终止</w:t>
      </w:r>
      <w:bookmarkEnd w:id="211"/>
      <w:bookmarkEnd w:id="212"/>
    </w:p>
    <w:p w14:paraId="21A4351A">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89.1    </w:t>
      </w:r>
    </w:p>
    <w:p w14:paraId="4B61CA8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418" name="00025d"/>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28A0C55B">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wrap="square"/>
                    </wps:wsp>
                  </a:graphicData>
                </a:graphic>
              </wp:anchor>
            </w:drawing>
          </mc:Choice>
          <mc:Fallback>
            <w:pict>
              <v:rect id="00025d" o:spid="_x0000_s1026" o:spt="1" style="position:absolute;left:0pt;margin-left:-9pt;margin-top:1.25pt;height:31.2pt;width:72pt;z-index:251659264;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H2cf/YAAAACAEAAA8AAAAAAAAAAQAgAAAAIgAA&#10;AGRycy9kb3ducmV2LnhtbFBLAQIUABQAAAAIAIdO4kDx2NfUlgEAADgDAAAOAAAAAAAAAAEAIAAA&#10;ACcBAABkcnMvZTJvRG9jLnhtbFBLBQYAAAAABgAGAFkBAAAvBQAAAAA=&#10;">
                <v:fill on="f" focussize="0,0"/>
                <v:stroke on="f"/>
                <v:imagedata o:title=""/>
                <o:lock v:ext="edit" aspectratio="f"/>
                <v:textbox>
                  <w:txbxContent>
                    <w:p w14:paraId="28A0C55B">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rect>
            </w:pict>
          </mc:Fallback>
        </mc:AlternateContent>
      </w:r>
      <w:r>
        <w:rPr>
          <w:rFonts w:hint="eastAsia" w:hAnsi="宋体" w:eastAsia="宋体" w:cs="宋体"/>
          <w:color w:val="auto"/>
          <w:sz w:val="24"/>
          <w:szCs w:val="24"/>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14:paraId="4F843E45">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89.2  </w:t>
      </w:r>
      <w:r>
        <w:rPr>
          <w:rFonts w:hint="eastAsia" w:hAnsi="宋体" w:eastAsia="宋体" w:cs="宋体"/>
          <w:b/>
          <w:bCs/>
          <w:color w:val="auto"/>
          <w:sz w:val="24"/>
          <w:szCs w:val="24"/>
          <w:highlight w:val="none"/>
          <w:u w:val="dotted"/>
        </w:rPr>
        <w:t xml:space="preserve">                                                                                                        </w:t>
      </w:r>
    </w:p>
    <w:p w14:paraId="2220190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419" name="00025e"/>
                <wp:cNvGraphicFramePr/>
                <a:graphic xmlns:a="http://schemas.openxmlformats.org/drawingml/2006/main">
                  <a:graphicData uri="http://schemas.microsoft.com/office/word/2010/wordprocessingShape">
                    <wps:wsp>
                      <wps:cNvSpPr/>
                      <wps:spPr>
                        <a:xfrm>
                          <a:off x="0" y="0"/>
                          <a:ext cx="914400" cy="851534"/>
                        </a:xfrm>
                        <a:prstGeom prst="rect">
                          <a:avLst/>
                        </a:prstGeom>
                        <a:ln>
                          <a:noFill/>
                        </a:ln>
                      </wps:spPr>
                      <wps:txbx>
                        <w:txbxContent>
                          <w:p w14:paraId="743AB77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wps:txbx>
                      <wps:bodyPr wrap="square"/>
                    </wps:wsp>
                  </a:graphicData>
                </a:graphic>
              </wp:anchor>
            </w:drawing>
          </mc:Choice>
          <mc:Fallback>
            <w:pict>
              <v:rect id="00025e" o:spid="_x0000_s1026" o:spt="1" style="position:absolute;left:0pt;margin-left:-9pt;margin-top:0.05pt;height:67.05pt;width:72pt;z-index:251659264;mso-width-relative:page;mso-height-relative:page;" filled="f" stroked="f" coordsize="21600,21600" o:gfxdata="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&#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R+yvx1wAAAAgBAAAPAAAAAAAAAAEAIAAAACIAAABk&#10;cnMvZG93bnJldi54bWxQSwECFAAUAAAACACHTuJAA2PuWpUBAAA4AwAADgAAAAAAAAABACAAAAAm&#10;AQAAZHJzL2Uyb0RvYy54bWxQSwUGAAAAAAYABgBZAQAALQUAAAAA&#10;">
                <v:fill on="f" focussize="0,0"/>
                <v:stroke on="f"/>
                <v:imagedata o:title=""/>
                <o:lock v:ext="edit" aspectratio="f"/>
                <v:textbox>
                  <w:txbxContent>
                    <w:p w14:paraId="743AB77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v:textbox>
              </v:rect>
            </w:pict>
          </mc:Fallback>
        </mc:AlternateContent>
      </w:r>
      <w:r>
        <w:rPr>
          <w:rFonts w:hint="eastAsia" w:hAnsi="宋体" w:eastAsia="宋体" w:cs="宋体"/>
          <w:color w:val="auto"/>
          <w:sz w:val="24"/>
          <w:szCs w:val="24"/>
          <w:highlight w:val="none"/>
        </w:rPr>
        <w:t>除第59条和第84条规定的质量保修条款外，合同双方当事人履行完本合同全部义务，发包人向承包人支付完竣工结算款，承包人向发包人交付竣工工程后，本合同即告终止。</w:t>
      </w:r>
    </w:p>
    <w:p w14:paraId="0125551B">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89.3  </w:t>
      </w:r>
      <w:r>
        <w:rPr>
          <w:rFonts w:hint="eastAsia" w:hAnsi="宋体" w:eastAsia="宋体" w:cs="宋体"/>
          <w:b/>
          <w:bCs/>
          <w:color w:val="auto"/>
          <w:sz w:val="24"/>
          <w:szCs w:val="24"/>
          <w:highlight w:val="none"/>
          <w:u w:val="dotted"/>
        </w:rPr>
        <w:t xml:space="preserve">                                                                              </w:t>
      </w:r>
    </w:p>
    <w:p w14:paraId="2CEE23AF">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0" name="00025f"/>
                <wp:cNvGraphicFramePr/>
                <a:graphic xmlns:a="http://schemas.openxmlformats.org/drawingml/2006/main">
                  <a:graphicData uri="http://schemas.microsoft.com/office/word/2010/wordprocessingShape">
                    <wps:wsp>
                      <wps:cNvSpPr/>
                      <wps:spPr>
                        <a:xfrm>
                          <a:off x="0" y="0"/>
                          <a:ext cx="914400" cy="415925"/>
                        </a:xfrm>
                        <a:prstGeom prst="rect">
                          <a:avLst/>
                        </a:prstGeom>
                        <a:ln>
                          <a:noFill/>
                        </a:ln>
                      </wps:spPr>
                      <wps:txbx>
                        <w:txbxContent>
                          <w:p w14:paraId="22EA9AA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wrap="square"/>
                    </wps:wsp>
                  </a:graphicData>
                </a:graphic>
              </wp:anchor>
            </w:drawing>
          </mc:Choice>
          <mc:Fallback>
            <w:pict>
              <v:rect id="00025f" o:spid="_x0000_s1026" o:spt="1" style="position:absolute;left:0pt;margin-left:-9pt;margin-top:1pt;height:32.75pt;width:72pt;z-index:251659264;mso-width-relative:page;mso-height-relative:page;" filled="f" stroked="f" coordsize="21600,21600" o:gfxdata="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7icxHdkAAAAIAQAADwAAAAAAAAABACAAAAAiAAAA&#10;ZHJzL2Rvd25yZXYueG1sUEsBAhQAFAAAAAgAh07iQKwyt5uUAQAAOAMAAA4AAAAAAAAAAQAgAAAA&#10;KAEAAGRycy9lMm9Eb2MueG1sUEsFBgAAAAAGAAYAWQEAAC4FAAAAAA==&#10;">
                <v:fill on="f" focussize="0,0"/>
                <v:stroke on="f"/>
                <v:imagedata o:title=""/>
                <o:lock v:ext="edit" aspectratio="f"/>
                <v:textbox>
                  <w:txbxContent>
                    <w:p w14:paraId="22EA9AA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rect>
            </w:pict>
          </mc:Fallback>
        </mc:AlternateContent>
      </w:r>
      <w:r>
        <w:rPr>
          <w:rFonts w:hint="eastAsia" w:hAnsi="宋体" w:eastAsia="宋体" w:cs="宋体"/>
          <w:color w:val="auto"/>
          <w:sz w:val="24"/>
          <w:szCs w:val="24"/>
          <w:highlight w:val="none"/>
        </w:rPr>
        <w:t>本合同的权利义务终止后，合同双方当事人仍应遵循诚实信用原则，继续履行合同约定的通知、协助、保密等义务。</w:t>
      </w:r>
    </w:p>
    <w:p w14:paraId="44ED7A2C">
      <w:pPr>
        <w:pStyle w:val="24"/>
        <w:adjustRightInd w:val="0"/>
        <w:snapToGrid w:val="0"/>
        <w:spacing w:line="300" w:lineRule="auto"/>
        <w:ind w:right="-238"/>
        <w:rPr>
          <w:rFonts w:hAnsi="宋体" w:eastAsia="宋体" w:cs="宋体"/>
          <w:color w:val="auto"/>
          <w:sz w:val="24"/>
          <w:szCs w:val="24"/>
          <w:highlight w:val="none"/>
          <w:u w:val="single"/>
        </w:rPr>
      </w:pPr>
      <w:r>
        <w:rPr>
          <w:rFonts w:hint="eastAsia" w:hAnsi="宋体" w:eastAsia="宋体" w:cs="宋体"/>
          <w:color w:val="auto"/>
          <w:sz w:val="24"/>
          <w:szCs w:val="24"/>
          <w:highlight w:val="none"/>
          <w:u w:val="single"/>
        </w:rPr>
        <w:t xml:space="preserve">                                                                                 </w:t>
      </w:r>
    </w:p>
    <w:p w14:paraId="2825B853">
      <w:pPr>
        <w:spacing w:line="300" w:lineRule="auto"/>
        <w:ind w:firstLine="2951" w:firstLineChars="1225"/>
        <w:rPr>
          <w:rFonts w:ascii="宋体" w:hAnsi="宋体" w:eastAsia="宋体" w:cs="宋体"/>
          <w:b/>
          <w:bCs/>
          <w:color w:val="auto"/>
          <w:sz w:val="24"/>
          <w:highlight w:val="none"/>
        </w:rPr>
      </w:pPr>
      <w:r>
        <w:rPr>
          <w:rFonts w:hint="eastAsia" w:ascii="宋体" w:hAnsi="宋体" w:eastAsia="宋体" w:cs="宋体"/>
          <w:b/>
          <w:bCs/>
          <w:color w:val="auto"/>
          <w:sz w:val="24"/>
          <w:highlight w:val="none"/>
        </w:rPr>
        <w:t>八、违 约 责 任</w:t>
      </w:r>
    </w:p>
    <w:p w14:paraId="4AA8018F">
      <w:pPr>
        <w:spacing w:line="300" w:lineRule="auto"/>
        <w:jc w:val="left"/>
        <w:rPr>
          <w:rFonts w:ascii="宋体" w:hAnsi="宋体" w:eastAsia="宋体" w:cs="宋体"/>
          <w:color w:val="auto"/>
          <w:sz w:val="24"/>
          <w:highlight w:val="none"/>
        </w:rPr>
      </w:pPr>
      <w:bookmarkStart w:id="213" w:name="_Toc46860896"/>
    </w:p>
    <w:p w14:paraId="27B6887C">
      <w:pPr>
        <w:pStyle w:val="24"/>
        <w:adjustRightInd w:val="0"/>
        <w:snapToGrid w:val="0"/>
        <w:spacing w:line="300" w:lineRule="auto"/>
        <w:jc w:val="left"/>
        <w:outlineLvl w:val="2"/>
        <w:rPr>
          <w:rFonts w:hAnsi="宋体" w:eastAsia="宋体" w:cs="宋体"/>
          <w:b/>
          <w:bCs/>
          <w:color w:val="auto"/>
          <w:sz w:val="24"/>
          <w:szCs w:val="24"/>
          <w:highlight w:val="none"/>
        </w:rPr>
      </w:pPr>
      <w:r>
        <w:rPr>
          <w:rFonts w:hint="eastAsia" w:hAnsi="宋体" w:eastAsia="宋体" w:cs="宋体"/>
          <w:color w:val="auto"/>
          <w:sz w:val="24"/>
          <w:szCs w:val="24"/>
          <w:highlight w:val="none"/>
        </w:rPr>
        <w:t>★</w:t>
      </w:r>
      <w:r>
        <w:rPr>
          <w:rFonts w:hint="eastAsia" w:hAnsi="宋体" w:eastAsia="宋体" w:cs="宋体"/>
          <w:b/>
          <w:bCs/>
          <w:color w:val="auto"/>
          <w:sz w:val="24"/>
          <w:szCs w:val="24"/>
          <w:highlight w:val="none"/>
        </w:rPr>
        <w:t>90  承包人的违约责任</w:t>
      </w:r>
      <w:bookmarkEnd w:id="213"/>
    </w:p>
    <w:p w14:paraId="086B5DB0">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90.1</w:t>
      </w:r>
    </w:p>
    <w:p w14:paraId="690685C4">
      <w:pPr>
        <w:adjustRightInd w:val="0"/>
        <w:snapToGrid w:val="0"/>
        <w:spacing w:line="300" w:lineRule="auto"/>
        <w:ind w:left="2486" w:leftChars="98" w:hanging="2280" w:hangingChars="95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421" name="000260"/>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32932E9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wrap="square"/>
                    </wps:wsp>
                  </a:graphicData>
                </a:graphic>
              </wp:anchor>
            </w:drawing>
          </mc:Choice>
          <mc:Fallback>
            <w:pict>
              <v:rect id="000260" o:spid="_x0000_s1026" o:spt="1" style="position:absolute;left:0pt;margin-left:-9pt;margin-top:1.25pt;height:31.2pt;width:72pt;z-index:251659264;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fZx/9gAAAAIAQAADwAAAAAAAAABACAAAAAiAAAA&#10;ZHJzL2Rvd25yZXYueG1sUEsBAhQAFAAAAAgAh07iQEEthP2VAQAAOAMAAA4AAAAAAAAAAQAgAAAA&#10;JwEAAGRycy9lMm9Eb2MueG1sUEsFBgAAAAAGAAYAWQEAAC4FAAAAAA==&#10;">
                <v:fill on="f" focussize="0,0"/>
                <v:stroke on="f"/>
                <v:imagedata o:title=""/>
                <o:lock v:ext="edit" aspectratio="f"/>
                <v:textbox>
                  <w:txbxContent>
                    <w:p w14:paraId="32932E9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rect>
            </w:pict>
          </mc:Fallback>
        </mc:AlternateContent>
      </w:r>
      <w:r>
        <w:rPr>
          <w:rFonts w:hint="eastAsia" w:ascii="宋体" w:hAnsi="宋体" w:eastAsia="宋体" w:cs="宋体"/>
          <w:color w:val="auto"/>
          <w:sz w:val="24"/>
          <w:highlight w:val="none"/>
        </w:rPr>
        <w:t xml:space="preserve">         因承包人违反本合同约定给发包人造成损失的，承包人应当赔偿发</w:t>
      </w:r>
    </w:p>
    <w:p w14:paraId="47E14666">
      <w:pPr>
        <w:adjustRightInd w:val="0"/>
        <w:snapToGrid w:val="0"/>
        <w:spacing w:line="300" w:lineRule="auto"/>
        <w:ind w:left="2336" w:leftChars="598" w:hanging="1080" w:hangingChars="450"/>
        <w:rPr>
          <w:rFonts w:ascii="宋体" w:hAnsi="宋体" w:eastAsia="宋体" w:cs="宋体"/>
          <w:color w:val="auto"/>
          <w:sz w:val="24"/>
          <w:highlight w:val="none"/>
        </w:rPr>
      </w:pPr>
      <w:r>
        <w:rPr>
          <w:rFonts w:hint="eastAsia" w:ascii="宋体" w:hAnsi="宋体" w:eastAsia="宋体" w:cs="宋体"/>
          <w:color w:val="auto"/>
          <w:sz w:val="24"/>
          <w:highlight w:val="none"/>
        </w:rPr>
        <w:t>包人损失。</w:t>
      </w:r>
    </w:p>
    <w:p w14:paraId="01A82DFF">
      <w:pPr>
        <w:adjustRightInd w:val="0"/>
        <w:snapToGrid w:val="0"/>
        <w:spacing w:line="300" w:lineRule="auto"/>
        <w:rPr>
          <w:rFonts w:ascii="宋体" w:hAnsi="宋体" w:eastAsia="宋体" w:cs="宋体"/>
          <w:b/>
          <w:bCs/>
          <w:color w:val="auto"/>
          <w:sz w:val="24"/>
          <w:highlight w:val="none"/>
        </w:rPr>
      </w:pPr>
    </w:p>
    <w:p w14:paraId="275CF109">
      <w:pPr>
        <w:spacing w:line="300" w:lineRule="auto"/>
        <w:ind w:left="2300" w:leftChars="27" w:hanging="2243" w:hangingChars="931"/>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90.2  </w:t>
      </w:r>
      <w:r>
        <w:rPr>
          <w:rFonts w:hint="eastAsia" w:ascii="宋体" w:hAnsi="宋体" w:eastAsia="宋体" w:cs="宋体"/>
          <w:b/>
          <w:bCs/>
          <w:color w:val="auto"/>
          <w:sz w:val="24"/>
          <w:highlight w:val="none"/>
          <w:u w:val="dotted"/>
        </w:rPr>
        <w:t xml:space="preserve">                                                                                </w:t>
      </w:r>
    </w:p>
    <w:p w14:paraId="783886BB">
      <w:pPr>
        <w:spacing w:line="300" w:lineRule="auto"/>
        <w:ind w:left="2291" w:leftChars="27" w:hanging="2234" w:hangingChars="93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2" name="000261"/>
                <wp:cNvGraphicFramePr/>
                <a:graphic xmlns:a="http://schemas.openxmlformats.org/drawingml/2006/main">
                  <a:graphicData uri="http://schemas.microsoft.com/office/word/2010/wordprocessingShape">
                    <wps:wsp>
                      <wps:cNvSpPr/>
                      <wps:spPr>
                        <a:xfrm>
                          <a:off x="0" y="0"/>
                          <a:ext cx="914400" cy="415925"/>
                        </a:xfrm>
                        <a:prstGeom prst="rect">
                          <a:avLst/>
                        </a:prstGeom>
                        <a:ln>
                          <a:noFill/>
                        </a:ln>
                      </wps:spPr>
                      <wps:txbx>
                        <w:txbxContent>
                          <w:p w14:paraId="53C4235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14:paraId="3BE5C96A">
                            <w:pPr>
                              <w:spacing w:line="240" w:lineRule="exact"/>
                              <w:rPr>
                                <w:rFonts w:ascii="楷体_GB2312" w:hAnsi="宋体" w:eastAsia="楷体_GB2312"/>
                                <w:b/>
                                <w:bCs/>
                                <w:sz w:val="18"/>
                                <w:szCs w:val="18"/>
                              </w:rPr>
                            </w:pPr>
                          </w:p>
                          <w:p w14:paraId="0BC84616">
                            <w:pPr>
                              <w:spacing w:line="240" w:lineRule="exact"/>
                              <w:rPr>
                                <w:rFonts w:ascii="楷体_GB2312" w:hAnsi="宋体" w:eastAsia="楷体_GB2312"/>
                                <w:b/>
                                <w:bCs/>
                                <w:sz w:val="18"/>
                                <w:szCs w:val="18"/>
                              </w:rPr>
                            </w:pPr>
                          </w:p>
                        </w:txbxContent>
                      </wps:txbx>
                      <wps:bodyPr wrap="square"/>
                    </wps:wsp>
                  </a:graphicData>
                </a:graphic>
              </wp:anchor>
            </w:drawing>
          </mc:Choice>
          <mc:Fallback>
            <w:pict>
              <v:rect id="000261" o:spid="_x0000_s1026" o:spt="1" style="position:absolute;left:0pt;margin-left:-9pt;margin-top:1pt;height:32.75pt;width:72pt;z-index:251659264;mso-width-relative:page;mso-height-relative:page;" filled="f" stroked="f" coordsize="21600,21600" o:gfxdata="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4nMR3ZAAAACAEAAA8AAAAAAAAAAQAgAAAAIgAA&#10;AGRycy9kb3ducmV2LnhtbFBLAQIUABQAAAAIAIdO4kAoGF8KlQEAADgDAAAOAAAAAAAAAAEAIAAA&#10;ACgBAABkcnMvZTJvRG9jLnhtbFBLBQYAAAAABgAGAFkBAAAvBQAAAAA=&#10;">
                <v:fill on="f" focussize="0,0"/>
                <v:stroke on="f"/>
                <v:imagedata o:title=""/>
                <o:lock v:ext="edit" aspectratio="f"/>
                <v:textbox>
                  <w:txbxContent>
                    <w:p w14:paraId="53C4235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14:paraId="3BE5C96A">
                      <w:pPr>
                        <w:spacing w:line="240" w:lineRule="exact"/>
                        <w:rPr>
                          <w:rFonts w:ascii="楷体_GB2312" w:hAnsi="宋体" w:eastAsia="楷体_GB2312"/>
                          <w:b/>
                          <w:bCs/>
                          <w:sz w:val="18"/>
                          <w:szCs w:val="18"/>
                        </w:rPr>
                      </w:pPr>
                    </w:p>
                    <w:p w14:paraId="0BC84616">
                      <w:pPr>
                        <w:spacing w:line="240" w:lineRule="exact"/>
                        <w:rPr>
                          <w:rFonts w:ascii="楷体_GB2312" w:hAnsi="宋体" w:eastAsia="楷体_GB2312"/>
                          <w:b/>
                          <w:bCs/>
                          <w:sz w:val="18"/>
                          <w:szCs w:val="18"/>
                        </w:rPr>
                      </w:pPr>
                    </w:p>
                  </w:txbxContent>
                </v:textbox>
              </v:rect>
            </w:pict>
          </mc:Fallback>
        </mc:AlternateContent>
      </w:r>
      <w:r>
        <w:rPr>
          <w:rFonts w:hint="eastAsia" w:ascii="宋体" w:hAnsi="宋体" w:eastAsia="宋体" w:cs="宋体"/>
          <w:color w:val="auto"/>
          <w:sz w:val="24"/>
          <w:highlight w:val="none"/>
        </w:rPr>
        <w:t xml:space="preserve">           承包人向发包人的索赔不成立时，承包人应赔偿发包人由此发生</w:t>
      </w:r>
    </w:p>
    <w:p w14:paraId="1AA84CC3">
      <w:pPr>
        <w:spacing w:line="300" w:lineRule="auto"/>
        <w:ind w:firstLine="1440" w:firstLineChars="600"/>
        <w:rPr>
          <w:rFonts w:ascii="宋体" w:hAnsi="宋体" w:eastAsia="宋体" w:cs="宋体"/>
          <w:color w:val="auto"/>
          <w:sz w:val="24"/>
          <w:highlight w:val="none"/>
        </w:rPr>
      </w:pPr>
      <w:r>
        <w:rPr>
          <w:rFonts w:hint="eastAsia" w:ascii="宋体" w:hAnsi="宋体" w:eastAsia="宋体" w:cs="宋体"/>
          <w:color w:val="auto"/>
          <w:sz w:val="24"/>
          <w:highlight w:val="none"/>
        </w:rPr>
        <w:t>的费用。</w:t>
      </w:r>
    </w:p>
    <w:p w14:paraId="701396D6">
      <w:pPr>
        <w:spacing w:line="300" w:lineRule="auto"/>
        <w:ind w:left="2291" w:leftChars="27" w:hanging="2234" w:hangingChars="931"/>
        <w:rPr>
          <w:rFonts w:ascii="宋体" w:hAnsi="宋体" w:eastAsia="宋体" w:cs="宋体"/>
          <w:color w:val="auto"/>
          <w:sz w:val="24"/>
          <w:highlight w:val="none"/>
        </w:rPr>
      </w:pPr>
      <w:bookmarkStart w:id="214" w:name="_Toc489260630"/>
      <w:bookmarkStart w:id="215" w:name="_Toc46860897"/>
    </w:p>
    <w:p w14:paraId="73FE1B41">
      <w:pPr>
        <w:pStyle w:val="24"/>
        <w:adjustRightInd w:val="0"/>
        <w:snapToGrid w:val="0"/>
        <w:spacing w:line="300" w:lineRule="auto"/>
        <w:ind w:firstLine="120" w:firstLineChars="50"/>
        <w:jc w:val="left"/>
        <w:outlineLvl w:val="2"/>
        <w:rPr>
          <w:rFonts w:hAnsi="宋体" w:eastAsia="宋体" w:cs="宋体"/>
          <w:b/>
          <w:bCs/>
          <w:color w:val="auto"/>
          <w:sz w:val="24"/>
          <w:szCs w:val="24"/>
          <w:highlight w:val="none"/>
        </w:rPr>
      </w:pPr>
      <w:r>
        <w:rPr>
          <w:rFonts w:hint="eastAsia" w:hAnsi="宋体" w:eastAsia="宋体" w:cs="宋体"/>
          <w:color w:val="auto"/>
          <w:sz w:val="24"/>
          <w:szCs w:val="24"/>
          <w:highlight w:val="none"/>
        </w:rPr>
        <w:t>★</w:t>
      </w:r>
      <w:r>
        <w:rPr>
          <w:rFonts w:hint="eastAsia" w:hAnsi="宋体" w:eastAsia="宋体" w:cs="宋体"/>
          <w:b/>
          <w:bCs/>
          <w:color w:val="auto"/>
          <w:sz w:val="24"/>
          <w:szCs w:val="24"/>
          <w:highlight w:val="none"/>
        </w:rPr>
        <w:t>91 发包人的违约责任</w:t>
      </w:r>
      <w:bookmarkEnd w:id="214"/>
      <w:bookmarkEnd w:id="215"/>
    </w:p>
    <w:p w14:paraId="16206A3F">
      <w:pPr>
        <w:pStyle w:val="24"/>
        <w:adjustRightInd w:val="0"/>
        <w:snapToGrid w:val="0"/>
        <w:spacing w:line="300" w:lineRule="auto"/>
        <w:ind w:firstLine="118" w:firstLineChars="49"/>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91.1 </w:t>
      </w:r>
    </w:p>
    <w:p w14:paraId="74E68540">
      <w:pPr>
        <w:adjustRightInd w:val="0"/>
        <w:snapToGrid w:val="0"/>
        <w:spacing w:line="300" w:lineRule="auto"/>
        <w:ind w:left="1035" w:leftChars="493"/>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423" name="000262"/>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756E6D5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wps:txbx>
                      <wps:bodyPr wrap="square"/>
                    </wps:wsp>
                  </a:graphicData>
                </a:graphic>
              </wp:anchor>
            </w:drawing>
          </mc:Choice>
          <mc:Fallback>
            <w:pict>
              <v:rect id="000262" o:spid="_x0000_s1026" o:spt="1" style="position:absolute;left:0pt;margin-left:-9pt;margin-top:1.25pt;height:31.2pt;width:72pt;z-index:251659264;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H2cf/YAAAACAEAAA8AAAAAAAAAAQAgAAAAIgAA&#10;AGRycy9kb3ducmV2LnhtbFBLAQIUABQAAAAIAIdO4kAnlv4olgEAADgDAAAOAAAAAAAAAAEAIAAA&#10;ACcBAABkcnMvZTJvRG9jLnhtbFBLBQYAAAAABgAGAFkBAAAvBQAAAAA=&#10;">
                <v:fill on="f" focussize="0,0"/>
                <v:stroke on="f"/>
                <v:imagedata o:title=""/>
                <o:lock v:ext="edit" aspectratio="f"/>
                <v:textbox>
                  <w:txbxContent>
                    <w:p w14:paraId="756E6D5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v:textbox>
              </v:rect>
            </w:pict>
          </mc:Fallback>
        </mc:AlternateContent>
      </w:r>
      <w:r>
        <w:rPr>
          <w:rFonts w:hint="eastAsia" w:ascii="宋体" w:hAnsi="宋体" w:eastAsia="宋体" w:cs="宋体"/>
          <w:color w:val="auto"/>
          <w:sz w:val="24"/>
          <w:highlight w:val="none"/>
        </w:rPr>
        <w:t xml:space="preserve">   因发包人违反本合同约定造成承包人损失的，发包人应予以赔</w:t>
      </w:r>
    </w:p>
    <w:p w14:paraId="1B72389A">
      <w:pPr>
        <w:adjustRightInd w:val="0"/>
        <w:snapToGrid w:val="0"/>
        <w:spacing w:line="300" w:lineRule="auto"/>
        <w:ind w:left="1035" w:leftChars="493" w:firstLine="480" w:firstLineChars="200"/>
        <w:rPr>
          <w:rFonts w:ascii="宋体" w:hAnsi="宋体" w:eastAsia="宋体" w:cs="宋体"/>
          <w:b/>
          <w:bCs/>
          <w:color w:val="auto"/>
          <w:sz w:val="24"/>
          <w:highlight w:val="none"/>
        </w:rPr>
      </w:pPr>
      <w:r>
        <w:rPr>
          <w:rFonts w:hint="eastAsia" w:ascii="宋体" w:hAnsi="宋体" w:eastAsia="宋体" w:cs="宋体"/>
          <w:color w:val="auto"/>
          <w:sz w:val="24"/>
          <w:highlight w:val="none"/>
        </w:rPr>
        <w:t>偿。</w:t>
      </w:r>
    </w:p>
    <w:p w14:paraId="77AF8B18">
      <w:pPr>
        <w:adjustRightInd w:val="0"/>
        <w:snapToGrid w:val="0"/>
        <w:spacing w:line="300" w:lineRule="auto"/>
        <w:ind w:left="1035" w:leftChars="493" w:firstLine="361" w:firstLineChars="150"/>
        <w:rPr>
          <w:rFonts w:ascii="宋体" w:hAnsi="宋体" w:eastAsia="宋体" w:cs="宋体"/>
          <w:b/>
          <w:bCs/>
          <w:color w:val="auto"/>
          <w:sz w:val="24"/>
          <w:highlight w:val="none"/>
        </w:rPr>
      </w:pPr>
    </w:p>
    <w:p w14:paraId="405FE9F0">
      <w:pPr>
        <w:spacing w:line="300" w:lineRule="auto"/>
        <w:ind w:left="2300" w:leftChars="27" w:hanging="2243" w:hangingChars="931"/>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91.2  </w:t>
      </w:r>
      <w:r>
        <w:rPr>
          <w:rFonts w:hint="eastAsia" w:ascii="宋体" w:hAnsi="宋体" w:eastAsia="宋体" w:cs="宋体"/>
          <w:b/>
          <w:bCs/>
          <w:color w:val="auto"/>
          <w:sz w:val="24"/>
          <w:highlight w:val="none"/>
          <w:u w:val="dotted"/>
        </w:rPr>
        <w:t xml:space="preserve">                                                                                </w:t>
      </w:r>
    </w:p>
    <w:p w14:paraId="7F4C7ED8">
      <w:pPr>
        <w:adjustRightInd w:val="0"/>
        <w:snapToGrid w:val="0"/>
        <w:spacing w:line="300" w:lineRule="auto"/>
        <w:ind w:left="1414" w:leftChars="102" w:hanging="1200" w:hangingChars="50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4" name="000263"/>
                <wp:cNvGraphicFramePr/>
                <a:graphic xmlns:a="http://schemas.openxmlformats.org/drawingml/2006/main">
                  <a:graphicData uri="http://schemas.microsoft.com/office/word/2010/wordprocessingShape">
                    <wps:wsp>
                      <wps:cNvSpPr/>
                      <wps:spPr>
                        <a:xfrm>
                          <a:off x="0" y="0"/>
                          <a:ext cx="914400" cy="415925"/>
                        </a:xfrm>
                        <a:prstGeom prst="rect">
                          <a:avLst/>
                        </a:prstGeom>
                        <a:ln>
                          <a:noFill/>
                        </a:ln>
                      </wps:spPr>
                      <wps:txbx>
                        <w:txbxContent>
                          <w:p w14:paraId="3E1D1D7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wps:txbx>
                      <wps:bodyPr wrap="square"/>
                    </wps:wsp>
                  </a:graphicData>
                </a:graphic>
              </wp:anchor>
            </w:drawing>
          </mc:Choice>
          <mc:Fallback>
            <w:pict>
              <v:rect id="000263" o:spid="_x0000_s1026" o:spt="1" style="position:absolute;left:0pt;margin-left:-9pt;margin-top:1pt;height:32.75pt;width:72pt;z-index:251659264;mso-width-relative:page;mso-height-relative:page;" filled="f" stroked="f" coordsize="21600,21600" o:gfxdata="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uJzEd2QAAAAgBAAAPAAAAAAAAAAEAIAAAACIA&#10;AABkcnMvZG93bnJldi54bWxQSwECFAAUAAAACACHTuJAdkAxnpYBAAA4AwAADgAAAAAAAAABACAA&#10;AAAoAQAAZHJzL2Uyb0RvYy54bWxQSwUGAAAAAAYABgBZAQAAMAUAAAAA&#10;">
                <v:fill on="f" focussize="0,0"/>
                <v:stroke on="f"/>
                <v:imagedata o:title=""/>
                <o:lock v:ext="edit" aspectratio="f"/>
                <v:textbox>
                  <w:txbxContent>
                    <w:p w14:paraId="3E1D1D7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v:textbox>
              </v:rect>
            </w:pict>
          </mc:Fallback>
        </mc:AlternateContent>
      </w:r>
      <w:r>
        <w:rPr>
          <w:rFonts w:hint="eastAsia" w:ascii="宋体" w:hAnsi="宋体" w:eastAsia="宋体" w:cs="宋体"/>
          <w:color w:val="auto"/>
          <w:sz w:val="24"/>
          <w:highlight w:val="none"/>
        </w:rPr>
        <w:t xml:space="preserve">          发包人向承包人的索赔不成立时，发包人应赔偿承包人由此发 生的费用。</w:t>
      </w:r>
    </w:p>
    <w:p w14:paraId="781A2F2D">
      <w:pPr>
        <w:adjustRightInd w:val="0"/>
        <w:snapToGrid w:val="0"/>
        <w:spacing w:line="300" w:lineRule="auto"/>
        <w:rPr>
          <w:rFonts w:ascii="宋体" w:hAnsi="宋体" w:eastAsia="宋体" w:cs="宋体"/>
          <w:b/>
          <w:bCs/>
          <w:color w:val="auto"/>
          <w:sz w:val="24"/>
          <w:highlight w:val="none"/>
          <w:u w:val="dotted"/>
        </w:rPr>
      </w:pPr>
      <w:bookmarkStart w:id="216" w:name="_Toc46860898"/>
      <w:bookmarkStart w:id="217" w:name="_Toc489260631"/>
    </w:p>
    <w:p w14:paraId="1AD85FE9">
      <w:pPr>
        <w:spacing w:line="300" w:lineRule="auto"/>
        <w:ind w:left="210" w:leftChars="100"/>
        <w:outlineLvl w:val="2"/>
        <w:rPr>
          <w:rFonts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92  除外责任</w:t>
      </w:r>
      <w:bookmarkEnd w:id="216"/>
      <w:bookmarkEnd w:id="217"/>
    </w:p>
    <w:p w14:paraId="63556B04">
      <w:pPr>
        <w:adjustRightInd w:val="0"/>
        <w:snapToGrid w:val="0"/>
        <w:spacing w:line="300" w:lineRule="auto"/>
        <w:ind w:left="1560" w:leftChars="400" w:hanging="720" w:hangingChars="30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425" name="000264"/>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30FB564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wrap="square"/>
                    </wps:wsp>
                  </a:graphicData>
                </a:graphic>
              </wp:anchor>
            </w:drawing>
          </mc:Choice>
          <mc:Fallback>
            <w:pict>
              <v:rect id="000264" o:spid="_x0000_s1026" o:spt="1" style="position:absolute;left:0pt;margin-left:-9pt;margin-top:1.25pt;height:31.2pt;width:72pt;z-index:251659264;mso-width-relative:page;mso-height-relative:page;" filled="f" stroked="f" coordsize="21600,21600" o:gfxdata="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H2cf/YAAAACAEAAA8AAAAAAAAAAQAgAAAAIgAA&#10;AGRycy9kb3ducmV2LnhtbFBLAQIUABQAAAAIAIdO4kDMXQCMlgEAADgDAAAOAAAAAAAAAAEAIAAA&#10;ACcBAABkcnMvZTJvRG9jLnhtbFBLBQYAAAAABgAGAFkBAAAvBQAAAAA=&#10;">
                <v:fill on="f" focussize="0,0"/>
                <v:stroke on="f"/>
                <v:imagedata o:title=""/>
                <o:lock v:ext="edit" aspectratio="f"/>
                <v:textbox>
                  <w:txbxContent>
                    <w:p w14:paraId="30FB564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rect>
            </w:pict>
          </mc:Fallback>
        </mc:AlternateContent>
      </w:r>
      <w:r>
        <w:rPr>
          <w:rFonts w:hint="eastAsia" w:ascii="宋体" w:hAnsi="宋体" w:eastAsia="宋体" w:cs="宋体"/>
          <w:color w:val="auto"/>
          <w:sz w:val="24"/>
          <w:highlight w:val="none"/>
        </w:rPr>
        <w:t xml:space="preserve">      非承包人的原因，且承包人无过错，而产生的各类损失，承包 人不承担赔偿责任。</w:t>
      </w:r>
    </w:p>
    <w:p w14:paraId="3EE82B05">
      <w:pPr>
        <w:adjustRightInd w:val="0"/>
        <w:snapToGrid w:val="0"/>
        <w:spacing w:line="300" w:lineRule="auto"/>
        <w:ind w:left="1556" w:leftChars="741"/>
        <w:rPr>
          <w:rFonts w:ascii="宋体" w:hAnsi="宋体" w:eastAsia="宋体" w:cs="宋体"/>
          <w:color w:val="auto"/>
          <w:sz w:val="24"/>
          <w:highlight w:val="none"/>
        </w:rPr>
      </w:pPr>
      <w:r>
        <w:rPr>
          <w:rFonts w:hint="eastAsia" w:ascii="宋体" w:hAnsi="宋体" w:eastAsia="宋体" w:cs="宋体"/>
          <w:color w:val="auto"/>
          <w:sz w:val="24"/>
          <w:highlight w:val="none"/>
        </w:rPr>
        <w:t>因不可抗力导致本合同全部或部分不能履行时，双方各自承担其因此而造成的损失、损害。</w:t>
      </w:r>
    </w:p>
    <w:p w14:paraId="0CC3C61D">
      <w:pPr>
        <w:spacing w:line="300" w:lineRule="auto"/>
        <w:rPr>
          <w:rFonts w:ascii="宋体" w:hAnsi="宋体" w:eastAsia="宋体" w:cs="宋体"/>
          <w:color w:val="auto"/>
          <w:sz w:val="24"/>
          <w:highlight w:val="none"/>
        </w:rPr>
      </w:pPr>
    </w:p>
    <w:p w14:paraId="59588150">
      <w:pPr>
        <w:pStyle w:val="24"/>
        <w:adjustRightInd w:val="0"/>
        <w:snapToGrid w:val="0"/>
        <w:spacing w:line="300" w:lineRule="auto"/>
        <w:ind w:right="-238"/>
        <w:rPr>
          <w:rFonts w:hAnsi="宋体" w:eastAsia="宋体" w:cs="宋体"/>
          <w:color w:val="auto"/>
          <w:sz w:val="24"/>
          <w:szCs w:val="24"/>
          <w:highlight w:val="none"/>
          <w:u w:val="single"/>
        </w:rPr>
      </w:pPr>
      <w:r>
        <w:rPr>
          <w:rFonts w:hint="eastAsia" w:hAnsi="宋体" w:eastAsia="宋体" w:cs="宋体"/>
          <w:color w:val="auto"/>
          <w:sz w:val="24"/>
          <w:szCs w:val="24"/>
          <w:highlight w:val="none"/>
          <w:u w:val="single"/>
        </w:rPr>
        <w:t xml:space="preserve">                                                                                 </w:t>
      </w:r>
    </w:p>
    <w:p w14:paraId="5295CB86">
      <w:pPr>
        <w:pStyle w:val="24"/>
        <w:adjustRightInd w:val="0"/>
        <w:snapToGrid w:val="0"/>
        <w:spacing w:line="300" w:lineRule="auto"/>
        <w:ind w:firstLine="3004" w:firstLineChars="1247"/>
        <w:outlineLvl w:val="1"/>
        <w:rPr>
          <w:rFonts w:hAnsi="宋体" w:eastAsia="宋体" w:cs="宋体"/>
          <w:b/>
          <w:bCs/>
          <w:color w:val="auto"/>
          <w:sz w:val="24"/>
          <w:szCs w:val="24"/>
          <w:highlight w:val="none"/>
        </w:rPr>
      </w:pPr>
      <w:bookmarkStart w:id="218" w:name="_Toc469384074"/>
      <w:bookmarkStart w:id="219" w:name="_Toc46860899"/>
      <w:r>
        <w:rPr>
          <w:rFonts w:hint="eastAsia" w:hAnsi="宋体" w:eastAsia="宋体" w:cs="宋体"/>
          <w:b/>
          <w:bCs/>
          <w:color w:val="auto"/>
          <w:sz w:val="24"/>
          <w:szCs w:val="24"/>
          <w:highlight w:val="none"/>
        </w:rPr>
        <w:t>九、其  他</w:t>
      </w:r>
      <w:bookmarkEnd w:id="218"/>
      <w:bookmarkEnd w:id="219"/>
    </w:p>
    <w:p w14:paraId="2323C5EB">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20" w:name="_Toc469384075"/>
      <w:bookmarkStart w:id="221" w:name="_Toc46860900"/>
      <w:r>
        <w:rPr>
          <w:rFonts w:hint="eastAsia" w:hAnsi="宋体" w:eastAsia="宋体" w:cs="宋体"/>
          <w:b/>
          <w:bCs/>
          <w:color w:val="auto"/>
          <w:sz w:val="24"/>
          <w:szCs w:val="24"/>
          <w:highlight w:val="none"/>
        </w:rPr>
        <w:t>93  缴纳税费</w:t>
      </w:r>
      <w:bookmarkEnd w:id="220"/>
      <w:bookmarkEnd w:id="221"/>
    </w:p>
    <w:p w14:paraId="001A3E18">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93.1      </w:t>
      </w:r>
    </w:p>
    <w:p w14:paraId="638257C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w:t>
      </w: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426" name="000265"/>
                <wp:cNvGraphicFramePr/>
                <a:graphic xmlns:a="http://schemas.openxmlformats.org/drawingml/2006/main">
                  <a:graphicData uri="http://schemas.microsoft.com/office/word/2010/wordprocessingShape">
                    <wps:wsp>
                      <wps:cNvSpPr/>
                      <wps:spPr>
                        <a:xfrm>
                          <a:off x="0" y="0"/>
                          <a:ext cx="914400" cy="484504"/>
                        </a:xfrm>
                        <a:prstGeom prst="rect">
                          <a:avLst/>
                        </a:prstGeom>
                        <a:ln>
                          <a:noFill/>
                        </a:ln>
                      </wps:spPr>
                      <wps:txbx>
                        <w:txbxContent>
                          <w:p w14:paraId="317DDEEF">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wrap="square"/>
                    </wps:wsp>
                  </a:graphicData>
                </a:graphic>
              </wp:anchor>
            </w:drawing>
          </mc:Choice>
          <mc:Fallback>
            <w:pict>
              <v:rect id="000265" o:spid="_x0000_s1026" o:spt="1" style="position:absolute;left:0pt;margin-left:-9pt;margin-top:0.05pt;height:38.15pt;width:72pt;z-index:251659264;mso-width-relative:page;mso-height-relative:page;" filled="f" stroked="f" coordsize="21600,21600" o:gfxdata="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FyYz8/WAAAABwEAAA8AAAAAAAAAAQAgAAAAIgAAAGRy&#10;cy9kb3ducmV2LnhtbFBLAQIUABQAAAAIAIdO4kA2iitvlQEAADgDAAAOAAAAAAAAAAEAIAAAACUB&#10;AABkcnMvZTJvRG9jLnhtbFBLBQYAAAAABgAGAFkBAAAsBQAAAAA=&#10;">
                <v:fill on="f" focussize="0,0"/>
                <v:stroke on="f"/>
                <v:imagedata o:title=""/>
                <o:lock v:ext="edit" aspectratio="f"/>
                <v:textbox>
                  <w:txbxContent>
                    <w:p w14:paraId="317DDEEF">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rect>
            </w:pict>
          </mc:Fallback>
        </mc:AlternateContent>
      </w:r>
      <w:r>
        <w:rPr>
          <w:rFonts w:hint="eastAsia" w:hAnsi="宋体" w:eastAsia="宋体" w:cs="宋体"/>
          <w:color w:val="auto"/>
          <w:sz w:val="24"/>
          <w:szCs w:val="24"/>
          <w:highlight w:val="none"/>
        </w:rPr>
        <w:t>应按照国家现行税法和有关部门现行规定缴纳合同工程需缴的一切税费。</w:t>
      </w:r>
    </w:p>
    <w:p w14:paraId="39F1549B">
      <w:pPr>
        <w:pStyle w:val="24"/>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93.2  </w:t>
      </w:r>
      <w:r>
        <w:rPr>
          <w:rFonts w:hint="eastAsia" w:hAnsi="宋体" w:eastAsia="宋体" w:cs="宋体"/>
          <w:b/>
          <w:bCs/>
          <w:color w:val="auto"/>
          <w:sz w:val="24"/>
          <w:szCs w:val="24"/>
          <w:highlight w:val="none"/>
          <w:u w:val="dotted"/>
        </w:rPr>
        <w:t xml:space="preserve">                                                                                                        </w:t>
      </w:r>
    </w:p>
    <w:p w14:paraId="32B3807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31750</wp:posOffset>
                </wp:positionV>
                <wp:extent cx="914400" cy="396240"/>
                <wp:effectExtent l="0" t="0" r="0" b="0"/>
                <wp:wrapNone/>
                <wp:docPr id="1427" name="000266"/>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79FDD6B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wrap="square"/>
                    </wps:wsp>
                  </a:graphicData>
                </a:graphic>
              </wp:anchor>
            </w:drawing>
          </mc:Choice>
          <mc:Fallback>
            <w:pict>
              <v:rect id="000266" o:spid="_x0000_s1026" o:spt="1" style="position:absolute;left:0pt;margin-left:-9pt;margin-top:2.5pt;height:31.2pt;width:72pt;z-index:251659264;mso-width-relative:page;mso-height-relative:page;" filled="f" stroked="f" coordsize="21600,21600" o:gfxdata="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pzuH+2QAAAAgBAAAPAAAAAAAAAAEAIAAAACIA&#10;AABkcnMvZG93bnJldi54bWxQSwECFAAUAAAACACHTuJAquZ6WZYBAAA4AwAADgAAAAAAAAABACAA&#10;AAAoAQAAZHJzL2Uyb0RvYy54bWxQSwUGAAAAAAYABgBZAQAAMAUAAAAA&#10;">
                <v:fill on="f" focussize="0,0"/>
                <v:stroke on="f"/>
                <v:imagedata o:title=""/>
                <o:lock v:ext="edit" aspectratio="f"/>
                <v:textbox>
                  <w:txbxContent>
                    <w:p w14:paraId="79FDD6B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rect>
            </w:pict>
          </mc:Fallback>
        </mc:AlternateContent>
      </w:r>
      <w:r>
        <w:rPr>
          <w:rFonts w:hint="eastAsia" w:hAnsi="宋体" w:eastAsia="宋体" w:cs="宋体"/>
          <w:color w:val="auto"/>
          <w:sz w:val="24"/>
          <w:szCs w:val="24"/>
          <w:highlight w:val="none"/>
        </w:rPr>
        <w:t>合同任何一方当事人没交或少交合同工程需缴税费的，违法方应足额补交，并承担相应的法律责任；给另一方当事人造成损失的，违法方应赔偿损失。</w:t>
      </w:r>
    </w:p>
    <w:p w14:paraId="5E4BFF85">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361AED4">
      <w:pPr>
        <w:pStyle w:val="24"/>
        <w:tabs>
          <w:tab w:val="left" w:pos="540"/>
        </w:tabs>
        <w:adjustRightInd w:val="0"/>
        <w:snapToGrid w:val="0"/>
        <w:spacing w:before="240" w:beforeLines="100" w:line="300" w:lineRule="auto"/>
        <w:rPr>
          <w:rFonts w:hAnsi="宋体" w:eastAsia="宋体" w:cs="宋体"/>
          <w:b/>
          <w:bCs/>
          <w:color w:val="auto"/>
          <w:sz w:val="24"/>
          <w:szCs w:val="24"/>
          <w:highlight w:val="none"/>
        </w:rPr>
      </w:pPr>
      <w:bookmarkStart w:id="222" w:name="_Toc469384076"/>
      <w:bookmarkStart w:id="223" w:name="_Toc46860901"/>
    </w:p>
    <w:p w14:paraId="52CC3FE4">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r>
        <w:rPr>
          <w:rFonts w:hint="eastAsia" w:hAnsi="宋体" w:eastAsia="宋体" w:cs="宋体"/>
          <w:b/>
          <w:bCs/>
          <w:color w:val="auto"/>
          <w:sz w:val="24"/>
          <w:szCs w:val="24"/>
          <w:highlight w:val="none"/>
        </w:rPr>
        <w:t>94  保密要求</w:t>
      </w:r>
      <w:bookmarkEnd w:id="222"/>
      <w:bookmarkEnd w:id="223"/>
    </w:p>
    <w:p w14:paraId="3674F026">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94.1    </w:t>
      </w:r>
    </w:p>
    <w:p w14:paraId="6F24DC4E">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428" name="000267"/>
                <wp:cNvGraphicFramePr/>
                <a:graphic xmlns:a="http://schemas.openxmlformats.org/drawingml/2006/main">
                  <a:graphicData uri="http://schemas.microsoft.com/office/word/2010/wordprocessingShape">
                    <wps:wsp>
                      <wps:cNvSpPr/>
                      <wps:spPr>
                        <a:xfrm>
                          <a:off x="0" y="0"/>
                          <a:ext cx="914400" cy="594360"/>
                        </a:xfrm>
                        <a:prstGeom prst="rect">
                          <a:avLst/>
                        </a:prstGeom>
                        <a:ln>
                          <a:noFill/>
                        </a:ln>
                      </wps:spPr>
                      <wps:txbx>
                        <w:txbxContent>
                          <w:p w14:paraId="00039CC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wps:txbx>
                      <wps:bodyPr wrap="square"/>
                    </wps:wsp>
                  </a:graphicData>
                </a:graphic>
              </wp:anchor>
            </w:drawing>
          </mc:Choice>
          <mc:Fallback>
            <w:pict>
              <v:rect id="000267" o:spid="_x0000_s1026" o:spt="1" style="position:absolute;left:0pt;margin-left:-9pt;margin-top:2.7pt;height:46.8pt;width:72pt;z-index:251659264;mso-width-relative:page;mso-height-relative:page;" filled="f" stroked="f" coordsize="21600,21600" o:gfxdata="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VXzR62AAAAAgBAAAPAAAAAAAAAAEAIAAAACIA&#10;AABkcnMvZG93bnJldi54bWxQSwECFAAUAAAACACHTuJAa+RQ/pcBAAA4AwAADgAAAAAAAAABACAA&#10;AAAnAQAAZHJzL2Uyb0RvYy54bWxQSwUGAAAAAAYABgBZAQAAMAUAAAAA&#10;">
                <v:fill on="f" focussize="0,0"/>
                <v:stroke on="f"/>
                <v:imagedata o:title=""/>
                <o:lock v:ext="edit" aspectratio="f"/>
                <v:textbox>
                  <w:txbxContent>
                    <w:p w14:paraId="00039CC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v:textbox>
              </v:rect>
            </w:pict>
          </mc:Fallback>
        </mc:AlternateContent>
      </w:r>
      <w:r>
        <w:rPr>
          <w:rFonts w:hint="eastAsia" w:hAnsi="宋体" w:eastAsia="宋体" w:cs="宋体"/>
          <w:color w:val="auto"/>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14:paraId="268B3919">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94.2  </w:t>
      </w:r>
      <w:r>
        <w:rPr>
          <w:rFonts w:hint="eastAsia" w:hAnsi="宋体" w:eastAsia="宋体" w:cs="宋体"/>
          <w:b/>
          <w:bCs/>
          <w:color w:val="auto"/>
          <w:sz w:val="24"/>
          <w:szCs w:val="24"/>
          <w:highlight w:val="none"/>
          <w:u w:val="dotted"/>
        </w:rPr>
        <w:t xml:space="preserve">                                                                                                        </w:t>
      </w:r>
    </w:p>
    <w:p w14:paraId="1D0A9038">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429" name="000268"/>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4D2EE9E6">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wrap="square"/>
                    </wps:wsp>
                  </a:graphicData>
                </a:graphic>
              </wp:anchor>
            </w:drawing>
          </mc:Choice>
          <mc:Fallback>
            <w:pict>
              <v:rect id="000268" o:spid="_x0000_s1026" o:spt="1" style="position:absolute;left:0pt;margin-left:-9pt;margin-top:5.4pt;height:39pt;width:72pt;z-index:251659264;mso-width-relative:page;mso-height-relative:page;" filled="f" stroked="f" coordsize="21600,21600" o:gfxdata="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brVLKtgAAAAJAQAADwAAAAAAAAABACAAAAAiAAAA&#10;ZHJzL2Rvd25yZXYueG1sUEsBAhQAFAAAAAgAh07iQDfzxGqVAQAAOAMAAA4AAAAAAAAAAQAgAAAA&#10;JwEAAGRycy9lMm9Eb2MueG1sUEsFBgAAAAAGAAYAWQEAAC4FAAAAAA==&#10;">
                <v:fill on="f" focussize="0,0"/>
                <v:stroke on="f"/>
                <v:imagedata o:title=""/>
                <o:lock v:ext="edit" aspectratio="f"/>
                <v:textbox>
                  <w:txbxContent>
                    <w:p w14:paraId="4D2EE9E6">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rect>
            </w:pict>
          </mc:Fallback>
        </mc:AlternateContent>
      </w:r>
      <w:r>
        <w:rPr>
          <w:rFonts w:hint="eastAsia" w:hAnsi="宋体" w:eastAsia="宋体" w:cs="宋体"/>
          <w:color w:val="auto"/>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1BEE713D">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94.3  </w:t>
      </w:r>
      <w:r>
        <w:rPr>
          <w:rFonts w:hint="eastAsia" w:hAnsi="宋体" w:eastAsia="宋体" w:cs="宋体"/>
          <w:b/>
          <w:bCs/>
          <w:color w:val="auto"/>
          <w:sz w:val="24"/>
          <w:szCs w:val="24"/>
          <w:highlight w:val="none"/>
          <w:u w:val="dotted"/>
        </w:rPr>
        <w:t xml:space="preserve">                                                                                                       </w:t>
      </w:r>
    </w:p>
    <w:p w14:paraId="3C5856BB">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430" name="000269"/>
                <wp:cNvGraphicFramePr/>
                <a:graphic xmlns:a="http://schemas.openxmlformats.org/drawingml/2006/main">
                  <a:graphicData uri="http://schemas.microsoft.com/office/word/2010/wordprocessingShape">
                    <wps:wsp>
                      <wps:cNvSpPr/>
                      <wps:spPr>
                        <a:xfrm>
                          <a:off x="0" y="0"/>
                          <a:ext cx="1028700" cy="300990"/>
                        </a:xfrm>
                        <a:prstGeom prst="rect">
                          <a:avLst/>
                        </a:prstGeom>
                        <a:ln>
                          <a:noFill/>
                        </a:ln>
                      </wps:spPr>
                      <wps:txbx>
                        <w:txbxContent>
                          <w:p w14:paraId="61DC745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wrap="square"/>
                    </wps:wsp>
                  </a:graphicData>
                </a:graphic>
              </wp:anchor>
            </w:drawing>
          </mc:Choice>
          <mc:Fallback>
            <w:pict>
              <v:rect id="000269" o:spid="_x0000_s1026" o:spt="1" style="position:absolute;left:0pt;margin-left:-9pt;margin-top:0.25pt;height:23.7pt;width:81pt;z-index:251659264;mso-width-relative:page;mso-height-relative:page;" filled="f" stroked="f" coordsize="21600,21600" o:gfxdata="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PLDx0zYAAAABwEAAA8AAAAAAAAAAQAgAAAAIgAA&#10;AGRycy9kb3ducmV2LnhtbFBLAQIUABQAAAAIAIdO4kDh+r2HlgEAADkDAAAOAAAAAAAAAAEAIAAA&#10;ACcBAABkcnMvZTJvRG9jLnhtbFBLBQYAAAAABgAGAFkBAAAvBQAAAAA=&#10;">
                <v:fill on="f" focussize="0,0"/>
                <v:stroke on="f"/>
                <v:imagedata o:title=""/>
                <o:lock v:ext="edit" aspectratio="f"/>
                <v:textbox>
                  <w:txbxContent>
                    <w:p w14:paraId="61DC745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rect>
            </w:pict>
          </mc:Fallback>
        </mc:AlternateContent>
      </w:r>
      <w:r>
        <w:rPr>
          <w:rFonts w:hint="eastAsia" w:hAnsi="宋体" w:eastAsia="宋体" w:cs="宋体"/>
          <w:color w:val="auto"/>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7DC16E0F">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94.4  </w:t>
      </w:r>
      <w:r>
        <w:rPr>
          <w:rFonts w:hint="eastAsia" w:hAnsi="宋体" w:eastAsia="宋体" w:cs="宋体"/>
          <w:b/>
          <w:bCs/>
          <w:color w:val="auto"/>
          <w:sz w:val="24"/>
          <w:szCs w:val="24"/>
          <w:highlight w:val="none"/>
          <w:u w:val="dotted"/>
        </w:rPr>
        <w:t xml:space="preserve">                                                                                                      </w:t>
      </w:r>
    </w:p>
    <w:p w14:paraId="3ACC2410">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1431" name="00026a"/>
                <wp:cNvGraphicFramePr/>
                <a:graphic xmlns:a="http://schemas.openxmlformats.org/drawingml/2006/main">
                  <a:graphicData uri="http://schemas.microsoft.com/office/word/2010/wordprocessingShape">
                    <wps:wsp>
                      <wps:cNvSpPr/>
                      <wps:spPr>
                        <a:xfrm>
                          <a:off x="0" y="0"/>
                          <a:ext cx="914400" cy="727710"/>
                        </a:xfrm>
                        <a:prstGeom prst="rect">
                          <a:avLst/>
                        </a:prstGeom>
                        <a:ln>
                          <a:noFill/>
                        </a:ln>
                      </wps:spPr>
                      <wps:txbx>
                        <w:txbxContent>
                          <w:p w14:paraId="27037D0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wrap="square"/>
                    </wps:wsp>
                  </a:graphicData>
                </a:graphic>
              </wp:anchor>
            </w:drawing>
          </mc:Choice>
          <mc:Fallback>
            <w:pict>
              <v:rect id="00026a" o:spid="_x0000_s1026" o:spt="1" style="position:absolute;left:0pt;margin-left:-9pt;margin-top:5.15pt;height:57.3pt;width:72pt;z-index:251659264;mso-width-relative:page;mso-height-relative:page;" filled="f" stroked="f" coordsize="21600,21600" o:gfxdata="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LjZBW2QAAAAoBAAAPAAAAAAAAAAEAIAAAACIA&#10;AABkcnMvZG93bnJldi54bWxQSwECFAAUAAAACACHTuJAJP3bkJYBAAA4AwAADgAAAAAAAAABACAA&#10;AAAoAQAAZHJzL2Uyb0RvYy54bWxQSwUGAAAAAAYABgBZAQAAMAUAAAAA&#10;">
                <v:fill on="f" focussize="0,0"/>
                <v:stroke on="f"/>
                <v:imagedata o:title=""/>
                <o:lock v:ext="edit" aspectratio="f"/>
                <v:textbox>
                  <w:txbxContent>
                    <w:p w14:paraId="27037D0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rect>
            </w:pict>
          </mc:Fallback>
        </mc:AlternateContent>
      </w:r>
      <w:r>
        <w:rPr>
          <w:rFonts w:hint="eastAsia" w:hAnsi="宋体" w:eastAsia="宋体" w:cs="宋体"/>
          <w:color w:val="auto"/>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678953AC">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94.5  </w:t>
      </w:r>
      <w:r>
        <w:rPr>
          <w:rFonts w:hint="eastAsia" w:hAnsi="宋体" w:eastAsia="宋体" w:cs="宋体"/>
          <w:b/>
          <w:bCs/>
          <w:color w:val="auto"/>
          <w:sz w:val="24"/>
          <w:szCs w:val="24"/>
          <w:highlight w:val="none"/>
          <w:u w:val="dotted"/>
        </w:rPr>
        <w:t xml:space="preserve">                                                                                                        </w:t>
      </w:r>
    </w:p>
    <w:p w14:paraId="6128472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1432" name="00026b"/>
                <wp:cNvGraphicFramePr/>
                <a:graphic xmlns:a="http://schemas.openxmlformats.org/drawingml/2006/main">
                  <a:graphicData uri="http://schemas.microsoft.com/office/word/2010/wordprocessingShape">
                    <wps:wsp>
                      <wps:cNvSpPr/>
                      <wps:spPr>
                        <a:xfrm>
                          <a:off x="0" y="0"/>
                          <a:ext cx="914400" cy="495300"/>
                        </a:xfrm>
                        <a:prstGeom prst="rect">
                          <a:avLst/>
                        </a:prstGeom>
                        <a:ln>
                          <a:noFill/>
                        </a:ln>
                      </wps:spPr>
                      <wps:txbx>
                        <w:txbxContent>
                          <w:p w14:paraId="73C744E6">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wrap="square"/>
                    </wps:wsp>
                  </a:graphicData>
                </a:graphic>
              </wp:anchor>
            </w:drawing>
          </mc:Choice>
          <mc:Fallback>
            <w:pict>
              <v:rect id="00026b" o:spid="_x0000_s1026" o:spt="1" style="position:absolute;left:0pt;margin-left:-9pt;margin-top:1.75pt;height:39pt;width:72pt;z-index:251659264;mso-width-relative:page;mso-height-relative:page;" filled="f" stroked="f" coordsize="21600,21600" o:gfxdata="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li0NZ9gAAAAIAQAADwAAAAAAAAABACAAAAAiAAAA&#10;ZHJzL2Rvd25yZXYueG1sUEsBAhQAFAAAAAgAh07iQAxClk2VAQAAOAMAAA4AAAAAAAAAAQAgAAAA&#10;JwEAAGRycy9lMm9Eb2MueG1sUEsFBgAAAAAGAAYAWQEAAC4FAAAAAA==&#10;">
                <v:fill on="f" focussize="0,0"/>
                <v:stroke on="f"/>
                <v:imagedata o:title=""/>
                <o:lock v:ext="edit" aspectratio="f"/>
                <v:textbox>
                  <w:txbxContent>
                    <w:p w14:paraId="73C744E6">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rect>
            </w:pict>
          </mc:Fallback>
        </mc:AlternateContent>
      </w:r>
      <w:r>
        <w:rPr>
          <w:rFonts w:hint="eastAsia" w:hAnsi="宋体" w:eastAsia="宋体" w:cs="宋体"/>
          <w:color w:val="auto"/>
          <w:sz w:val="24"/>
          <w:szCs w:val="24"/>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14:paraId="4499AC92">
      <w:pPr>
        <w:pStyle w:val="24"/>
        <w:numPr>
          <w:ilvl w:val="0"/>
          <w:numId w:val="29"/>
        </w:numPr>
        <w:tabs>
          <w:tab w:val="left" w:pos="1620"/>
          <w:tab w:val="left" w:pos="2340"/>
          <w:tab w:val="left" w:pos="270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提供前已由合同双方当事人所持有的；</w:t>
      </w:r>
    </w:p>
    <w:p w14:paraId="667C9826">
      <w:pPr>
        <w:pStyle w:val="24"/>
        <w:numPr>
          <w:ilvl w:val="0"/>
          <w:numId w:val="29"/>
        </w:numPr>
        <w:tabs>
          <w:tab w:val="left" w:pos="1620"/>
          <w:tab w:val="left" w:pos="2340"/>
          <w:tab w:val="left" w:pos="270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已公开发表或非对方当事人原因向公众公开的；</w:t>
      </w:r>
    </w:p>
    <w:p w14:paraId="3419FF27">
      <w:pPr>
        <w:pStyle w:val="24"/>
        <w:numPr>
          <w:ilvl w:val="0"/>
          <w:numId w:val="29"/>
        </w:numPr>
        <w:tabs>
          <w:tab w:val="left" w:pos="1620"/>
          <w:tab w:val="left" w:pos="2340"/>
          <w:tab w:val="left" w:pos="270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已由各相关方书面同意其公开的；</w:t>
      </w:r>
    </w:p>
    <w:p w14:paraId="16559D13">
      <w:pPr>
        <w:pStyle w:val="24"/>
        <w:numPr>
          <w:ilvl w:val="0"/>
          <w:numId w:val="29"/>
        </w:numPr>
        <w:tabs>
          <w:tab w:val="left" w:pos="1620"/>
          <w:tab w:val="left" w:pos="2340"/>
          <w:tab w:val="left" w:pos="270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在未获取保密信息前由对方当事人独立开发的；</w:t>
      </w:r>
    </w:p>
    <w:p w14:paraId="337AB37C">
      <w:pPr>
        <w:pStyle w:val="24"/>
        <w:numPr>
          <w:ilvl w:val="0"/>
          <w:numId w:val="29"/>
        </w:numPr>
        <w:tabs>
          <w:tab w:val="left" w:pos="1620"/>
          <w:tab w:val="left" w:pos="2340"/>
          <w:tab w:val="left" w:pos="270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对方当事人从对保密信息不承担保密义务的第三方处合法获得的。</w:t>
      </w:r>
    </w:p>
    <w:p w14:paraId="684AE9C8">
      <w:pPr>
        <w:pStyle w:val="24"/>
        <w:tabs>
          <w:tab w:val="left" w:pos="1620"/>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2529F65">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24" w:name="_Toc46860902"/>
      <w:bookmarkStart w:id="225" w:name="_Toc469384077"/>
      <w:r>
        <w:rPr>
          <w:rFonts w:hint="eastAsia" w:hAnsi="宋体" w:eastAsia="宋体" w:cs="宋体"/>
          <w:b/>
          <w:bCs/>
          <w:color w:val="auto"/>
          <w:sz w:val="24"/>
          <w:szCs w:val="24"/>
          <w:highlight w:val="none"/>
        </w:rPr>
        <w:t>95 廉政建设</w:t>
      </w:r>
      <w:bookmarkEnd w:id="224"/>
      <w:bookmarkEnd w:id="225"/>
    </w:p>
    <w:p w14:paraId="7C22E0D1">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95.1     </w:t>
      </w:r>
    </w:p>
    <w:p w14:paraId="3FF39CA5">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1433" name="00026c"/>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6AE4B33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wrap="square"/>
                    </wps:wsp>
                  </a:graphicData>
                </a:graphic>
              </wp:anchor>
            </w:drawing>
          </mc:Choice>
          <mc:Fallback>
            <w:pict>
              <v:rect id="00026c" o:spid="_x0000_s1026" o:spt="1" style="position:absolute;left:0pt;margin-left:-9pt;margin-top:1.25pt;height:23.4pt;width:63pt;z-index:251659264;mso-width-relative:page;mso-height-relative:page;" filled="f" stroked="f" coordsize="21600,21600" o:gfxdata="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&#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C77tHtgAAAAIAQAADwAAAAAAAAABACAAAAAiAAAA&#10;ZHJzL2Rvd25yZXYueG1sUEsBAhQAFAAAAAgAh07iQC3xXBmVAQAAOAMAAA4AAAAAAAAAAQAgAAAA&#10;JwEAAGRycy9lMm9Eb2MueG1sUEsFBgAAAAAGAAYAWQEAAC4FAAAAAA==&#10;">
                <v:fill on="f" focussize="0,0"/>
                <v:stroke on="f"/>
                <v:imagedata o:title=""/>
                <o:lock v:ext="edit" aspectratio="f"/>
                <v:textbox>
                  <w:txbxContent>
                    <w:p w14:paraId="6AE4B33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rect>
            </w:pict>
          </mc:Fallback>
        </mc:AlternateContent>
      </w:r>
      <w:r>
        <w:rPr>
          <w:rFonts w:hint="eastAsia" w:hAnsi="宋体" w:eastAsia="宋体" w:cs="宋体"/>
          <w:color w:val="auto"/>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14:paraId="6EBAB3E1">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95.2  </w:t>
      </w:r>
      <w:r>
        <w:rPr>
          <w:rFonts w:hint="eastAsia" w:hAnsi="宋体" w:eastAsia="宋体" w:cs="宋体"/>
          <w:b/>
          <w:bCs/>
          <w:color w:val="auto"/>
          <w:sz w:val="24"/>
          <w:szCs w:val="24"/>
          <w:highlight w:val="none"/>
          <w:u w:val="dotted"/>
        </w:rPr>
        <w:t xml:space="preserve">                                                                                                       </w:t>
      </w:r>
    </w:p>
    <w:p w14:paraId="07347803">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1434" name="00026d"/>
                <wp:cNvGraphicFramePr/>
                <a:graphic xmlns:a="http://schemas.openxmlformats.org/drawingml/2006/main">
                  <a:graphicData uri="http://schemas.microsoft.com/office/word/2010/wordprocessingShape">
                    <wps:wsp>
                      <wps:cNvSpPr/>
                      <wps:spPr>
                        <a:xfrm>
                          <a:off x="0" y="0"/>
                          <a:ext cx="800100" cy="316865"/>
                        </a:xfrm>
                        <a:prstGeom prst="rect">
                          <a:avLst/>
                        </a:prstGeom>
                        <a:ln>
                          <a:noFill/>
                        </a:ln>
                      </wps:spPr>
                      <wps:txbx>
                        <w:txbxContent>
                          <w:p w14:paraId="5910335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wrap="square"/>
                    </wps:wsp>
                  </a:graphicData>
                </a:graphic>
              </wp:anchor>
            </w:drawing>
          </mc:Choice>
          <mc:Fallback>
            <w:pict>
              <v:rect id="00026d" o:spid="_x0000_s1026" o:spt="1" style="position:absolute;left:0pt;margin-left:-9pt;margin-top:4.25pt;height:24.95pt;width:63pt;z-index:251659264;mso-width-relative:page;mso-height-relative:page;" filled="f" stroked="f" coordsize="21600,21600" o:gfxdata="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&#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JkIWajXAAAACAEAAA8AAAAAAAAAAQAgAAAAIgAAAGRy&#10;cy9kb3ducmV2LnhtbFBLAQIUABQAAAAIAIdO4kDaw/evlAEAADgDAAAOAAAAAAAAAAEAIAAAACYB&#10;AABkcnMvZTJvRG9jLnhtbFBLBQYAAAAABgAGAFkBAAAsBQAAAAA=&#10;">
                <v:fill on="f" focussize="0,0"/>
                <v:stroke on="f"/>
                <v:imagedata o:title=""/>
                <o:lock v:ext="edit" aspectratio="f"/>
                <v:textbox>
                  <w:txbxContent>
                    <w:p w14:paraId="5910335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rect>
            </w:pict>
          </mc:Fallback>
        </mc:AlternateContent>
      </w:r>
      <w:r>
        <w:rPr>
          <w:rFonts w:hint="eastAsia" w:hAnsi="宋体" w:eastAsia="宋体" w:cs="宋体"/>
          <w:color w:val="auto"/>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14:paraId="774C7A6F">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042FA91">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26" w:name="_Toc469384078"/>
      <w:bookmarkStart w:id="227" w:name="_Toc46860903"/>
      <w:r>
        <w:rPr>
          <w:rFonts w:hint="eastAsia" w:hAnsi="宋体" w:eastAsia="宋体" w:cs="宋体"/>
          <w:b/>
          <w:bCs/>
          <w:color w:val="auto"/>
          <w:sz w:val="24"/>
          <w:szCs w:val="24"/>
          <w:highlight w:val="none"/>
        </w:rPr>
        <w:t>96  禁止转让</w:t>
      </w:r>
      <w:bookmarkEnd w:id="226"/>
      <w:bookmarkEnd w:id="227"/>
    </w:p>
    <w:p w14:paraId="046537A4">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96.1     </w:t>
      </w:r>
    </w:p>
    <w:p w14:paraId="34A25499">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1435" name="00026e"/>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238C003B">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wps:txbx>
                      <wps:bodyPr wrap="square"/>
                    </wps:wsp>
                  </a:graphicData>
                </a:graphic>
              </wp:anchor>
            </w:drawing>
          </mc:Choice>
          <mc:Fallback>
            <w:pict>
              <v:rect id="00026e" o:spid="_x0000_s1026" o:spt="1" style="position:absolute;left:0pt;margin-left:-9pt;margin-top:1.25pt;height:23.4pt;width:63pt;z-index:251659264;mso-width-relative:page;mso-height-relative:page;" filled="f" stroked="f" coordsize="21600,21600" o:gfxdata="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&#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Lvu0e2AAAAAgBAAAPAAAAAAAAAAEAIAAAACIAAABk&#10;cnMvZG93bnJldi54bWxQSwECFAAUAAAACACHTuJAxjqivZQBAAA4AwAADgAAAAAAAAABACAAAAAn&#10;AQAAZHJzL2Uyb0RvYy54bWxQSwUGAAAAAAYABgBZAQAALQUAAAAA&#10;">
                <v:fill on="f" focussize="0,0"/>
                <v:stroke on="f"/>
                <v:imagedata o:title=""/>
                <o:lock v:ext="edit" aspectratio="f"/>
                <v:textbox>
                  <w:txbxContent>
                    <w:p w14:paraId="238C003B">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rect>
            </w:pict>
          </mc:Fallback>
        </mc:AlternateContent>
      </w:r>
      <w:r>
        <w:rPr>
          <w:rFonts w:hint="eastAsia" w:ascii="宋体" w:hAnsi="宋体" w:eastAsia="宋体" w:cs="宋体"/>
          <w:color w:val="auto"/>
          <w:sz w:val="24"/>
          <w:highlight w:val="none"/>
        </w:rPr>
        <w:t>本合同一经签署，合同双方当事人均应按照本合同规定行使各自的权利、履行各自的义务。</w:t>
      </w:r>
    </w:p>
    <w:p w14:paraId="35AF712C">
      <w:pPr>
        <w:pStyle w:val="24"/>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96.2  </w:t>
      </w:r>
      <w:r>
        <w:rPr>
          <w:rFonts w:hint="eastAsia" w:hAnsi="宋体" w:eastAsia="宋体" w:cs="宋体"/>
          <w:b/>
          <w:bCs/>
          <w:color w:val="auto"/>
          <w:sz w:val="24"/>
          <w:szCs w:val="24"/>
          <w:highlight w:val="none"/>
          <w:u w:val="dotted"/>
        </w:rPr>
        <w:t xml:space="preserve">                                                                                                       </w:t>
      </w:r>
    </w:p>
    <w:p w14:paraId="5A67106E">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1436" name="00026f"/>
                <wp:cNvGraphicFramePr/>
                <a:graphic xmlns:a="http://schemas.openxmlformats.org/drawingml/2006/main">
                  <a:graphicData uri="http://schemas.microsoft.com/office/word/2010/wordprocessingShape">
                    <wps:wsp>
                      <wps:cNvSpPr/>
                      <wps:spPr>
                        <a:xfrm>
                          <a:off x="0" y="0"/>
                          <a:ext cx="800100" cy="297180"/>
                        </a:xfrm>
                        <a:prstGeom prst="rect">
                          <a:avLst/>
                        </a:prstGeom>
                        <a:ln>
                          <a:noFill/>
                        </a:ln>
                      </wps:spPr>
                      <wps:txbx>
                        <w:txbxContent>
                          <w:p w14:paraId="5069E16C">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wrap="square"/>
                    </wps:wsp>
                  </a:graphicData>
                </a:graphic>
              </wp:anchor>
            </w:drawing>
          </mc:Choice>
          <mc:Fallback>
            <w:pict>
              <v:rect id="00026f" o:spid="_x0000_s1026" o:spt="1" style="position:absolute;left:0pt;margin-left:-9pt;margin-top:7.75pt;height:23.4pt;width:63pt;z-index:251659264;mso-width-relative:page;mso-height-relative:page;" filled="f" stroked="f" coordsize="21600,21600" o:gfxdata="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6qWfnZAAAACQEAAA8AAAAAAAAAAQAgAAAAIgAA&#10;AGRycy9kb3ducmV2LnhtbFBLAQIUABQAAAAIAIdO4kAT3GUClQEAADgDAAAOAAAAAAAAAAEAIAAA&#10;ACgBAABkcnMvZTJvRG9jLnhtbFBLBQYAAAAABgAGAFkBAAAvBQAAAAA=&#10;">
                <v:fill on="f" focussize="0,0"/>
                <v:stroke on="f"/>
                <v:imagedata o:title=""/>
                <o:lock v:ext="edit" aspectratio="f"/>
                <v:textbox>
                  <w:txbxContent>
                    <w:p w14:paraId="5069E16C">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rect>
            </w:pict>
          </mc:Fallback>
        </mc:AlternateContent>
      </w:r>
      <w:r>
        <w:rPr>
          <w:rFonts w:hint="eastAsia" w:ascii="宋体" w:hAnsi="宋体" w:eastAsia="宋体" w:cs="宋体"/>
          <w:color w:val="auto"/>
          <w:sz w:val="24"/>
          <w:highlight w:val="none"/>
        </w:rPr>
        <w:t>除合同另有约定外，未经另一方当事人同意，合同一方当事人不得将本合同的全部或部分权利、义务转让给第三方。</w:t>
      </w:r>
    </w:p>
    <w:p w14:paraId="1AB68BFD">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2A82A781">
      <w:pPr>
        <w:pStyle w:val="24"/>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28" w:name="_Toc469384079"/>
      <w:bookmarkStart w:id="229" w:name="_Toc46860904"/>
      <w:r>
        <w:rPr>
          <w:rFonts w:hint="eastAsia" w:hAnsi="宋体" w:eastAsia="宋体" w:cs="宋体"/>
          <w:b/>
          <w:bCs/>
          <w:color w:val="auto"/>
          <w:sz w:val="24"/>
          <w:szCs w:val="24"/>
          <w:highlight w:val="none"/>
        </w:rPr>
        <w:t>97  合同份数</w:t>
      </w:r>
      <w:bookmarkEnd w:id="228"/>
      <w:bookmarkEnd w:id="229"/>
    </w:p>
    <w:p w14:paraId="51EE4D4A">
      <w:pPr>
        <w:pStyle w:val="24"/>
        <w:adjustRightInd w:val="0"/>
        <w:snapToGrid w:val="0"/>
        <w:spacing w:line="300" w:lineRule="auto"/>
        <w:ind w:left="1581" w:hanging="1581" w:hangingChars="656"/>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97.1        </w:t>
      </w:r>
    </w:p>
    <w:p w14:paraId="7FE47371">
      <w:pPr>
        <w:pStyle w:val="24"/>
        <w:adjustRightInd w:val="0"/>
        <w:snapToGrid w:val="0"/>
        <w:spacing w:line="300" w:lineRule="auto"/>
        <w:ind w:left="1682" w:leftChars="800" w:hanging="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1437" name="000270"/>
                <wp:cNvGraphicFramePr/>
                <a:graphic xmlns:a="http://schemas.openxmlformats.org/drawingml/2006/main">
                  <a:graphicData uri="http://schemas.microsoft.com/office/word/2010/wordprocessingShape">
                    <wps:wsp>
                      <wps:cNvSpPr/>
                      <wps:spPr>
                        <a:xfrm>
                          <a:off x="0" y="0"/>
                          <a:ext cx="914400" cy="396240"/>
                        </a:xfrm>
                        <a:prstGeom prst="rect">
                          <a:avLst/>
                        </a:prstGeom>
                        <a:ln>
                          <a:noFill/>
                        </a:ln>
                      </wps:spPr>
                      <wps:txbx>
                        <w:txbxContent>
                          <w:p w14:paraId="6C15710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wrap="square"/>
                    </wps:wsp>
                  </a:graphicData>
                </a:graphic>
              </wp:anchor>
            </w:drawing>
          </mc:Choice>
          <mc:Fallback>
            <w:pict>
              <v:rect id="000270" o:spid="_x0000_s1026" o:spt="1" style="position:absolute;left:0pt;margin-left:-5.25pt;margin-top:0.8pt;height:31.2pt;width:72pt;z-index:251659264;mso-width-relative:page;mso-height-relative:page;" filled="f" stroked="f" coordsize="21600,21600" o:gfxdata="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&#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MYQZ+1wAAAAgBAAAPAAAAAAAAAAEAIAAAACIAAABk&#10;cnMvZG93bnJldi54bWxQSwECFAAUAAAACACHTuJAjuAYzpUBAAA4AwAADgAAAAAAAAABACAAAAAm&#10;AQAAZHJzL2Uyb0RvYy54bWxQSwUGAAAAAAYABgBZAQAALQUAAAAA&#10;">
                <v:fill on="f" focussize="0,0"/>
                <v:stroke on="f"/>
                <v:imagedata o:title=""/>
                <o:lock v:ext="edit" aspectratio="f"/>
                <v:textbox>
                  <w:txbxContent>
                    <w:p w14:paraId="6C15710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rect>
            </w:pict>
          </mc:Fallback>
        </mc:AlternateContent>
      </w:r>
      <w:r>
        <w:rPr>
          <w:rFonts w:hint="eastAsia" w:hAnsi="宋体" w:eastAsia="宋体" w:cs="宋体"/>
          <w:color w:val="auto"/>
          <w:sz w:val="24"/>
          <w:szCs w:val="24"/>
          <w:highlight w:val="none"/>
        </w:rPr>
        <w:t>除专用条款另有约定外，发包人应按照第94.2款规定的份数免费为承包人提供合同文本。</w:t>
      </w:r>
    </w:p>
    <w:p w14:paraId="7B75137C">
      <w:pPr>
        <w:pStyle w:val="24"/>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97.2  </w:t>
      </w:r>
      <w:r>
        <w:rPr>
          <w:rFonts w:hint="eastAsia" w:hAnsi="宋体" w:eastAsia="宋体" w:cs="宋体"/>
          <w:b/>
          <w:bCs/>
          <w:color w:val="auto"/>
          <w:sz w:val="24"/>
          <w:szCs w:val="24"/>
          <w:highlight w:val="none"/>
          <w:u w:val="dotted"/>
        </w:rPr>
        <w:t xml:space="preserve"> </w:t>
      </w:r>
      <w:r>
        <w:rPr>
          <w:rFonts w:hint="eastAsia" w:hAnsi="宋体" w:eastAsia="宋体" w:cs="宋体"/>
          <w:color w:val="auto"/>
          <w:sz w:val="24"/>
          <w:szCs w:val="24"/>
          <w:highlight w:val="none"/>
          <w:u w:val="dotted"/>
        </w:rPr>
        <w:t xml:space="preserve">                                                                                                       </w:t>
      </w:r>
    </w:p>
    <w:p w14:paraId="0EDD70C2">
      <w:pPr>
        <w:pStyle w:val="24"/>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1438" name="000271"/>
                <wp:cNvGraphicFramePr/>
                <a:graphic xmlns:a="http://schemas.openxmlformats.org/drawingml/2006/main">
                  <a:graphicData uri="http://schemas.microsoft.com/office/word/2010/wordprocessingShape">
                    <wps:wsp>
                      <wps:cNvSpPr/>
                      <wps:spPr>
                        <a:xfrm>
                          <a:off x="0" y="0"/>
                          <a:ext cx="800100" cy="299720"/>
                        </a:xfrm>
                        <a:prstGeom prst="rect">
                          <a:avLst/>
                        </a:prstGeom>
                        <a:ln>
                          <a:noFill/>
                        </a:ln>
                      </wps:spPr>
                      <wps:txbx>
                        <w:txbxContent>
                          <w:p w14:paraId="083F046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wrap="square"/>
                    </wps:wsp>
                  </a:graphicData>
                </a:graphic>
              </wp:anchor>
            </w:drawing>
          </mc:Choice>
          <mc:Fallback>
            <w:pict>
              <v:rect id="000271" o:spid="_x0000_s1026" o:spt="1" style="position:absolute;left:0pt;margin-left:-9pt;margin-top:0.65pt;height:23.6pt;width:63pt;z-index:251659264;mso-width-relative:page;mso-height-relative:page;" filled="f" stroked="f" coordsize="21600,21600" o:gfxdata="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CRvd11wAAAAgBAAAPAAAAAAAAAAEAIAAAACIAAABk&#10;cnMvZG93bnJldi54bWxQSwECFAAUAAAACACHTuJAYkONGJUBAAA4AwAADgAAAAAAAAABACAAAAAm&#10;AQAAZHJzL2Uyb0RvYy54bWxQSwUGAAAAAAYABgBZAQAALQUAAAAA&#10;">
                <v:fill on="f" focussize="0,0"/>
                <v:stroke on="f"/>
                <v:imagedata o:title=""/>
                <o:lock v:ext="edit" aspectratio="f"/>
                <v:textbox>
                  <w:txbxContent>
                    <w:p w14:paraId="083F046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rect>
            </w:pict>
          </mc:Fallback>
        </mc:AlternateContent>
      </w:r>
      <w:r>
        <w:rPr>
          <w:rFonts w:hint="eastAsia" w:hAnsi="宋体" w:eastAsia="宋体" w:cs="宋体"/>
          <w:color w:val="auto"/>
          <w:sz w:val="24"/>
          <w:szCs w:val="24"/>
          <w:highlight w:val="none"/>
        </w:rPr>
        <w:t>本合同正、副本份数，由合同双方当事人根据需要在专用条款中约定。正本与副本具有同等效力，当正本与副本不一致时，以正本为准。</w:t>
      </w:r>
    </w:p>
    <w:p w14:paraId="24912D0E">
      <w:pPr>
        <w:pStyle w:val="24"/>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5719D78">
      <w:pPr>
        <w:pStyle w:val="24"/>
        <w:adjustRightInd w:val="0"/>
        <w:snapToGrid w:val="0"/>
        <w:spacing w:line="300" w:lineRule="auto"/>
        <w:outlineLvl w:val="2"/>
        <w:rPr>
          <w:rFonts w:hAnsi="宋体" w:eastAsia="宋体" w:cs="宋体"/>
          <w:b/>
          <w:bCs/>
          <w:color w:val="auto"/>
          <w:sz w:val="24"/>
          <w:szCs w:val="24"/>
          <w:highlight w:val="none"/>
        </w:rPr>
      </w:pPr>
      <w:bookmarkStart w:id="230" w:name="_Toc469384080"/>
      <w:bookmarkStart w:id="231" w:name="_Toc46860905"/>
      <w:r>
        <w:rPr>
          <w:rFonts w:hint="eastAsia" w:hAnsi="宋体" w:eastAsia="宋体" w:cs="宋体"/>
          <w:b/>
          <w:bCs/>
          <w:color w:val="auto"/>
          <w:sz w:val="24"/>
          <w:szCs w:val="24"/>
          <w:highlight w:val="none"/>
        </w:rPr>
        <w:t>98  合同</w:t>
      </w:r>
      <w:bookmarkEnd w:id="230"/>
      <w:r>
        <w:rPr>
          <w:rFonts w:hint="eastAsia" w:hAnsi="宋体" w:eastAsia="宋体" w:cs="宋体"/>
          <w:b/>
          <w:bCs/>
          <w:color w:val="auto"/>
          <w:sz w:val="24"/>
          <w:szCs w:val="24"/>
          <w:highlight w:val="none"/>
        </w:rPr>
        <w:t>管理</w:t>
      </w:r>
      <w:bookmarkEnd w:id="231"/>
    </w:p>
    <w:p w14:paraId="332199C6">
      <w:pPr>
        <w:pStyle w:val="24"/>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208280</wp:posOffset>
                </wp:positionV>
                <wp:extent cx="1039495" cy="529590"/>
                <wp:effectExtent l="0" t="0" r="0" b="0"/>
                <wp:wrapNone/>
                <wp:docPr id="1439" name="000272"/>
                <wp:cNvGraphicFramePr/>
                <a:graphic xmlns:a="http://schemas.openxmlformats.org/drawingml/2006/main">
                  <a:graphicData uri="http://schemas.microsoft.com/office/word/2010/wordprocessingShape">
                    <wps:wsp>
                      <wps:cNvSpPr/>
                      <wps:spPr>
                        <a:xfrm>
                          <a:off x="0" y="0"/>
                          <a:ext cx="1039495" cy="529590"/>
                        </a:xfrm>
                        <a:prstGeom prst="rect">
                          <a:avLst/>
                        </a:prstGeom>
                        <a:ln>
                          <a:noFill/>
                        </a:ln>
                      </wps:spPr>
                      <wps:txbx>
                        <w:txbxContent>
                          <w:p w14:paraId="3A1E732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14:paraId="3DC4FA1A">
                            <w:pPr>
                              <w:spacing w:line="240" w:lineRule="exact"/>
                              <w:rPr>
                                <w:rFonts w:ascii="楷体_GB2312" w:hAnsi="宋体" w:eastAsia="楷体_GB2312"/>
                                <w:b/>
                                <w:bCs/>
                                <w:sz w:val="18"/>
                                <w:szCs w:val="18"/>
                              </w:rPr>
                            </w:pPr>
                          </w:p>
                        </w:txbxContent>
                      </wps:txbx>
                      <wps:bodyPr wrap="square"/>
                    </wps:wsp>
                  </a:graphicData>
                </a:graphic>
              </wp:anchor>
            </w:drawing>
          </mc:Choice>
          <mc:Fallback>
            <w:pict>
              <v:rect id="000272" o:spid="_x0000_s1026" o:spt="1" style="position:absolute;left:0pt;margin-left:-9pt;margin-top:16.4pt;height:41.7pt;width:81.85pt;z-index:251659264;mso-width-relative:page;mso-height-relative:page;" filled="f" stroked="f" coordsize="21600,21600" o:gfxdata="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khBvtsAAAAKAQAADwAAAAAAAAABACAA&#10;AAAiAAAAZHJzL2Rvd25yZXYueG1sUEsBAhQAFAAAAAgAh07iQKNsauWYAQAAOQMAAA4AAAAAAAAA&#10;AQAgAAAAKgEAAGRycy9lMm9Eb2MueG1sUEsFBgAAAAAGAAYAWQEAADQFAAAAAA==&#10;">
                <v:fill on="f" focussize="0,0"/>
                <v:stroke on="f"/>
                <v:imagedata o:title=""/>
                <o:lock v:ext="edit" aspectratio="f"/>
                <v:textbox>
                  <w:txbxContent>
                    <w:p w14:paraId="3A1E732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14:paraId="3DC4FA1A">
                      <w:pPr>
                        <w:spacing w:line="240" w:lineRule="exact"/>
                        <w:rPr>
                          <w:rFonts w:ascii="楷体_GB2312" w:hAnsi="宋体" w:eastAsia="楷体_GB2312"/>
                          <w:b/>
                          <w:bCs/>
                          <w:sz w:val="18"/>
                          <w:szCs w:val="18"/>
                        </w:rPr>
                      </w:pPr>
                    </w:p>
                  </w:txbxContent>
                </v:textbox>
              </v:rect>
            </w:pict>
          </mc:Fallback>
        </mc:AlternateContent>
      </w:r>
      <w:r>
        <w:rPr>
          <w:rFonts w:hint="eastAsia" w:hAnsi="宋体" w:eastAsia="宋体" w:cs="宋体"/>
          <w:b/>
          <w:bCs/>
          <w:color w:val="auto"/>
          <w:sz w:val="24"/>
          <w:szCs w:val="24"/>
          <w:highlight w:val="none"/>
        </w:rPr>
        <w:t xml:space="preserve">98.1  </w:t>
      </w:r>
    </w:p>
    <w:p w14:paraId="2B669196">
      <w:pPr>
        <w:spacing w:line="300" w:lineRule="auto"/>
        <w:ind w:left="2088" w:leftChars="798" w:hanging="412" w:hangingChars="172"/>
        <w:rPr>
          <w:rFonts w:ascii="宋体" w:hAnsi="宋体" w:eastAsia="宋体" w:cs="宋体"/>
          <w:color w:val="auto"/>
          <w:sz w:val="24"/>
          <w:highlight w:val="none"/>
        </w:rPr>
      </w:pPr>
      <w:r>
        <w:rPr>
          <w:rFonts w:hint="eastAsia" w:ascii="宋体" w:hAnsi="宋体" w:eastAsia="宋体" w:cs="宋体"/>
          <w:color w:val="auto"/>
          <w:sz w:val="24"/>
          <w:highlight w:val="none"/>
        </w:rPr>
        <w:t>合同双方当事人应按照第22条至第25条的职责划分，督促各自人员认真履行合同</w:t>
      </w:r>
    </w:p>
    <w:p w14:paraId="2FC8E806">
      <w:pPr>
        <w:spacing w:line="300" w:lineRule="auto"/>
        <w:ind w:firstLine="1680" w:firstLineChars="700"/>
        <w:rPr>
          <w:rFonts w:ascii="宋体" w:hAnsi="宋体" w:eastAsia="宋体" w:cs="宋体"/>
          <w:color w:val="auto"/>
          <w:sz w:val="24"/>
          <w:highlight w:val="none"/>
        </w:rPr>
      </w:pPr>
      <w:r>
        <w:rPr>
          <w:rFonts w:hint="eastAsia" w:ascii="宋体" w:hAnsi="宋体" w:eastAsia="宋体" w:cs="宋体"/>
          <w:color w:val="auto"/>
          <w:sz w:val="24"/>
          <w:highlight w:val="none"/>
        </w:rPr>
        <w:t>管理职责，加强合同管理。</w:t>
      </w:r>
    </w:p>
    <w:p w14:paraId="3EA12E08">
      <w:pPr>
        <w:spacing w:line="300" w:lineRule="auto"/>
        <w:ind w:left="1710" w:leftChars="700" w:hanging="240" w:hangingChars="100"/>
        <w:rPr>
          <w:rFonts w:ascii="宋体" w:hAnsi="宋体" w:eastAsia="宋体" w:cs="宋体"/>
          <w:color w:val="auto"/>
          <w:sz w:val="24"/>
          <w:highlight w:val="none"/>
        </w:rPr>
      </w:pPr>
      <w:r>
        <w:rPr>
          <w:rFonts w:hint="eastAsia" w:ascii="宋体" w:hAnsi="宋体" w:eastAsia="宋体" w:cs="宋体"/>
          <w:color w:val="auto"/>
          <w:sz w:val="24"/>
          <w:highlight w:val="none"/>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14:paraId="280213BA">
      <w:pPr>
        <w:pStyle w:val="24"/>
        <w:adjustRightInd w:val="0"/>
        <w:snapToGrid w:val="0"/>
        <w:spacing w:line="300" w:lineRule="auto"/>
        <w:jc w:val="left"/>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19BCDE7">
      <w:pPr>
        <w:spacing w:line="300" w:lineRule="auto"/>
        <w:rPr>
          <w:rFonts w:ascii="宋体" w:hAnsi="宋体" w:eastAsia="宋体" w:cs="宋体"/>
          <w:b/>
          <w:bCs/>
          <w:color w:val="auto"/>
          <w:kern w:val="0"/>
          <w:sz w:val="24"/>
          <w:highlight w:val="none"/>
        </w:rPr>
      </w:pPr>
    </w:p>
    <w:p w14:paraId="61563A32">
      <w:pPr>
        <w:spacing w:line="300" w:lineRule="auto"/>
        <w:rPr>
          <w:rFonts w:ascii="宋体" w:hAnsi="宋体" w:eastAsia="宋体" w:cs="宋体"/>
          <w:b/>
          <w:bCs/>
          <w:color w:val="auto"/>
          <w:kern w:val="0"/>
          <w:sz w:val="24"/>
          <w:highlight w:val="none"/>
        </w:rPr>
      </w:pPr>
    </w:p>
    <w:p w14:paraId="5F8BFA18">
      <w:pPr>
        <w:spacing w:line="300" w:lineRule="auto"/>
        <w:rPr>
          <w:rFonts w:ascii="宋体" w:hAnsi="宋体" w:eastAsia="宋体" w:cs="宋体"/>
          <w:b/>
          <w:bCs/>
          <w:color w:val="auto"/>
          <w:kern w:val="0"/>
          <w:sz w:val="24"/>
          <w:highlight w:val="none"/>
        </w:rPr>
      </w:pPr>
    </w:p>
    <w:p w14:paraId="2E2079A9">
      <w:pPr>
        <w:spacing w:line="300" w:lineRule="auto"/>
        <w:rPr>
          <w:rFonts w:ascii="宋体" w:hAnsi="宋体" w:eastAsia="宋体" w:cs="宋体"/>
          <w:b/>
          <w:bCs/>
          <w:color w:val="auto"/>
          <w:kern w:val="0"/>
          <w:sz w:val="24"/>
          <w:highlight w:val="none"/>
        </w:rPr>
      </w:pPr>
    </w:p>
    <w:p w14:paraId="23FBA273">
      <w:pPr>
        <w:spacing w:line="300" w:lineRule="auto"/>
        <w:rPr>
          <w:rFonts w:ascii="宋体" w:hAnsi="宋体" w:eastAsia="宋体" w:cs="宋体"/>
          <w:b/>
          <w:bCs/>
          <w:color w:val="auto"/>
          <w:kern w:val="0"/>
          <w:sz w:val="24"/>
          <w:highlight w:val="none"/>
        </w:rPr>
      </w:pPr>
    </w:p>
    <w:p w14:paraId="2A6AA86F">
      <w:pPr>
        <w:spacing w:line="300" w:lineRule="auto"/>
        <w:rPr>
          <w:rFonts w:ascii="宋体" w:hAnsi="宋体" w:eastAsia="宋体" w:cs="宋体"/>
          <w:b/>
          <w:bCs/>
          <w:color w:val="auto"/>
          <w:kern w:val="0"/>
          <w:sz w:val="24"/>
          <w:highlight w:val="none"/>
        </w:rPr>
      </w:pPr>
    </w:p>
    <w:p w14:paraId="246DE361">
      <w:pPr>
        <w:spacing w:line="300" w:lineRule="auto"/>
        <w:rPr>
          <w:rFonts w:ascii="宋体" w:hAnsi="宋体" w:eastAsia="宋体" w:cs="宋体"/>
          <w:b/>
          <w:bCs/>
          <w:color w:val="auto"/>
          <w:kern w:val="0"/>
          <w:sz w:val="24"/>
          <w:highlight w:val="none"/>
        </w:rPr>
      </w:pPr>
    </w:p>
    <w:p w14:paraId="3E2FC4D8">
      <w:pPr>
        <w:spacing w:line="300" w:lineRule="auto"/>
        <w:rPr>
          <w:rFonts w:ascii="宋体" w:hAnsi="宋体" w:eastAsia="宋体" w:cs="宋体"/>
          <w:b/>
          <w:bCs/>
          <w:color w:val="auto"/>
          <w:kern w:val="0"/>
          <w:sz w:val="24"/>
          <w:highlight w:val="none"/>
        </w:rPr>
      </w:pPr>
    </w:p>
    <w:p w14:paraId="4999729A">
      <w:pPr>
        <w:spacing w:line="300" w:lineRule="auto"/>
        <w:rPr>
          <w:rFonts w:ascii="宋体" w:hAnsi="宋体" w:eastAsia="宋体" w:cs="宋体"/>
          <w:b/>
          <w:bCs/>
          <w:color w:val="auto"/>
          <w:kern w:val="0"/>
          <w:sz w:val="24"/>
          <w:highlight w:val="none"/>
        </w:rPr>
      </w:pPr>
    </w:p>
    <w:p w14:paraId="79E8EC25">
      <w:pPr>
        <w:spacing w:line="300" w:lineRule="auto"/>
        <w:rPr>
          <w:rFonts w:ascii="宋体" w:hAnsi="宋体" w:eastAsia="宋体" w:cs="宋体"/>
          <w:b/>
          <w:bCs/>
          <w:color w:val="auto"/>
          <w:kern w:val="0"/>
          <w:sz w:val="24"/>
          <w:highlight w:val="none"/>
        </w:rPr>
      </w:pPr>
    </w:p>
    <w:p w14:paraId="28FF5969">
      <w:pPr>
        <w:spacing w:line="300" w:lineRule="auto"/>
        <w:rPr>
          <w:rFonts w:ascii="宋体" w:hAnsi="宋体" w:eastAsia="宋体" w:cs="宋体"/>
          <w:b/>
          <w:bCs/>
          <w:color w:val="auto"/>
          <w:kern w:val="0"/>
          <w:sz w:val="24"/>
          <w:highlight w:val="none"/>
        </w:rPr>
      </w:pPr>
    </w:p>
    <w:p w14:paraId="2BD14157">
      <w:pPr>
        <w:spacing w:line="300" w:lineRule="auto"/>
        <w:rPr>
          <w:rFonts w:ascii="宋体" w:hAnsi="宋体" w:eastAsia="宋体" w:cs="宋体"/>
          <w:b/>
          <w:bCs/>
          <w:color w:val="auto"/>
          <w:kern w:val="0"/>
          <w:sz w:val="24"/>
          <w:highlight w:val="none"/>
        </w:rPr>
      </w:pPr>
    </w:p>
    <w:p w14:paraId="248AB32C">
      <w:pPr>
        <w:spacing w:line="300" w:lineRule="auto"/>
        <w:rPr>
          <w:rFonts w:ascii="宋体" w:hAnsi="宋体" w:eastAsia="宋体" w:cs="宋体"/>
          <w:b/>
          <w:bCs/>
          <w:color w:val="auto"/>
          <w:kern w:val="0"/>
          <w:sz w:val="24"/>
          <w:highlight w:val="none"/>
        </w:rPr>
      </w:pPr>
    </w:p>
    <w:p w14:paraId="74686C4C">
      <w:pPr>
        <w:spacing w:line="300" w:lineRule="auto"/>
        <w:rPr>
          <w:rFonts w:ascii="宋体" w:hAnsi="宋体" w:eastAsia="宋体" w:cs="宋体"/>
          <w:b/>
          <w:bCs/>
          <w:color w:val="auto"/>
          <w:kern w:val="0"/>
          <w:sz w:val="24"/>
          <w:highlight w:val="none"/>
        </w:rPr>
      </w:pPr>
    </w:p>
    <w:p w14:paraId="60BEA089">
      <w:pPr>
        <w:autoSpaceDE w:val="0"/>
        <w:autoSpaceDN w:val="0"/>
        <w:adjustRightInd w:val="0"/>
        <w:spacing w:line="200" w:lineRule="exact"/>
        <w:jc w:val="left"/>
        <w:rPr>
          <w:rFonts w:ascii="宋体" w:hAnsi="宋体" w:eastAsia="宋体" w:cs="宋体"/>
          <w:color w:val="auto"/>
          <w:kern w:val="0"/>
          <w:sz w:val="20"/>
          <w:szCs w:val="20"/>
          <w:highlight w:val="none"/>
        </w:rPr>
      </w:pPr>
      <w:bookmarkStart w:id="232" w:name="_Toc287628028"/>
    </w:p>
    <w:p w14:paraId="1365F465">
      <w:pPr>
        <w:pStyle w:val="83"/>
        <w:rPr>
          <w:rFonts w:ascii="宋体" w:hAnsi="宋体" w:eastAsia="宋体" w:cs="宋体"/>
          <w:color w:val="auto"/>
          <w:highlight w:val="none"/>
        </w:rPr>
      </w:pPr>
    </w:p>
    <w:p w14:paraId="57435DE6">
      <w:pPr>
        <w:rPr>
          <w:rFonts w:ascii="宋体" w:hAnsi="宋体" w:eastAsia="宋体" w:cs="宋体"/>
          <w:color w:val="auto"/>
          <w:highlight w:val="none"/>
        </w:rPr>
        <w:sectPr>
          <w:pgSz w:w="11906" w:h="16838"/>
          <w:pgMar w:top="1440" w:right="1797" w:bottom="1440" w:left="1800" w:header="851" w:footer="992" w:gutter="0"/>
          <w:pgNumType w:fmt="numberInDash"/>
          <w:cols w:space="720" w:num="1"/>
          <w:docGrid w:linePitch="312" w:charSpace="0"/>
        </w:sectPr>
      </w:pPr>
    </w:p>
    <w:p w14:paraId="60C05F6B">
      <w:pPr>
        <w:pStyle w:val="83"/>
        <w:rPr>
          <w:rFonts w:ascii="宋体" w:hAnsi="宋体" w:eastAsia="宋体" w:cs="宋体"/>
          <w:color w:val="auto"/>
          <w:highlight w:val="none"/>
        </w:rPr>
      </w:pPr>
      <w:bookmarkStart w:id="233" w:name="_Toc14251"/>
      <w:bookmarkStart w:id="234" w:name="_Toc13492"/>
      <w:r>
        <w:rPr>
          <w:rFonts w:hint="eastAsia" w:ascii="宋体" w:hAnsi="宋体" w:eastAsia="宋体" w:cs="宋体"/>
          <w:color w:val="auto"/>
          <w:highlight w:val="none"/>
        </w:rPr>
        <w:t>第二章　专用条款</w:t>
      </w:r>
      <w:bookmarkEnd w:id="232"/>
      <w:bookmarkEnd w:id="233"/>
      <w:bookmarkEnd w:id="234"/>
    </w:p>
    <w:p w14:paraId="1A92BAAE">
      <w:pPr>
        <w:pStyle w:val="118"/>
        <w:spacing w:line="360" w:lineRule="auto"/>
        <w:ind w:firstLine="480" w:firstLineChars="200"/>
        <w:jc w:val="both"/>
        <w:outlineLvl w:val="9"/>
        <w:rPr>
          <w:rFonts w:ascii="宋体" w:hAnsi="宋体" w:eastAsia="宋体" w:cs="宋体"/>
          <w:color w:val="auto"/>
          <w:highlight w:val="none"/>
        </w:rPr>
      </w:pPr>
      <w:bookmarkStart w:id="235" w:name="_Toc287628029"/>
      <w:r>
        <w:rPr>
          <w:rFonts w:hint="eastAsia" w:ascii="宋体" w:hAnsi="宋体" w:eastAsia="宋体" w:cs="宋体"/>
          <w:color w:val="auto"/>
          <w:highlight w:val="none"/>
        </w:rPr>
        <w:t>1．定义</w:t>
      </w:r>
      <w:bookmarkEnd w:id="235"/>
    </w:p>
    <w:p w14:paraId="2FE6727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  所采用的书面形式包括：</w:t>
      </w:r>
    </w:p>
    <w:p w14:paraId="12ADD0E2">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文书</w:t>
      </w:r>
    </w:p>
    <w:p w14:paraId="3E918B15">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信件（包括邮政快递）</w:t>
      </w:r>
    </w:p>
    <w:p w14:paraId="61B737CD">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电报</w:t>
      </w:r>
    </w:p>
    <w:p w14:paraId="4C498E72">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传真</w:t>
      </w:r>
    </w:p>
    <w:p w14:paraId="3F620E72">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电子邮件</w:t>
      </w:r>
    </w:p>
    <w:p w14:paraId="63B7563A">
      <w:pPr>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  其他：</w:t>
      </w:r>
    </w:p>
    <w:p w14:paraId="677289C0">
      <w:pPr>
        <w:pStyle w:val="118"/>
        <w:spacing w:line="360" w:lineRule="auto"/>
        <w:ind w:firstLine="480" w:firstLineChars="200"/>
        <w:jc w:val="both"/>
        <w:outlineLvl w:val="9"/>
        <w:rPr>
          <w:rFonts w:ascii="宋体" w:hAnsi="宋体" w:eastAsia="宋体" w:cs="宋体"/>
          <w:color w:val="auto"/>
          <w:highlight w:val="none"/>
        </w:rPr>
      </w:pPr>
      <w:bookmarkStart w:id="236" w:name="_Toc287628030"/>
      <w:r>
        <w:rPr>
          <w:rFonts w:hint="eastAsia" w:ascii="宋体" w:hAnsi="宋体" w:eastAsia="宋体" w:cs="宋体"/>
          <w:color w:val="auto"/>
          <w:highlight w:val="none"/>
        </w:rPr>
        <w:t>2．合同文件及解释</w:t>
      </w:r>
      <w:bookmarkEnd w:id="236"/>
    </w:p>
    <w:p w14:paraId="1A1FE27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 合同文件组成及优先顺序：</w:t>
      </w:r>
    </w:p>
    <w:p w14:paraId="680A5F86">
      <w:pPr>
        <w:autoSpaceDE w:val="0"/>
        <w:autoSpaceDN w:val="0"/>
        <w:adjustRightInd w:val="0"/>
        <w:spacing w:line="360" w:lineRule="auto"/>
        <w:ind w:firstLine="44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按本合同第一篇执行。</w:t>
      </w:r>
    </w:p>
    <w:p w14:paraId="27E315F7">
      <w:pPr>
        <w:pStyle w:val="118"/>
        <w:spacing w:line="360" w:lineRule="auto"/>
        <w:ind w:firstLine="480" w:firstLineChars="200"/>
        <w:jc w:val="both"/>
        <w:outlineLvl w:val="9"/>
        <w:rPr>
          <w:rFonts w:ascii="宋体" w:hAnsi="宋体" w:eastAsia="宋体" w:cs="宋体"/>
          <w:color w:val="auto"/>
          <w:highlight w:val="none"/>
        </w:rPr>
      </w:pPr>
      <w:bookmarkStart w:id="237" w:name="_Toc287628031"/>
      <w:r>
        <w:rPr>
          <w:rFonts w:hint="eastAsia" w:ascii="宋体" w:hAnsi="宋体" w:eastAsia="宋体" w:cs="宋体"/>
          <w:color w:val="auto"/>
          <w:highlight w:val="none"/>
        </w:rPr>
        <w:t>4．语言及适用的法律、标准与规范</w:t>
      </w:r>
      <w:bookmarkEnd w:id="237"/>
    </w:p>
    <w:p w14:paraId="4AFF5B9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4.3 约定适用的标准、规范的名称：</w:t>
      </w:r>
    </w:p>
    <w:p w14:paraId="6AC9E2D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(1)适用法律和法规</w:t>
      </w:r>
    </w:p>
    <w:p w14:paraId="420FBF9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按通用条款第4.2款</w:t>
      </w:r>
    </w:p>
    <w:p w14:paraId="0B24E58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(2)适用标准、规范：</w:t>
      </w:r>
    </w:p>
    <w:p w14:paraId="7B52D99A">
      <w:pPr>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 按通用条款第4.3款</w:t>
      </w:r>
    </w:p>
    <w:p w14:paraId="271D1EF8">
      <w:pPr>
        <w:pStyle w:val="118"/>
        <w:spacing w:line="360" w:lineRule="auto"/>
        <w:ind w:firstLine="480" w:firstLineChars="200"/>
        <w:jc w:val="both"/>
        <w:outlineLvl w:val="9"/>
        <w:rPr>
          <w:rFonts w:ascii="宋体" w:hAnsi="宋体" w:eastAsia="宋体" w:cs="宋体"/>
          <w:color w:val="auto"/>
          <w:highlight w:val="none"/>
        </w:rPr>
      </w:pPr>
      <w:bookmarkStart w:id="238" w:name="_Toc287628032"/>
      <w:r>
        <w:rPr>
          <w:rFonts w:hint="eastAsia" w:ascii="宋体" w:hAnsi="宋体" w:eastAsia="宋体" w:cs="宋体"/>
          <w:color w:val="auto"/>
          <w:highlight w:val="none"/>
        </w:rPr>
        <w:t>5． 施工设计图纸</w:t>
      </w:r>
      <w:bookmarkEnd w:id="238"/>
    </w:p>
    <w:p w14:paraId="21A0C60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5.1 </w:t>
      </w:r>
      <w:r>
        <w:rPr>
          <w:rFonts w:hint="eastAsia" w:ascii="宋体" w:hAnsi="宋体" w:eastAsia="宋体" w:cs="宋体"/>
          <w:color w:val="auto"/>
          <w:kern w:val="0"/>
          <w:sz w:val="24"/>
          <w:highlight w:val="none"/>
          <w:u w:val="single"/>
          <w:lang w:val="en-US" w:eastAsia="zh-CN"/>
        </w:rPr>
        <w:t>乙方</w:t>
      </w:r>
      <w:r>
        <w:rPr>
          <w:rFonts w:hint="eastAsia" w:ascii="宋体" w:hAnsi="宋体" w:eastAsia="宋体" w:cs="宋体"/>
          <w:color w:val="auto"/>
          <w:kern w:val="0"/>
          <w:sz w:val="24"/>
          <w:highlight w:val="none"/>
        </w:rPr>
        <w:t>提供施工设计图纸</w:t>
      </w:r>
    </w:p>
    <w:p w14:paraId="11C7F2E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提供的时间：</w:t>
      </w:r>
      <w:r>
        <w:rPr>
          <w:rFonts w:hint="eastAsia" w:ascii="宋体" w:hAnsi="宋体" w:eastAsia="宋体" w:cs="宋体"/>
          <w:color w:val="auto"/>
          <w:kern w:val="0"/>
          <w:sz w:val="24"/>
          <w:highlight w:val="none"/>
          <w:u w:val="single"/>
        </w:rPr>
        <w:t xml:space="preserve">  开工前  </w:t>
      </w:r>
    </w:p>
    <w:p w14:paraId="1CD698AA">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 提供的数量：</w:t>
      </w:r>
      <w:r>
        <w:rPr>
          <w:rFonts w:hint="eastAsia" w:ascii="宋体" w:hAnsi="宋体" w:eastAsia="宋体" w:cs="宋体"/>
          <w:color w:val="auto"/>
          <w:kern w:val="0"/>
          <w:sz w:val="24"/>
          <w:highlight w:val="none"/>
          <w:u w:val="single"/>
        </w:rPr>
        <w:t>本项目采用EPC</w:t>
      </w:r>
      <w:r>
        <w:rPr>
          <w:rFonts w:hint="eastAsia" w:ascii="宋体" w:hAnsi="宋体" w:eastAsia="宋体" w:cs="宋体"/>
          <w:color w:val="auto"/>
          <w:kern w:val="0"/>
          <w:sz w:val="24"/>
          <w:highlight w:val="none"/>
          <w:u w:val="single"/>
          <w:lang w:val="en-US" w:eastAsia="zh-CN"/>
        </w:rPr>
        <w:t>O</w:t>
      </w:r>
      <w:r>
        <w:rPr>
          <w:rFonts w:hint="eastAsia" w:ascii="宋体" w:hAnsi="宋体" w:eastAsia="宋体" w:cs="宋体"/>
          <w:color w:val="auto"/>
          <w:kern w:val="0"/>
          <w:sz w:val="24"/>
          <w:highlight w:val="none"/>
          <w:u w:val="single"/>
        </w:rPr>
        <w:t>模式实施，施工设计图纸由乙方（设计单位）完成并经甲方确认后自行提供,且不少于8套，甲方需要的图纸数量乙方应满足甲方要求。</w:t>
      </w:r>
    </w:p>
    <w:p w14:paraId="6C33199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(3)甲方对图纸的保密要求：不得将本工程图纸转给第三人，有特殊保密要求的资料，甲方、乙方在各自的工作范围承担相应的保密费用。</w:t>
      </w:r>
    </w:p>
    <w:p w14:paraId="1DB359FB">
      <w:pPr>
        <w:pStyle w:val="118"/>
        <w:spacing w:line="360" w:lineRule="auto"/>
        <w:ind w:firstLine="480" w:firstLineChars="200"/>
        <w:jc w:val="both"/>
        <w:outlineLvl w:val="9"/>
        <w:rPr>
          <w:rFonts w:ascii="宋体" w:hAnsi="宋体" w:eastAsia="宋体" w:cs="宋体"/>
          <w:color w:val="auto"/>
          <w:highlight w:val="none"/>
        </w:rPr>
      </w:pPr>
      <w:bookmarkStart w:id="239" w:name="_Toc287628033"/>
      <w:r>
        <w:rPr>
          <w:rFonts w:hint="eastAsia" w:ascii="宋体" w:hAnsi="宋体" w:eastAsia="宋体" w:cs="宋体"/>
          <w:color w:val="auto"/>
          <w:highlight w:val="none"/>
        </w:rPr>
        <w:t>6． 通讯联络</w:t>
      </w:r>
      <w:bookmarkEnd w:id="239"/>
    </w:p>
    <w:p w14:paraId="7B7A5C27">
      <w:pPr>
        <w:tabs>
          <w:tab w:val="left" w:pos="112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各方通讯地址、收件人及其他送达方式：</w:t>
      </w:r>
      <w:r>
        <w:rPr>
          <w:rFonts w:hint="eastAsia" w:ascii="宋体" w:hAnsi="宋体" w:eastAsia="宋体" w:cs="宋体"/>
          <w:color w:val="auto"/>
          <w:kern w:val="0"/>
          <w:sz w:val="24"/>
          <w:highlight w:val="none"/>
          <w:u w:val="single"/>
        </w:rPr>
        <w:t>（根据实际情况填写）</w:t>
      </w:r>
    </w:p>
    <w:p w14:paraId="3807F91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各方通讯地址和收件人：</w:t>
      </w:r>
    </w:p>
    <w:p w14:paraId="648BDE45">
      <w:pPr>
        <w:adjustRightInd w:val="0"/>
        <w:spacing w:line="360" w:lineRule="auto"/>
        <w:ind w:firstLine="480" w:firstLineChars="200"/>
        <w:rPr>
          <w:rFonts w:hint="eastAsia" w:ascii="宋体" w:hAnsi="宋体" w:eastAsia="宋体" w:cs="宋体"/>
          <w:color w:val="auto"/>
          <w:sz w:val="24"/>
          <w:highlight w:val="none"/>
        </w:rPr>
      </w:pPr>
    </w:p>
    <w:p w14:paraId="30B8C747">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广州市番禺区大龙街</w:t>
      </w:r>
      <w:r>
        <w:rPr>
          <w:rFonts w:hint="eastAsia" w:ascii="宋体" w:hAnsi="宋体" w:eastAsia="宋体" w:cs="宋体"/>
          <w:color w:val="auto"/>
          <w:sz w:val="24"/>
          <w:highlight w:val="none"/>
          <w:u w:val="single"/>
          <w:lang w:eastAsia="zh-CN"/>
        </w:rPr>
        <w:t>傍江东村</w:t>
      </w:r>
      <w:r>
        <w:rPr>
          <w:rFonts w:hint="eastAsia" w:ascii="宋体" w:hAnsi="宋体" w:eastAsia="宋体" w:cs="宋体"/>
          <w:color w:val="auto"/>
          <w:sz w:val="24"/>
          <w:highlight w:val="none"/>
          <w:u w:val="single"/>
        </w:rPr>
        <w:t xml:space="preserve">股份合作经济社 </w:t>
      </w:r>
      <w:r>
        <w:rPr>
          <w:rFonts w:hint="eastAsia" w:ascii="宋体" w:hAnsi="宋体" w:eastAsia="宋体" w:cs="宋体"/>
          <w:color w:val="auto"/>
          <w:sz w:val="24"/>
          <w:highlight w:val="none"/>
        </w:rPr>
        <w:t xml:space="preserve">                 </w:t>
      </w:r>
    </w:p>
    <w:p w14:paraId="6454ECB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14:paraId="38B9CA3B">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8FDE2FA">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D68C22E">
      <w:pPr>
        <w:adjustRightInd w:val="0"/>
        <w:spacing w:line="360" w:lineRule="auto"/>
        <w:ind w:firstLine="480" w:firstLineChars="200"/>
        <w:rPr>
          <w:rFonts w:ascii="宋体" w:hAnsi="宋体" w:eastAsia="宋体" w:cs="宋体"/>
          <w:color w:val="auto"/>
          <w:sz w:val="24"/>
          <w:highlight w:val="none"/>
          <w:u w:val="single"/>
        </w:rPr>
      </w:pPr>
    </w:p>
    <w:p w14:paraId="05BE5F70">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FFE0CF8">
      <w:pPr>
        <w:adjustRightIn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收件人：</w:t>
      </w:r>
      <w:r>
        <w:rPr>
          <w:rFonts w:hint="eastAsia" w:ascii="宋体" w:hAnsi="宋体" w:eastAsia="宋体" w:cs="宋体"/>
          <w:color w:val="auto"/>
          <w:sz w:val="24"/>
          <w:highlight w:val="none"/>
          <w:u w:val="single"/>
        </w:rPr>
        <w:t xml:space="preserve">              </w:t>
      </w:r>
    </w:p>
    <w:p w14:paraId="3D60FADD">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邮政编码：                    </w:t>
      </w:r>
    </w:p>
    <w:p w14:paraId="5186C10C">
      <w:pPr>
        <w:adjustRightInd w:val="0"/>
        <w:spacing w:line="360" w:lineRule="auto"/>
        <w:ind w:firstLine="480" w:firstLineChars="200"/>
        <w:rPr>
          <w:rFonts w:ascii="宋体" w:hAnsi="宋体" w:eastAsia="宋体" w:cs="宋体"/>
          <w:color w:val="auto"/>
          <w:sz w:val="24"/>
          <w:highlight w:val="none"/>
        </w:rPr>
      </w:pPr>
    </w:p>
    <w:p w14:paraId="2A9D8807">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监理人：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405454F">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5C90F42">
      <w:pPr>
        <w:adjustRightIn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p>
    <w:p w14:paraId="22EA67C3">
      <w:pPr>
        <w:rPr>
          <w:rFonts w:ascii="宋体" w:hAnsi="宋体" w:eastAsia="宋体" w:cs="宋体"/>
          <w:color w:val="auto"/>
          <w:highlight w:val="none"/>
        </w:rPr>
      </w:pPr>
    </w:p>
    <w:p w14:paraId="176B918E">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工程造价咨询人（如有）：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914D4C8">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39EC6ED">
      <w:pPr>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147B78B">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(2) 视为送达的其他方式：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040D86D2">
      <w:pPr>
        <w:pStyle w:val="118"/>
        <w:spacing w:line="360" w:lineRule="auto"/>
        <w:ind w:firstLine="480" w:firstLineChars="200"/>
        <w:jc w:val="both"/>
        <w:outlineLvl w:val="9"/>
        <w:rPr>
          <w:rFonts w:ascii="宋体" w:hAnsi="宋体" w:eastAsia="宋体" w:cs="宋体"/>
          <w:color w:val="auto"/>
          <w:highlight w:val="none"/>
        </w:rPr>
      </w:pPr>
      <w:bookmarkStart w:id="240" w:name="_Toc287628034"/>
      <w:r>
        <w:rPr>
          <w:rFonts w:hint="eastAsia" w:ascii="宋体" w:hAnsi="宋体" w:eastAsia="宋体" w:cs="宋体"/>
          <w:color w:val="auto"/>
          <w:highlight w:val="none"/>
        </w:rPr>
        <w:t>7．工程分包</w:t>
      </w:r>
      <w:bookmarkEnd w:id="240"/>
    </w:p>
    <w:p w14:paraId="2C46898A">
      <w:pPr>
        <w:tabs>
          <w:tab w:val="left" w:pos="112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7.2 指定分包工程名称：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u w:val="single"/>
        </w:rPr>
        <w:t xml:space="preserve"> </w:t>
      </w:r>
    </w:p>
    <w:p w14:paraId="09D8D6CE">
      <w:pPr>
        <w:tabs>
          <w:tab w:val="left" w:pos="1120"/>
        </w:tabs>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7.4 分包工程款的支付方式：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u w:val="single"/>
        </w:rPr>
        <w:t xml:space="preserve"> </w:t>
      </w:r>
    </w:p>
    <w:p w14:paraId="495FAC61">
      <w:pPr>
        <w:tabs>
          <w:tab w:val="left" w:pos="1120"/>
        </w:tabs>
        <w:autoSpaceDE w:val="0"/>
        <w:autoSpaceDN w:val="0"/>
        <w:adjustRightInd w:val="0"/>
        <w:spacing w:line="360" w:lineRule="auto"/>
        <w:ind w:left="0" w:firstLine="480" w:firstLineChars="200"/>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11.文物和地下障碍物</w:t>
      </w:r>
    </w:p>
    <w:p w14:paraId="40CE30B1">
      <w:pPr>
        <w:tabs>
          <w:tab w:val="left" w:pos="1120"/>
        </w:tabs>
        <w:autoSpaceDE w:val="0"/>
        <w:autoSpaceDN w:val="0"/>
        <w:adjustRightInd w:val="0"/>
        <w:spacing w:line="360" w:lineRule="auto"/>
        <w:ind w:left="0" w:firstLine="480" w:firstLineChars="20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rPr>
        <w:t xml:space="preserve">  11.2</w:t>
      </w:r>
      <w:r>
        <w:rPr>
          <w:rFonts w:hint="eastAsia" w:ascii="宋体" w:hAnsi="宋体" w:eastAsia="宋体" w:cs="宋体"/>
          <w:color w:val="auto"/>
          <w:kern w:val="0"/>
          <w:sz w:val="24"/>
          <w:szCs w:val="24"/>
          <w:highlight w:val="none"/>
          <w:u w:val="none"/>
        </w:rPr>
        <w:t>对影响施工的管线的迁移工作，由</w:t>
      </w:r>
      <w:r>
        <w:rPr>
          <w:rFonts w:hint="eastAsia" w:ascii="宋体" w:hAnsi="宋体" w:eastAsia="宋体" w:cs="宋体"/>
          <w:color w:val="auto"/>
          <w:kern w:val="0"/>
          <w:sz w:val="24"/>
          <w:szCs w:val="24"/>
          <w:highlight w:val="none"/>
          <w:u w:val="none"/>
          <w:lang w:val="en-US" w:eastAsia="zh-CN"/>
        </w:rPr>
        <w:t>乙方</w:t>
      </w:r>
      <w:r>
        <w:rPr>
          <w:rFonts w:hint="eastAsia" w:ascii="宋体" w:hAnsi="宋体" w:eastAsia="宋体" w:cs="宋体"/>
          <w:color w:val="auto"/>
          <w:kern w:val="0"/>
          <w:sz w:val="24"/>
          <w:szCs w:val="24"/>
          <w:highlight w:val="none"/>
          <w:u w:val="none"/>
        </w:rPr>
        <w:t>负责。对影响施工的地下障碍物(无论合同中是否明确指出)的拆除工作，由</w:t>
      </w:r>
      <w:r>
        <w:rPr>
          <w:rFonts w:hint="eastAsia" w:ascii="宋体" w:hAnsi="宋体" w:eastAsia="宋体" w:cs="宋体"/>
          <w:color w:val="auto"/>
          <w:kern w:val="0"/>
          <w:sz w:val="24"/>
          <w:szCs w:val="24"/>
          <w:highlight w:val="none"/>
          <w:u w:val="none"/>
          <w:lang w:val="en-US" w:eastAsia="zh-CN"/>
        </w:rPr>
        <w:t>乙方</w:t>
      </w:r>
      <w:r>
        <w:rPr>
          <w:rFonts w:hint="eastAsia" w:ascii="宋体" w:hAnsi="宋体" w:eastAsia="宋体" w:cs="宋体"/>
          <w:color w:val="auto"/>
          <w:kern w:val="0"/>
          <w:sz w:val="24"/>
          <w:szCs w:val="24"/>
          <w:highlight w:val="none"/>
          <w:u w:val="none"/>
        </w:rPr>
        <w:t>负责，有关费用已包含在本合同总价款内，</w:t>
      </w:r>
      <w:r>
        <w:rPr>
          <w:rFonts w:hint="eastAsia" w:ascii="宋体" w:hAnsi="宋体" w:eastAsia="宋体" w:cs="宋体"/>
          <w:color w:val="auto"/>
          <w:kern w:val="0"/>
          <w:sz w:val="24"/>
          <w:szCs w:val="24"/>
          <w:highlight w:val="none"/>
          <w:u w:val="none"/>
          <w:lang w:val="en-US" w:eastAsia="zh-CN"/>
        </w:rPr>
        <w:t>甲方</w:t>
      </w:r>
      <w:r>
        <w:rPr>
          <w:rFonts w:hint="eastAsia" w:ascii="宋体" w:hAnsi="宋体" w:eastAsia="宋体" w:cs="宋体"/>
          <w:color w:val="auto"/>
          <w:kern w:val="0"/>
          <w:sz w:val="24"/>
          <w:szCs w:val="24"/>
          <w:highlight w:val="none"/>
          <w:u w:val="none"/>
        </w:rPr>
        <w:t>不再承担任何费用。</w:t>
      </w:r>
    </w:p>
    <w:p w14:paraId="0FDC74C7">
      <w:pPr>
        <w:tabs>
          <w:tab w:val="left" w:pos="1120"/>
        </w:tabs>
        <w:autoSpaceDE w:val="0"/>
        <w:autoSpaceDN w:val="0"/>
        <w:adjustRightInd w:val="0"/>
        <w:spacing w:line="360" w:lineRule="auto"/>
        <w:ind w:left="0" w:firstLine="480" w:firstLineChars="200"/>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12．事故处理</w:t>
      </w:r>
    </w:p>
    <w:p w14:paraId="28F054A6">
      <w:pPr>
        <w:tabs>
          <w:tab w:val="left" w:pos="112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 xml:space="preserve">  12.4</w:t>
      </w:r>
      <w:r>
        <w:rPr>
          <w:rFonts w:hint="eastAsia" w:ascii="宋体" w:hAnsi="宋体" w:eastAsia="宋体" w:cs="宋体"/>
          <w:color w:val="auto"/>
          <w:kern w:val="0"/>
          <w:sz w:val="24"/>
          <w:szCs w:val="24"/>
          <w:highlight w:val="none"/>
          <w:u w:val="none"/>
          <w:lang w:val="en-US" w:eastAsia="zh-CN"/>
        </w:rPr>
        <w:t>乙方</w:t>
      </w:r>
      <w:r>
        <w:rPr>
          <w:rFonts w:hint="eastAsia" w:ascii="宋体" w:hAnsi="宋体" w:eastAsia="宋体" w:cs="宋体"/>
          <w:color w:val="auto"/>
          <w:kern w:val="0"/>
          <w:sz w:val="24"/>
          <w:szCs w:val="24"/>
          <w:highlight w:val="none"/>
          <w:u w:val="none"/>
        </w:rPr>
        <w:t>在本工程施工中发生质量或安全事故的，由</w:t>
      </w:r>
      <w:r>
        <w:rPr>
          <w:rFonts w:hint="eastAsia" w:ascii="宋体" w:hAnsi="宋体" w:eastAsia="宋体" w:cs="宋体"/>
          <w:color w:val="auto"/>
          <w:kern w:val="0"/>
          <w:sz w:val="24"/>
          <w:szCs w:val="24"/>
          <w:highlight w:val="none"/>
          <w:u w:val="none"/>
          <w:lang w:val="en-US" w:eastAsia="zh-CN"/>
        </w:rPr>
        <w:t>乙方</w:t>
      </w:r>
      <w:r>
        <w:rPr>
          <w:rFonts w:hint="eastAsia" w:ascii="宋体" w:hAnsi="宋体" w:eastAsia="宋体" w:cs="宋体"/>
          <w:color w:val="auto"/>
          <w:kern w:val="0"/>
          <w:sz w:val="24"/>
          <w:szCs w:val="24"/>
          <w:highlight w:val="none"/>
          <w:u w:val="none"/>
        </w:rPr>
        <w:t>承担相应的经济和法律责任。</w:t>
      </w:r>
    </w:p>
    <w:p w14:paraId="2C5C8275">
      <w:pPr>
        <w:pStyle w:val="118"/>
        <w:spacing w:line="360" w:lineRule="auto"/>
        <w:ind w:firstLine="480" w:firstLineChars="200"/>
        <w:jc w:val="both"/>
        <w:outlineLvl w:val="9"/>
        <w:rPr>
          <w:rFonts w:ascii="宋体" w:hAnsi="宋体" w:eastAsia="宋体" w:cs="宋体"/>
          <w:color w:val="auto"/>
          <w:highlight w:val="none"/>
        </w:rPr>
      </w:pPr>
      <w:bookmarkStart w:id="241" w:name="_Toc287628035"/>
      <w:r>
        <w:rPr>
          <w:rFonts w:hint="eastAsia" w:ascii="宋体" w:hAnsi="宋体" w:eastAsia="宋体" w:cs="宋体"/>
          <w:color w:val="auto"/>
          <w:highlight w:val="none"/>
        </w:rPr>
        <w:t>13．交通运输</w:t>
      </w:r>
      <w:bookmarkEnd w:id="241"/>
    </w:p>
    <w:p w14:paraId="6F5216C4">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13.1 办理道路通行权和修建场外设施的费用：</w:t>
      </w:r>
      <w:r>
        <w:rPr>
          <w:rFonts w:hint="eastAsia" w:ascii="宋体" w:hAnsi="宋体" w:eastAsia="宋体" w:cs="宋体"/>
          <w:color w:val="auto"/>
          <w:kern w:val="0"/>
          <w:sz w:val="24"/>
          <w:highlight w:val="none"/>
          <w:u w:val="single"/>
        </w:rPr>
        <w:t>甲方提供必要的协助。由乙方负责办理，所发生费用已包括在合同价款内，由乙方支付，甲方不再承担和另行支付费用。</w:t>
      </w:r>
    </w:p>
    <w:p w14:paraId="0C308DCF">
      <w:pPr>
        <w:autoSpaceDE w:val="0"/>
        <w:autoSpaceDN w:val="0"/>
        <w:adjustRightInd w:val="0"/>
        <w:spacing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13.2 修建场内临时道路和交通设施的费用：</w:t>
      </w:r>
      <w:r>
        <w:rPr>
          <w:rFonts w:hint="eastAsia" w:ascii="宋体" w:hAnsi="宋体" w:eastAsia="宋体" w:cs="宋体"/>
          <w:color w:val="auto"/>
          <w:kern w:val="0"/>
          <w:sz w:val="24"/>
          <w:szCs w:val="24"/>
          <w:highlight w:val="none"/>
          <w:u w:val="none"/>
        </w:rPr>
        <w:t>由</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负责，已包含在合同总价中，</w:t>
      </w:r>
      <w:r>
        <w:rPr>
          <w:rFonts w:hint="eastAsia" w:ascii="宋体" w:hAnsi="宋体" w:eastAsia="宋体" w:cs="宋体"/>
          <w:color w:val="auto"/>
          <w:kern w:val="0"/>
          <w:sz w:val="24"/>
          <w:szCs w:val="24"/>
          <w:highlight w:val="none"/>
          <w:u w:val="none"/>
          <w:lang w:eastAsia="zh-CN"/>
        </w:rPr>
        <w:t>甲方</w:t>
      </w:r>
      <w:r>
        <w:rPr>
          <w:rFonts w:hint="eastAsia" w:ascii="宋体" w:hAnsi="宋体" w:eastAsia="宋体" w:cs="宋体"/>
          <w:color w:val="auto"/>
          <w:kern w:val="0"/>
          <w:sz w:val="24"/>
          <w:szCs w:val="24"/>
          <w:highlight w:val="none"/>
          <w:u w:val="none"/>
        </w:rPr>
        <w:t>不另外支付。</w:t>
      </w:r>
    </w:p>
    <w:p w14:paraId="348C5EAB">
      <w:pPr>
        <w:autoSpaceDE w:val="0"/>
        <w:autoSpaceDN w:val="0"/>
        <w:adjustRightInd w:val="0"/>
        <w:spacing w:line="360" w:lineRule="auto"/>
        <w:ind w:left="0" w:firstLine="480" w:firstLineChars="20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rPr>
        <w:t xml:space="preserve">  13.4 运输超大件和超重件的费用：</w:t>
      </w:r>
      <w:r>
        <w:rPr>
          <w:rFonts w:hint="eastAsia" w:ascii="宋体" w:hAnsi="宋体" w:eastAsia="宋体" w:cs="宋体"/>
          <w:color w:val="auto"/>
          <w:kern w:val="0"/>
          <w:sz w:val="24"/>
          <w:szCs w:val="24"/>
          <w:highlight w:val="none"/>
          <w:u w:val="none"/>
        </w:rPr>
        <w:t>由</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负责，已包含在合同总价中，</w:t>
      </w:r>
      <w:r>
        <w:rPr>
          <w:rFonts w:hint="eastAsia" w:ascii="宋体" w:hAnsi="宋体" w:eastAsia="宋体" w:cs="宋体"/>
          <w:color w:val="auto"/>
          <w:kern w:val="0"/>
          <w:sz w:val="24"/>
          <w:szCs w:val="24"/>
          <w:highlight w:val="none"/>
          <w:u w:val="none"/>
          <w:lang w:eastAsia="zh-CN"/>
        </w:rPr>
        <w:t>甲方</w:t>
      </w:r>
      <w:r>
        <w:rPr>
          <w:rFonts w:hint="eastAsia" w:ascii="宋体" w:hAnsi="宋体" w:eastAsia="宋体" w:cs="宋体"/>
          <w:color w:val="auto"/>
          <w:kern w:val="0"/>
          <w:sz w:val="24"/>
          <w:szCs w:val="24"/>
          <w:highlight w:val="none"/>
          <w:u w:val="none"/>
        </w:rPr>
        <w:t>不另外支付。</w:t>
      </w:r>
    </w:p>
    <w:p w14:paraId="56C2E180">
      <w:pPr>
        <w:autoSpaceDE w:val="0"/>
        <w:autoSpaceDN w:val="0"/>
        <w:adjustRightInd w:val="0"/>
        <w:spacing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13.7</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总价中，若</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无法保证，则</w:t>
      </w:r>
      <w:r>
        <w:rPr>
          <w:rFonts w:hint="eastAsia" w:ascii="宋体" w:hAnsi="宋体" w:eastAsia="宋体" w:cs="宋体"/>
          <w:color w:val="auto"/>
          <w:kern w:val="0"/>
          <w:sz w:val="24"/>
          <w:szCs w:val="24"/>
          <w:highlight w:val="none"/>
          <w:u w:val="none"/>
          <w:lang w:eastAsia="zh-CN"/>
        </w:rPr>
        <w:t>甲方</w:t>
      </w:r>
      <w:r>
        <w:rPr>
          <w:rFonts w:hint="eastAsia" w:ascii="宋体" w:hAnsi="宋体" w:eastAsia="宋体" w:cs="宋体"/>
          <w:color w:val="auto"/>
          <w:kern w:val="0"/>
          <w:sz w:val="24"/>
          <w:szCs w:val="24"/>
          <w:highlight w:val="none"/>
          <w:u w:val="none"/>
        </w:rPr>
        <w:t>可另行委托其他单位实施上述工作，相关费用从支付给</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的工程款中扣回。</w:t>
      </w:r>
    </w:p>
    <w:p w14:paraId="3CC59AE7">
      <w:pPr>
        <w:pStyle w:val="19"/>
        <w:rPr>
          <w:color w:val="auto"/>
          <w:highlight w:val="none"/>
        </w:rPr>
      </w:pPr>
    </w:p>
    <w:p w14:paraId="316EBE5A">
      <w:pPr>
        <w:pStyle w:val="118"/>
        <w:spacing w:line="360" w:lineRule="auto"/>
        <w:ind w:firstLine="480" w:firstLineChars="200"/>
        <w:jc w:val="both"/>
        <w:outlineLvl w:val="9"/>
        <w:rPr>
          <w:rFonts w:ascii="宋体" w:hAnsi="宋体" w:eastAsia="宋体" w:cs="宋体"/>
          <w:color w:val="auto"/>
          <w:highlight w:val="none"/>
        </w:rPr>
      </w:pPr>
      <w:bookmarkStart w:id="242" w:name="_Toc287628036"/>
      <w:r>
        <w:rPr>
          <w:rFonts w:hint="eastAsia" w:ascii="宋体" w:hAnsi="宋体" w:eastAsia="宋体" w:cs="宋体"/>
          <w:color w:val="auto"/>
          <w:highlight w:val="none"/>
        </w:rPr>
        <w:t>14．专项批准事件的签认</w:t>
      </w:r>
      <w:bookmarkEnd w:id="242"/>
    </w:p>
    <w:p w14:paraId="0C10818D">
      <w:pPr>
        <w:autoSpaceDE w:val="0"/>
        <w:autoSpaceDN w:val="0"/>
        <w:adjustRightInd w:val="0"/>
        <w:spacing w:line="360" w:lineRule="auto"/>
        <w:ind w:firstLine="480" w:firstLineChars="200"/>
        <w:rPr>
          <w:rFonts w:ascii="宋体" w:hAnsi="宋体" w:eastAsia="宋体" w:cs="宋体"/>
          <w:color w:val="auto"/>
          <w:kern w:val="0"/>
          <w:position w:val="-2"/>
          <w:sz w:val="24"/>
          <w:highlight w:val="none"/>
        </w:rPr>
      </w:pPr>
      <w:r>
        <w:rPr>
          <w:rFonts w:hint="eastAsia" w:ascii="宋体" w:hAnsi="宋体" w:eastAsia="宋体" w:cs="宋体"/>
          <w:color w:val="auto"/>
          <w:kern w:val="0"/>
          <w:position w:val="-2"/>
          <w:sz w:val="24"/>
          <w:highlight w:val="none"/>
        </w:rPr>
        <w:t>14.2 专项批准事件的签认人选</w:t>
      </w:r>
    </w:p>
    <w:p w14:paraId="280A1DCB">
      <w:pPr>
        <w:pStyle w:val="6"/>
        <w:adjustRightIn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（1）监理工程师：</w:t>
      </w:r>
    </w:p>
    <w:p w14:paraId="1036927A">
      <w:pPr>
        <w:pStyle w:val="6"/>
        <w:adjustRightIn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姓名：          印章式样：               签字式样：</w:t>
      </w:r>
    </w:p>
    <w:p w14:paraId="07AF58F4">
      <w:pPr>
        <w:pStyle w:val="6"/>
        <w:adjustRightIn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（2）造价工程师：</w:t>
      </w:r>
    </w:p>
    <w:p w14:paraId="73E28BC2">
      <w:pPr>
        <w:pStyle w:val="6"/>
        <w:adjustRightIn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姓名：          印章式样：               签字式样：</w:t>
      </w:r>
    </w:p>
    <w:p w14:paraId="43A854F6">
      <w:pPr>
        <w:pStyle w:val="6"/>
        <w:adjustRightIn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（3）建造师：</w:t>
      </w:r>
    </w:p>
    <w:p w14:paraId="030AE97B">
      <w:pPr>
        <w:pStyle w:val="6"/>
        <w:adjustRightIn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姓名：          印章式样：               签字式样：</w:t>
      </w:r>
    </w:p>
    <w:p w14:paraId="1AAFAAC6">
      <w:pPr>
        <w:autoSpaceDE w:val="0"/>
        <w:autoSpaceDN w:val="0"/>
        <w:adjustRightInd w:val="0"/>
        <w:spacing w:line="360" w:lineRule="auto"/>
        <w:ind w:firstLine="400" w:firstLineChars="200"/>
        <w:rPr>
          <w:rFonts w:ascii="宋体" w:hAnsi="宋体" w:eastAsia="宋体" w:cs="宋体"/>
          <w:color w:val="auto"/>
          <w:kern w:val="0"/>
          <w:sz w:val="20"/>
          <w:szCs w:val="20"/>
          <w:highlight w:val="none"/>
        </w:rPr>
      </w:pPr>
      <w:bookmarkStart w:id="243" w:name="_Toc287628037"/>
    </w:p>
    <w:p w14:paraId="4063095C">
      <w:pPr>
        <w:pStyle w:val="118"/>
        <w:spacing w:line="360" w:lineRule="auto"/>
        <w:ind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19． </w:t>
      </w:r>
      <w:bookmarkEnd w:id="243"/>
      <w:r>
        <w:rPr>
          <w:rFonts w:hint="eastAsia" w:ascii="宋体" w:hAnsi="宋体" w:eastAsia="宋体" w:cs="宋体"/>
          <w:color w:val="auto"/>
          <w:highlight w:val="none"/>
        </w:rPr>
        <w:t>甲方</w:t>
      </w:r>
    </w:p>
    <w:p w14:paraId="5005FB7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19.2 甲方完成下列工作的约定</w:t>
      </w:r>
    </w:p>
    <w:p w14:paraId="6BF54DB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  </w:t>
      </w:r>
      <w:r>
        <w:rPr>
          <w:rFonts w:hint="eastAsia" w:ascii="宋体" w:hAnsi="宋体" w:eastAsia="宋体" w:cs="宋体"/>
          <w:color w:val="auto"/>
          <w:spacing w:val="5"/>
          <w:kern w:val="0"/>
          <w:sz w:val="24"/>
          <w:highlight w:val="none"/>
        </w:rPr>
        <w:t xml:space="preserve"> </w:t>
      </w:r>
      <w:r>
        <w:rPr>
          <w:rFonts w:hint="eastAsia" w:ascii="宋体" w:hAnsi="宋体" w:eastAsia="宋体" w:cs="宋体"/>
          <w:color w:val="auto"/>
          <w:kern w:val="0"/>
          <w:sz w:val="24"/>
          <w:highlight w:val="none"/>
        </w:rPr>
        <w:t>办理土地征用、拆迁、平整工作场地等工作时间：</w:t>
      </w:r>
      <w:r>
        <w:rPr>
          <w:rFonts w:hint="eastAsia" w:ascii="宋体" w:hAnsi="宋体" w:eastAsia="宋体" w:cs="宋体"/>
          <w:color w:val="auto"/>
          <w:kern w:val="0"/>
          <w:sz w:val="24"/>
          <w:highlight w:val="none"/>
          <w:lang w:val="en-US" w:eastAsia="zh-CN"/>
        </w:rPr>
        <w:t>签订合同时双方确认甲方已完成</w:t>
      </w:r>
      <w:r>
        <w:rPr>
          <w:rFonts w:hint="eastAsia" w:ascii="宋体" w:hAnsi="宋体" w:eastAsia="宋体" w:cs="宋体"/>
          <w:color w:val="auto"/>
          <w:kern w:val="0"/>
          <w:sz w:val="24"/>
          <w:highlight w:val="none"/>
        </w:rPr>
        <w:t>土地征用、拆迁、平整工作场地等</w:t>
      </w:r>
      <w:r>
        <w:rPr>
          <w:rFonts w:hint="eastAsia" w:ascii="宋体" w:hAnsi="宋体" w:eastAsia="宋体" w:cs="宋体"/>
          <w:color w:val="auto"/>
          <w:kern w:val="0"/>
          <w:sz w:val="24"/>
          <w:highlight w:val="none"/>
          <w:lang w:val="en-US" w:eastAsia="zh-CN"/>
        </w:rPr>
        <w:t>工作</w:t>
      </w:r>
      <w:r>
        <w:rPr>
          <w:rFonts w:hint="eastAsia" w:ascii="宋体" w:hAnsi="宋体" w:eastAsia="宋体" w:cs="宋体"/>
          <w:color w:val="auto"/>
          <w:kern w:val="0"/>
          <w:sz w:val="24"/>
          <w:highlight w:val="none"/>
          <w:u w:val="single"/>
        </w:rPr>
        <w:t>。</w:t>
      </w:r>
    </w:p>
    <w:p w14:paraId="75CDD46D">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  完成施工所需水、电、通讯线路接驳的时间及地点：</w:t>
      </w:r>
      <w:r>
        <w:rPr>
          <w:rFonts w:hint="eastAsia" w:ascii="宋体" w:hAnsi="宋体" w:eastAsia="宋体" w:cs="宋体"/>
          <w:color w:val="auto"/>
          <w:kern w:val="0"/>
          <w:sz w:val="24"/>
          <w:highlight w:val="none"/>
          <w:u w:val="single"/>
        </w:rPr>
        <w:t>开工前，施工临时用水、用电、通讯设施甲方不提供，由乙方自行负责，费用已包含在合同价款中，甲方不再另行计量支付。</w:t>
      </w:r>
    </w:p>
    <w:p w14:paraId="693E0EA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  开工施工现场与城乡公共道路间的通道的时间：</w:t>
      </w:r>
      <w:r>
        <w:rPr>
          <w:rFonts w:hint="eastAsia" w:ascii="宋体" w:hAnsi="宋体" w:eastAsia="宋体" w:cs="宋体"/>
          <w:color w:val="auto"/>
          <w:kern w:val="0"/>
          <w:sz w:val="24"/>
          <w:highlight w:val="none"/>
          <w:u w:val="single"/>
        </w:rPr>
        <w:t>由乙方根据现场的需要或甲方的要求确定，相关费用已包含在合同价款中。</w:t>
      </w:r>
    </w:p>
    <w:p w14:paraId="0FCBCB1D">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(4)  提供施工所需的有关资料的时间：</w:t>
      </w:r>
      <w:r>
        <w:rPr>
          <w:rFonts w:hint="eastAsia" w:ascii="宋体" w:hAnsi="宋体" w:eastAsia="宋体" w:cs="宋体"/>
          <w:color w:val="auto"/>
          <w:kern w:val="0"/>
          <w:sz w:val="24"/>
          <w:highlight w:val="none"/>
          <w:u w:val="single"/>
        </w:rPr>
        <w:t>开工前。</w:t>
      </w:r>
    </w:p>
    <w:p w14:paraId="5EB2CAE0">
      <w:pPr>
        <w:spacing w:line="480" w:lineRule="atLeast"/>
        <w:ind w:left="120" w:leftChars="57"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(5) </w:t>
      </w:r>
      <w:r>
        <w:rPr>
          <w:rFonts w:hint="eastAsia" w:ascii="宋体" w:hAnsi="宋体" w:eastAsia="宋体" w:cs="宋体"/>
          <w:color w:val="auto"/>
          <w:sz w:val="24"/>
          <w:highlight w:val="none"/>
        </w:rPr>
        <w:t>办理施工所需的有关证件和批准手续的时间：</w:t>
      </w:r>
      <w:r>
        <w:rPr>
          <w:rFonts w:hint="eastAsia" w:ascii="宋体" w:hAnsi="宋体" w:eastAsia="宋体" w:cs="宋体"/>
          <w:color w:val="auto"/>
          <w:sz w:val="24"/>
          <w:szCs w:val="24"/>
          <w:highlight w:val="none"/>
        </w:rPr>
        <w:t>开工前三天</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只提供立项批文等施工报建所需相关证明文件</w:t>
      </w:r>
      <w:r>
        <w:rPr>
          <w:rFonts w:hint="eastAsia" w:ascii="宋体" w:hAnsi="宋体" w:eastAsia="宋体"/>
          <w:color w:val="auto"/>
          <w:sz w:val="28"/>
          <w:szCs w:val="28"/>
          <w:highlight w:val="none"/>
        </w:rPr>
        <w:t>。</w:t>
      </w:r>
      <w:r>
        <w:rPr>
          <w:rFonts w:hint="eastAsia" w:ascii="宋体" w:hAnsi="宋体" w:eastAsia="宋体" w:cs="宋体"/>
          <w:color w:val="auto"/>
          <w:sz w:val="24"/>
          <w:highlight w:val="none"/>
        </w:rPr>
        <w:t>有关证件和批准手续</w:t>
      </w:r>
      <w:r>
        <w:rPr>
          <w:rFonts w:hint="eastAsia" w:ascii="宋体" w:hAnsi="宋体" w:eastAsia="宋体" w:cs="宋体"/>
          <w:color w:val="auto"/>
          <w:sz w:val="24"/>
          <w:highlight w:val="none"/>
          <w:u w:val="single"/>
        </w:rPr>
        <w:t>由乙方负责办理、甲方配合，所发生费用按本地行业管理部门的规定各自承担。</w:t>
      </w:r>
      <w:r>
        <w:rPr>
          <w:rFonts w:hint="eastAsia" w:ascii="宋体" w:hAnsi="宋体" w:eastAsia="宋体" w:cs="宋体"/>
          <w:color w:val="auto"/>
          <w:sz w:val="24"/>
          <w:szCs w:val="24"/>
          <w:highlight w:val="none"/>
          <w:u w:val="single"/>
        </w:rPr>
        <w:t>其中施工临时用地、停水、停电、中断道路交通、爆破作业等申请批准手续由</w:t>
      </w:r>
      <w:r>
        <w:rPr>
          <w:rFonts w:hint="eastAsia" w:ascii="宋体" w:hAnsi="宋体" w:eastAsia="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rPr>
        <w:t>自行办理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rPr>
        <w:t>为解决施工道路和施工场地所需要的任何工作均由</w:t>
      </w:r>
      <w:r>
        <w:rPr>
          <w:rFonts w:hint="eastAsia" w:ascii="宋体" w:hAnsi="宋体" w:eastAsia="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rPr>
        <w:t>自行解决，相关费用已综合考虑包含在总报价中，</w:t>
      </w:r>
      <w:r>
        <w:rPr>
          <w:rFonts w:hint="eastAsia" w:ascii="宋体" w:hAnsi="宋体" w:eastAsia="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rPr>
        <w:t>不另行支付费用。</w:t>
      </w:r>
    </w:p>
    <w:p w14:paraId="3C9D4D1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(6)  </w:t>
      </w:r>
      <w:r>
        <w:rPr>
          <w:rFonts w:hint="eastAsia" w:ascii="宋体" w:hAnsi="宋体" w:eastAsia="宋体" w:cs="宋体"/>
          <w:color w:val="auto"/>
          <w:spacing w:val="5"/>
          <w:kern w:val="0"/>
          <w:sz w:val="24"/>
          <w:highlight w:val="none"/>
        </w:rPr>
        <w:t xml:space="preserve"> </w:t>
      </w:r>
      <w:r>
        <w:rPr>
          <w:rFonts w:hint="eastAsia" w:ascii="宋体" w:hAnsi="宋体" w:eastAsia="宋体" w:cs="宋体"/>
          <w:color w:val="auto"/>
          <w:kern w:val="0"/>
          <w:sz w:val="24"/>
          <w:highlight w:val="none"/>
        </w:rPr>
        <w:t>现场交验的时间：</w:t>
      </w:r>
      <w:r>
        <w:rPr>
          <w:rFonts w:hint="eastAsia" w:ascii="宋体" w:hAnsi="宋体" w:eastAsia="宋体" w:cs="宋体"/>
          <w:color w:val="auto"/>
          <w:kern w:val="0"/>
          <w:sz w:val="24"/>
          <w:highlight w:val="none"/>
          <w:u w:val="single"/>
        </w:rPr>
        <w:t>开工前</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lang w:val="en-US" w:eastAsia="zh-CN"/>
        </w:rPr>
        <w:t>签订合同时双方确认甲方已完成</w:t>
      </w:r>
      <w:r>
        <w:rPr>
          <w:rFonts w:hint="eastAsia" w:ascii="宋体" w:hAnsi="宋体" w:eastAsia="宋体" w:cs="宋体"/>
          <w:color w:val="auto"/>
          <w:kern w:val="0"/>
          <w:sz w:val="24"/>
          <w:highlight w:val="none"/>
        </w:rPr>
        <w:t>土地征用、拆迁、平整工作场地等</w:t>
      </w:r>
      <w:r>
        <w:rPr>
          <w:rFonts w:hint="eastAsia" w:ascii="宋体" w:hAnsi="宋体" w:eastAsia="宋体" w:cs="宋体"/>
          <w:color w:val="auto"/>
          <w:kern w:val="0"/>
          <w:sz w:val="24"/>
          <w:highlight w:val="none"/>
          <w:lang w:val="en-US" w:eastAsia="zh-CN"/>
        </w:rPr>
        <w:t>工作</w:t>
      </w:r>
      <w:r>
        <w:rPr>
          <w:rFonts w:hint="eastAsia" w:ascii="宋体" w:hAnsi="宋体" w:eastAsia="宋体" w:cs="宋体"/>
          <w:color w:val="auto"/>
          <w:kern w:val="0"/>
          <w:sz w:val="24"/>
          <w:highlight w:val="none"/>
          <w:u w:val="single"/>
        </w:rPr>
        <w:t>。</w:t>
      </w:r>
    </w:p>
    <w:p w14:paraId="134CB8A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(7)  </w:t>
      </w:r>
      <w:r>
        <w:rPr>
          <w:rFonts w:hint="eastAsia" w:ascii="宋体" w:hAnsi="宋体" w:eastAsia="宋体" w:cs="宋体"/>
          <w:color w:val="auto"/>
          <w:spacing w:val="5"/>
          <w:kern w:val="0"/>
          <w:sz w:val="24"/>
          <w:highlight w:val="none"/>
        </w:rPr>
        <w:t xml:space="preserve"> </w:t>
      </w:r>
      <w:r>
        <w:rPr>
          <w:rFonts w:hint="eastAsia" w:ascii="宋体" w:hAnsi="宋体" w:eastAsia="宋体" w:cs="宋体"/>
          <w:color w:val="auto"/>
          <w:kern w:val="0"/>
          <w:sz w:val="24"/>
          <w:highlight w:val="none"/>
        </w:rPr>
        <w:t>提供标准与规范的时间：</w:t>
      </w:r>
      <w:r>
        <w:rPr>
          <w:rFonts w:hint="eastAsia" w:ascii="宋体" w:hAnsi="宋体" w:eastAsia="宋体" w:cs="宋体"/>
          <w:color w:val="auto"/>
          <w:kern w:val="0"/>
          <w:sz w:val="24"/>
          <w:highlight w:val="none"/>
          <w:u w:val="single"/>
        </w:rPr>
        <w:t>不提供，由乙方自行解决。</w:t>
      </w:r>
    </w:p>
    <w:p w14:paraId="691885F5">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(8)  </w:t>
      </w:r>
      <w:r>
        <w:rPr>
          <w:rFonts w:hint="eastAsia" w:ascii="宋体" w:hAnsi="宋体" w:eastAsia="宋体" w:cs="宋体"/>
          <w:color w:val="auto"/>
          <w:spacing w:val="5"/>
          <w:kern w:val="0"/>
          <w:sz w:val="24"/>
          <w:highlight w:val="none"/>
        </w:rPr>
        <w:t xml:space="preserve"> </w:t>
      </w:r>
      <w:r>
        <w:rPr>
          <w:rFonts w:hint="eastAsia" w:ascii="宋体" w:hAnsi="宋体" w:eastAsia="宋体" w:cs="宋体"/>
          <w:color w:val="auto"/>
          <w:kern w:val="0"/>
          <w:sz w:val="24"/>
          <w:highlight w:val="none"/>
        </w:rPr>
        <w:t>组织图纸会审和设计交底的时间：</w:t>
      </w:r>
      <w:r>
        <w:rPr>
          <w:rFonts w:hint="eastAsia" w:ascii="宋体" w:hAnsi="宋体" w:eastAsia="宋体" w:cs="宋体"/>
          <w:color w:val="auto"/>
          <w:kern w:val="0"/>
          <w:sz w:val="24"/>
          <w:highlight w:val="none"/>
          <w:u w:val="single"/>
        </w:rPr>
        <w:t>开工前。</w:t>
      </w:r>
    </w:p>
    <w:p w14:paraId="14570A65">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(9) 协调处理施工场地周围地形关系问题和做好邻近建筑物、构筑物（包括文物保护建筑）、古树名木等的保护工作的约定：</w:t>
      </w:r>
      <w:r>
        <w:rPr>
          <w:rFonts w:hint="eastAsia" w:ascii="宋体" w:hAnsi="宋体" w:eastAsia="宋体" w:cs="宋体"/>
          <w:color w:val="auto"/>
          <w:kern w:val="0"/>
          <w:sz w:val="24"/>
          <w:highlight w:val="none"/>
          <w:u w:val="single"/>
        </w:rPr>
        <w:t>如有则及时向有关单位报告，由乙方自行勘查和负责保护，</w:t>
      </w:r>
      <w:r>
        <w:rPr>
          <w:rFonts w:hint="eastAsia" w:ascii="宋体" w:hAnsi="宋体" w:eastAsia="宋体" w:cs="宋体"/>
          <w:color w:val="auto"/>
          <w:kern w:val="0"/>
          <w:sz w:val="24"/>
          <w:szCs w:val="24"/>
          <w:highlight w:val="none"/>
          <w:u w:val="single"/>
        </w:rPr>
        <w:t>有关费用已包含在本合同总价款内，</w:t>
      </w:r>
      <w:r>
        <w:rPr>
          <w:rFonts w:hint="eastAsia" w:ascii="宋体" w:hAnsi="宋体" w:eastAsia="宋体" w:cs="宋体"/>
          <w:color w:val="auto"/>
          <w:kern w:val="0"/>
          <w:sz w:val="24"/>
          <w:szCs w:val="24"/>
          <w:highlight w:val="none"/>
          <w:u w:val="single"/>
          <w:lang w:val="en-US" w:eastAsia="zh-CN"/>
        </w:rPr>
        <w:t>甲方</w:t>
      </w:r>
      <w:r>
        <w:rPr>
          <w:rFonts w:hint="eastAsia" w:ascii="宋体" w:hAnsi="宋体" w:eastAsia="宋体" w:cs="宋体"/>
          <w:color w:val="auto"/>
          <w:kern w:val="0"/>
          <w:sz w:val="24"/>
          <w:szCs w:val="24"/>
          <w:highlight w:val="none"/>
          <w:u w:val="single"/>
        </w:rPr>
        <w:t>不再承担任何费用</w:t>
      </w:r>
      <w:r>
        <w:rPr>
          <w:rFonts w:hint="eastAsia" w:ascii="宋体" w:hAnsi="宋体" w:eastAsia="宋体" w:cs="宋体"/>
          <w:color w:val="auto"/>
          <w:kern w:val="0"/>
          <w:sz w:val="24"/>
          <w:highlight w:val="none"/>
          <w:u w:val="single"/>
        </w:rPr>
        <w:t>。</w:t>
      </w:r>
    </w:p>
    <w:p w14:paraId="278F697C">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(10) 双方约定甲方应做的其他工作：</w:t>
      </w:r>
      <w:r>
        <w:rPr>
          <w:rFonts w:hint="eastAsia" w:ascii="宋体" w:hAnsi="宋体" w:eastAsia="宋体" w:cs="宋体"/>
          <w:color w:val="auto"/>
          <w:sz w:val="24"/>
          <w:highlight w:val="none"/>
          <w:u w:val="single"/>
        </w:rPr>
        <w:t>甲方向乙方提供施工用地。如果甲方提供的施工用地不能满足乙方施工需要，乙方应自行解决施工临时用地，必要时甲方可予协助，因此造成的工期延误和费用等由乙方承担</w:t>
      </w:r>
      <w:r>
        <w:rPr>
          <w:rFonts w:hint="eastAsia" w:ascii="宋体" w:hAnsi="宋体" w:eastAsia="宋体" w:cs="宋体"/>
          <w:color w:val="auto"/>
          <w:sz w:val="24"/>
          <w:highlight w:val="none"/>
        </w:rPr>
        <w:t>。</w:t>
      </w:r>
    </w:p>
    <w:p w14:paraId="5243A5A7">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(11) 委托乙方办理的工作有：</w:t>
      </w:r>
      <w:r>
        <w:rPr>
          <w:rFonts w:hint="eastAsia" w:ascii="宋体" w:hAnsi="宋体" w:eastAsia="宋体" w:cs="宋体"/>
          <w:color w:val="auto"/>
          <w:kern w:val="0"/>
          <w:sz w:val="24"/>
          <w:highlight w:val="none"/>
          <w:u w:val="single"/>
        </w:rPr>
        <w:t>因工程建设需要的工作，可由甲方提出，乙方应无条件服从</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szCs w:val="24"/>
          <w:highlight w:val="none"/>
          <w:u w:val="single"/>
        </w:rPr>
        <w:t>对通用条款中应由</w:t>
      </w:r>
      <w:r>
        <w:rPr>
          <w:rFonts w:hint="eastAsia" w:ascii="宋体" w:hAnsi="宋体" w:eastAsia="宋体" w:cs="宋体"/>
          <w:color w:val="auto"/>
          <w:kern w:val="0"/>
          <w:sz w:val="24"/>
          <w:szCs w:val="24"/>
          <w:highlight w:val="none"/>
          <w:u w:val="single"/>
          <w:lang w:val="en-US" w:eastAsia="zh-CN"/>
        </w:rPr>
        <w:t>甲方</w:t>
      </w:r>
      <w:r>
        <w:rPr>
          <w:rFonts w:hint="eastAsia" w:ascii="宋体" w:hAnsi="宋体" w:eastAsia="宋体" w:cs="宋体"/>
          <w:color w:val="auto"/>
          <w:kern w:val="0"/>
          <w:sz w:val="24"/>
          <w:szCs w:val="24"/>
          <w:highlight w:val="none"/>
          <w:u w:val="single"/>
        </w:rPr>
        <w:t>承担的工作而发包人委托承包人承担的，承包人已在投标时审慎报价，有关费用已包含在合同总价，发包人不再作补偿</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rPr>
        <w:t xml:space="preserve">    </w:t>
      </w:r>
    </w:p>
    <w:p w14:paraId="009CDFE9">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19.3 提供施工场地的时间：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本项目采用EPCO模式，勘察阶段乙方已入场。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73B646A4">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19.4 支付款项</w:t>
      </w:r>
    </w:p>
    <w:p w14:paraId="53CCDB8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工程款支付期限</w:t>
      </w:r>
    </w:p>
    <w:p w14:paraId="653FB51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按专用条款第81.3款规定期限支付。</w:t>
      </w:r>
    </w:p>
    <w:p w14:paraId="6DBBEF3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7020C83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工程款支付方式</w:t>
      </w:r>
    </w:p>
    <w:p w14:paraId="5116011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按协议书所注明的银行帐号转账。</w:t>
      </w:r>
    </w:p>
    <w:p w14:paraId="44542CC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支票支付。</w:t>
      </w:r>
    </w:p>
    <w:p w14:paraId="492D9DB0">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其他方式：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0859A0A1">
      <w:pPr>
        <w:pStyle w:val="118"/>
        <w:spacing w:line="360" w:lineRule="auto"/>
        <w:ind w:firstLine="480" w:firstLineChars="200"/>
        <w:jc w:val="both"/>
        <w:outlineLvl w:val="9"/>
        <w:rPr>
          <w:rFonts w:hint="eastAsia" w:ascii="宋体" w:hAnsi="宋体" w:eastAsia="宋体" w:cs="宋体"/>
          <w:color w:val="auto"/>
          <w:highlight w:val="none"/>
        </w:rPr>
      </w:pPr>
      <w:bookmarkStart w:id="244" w:name="_Toc287628038"/>
      <w:r>
        <w:rPr>
          <w:rFonts w:hint="eastAsia" w:ascii="宋体" w:hAnsi="宋体" w:eastAsia="宋体" w:cs="宋体"/>
          <w:color w:val="auto"/>
          <w:highlight w:val="none"/>
        </w:rPr>
        <w:t>20．</w:t>
      </w:r>
      <w:bookmarkEnd w:id="244"/>
      <w:r>
        <w:rPr>
          <w:rFonts w:hint="eastAsia" w:ascii="宋体" w:hAnsi="宋体" w:eastAsia="宋体" w:cs="宋体"/>
          <w:color w:val="auto"/>
          <w:highlight w:val="none"/>
        </w:rPr>
        <w:t>乙方</w:t>
      </w:r>
    </w:p>
    <w:p w14:paraId="7CCAE1F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20.2 乙方完成下列工作的约定</w:t>
      </w:r>
    </w:p>
    <w:p w14:paraId="368FBCF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 提交支付申请和工程款额报告期限</w:t>
      </w:r>
    </w:p>
    <w:p w14:paraId="7D264A2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■另作约定：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每月的20日至25日向</w:t>
      </w:r>
      <w:r>
        <w:rPr>
          <w:rFonts w:hint="eastAsia" w:ascii="宋体" w:hAnsi="宋体" w:eastAsia="宋体" w:cs="宋体"/>
          <w:color w:val="auto"/>
          <w:kern w:val="0"/>
          <w:sz w:val="24"/>
          <w:highlight w:val="none"/>
          <w:u w:val="single"/>
        </w:rPr>
        <w:t>甲方</w:t>
      </w:r>
      <w:r>
        <w:rPr>
          <w:rFonts w:hint="eastAsia" w:ascii="宋体" w:hAnsi="宋体" w:eastAsia="宋体" w:cs="宋体"/>
          <w:color w:val="auto"/>
          <w:sz w:val="24"/>
          <w:highlight w:val="none"/>
          <w:u w:val="single"/>
        </w:rPr>
        <w:t>提交经监理人审核后支付申请和工程款请款资料，逾期由乙方承担一切责任。</w:t>
      </w:r>
    </w:p>
    <w:p w14:paraId="7EE18FF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 向甲方提供施工场地办公和生活的房屋及设施的数量和时间等要求：</w:t>
      </w:r>
      <w:r>
        <w:rPr>
          <w:rFonts w:hint="eastAsia" w:ascii="宋体" w:hAnsi="宋体" w:eastAsia="宋体" w:cs="宋体"/>
          <w:color w:val="auto"/>
          <w:kern w:val="0"/>
          <w:sz w:val="24"/>
          <w:highlight w:val="none"/>
          <w:u w:val="single"/>
        </w:rPr>
        <w:t>乙方应提供可以满足本项目开展现场工作的办公和住宿用房及相关设施设备。乙方投入的用于为本项目现场服务的办公和住宿用房、相关设施设备截止日期为工程竣工完成后1个月。</w:t>
      </w:r>
    </w:p>
    <w:p w14:paraId="3B143EFF">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(6) 办理施工场地交通、环境保护、施工噪声、安全文明施工等手续的约定：</w:t>
      </w:r>
      <w:r>
        <w:rPr>
          <w:rFonts w:hint="eastAsia" w:ascii="宋体" w:hAnsi="宋体" w:eastAsia="宋体" w:cs="宋体"/>
          <w:color w:val="auto"/>
          <w:kern w:val="0"/>
          <w:sz w:val="24"/>
          <w:highlight w:val="none"/>
          <w:u w:val="single"/>
        </w:rPr>
        <w:t>按照广州市建委施工现场、交通环卫和施工噪音管理规定</w:t>
      </w:r>
      <w:r>
        <w:rPr>
          <w:rFonts w:hint="eastAsia" w:ascii="宋体" w:hAnsi="宋体" w:eastAsia="宋体" w:cs="宋体"/>
          <w:color w:val="auto"/>
          <w:kern w:val="0"/>
          <w:sz w:val="24"/>
          <w:highlight w:val="none"/>
          <w:u w:val="single"/>
          <w:lang w:val="en-US" w:eastAsia="zh-CN"/>
        </w:rPr>
        <w:t>及相关文件</w:t>
      </w:r>
      <w:r>
        <w:rPr>
          <w:rFonts w:hint="eastAsia" w:ascii="宋体" w:hAnsi="宋体" w:eastAsia="宋体" w:cs="宋体"/>
          <w:color w:val="auto"/>
          <w:kern w:val="0"/>
          <w:sz w:val="24"/>
          <w:highlight w:val="none"/>
          <w:u w:val="single"/>
        </w:rPr>
        <w:t>办理，承担由于自身措施不力造成事故的责任和发生的费用。</w:t>
      </w:r>
    </w:p>
    <w:p w14:paraId="6165562C">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rPr>
        <w:t>）已完工程成品保护的特殊要求及费用承担：承包人须负全责保护所有成品，直至工程移交为止，其费用已包括在合同价款内。</w:t>
      </w:r>
    </w:p>
    <w:p w14:paraId="6EC8FA1D">
      <w:pPr>
        <w:widowControl/>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w:t>
      </w:r>
      <w:r>
        <w:rPr>
          <w:rFonts w:hint="eastAsia" w:ascii="宋体" w:hAnsi="宋体" w:eastAsia="宋体" w:cs="宋体"/>
          <w:color w:val="auto"/>
          <w:highlight w:val="none"/>
        </w:rPr>
        <w:t xml:space="preserve"> </w:t>
      </w:r>
      <w:r>
        <w:rPr>
          <w:rFonts w:hint="eastAsia" w:ascii="宋体" w:hAnsi="宋体" w:eastAsia="宋体" w:cs="宋体"/>
          <w:color w:val="auto"/>
          <w:kern w:val="0"/>
          <w:sz w:val="24"/>
          <w:highlight w:val="none"/>
        </w:rPr>
        <w:t>做好施工场地地下管线和邻近建筑物、构筑物（包括文物保护建筑）、古树名木保护工作的约定： 由乙方自行勘查和负责保护</w:t>
      </w:r>
      <w:r>
        <w:rPr>
          <w:rFonts w:hint="eastAsia" w:ascii="宋体" w:hAnsi="宋体" w:eastAsia="宋体" w:cs="宋体"/>
          <w:color w:val="auto"/>
          <w:kern w:val="0"/>
          <w:sz w:val="24"/>
          <w:szCs w:val="24"/>
          <w:highlight w:val="none"/>
        </w:rPr>
        <w:t>，在开工前进行房屋鉴定工作</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，有关费用已包含在本合同总价款内，</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不再承担任何费用。因施工过程造成的破坏，由</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负责其翻修费用及赔偿责任</w:t>
      </w:r>
      <w:r>
        <w:rPr>
          <w:rFonts w:hint="eastAsia" w:ascii="宋体" w:hAnsi="宋体" w:eastAsia="宋体" w:cs="宋体"/>
          <w:color w:val="auto"/>
          <w:kern w:val="0"/>
          <w:sz w:val="24"/>
          <w:highlight w:val="none"/>
        </w:rPr>
        <w:t>。</w:t>
      </w:r>
    </w:p>
    <w:p w14:paraId="55B9BC33">
      <w:pPr>
        <w:widowControl/>
        <w:spacing w:line="360" w:lineRule="auto"/>
        <w:ind w:firstLine="480" w:firstLineChars="200"/>
        <w:jc w:val="left"/>
        <w:rPr>
          <w:rFonts w:ascii="宋体" w:hAnsi="宋体" w:eastAsia="宋体" w:cs="宋体"/>
          <w:color w:val="auto"/>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文物保护要求：施工过程中乙方发现施工场地存在文物的，应当立即停止施工，保护现场并第一时间通知甲方。乙方应积极配合协助文物部门对文物的保护、抢救和发掘工作。待相关工作完成后，在收到复工报告后5个日</w:t>
      </w:r>
      <w:r>
        <w:rPr>
          <w:rFonts w:hint="eastAsia" w:ascii="宋体" w:hAnsi="宋体" w:eastAsia="宋体" w:cs="宋体"/>
          <w:color w:val="auto"/>
          <w:kern w:val="0"/>
          <w:sz w:val="24"/>
          <w:highlight w:val="none"/>
          <w:u w:val="single"/>
          <w:lang w:val="en-US" w:eastAsia="zh-CN"/>
        </w:rPr>
        <w:t>历天</w:t>
      </w:r>
      <w:r>
        <w:rPr>
          <w:rFonts w:hint="eastAsia" w:ascii="宋体" w:hAnsi="宋体" w:eastAsia="宋体" w:cs="宋体"/>
          <w:color w:val="auto"/>
          <w:kern w:val="0"/>
          <w:sz w:val="24"/>
          <w:highlight w:val="none"/>
          <w:u w:val="single"/>
        </w:rPr>
        <w:t>内进场施工，若未在规定的时间内进场施工，按从延误第二天起，每延误一天，按合同价款的万分之五计算违约金，因文物保护工作占用工期并影响关键线路的，工期相应顺延。</w:t>
      </w:r>
    </w:p>
    <w:p w14:paraId="25B8EB6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u w:val="single"/>
        </w:rPr>
        <w:t>古树名木保护要求：项目涉及古树名木的，乙方应依法采取必要的避让保护措施或异地迁移措施</w:t>
      </w:r>
      <w:r>
        <w:rPr>
          <w:rFonts w:hint="eastAsia" w:ascii="宋体" w:hAnsi="宋体" w:eastAsia="宋体" w:cs="宋体"/>
          <w:color w:val="auto"/>
          <w:sz w:val="24"/>
          <w:highlight w:val="none"/>
        </w:rPr>
        <w:t>。</w:t>
      </w:r>
    </w:p>
    <w:p w14:paraId="2204513E">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(9) 保证施工场地的清洁和做好交工前施工现场清理工作的约定：</w:t>
      </w:r>
      <w:r>
        <w:rPr>
          <w:rFonts w:hint="eastAsia" w:ascii="宋体" w:hAnsi="宋体" w:eastAsia="宋体" w:cs="宋体"/>
          <w:color w:val="auto"/>
          <w:kern w:val="0"/>
          <w:sz w:val="24"/>
          <w:highlight w:val="none"/>
          <w:u w:val="single"/>
        </w:rPr>
        <w:t>保证施工场地清洁卫生符合广州市有关规定的要求。乙方必须按有关规定执行，做好施工场地的文明施工措施。竣工</w:t>
      </w:r>
      <w:r>
        <w:rPr>
          <w:rFonts w:hint="eastAsia" w:ascii="宋体" w:hAnsi="宋体" w:eastAsia="宋体" w:cs="宋体"/>
          <w:color w:val="auto"/>
          <w:kern w:val="0"/>
          <w:sz w:val="24"/>
          <w:highlight w:val="none"/>
          <w:u w:val="single"/>
          <w:lang w:val="en-US" w:eastAsia="zh-CN"/>
        </w:rPr>
        <w:t>后</w:t>
      </w:r>
      <w:r>
        <w:rPr>
          <w:rFonts w:hint="eastAsia" w:ascii="宋体" w:hAnsi="宋体" w:eastAsia="宋体" w:cs="宋体"/>
          <w:color w:val="auto"/>
          <w:kern w:val="0"/>
          <w:sz w:val="24"/>
          <w:highlight w:val="none"/>
          <w:u w:val="single"/>
        </w:rPr>
        <w:t>7</w:t>
      </w:r>
      <w:r>
        <w:rPr>
          <w:rFonts w:hint="eastAsia" w:ascii="宋体" w:hAnsi="宋体" w:eastAsia="宋体" w:cs="宋体"/>
          <w:color w:val="auto"/>
          <w:kern w:val="0"/>
          <w:sz w:val="24"/>
          <w:highlight w:val="none"/>
          <w:u w:val="single"/>
          <w:lang w:val="en-US" w:eastAsia="zh-CN"/>
        </w:rPr>
        <w:t>个日历</w:t>
      </w:r>
      <w:r>
        <w:rPr>
          <w:rFonts w:hint="eastAsia" w:ascii="宋体" w:hAnsi="宋体" w:eastAsia="宋体" w:cs="宋体"/>
          <w:color w:val="auto"/>
          <w:kern w:val="0"/>
          <w:sz w:val="24"/>
          <w:highlight w:val="none"/>
          <w:u w:val="single"/>
        </w:rPr>
        <w:t>天内拆除临时设施、搬走所有施工机械、垃圾及剩余材料，使竣工现场干净、整洁，并以通过甲方验收为标准。逾期不拆，甲方有权安排其他单位完成，所需费用从结算款中扣除。</w:t>
      </w:r>
    </w:p>
    <w:p w14:paraId="080F8AA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 提交竣工验收申请报告和竣工结算文件</w:t>
      </w:r>
    </w:p>
    <w:p w14:paraId="18C12A1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□按通用条款第82款规定提交。</w:t>
      </w:r>
    </w:p>
    <w:p w14:paraId="1B32A87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按通用条款第82款规定提交，满足本合同第四篇中第三章补充条款的要求。 </w:t>
      </w:r>
    </w:p>
    <w:p w14:paraId="19846091">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补充以下工作内容，包括但不限于：</w:t>
      </w:r>
    </w:p>
    <w:p w14:paraId="21CF31BE">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（11）</w:t>
      </w:r>
      <w:r>
        <w:rPr>
          <w:rFonts w:hint="eastAsia" w:ascii="宋体" w:hAnsi="宋体" w:eastAsia="宋体" w:cs="宋体"/>
          <w:color w:val="auto"/>
          <w:kern w:val="0"/>
          <w:sz w:val="24"/>
          <w:highlight w:val="none"/>
          <w:u w:val="single"/>
        </w:rPr>
        <w:t>基坑工程由乙方负责基坑排水，费用已包含于合同价内，甲方不再另行支付</w:t>
      </w:r>
      <w:r>
        <w:rPr>
          <w:rFonts w:hint="eastAsia" w:ascii="宋体" w:hAnsi="宋体" w:eastAsia="宋体" w:cs="宋体"/>
          <w:color w:val="auto"/>
          <w:kern w:val="0"/>
          <w:sz w:val="24"/>
          <w:highlight w:val="none"/>
        </w:rPr>
        <w:t>。</w:t>
      </w:r>
    </w:p>
    <w:p w14:paraId="42CD7966">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w:t>
      </w:r>
      <w:r>
        <w:rPr>
          <w:rFonts w:hint="eastAsia" w:ascii="宋体" w:hAnsi="宋体" w:eastAsia="宋体" w:cs="宋体"/>
          <w:color w:val="auto"/>
          <w:kern w:val="0"/>
          <w:sz w:val="24"/>
          <w:highlight w:val="none"/>
          <w:u w:val="single"/>
        </w:rPr>
        <w:t>施工场地外通道，乙方进场后应负责照管和维护至本合同工程竣工验收通过，费用已包含于合同价款内，甲方不再另行承担和支付</w:t>
      </w:r>
      <w:r>
        <w:rPr>
          <w:rFonts w:hint="eastAsia" w:ascii="宋体" w:hAnsi="宋体" w:eastAsia="宋体" w:cs="宋体"/>
          <w:color w:val="auto"/>
          <w:kern w:val="0"/>
          <w:sz w:val="24"/>
          <w:highlight w:val="none"/>
        </w:rPr>
        <w:t>。</w:t>
      </w:r>
    </w:p>
    <w:p w14:paraId="77688990">
      <w:pPr>
        <w:tabs>
          <w:tab w:val="left" w:pos="540"/>
          <w:tab w:val="left" w:pos="900"/>
          <w:tab w:val="left" w:pos="1080"/>
        </w:tabs>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（13）</w:t>
      </w:r>
      <w:r>
        <w:rPr>
          <w:rFonts w:hint="eastAsia" w:ascii="宋体" w:hAnsi="宋体" w:eastAsia="宋体" w:cs="宋体"/>
          <w:color w:val="auto"/>
          <w:kern w:val="0"/>
          <w:sz w:val="24"/>
          <w:highlight w:val="none"/>
          <w:u w:val="single"/>
        </w:rPr>
        <w:t>乙方出现拖欠工人工资纠纷的，公司领导应在接到通知后1小时内到现场协调处理。在15日内按所欠工资额的</w:t>
      </w:r>
      <w:r>
        <w:rPr>
          <w:rFonts w:hint="eastAsia" w:ascii="宋体" w:hAnsi="宋体" w:eastAsia="宋体" w:cs="宋体"/>
          <w:color w:val="auto"/>
          <w:kern w:val="0"/>
          <w:sz w:val="24"/>
          <w:highlight w:val="none"/>
          <w:u w:val="single"/>
          <w:lang w:val="en-US" w:eastAsia="zh-CN"/>
        </w:rPr>
        <w:t>2</w:t>
      </w:r>
      <w:r>
        <w:rPr>
          <w:rFonts w:hint="eastAsia" w:ascii="宋体" w:hAnsi="宋体" w:eastAsia="宋体" w:cs="宋体"/>
          <w:color w:val="auto"/>
          <w:kern w:val="0"/>
          <w:sz w:val="24"/>
          <w:highlight w:val="none"/>
          <w:u w:val="single"/>
        </w:rPr>
        <w:t>倍向发包方交纳罚金。乙方如拒不交纳罚金，甲方有权在进度款扣减或提取履约保证金，列入黑名单及拒绝其后续投标，并报上级主管部门</w:t>
      </w:r>
      <w:r>
        <w:rPr>
          <w:rFonts w:hint="eastAsia" w:ascii="宋体" w:hAnsi="宋体" w:eastAsia="宋体" w:cs="宋体"/>
          <w:color w:val="auto"/>
          <w:kern w:val="0"/>
          <w:sz w:val="24"/>
          <w:highlight w:val="none"/>
        </w:rPr>
        <w:t>。</w:t>
      </w:r>
    </w:p>
    <w:p w14:paraId="14730812">
      <w:pPr>
        <w:spacing w:line="360" w:lineRule="auto"/>
        <w:ind w:left="105" w:leftChars="50" w:firstLine="480" w:firstLineChars="200"/>
        <w:rPr>
          <w:rFonts w:ascii="宋体" w:hAnsi="宋体" w:eastAsia="宋体" w:cs="宋体"/>
          <w:color w:val="auto"/>
          <w:highlight w:val="none"/>
        </w:rPr>
      </w:pPr>
      <w:r>
        <w:rPr>
          <w:rFonts w:hint="eastAsia" w:ascii="宋体" w:hAnsi="宋体" w:eastAsia="宋体" w:cs="宋体"/>
          <w:color w:val="auto"/>
          <w:kern w:val="0"/>
          <w:sz w:val="24"/>
          <w:highlight w:val="none"/>
        </w:rPr>
        <w:t>20.4 乙方提供施工所需劳务、材料、国产设备、施工设备和其他物品的约定：</w:t>
      </w:r>
      <w:r>
        <w:rPr>
          <w:rFonts w:hint="eastAsia" w:ascii="宋体" w:hAnsi="宋体" w:eastAsia="宋体" w:cs="宋体"/>
          <w:color w:val="auto"/>
          <w:kern w:val="0"/>
          <w:sz w:val="24"/>
          <w:highlight w:val="none"/>
          <w:u w:val="single"/>
        </w:rPr>
        <w:t>按本合同专用条款49.2款执行</w:t>
      </w:r>
      <w:r>
        <w:rPr>
          <w:rFonts w:hint="eastAsia" w:ascii="宋体" w:hAnsi="宋体" w:eastAsia="宋体" w:cs="宋体"/>
          <w:color w:val="auto"/>
          <w:kern w:val="0"/>
          <w:sz w:val="24"/>
          <w:highlight w:val="none"/>
        </w:rPr>
        <w:t>。</w:t>
      </w:r>
    </w:p>
    <w:p w14:paraId="6C518E7F">
      <w:pPr>
        <w:pStyle w:val="6"/>
        <w:spacing w:line="360" w:lineRule="auto"/>
        <w:ind w:firstLine="48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补充以下工作内容，包括但不限于：</w:t>
      </w:r>
    </w:p>
    <w:p w14:paraId="452C4509">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乙方进场时，如没有临时施工用电或已有用电条件不能满足施工需求，乙方应投入发电措施实施施工，不能因此理由拒绝或推迟开工，乙方所投入的发电机功率应满足施工的需求。</w:t>
      </w:r>
    </w:p>
    <w:p w14:paraId="330E595D">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lang w:val="en-US" w:eastAsia="zh-CN"/>
        </w:rPr>
        <w:t>本项目采用EPCO模式，</w:t>
      </w:r>
      <w:r>
        <w:rPr>
          <w:rFonts w:hint="eastAsia" w:ascii="宋体" w:hAnsi="宋体" w:eastAsia="宋体" w:cs="宋体"/>
          <w:color w:val="auto"/>
          <w:kern w:val="0"/>
          <w:sz w:val="24"/>
          <w:highlight w:val="none"/>
          <w:u w:val="single"/>
        </w:rPr>
        <w:t>双方约定自合同签订之日起3天内，乙方必须完成</w:t>
      </w:r>
      <w:r>
        <w:rPr>
          <w:rFonts w:hint="eastAsia" w:ascii="宋体" w:hAnsi="宋体" w:eastAsia="宋体" w:cs="宋体"/>
          <w:color w:val="auto"/>
          <w:kern w:val="0"/>
          <w:sz w:val="24"/>
          <w:highlight w:val="none"/>
          <w:u w:val="single"/>
          <w:lang w:val="en-US" w:eastAsia="zh-CN"/>
        </w:rPr>
        <w:t>全部</w:t>
      </w:r>
      <w:r>
        <w:rPr>
          <w:rFonts w:hint="eastAsia" w:ascii="宋体" w:hAnsi="宋体" w:eastAsia="宋体" w:cs="宋体"/>
          <w:color w:val="auto"/>
          <w:kern w:val="0"/>
          <w:sz w:val="24"/>
          <w:highlight w:val="none"/>
          <w:u w:val="single"/>
        </w:rPr>
        <w:t>进场工作。如果乙方的实际进场日期迟于计划进场日期，</w:t>
      </w:r>
      <w:r>
        <w:rPr>
          <w:rFonts w:hint="eastAsia" w:ascii="宋体" w:hAnsi="宋体" w:eastAsia="宋体" w:cs="宋体"/>
          <w:color w:val="auto"/>
          <w:kern w:val="0"/>
          <w:sz w:val="24"/>
          <w:highlight w:val="none"/>
          <w:u w:val="single"/>
          <w:lang w:val="en-US" w:eastAsia="zh-CN"/>
        </w:rPr>
        <w:t>每延迟一天，</w:t>
      </w:r>
      <w:r>
        <w:rPr>
          <w:rFonts w:hint="eastAsia" w:ascii="宋体" w:hAnsi="宋体" w:eastAsia="宋体" w:cs="宋体"/>
          <w:color w:val="auto"/>
          <w:kern w:val="0"/>
          <w:sz w:val="24"/>
          <w:highlight w:val="none"/>
          <w:u w:val="single"/>
        </w:rPr>
        <w:t>甲方有权向乙方索取</w:t>
      </w:r>
      <w:r>
        <w:rPr>
          <w:rFonts w:hint="eastAsia" w:ascii="宋体" w:hAnsi="宋体" w:eastAsia="宋体" w:cs="宋体"/>
          <w:color w:val="auto"/>
          <w:kern w:val="0"/>
          <w:sz w:val="24"/>
          <w:highlight w:val="none"/>
          <w:u w:val="single"/>
          <w:lang w:val="en-US" w:eastAsia="zh-CN"/>
        </w:rPr>
        <w:t>1000元的误期赔偿费</w:t>
      </w:r>
      <w:r>
        <w:rPr>
          <w:rFonts w:hint="eastAsia" w:ascii="宋体" w:hAnsi="宋体" w:eastAsia="宋体" w:cs="宋体"/>
          <w:color w:val="auto"/>
          <w:kern w:val="0"/>
          <w:sz w:val="24"/>
          <w:highlight w:val="none"/>
          <w:u w:val="single"/>
        </w:rPr>
        <w:t>。</w:t>
      </w:r>
    </w:p>
    <w:p w14:paraId="40479C65">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乙方必须建立并健全全面质量管理体系、施工质量检验制度和综合施工质量水平评定考核制度，严格按照操作工艺流程、技术要求施工，设置具备资格的各级技术管理和质量检查人员；</w:t>
      </w:r>
    </w:p>
    <w:p w14:paraId="14A46B16">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保证执行投标文件所承诺的施工组织设计中的资源投入计划，将工程施工所需的机械设备、人员、材料等资源，根据工程进度计划按时、按标准、足额投入；否则，应承担违反投标承诺的违约责任。</w:t>
      </w:r>
    </w:p>
    <w:p w14:paraId="0B372A16">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施工过程中，乙方因特殊原因需变更资源投入计划或者对已投入的资源进行调整的，应当提前7天提出书面申请，报总监理工程师和甲方批准。允许机械、设备调整的原则为：所调整机械、设备，规格、标准只能比原计划提高，不能降低；数量原则上不允许减少，如确因更换先进设备提高了工效，可考虑在总工作能力不降低的前提下同意调整。未经甲方许可，乙方开工后已进场的机械设备在任何情况下都不得在计划使用期间撤出现场。若施工机械、设备在施工过程中发生损坏，乙方必须在3天内修复或更换。</w:t>
      </w:r>
    </w:p>
    <w:p w14:paraId="74EAE182">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因设计变更、施工现场情况变化造成工程内容、工程量变化，乙方须在变更或变化确定后3天内，提出完整的更新施工方案和资源投入计划，报总监理工程师和甲方批准后实施。</w:t>
      </w:r>
    </w:p>
    <w:p w14:paraId="2A921B8A">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对施工图、技术资料认真地复核和检查，有预见性地发现和指正设计缺陷和错误，应提出能实质性地节约资金和缩短工期的建议和措施。</w:t>
      </w:r>
    </w:p>
    <w:p w14:paraId="2A628367">
      <w:pPr>
        <w:numPr>
          <w:ilvl w:val="0"/>
          <w:numId w:val="30"/>
        </w:numPr>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乙方必须配备足够的安保人员，加强巡查，落实安全责任。对于搭建外墙排栅施工工程，要切实保障施工范围内相关人员的人身、财产安全。若因乙方配备安保人员不到位，未落实安全生产责任制引起入室盗窃，住户或单位的人身、财产安全因而遭受侵害的，所发生的各类损失由乙方负责赔偿。</w:t>
      </w:r>
    </w:p>
    <w:p w14:paraId="59DC182F">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工人的意外事故或伤害。对于乙方或其分包人所雇用的工人出现的伤亡事故或损失，应由乙方自行负责，乙方应为所有施工人员购买工伤保险。对于这类伤亡或损失，甲方不承担责任，不负担涉及此类伤亡或损失的索赔、诉讼、损害赔偿及其他费用。对分包单位出现的工人意外事故或伤害，由于分包单位原因造成的，乙方同样须承担连带责任。</w:t>
      </w:r>
    </w:p>
    <w:p w14:paraId="6B272A39">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除必须甲方出面的情况外，乙方应负责协调施工期间外界的各种干扰。甲方将在乙方的配合下，充分运用自身对各方面的影响力，尽可能地将外界对工程的干扰减少到最少程度，但这种协调不解除乙方的各项责任与义务。</w:t>
      </w:r>
    </w:p>
    <w:p w14:paraId="0FBADD65">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按照《关于加强建设工地民工安全教育和现场出入管理的通知》穗建筑[2006]655号的规定，加强对施工人员、材料、设备的进出工地管理。</w:t>
      </w:r>
    </w:p>
    <w:p w14:paraId="4E8AF1E5">
      <w:pPr>
        <w:autoSpaceDE w:val="0"/>
        <w:autoSpaceDN w:val="0"/>
        <w:adjustRightIn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1）落实安全生产三级教育制度。如</w:t>
      </w:r>
      <w:r>
        <w:rPr>
          <w:rFonts w:hint="eastAsia" w:ascii="宋体" w:hAnsi="宋体" w:eastAsia="宋体" w:cs="宋体"/>
          <w:color w:val="auto"/>
          <w:kern w:val="0"/>
          <w:sz w:val="24"/>
          <w:highlight w:val="none"/>
          <w:u w:val="single"/>
        </w:rPr>
        <w:t>甲方</w:t>
      </w:r>
      <w:r>
        <w:rPr>
          <w:rFonts w:hint="eastAsia" w:ascii="宋体" w:hAnsi="宋体" w:eastAsia="宋体" w:cs="宋体"/>
          <w:color w:val="auto"/>
          <w:sz w:val="24"/>
          <w:highlight w:val="none"/>
          <w:u w:val="single"/>
        </w:rPr>
        <w:t>、监理单位检查发现场内作业人员一人未进行三级教育，或三级教育弄虚作假，每人次扣罚5万元。未经乙方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14:paraId="5F9C54F3">
      <w:pPr>
        <w:pStyle w:val="6"/>
        <w:spacing w:line="360" w:lineRule="auto"/>
        <w:ind w:firstLine="48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每天通过安全生产工作微信群上传，备查。乙方未开展班前安全活动教育、未上传照片的，每缺1个班组扣罚5000元/天。</w:t>
      </w:r>
    </w:p>
    <w:p w14:paraId="4855295E">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sz w:val="24"/>
          <w:highlight w:val="none"/>
          <w:u w:val="single"/>
        </w:rPr>
        <w:t>2）乙方应按照《广州市建设工程现场文明施工管理办法》（广州市人民政府令第62</w:t>
      </w:r>
      <w:r>
        <w:rPr>
          <w:rFonts w:hint="eastAsia" w:ascii="宋体" w:hAnsi="宋体" w:eastAsia="宋体" w:cs="宋体"/>
          <w:color w:val="auto"/>
          <w:sz w:val="24"/>
          <w:highlight w:val="none"/>
          <w:u w:val="single"/>
          <w:shd w:val="clear" w:color="auto" w:fill="FFFFFF"/>
        </w:rPr>
        <w:t>号）、《关于印发广州市建设工程绿色施工围蔽指导图集（V2.0版）的通知》（穗建质〔2020〕1号）、《广东省房屋市政工程文明施工工作导则（试行）〉的通知》（粤建质[2014]134号）、广东省人民政府办公厅关于印发广东省建设工程施工扬尘污染防治管理办法(试行)的通知（粤办函〔2017〕708号）等的规定（如遇到政府部门有相关文件的更新替换，则按相关新文件执行）做好现场文明施工的管理工作。</w:t>
      </w:r>
      <w:r>
        <w:rPr>
          <w:rFonts w:hint="eastAsia" w:ascii="宋体" w:hAnsi="宋体" w:eastAsia="宋体" w:cs="宋体"/>
          <w:color w:val="auto"/>
          <w:sz w:val="24"/>
          <w:highlight w:val="none"/>
          <w:u w:val="single"/>
        </w:rPr>
        <w:t>施工临时占用人行道、车道等设施，由乙方办理有关手续，甲方协助，所需费用由乙方负责。同时乙方有责任协助公安、交通等部门维护所在现场地段的交通与人流，既保证施工安全，也保护车辆和行人的畅通和安全。乙方应在投标报价中考虑有关费用，并保证甲方免于受到或承担应由乙方负责的上述事项所引起的或与之有关的索赔、诉讼、以及其他开支或不良的影响</w:t>
      </w:r>
      <w:r>
        <w:rPr>
          <w:rFonts w:hint="eastAsia" w:ascii="宋体" w:hAnsi="宋体" w:eastAsia="宋体" w:cs="宋体"/>
          <w:color w:val="auto"/>
          <w:sz w:val="24"/>
          <w:highlight w:val="none"/>
        </w:rPr>
        <w:t>。由于乙方原因，导致项目施工过程被周边居民投诉导致当地政府处罚的，每次扣罚乙方违约金10万元。</w:t>
      </w:r>
    </w:p>
    <w:p w14:paraId="0A336848">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 xml:space="preserve"> 本合同被解除时，乙方应将全部场地清理干净退还甲方并将与工程相关技术资料、文件等交给甲方或甲方指定的人。</w:t>
      </w:r>
    </w:p>
    <w:p w14:paraId="68873741">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乙方负责协调办理工程竣工后涉及设施的养护移交工作。</w:t>
      </w:r>
    </w:p>
    <w:p w14:paraId="3DD702E6">
      <w:pPr>
        <w:numPr>
          <w:ilvl w:val="0"/>
          <w:numId w:val="30"/>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u w:val="single"/>
        </w:rPr>
        <w:t>乙方应严格执行</w:t>
      </w:r>
      <w:r>
        <w:rPr>
          <w:rFonts w:hint="eastAsia" w:ascii="宋体" w:hAnsi="宋体" w:eastAsia="宋体" w:cs="宋体"/>
          <w:color w:val="auto"/>
          <w:sz w:val="24"/>
          <w:highlight w:val="none"/>
          <w:u w:val="single"/>
        </w:rPr>
        <w:t>《广州市住房和城乡建设局关于在我市房建市政工程贯彻执行省用工实名及工人工资支付专用账户管理办法有关要求的通知》（穗建筑〔2019〕352号）</w:t>
      </w:r>
      <w:r>
        <w:rPr>
          <w:rFonts w:hint="eastAsia" w:ascii="宋体" w:hAnsi="宋体" w:eastAsia="宋体" w:cs="宋体"/>
          <w:color w:val="auto"/>
          <w:kern w:val="0"/>
          <w:sz w:val="24"/>
          <w:highlight w:val="none"/>
          <w:u w:val="single"/>
        </w:rPr>
        <w:t>，切实规范用工制度。乙方必须在所有务工人员上岗前与其签订书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乙方在收到甲方支付的工程款后应及时向劳务分包单位支付相应的工程款，因乙方拖欠劳务单位工程款而引起的劳务单位滋事或以甲方为被告的诉讼，乙方应承担因此给甲方造成的损失（包括但不限于诉讼费、律师费和其它赔偿金）。</w:t>
      </w:r>
      <w:bookmarkStart w:id="245" w:name="_Hlk52116971"/>
      <w:r>
        <w:rPr>
          <w:rFonts w:hint="eastAsia" w:ascii="宋体" w:hAnsi="宋体" w:eastAsia="宋体" w:cs="宋体"/>
          <w:color w:val="auto"/>
          <w:kern w:val="0"/>
          <w:sz w:val="24"/>
          <w:highlight w:val="none"/>
          <w:u w:val="single"/>
        </w:rPr>
        <w:t>如甲方、监理方检查发现场内作业人员一人未按照工人工资分账管理要求执行，或弄虚作假，每人次扣罚5万元。发生劳资纠纷，造成恶劣影响的，直接列入黑名单。</w:t>
      </w:r>
    </w:p>
    <w:bookmarkEnd w:id="245"/>
    <w:p w14:paraId="4CCDB73D">
      <w:pPr>
        <w:pStyle w:val="118"/>
        <w:spacing w:line="360" w:lineRule="auto"/>
        <w:ind w:firstLine="480" w:firstLineChars="200"/>
        <w:jc w:val="both"/>
        <w:outlineLvl w:val="9"/>
        <w:rPr>
          <w:rFonts w:ascii="宋体" w:hAnsi="宋体" w:eastAsia="宋体" w:cs="宋体"/>
          <w:color w:val="auto"/>
          <w:highlight w:val="none"/>
        </w:rPr>
      </w:pPr>
      <w:bookmarkStart w:id="246" w:name="_Toc287628039"/>
      <w:r>
        <w:rPr>
          <w:rFonts w:hint="eastAsia" w:ascii="宋体" w:hAnsi="宋体" w:eastAsia="宋体" w:cs="宋体"/>
          <w:color w:val="auto"/>
          <w:highlight w:val="none"/>
        </w:rPr>
        <w:t>21.现场管理人员任命和更换</w:t>
      </w:r>
      <w:bookmarkEnd w:id="246"/>
    </w:p>
    <w:p w14:paraId="7ED3732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21.1 甲方现场管理人员任命和更换：</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09A7A18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21.2 乙方代表任命和更换：</w:t>
      </w:r>
    </w:p>
    <w:p w14:paraId="223CBBDA">
      <w:pPr>
        <w:pStyle w:val="6"/>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u w:val="single"/>
        </w:rPr>
        <w:t>乙方如确需更换投标项目经理或技术负责人的，需经过甲方同意，否则乙方同意</w:t>
      </w:r>
      <w:r>
        <w:rPr>
          <w:rFonts w:hint="eastAsia" w:ascii="宋体" w:hAnsi="宋体" w:eastAsia="宋体" w:cs="宋体"/>
          <w:color w:val="auto"/>
          <w:kern w:val="0"/>
          <w:sz w:val="24"/>
          <w:highlight w:val="none"/>
          <w:u w:val="single"/>
        </w:rPr>
        <w:t>甲方</w:t>
      </w:r>
      <w:r>
        <w:rPr>
          <w:rFonts w:hint="eastAsia" w:ascii="宋体" w:hAnsi="宋体" w:eastAsia="宋体" w:cs="宋体"/>
          <w:color w:val="auto"/>
          <w:sz w:val="24"/>
          <w:highlight w:val="none"/>
          <w:u w:val="single"/>
        </w:rPr>
        <w:t>在当期工程款中扣除5万元/人次。如经过甲方同意第二次更换的，应扣5万元/人次；更换安全员、质检员、施工员等其他主要管理人员，需经过甲方同意，否则乙方同意</w:t>
      </w:r>
      <w:r>
        <w:rPr>
          <w:rFonts w:hint="eastAsia" w:ascii="宋体" w:hAnsi="宋体" w:eastAsia="宋体" w:cs="宋体"/>
          <w:color w:val="auto"/>
          <w:kern w:val="0"/>
          <w:sz w:val="24"/>
          <w:highlight w:val="none"/>
          <w:u w:val="single"/>
        </w:rPr>
        <w:t>甲方</w:t>
      </w:r>
      <w:r>
        <w:rPr>
          <w:rFonts w:hint="eastAsia" w:ascii="宋体" w:hAnsi="宋体" w:eastAsia="宋体" w:cs="宋体"/>
          <w:color w:val="auto"/>
          <w:sz w:val="24"/>
          <w:highlight w:val="none"/>
          <w:u w:val="single"/>
        </w:rPr>
        <w:t>在当期工程款中扣除3万元/人次。如经过甲方同意第二次更换的，应扣3万元/人次；更换投标项目经理或技术负责人的，在乙方提出书面申请经</w:t>
      </w:r>
      <w:r>
        <w:rPr>
          <w:rFonts w:hint="eastAsia" w:ascii="宋体" w:hAnsi="宋体" w:eastAsia="宋体" w:cs="宋体"/>
          <w:color w:val="auto"/>
          <w:kern w:val="0"/>
          <w:sz w:val="24"/>
          <w:highlight w:val="none"/>
          <w:u w:val="single"/>
        </w:rPr>
        <w:t>甲方</w:t>
      </w:r>
      <w:r>
        <w:rPr>
          <w:rFonts w:hint="eastAsia" w:ascii="宋体" w:hAnsi="宋体" w:eastAsia="宋体" w:cs="宋体"/>
          <w:color w:val="auto"/>
          <w:sz w:val="24"/>
          <w:highlight w:val="none"/>
          <w:u w:val="single"/>
        </w:rPr>
        <w:t>批准后可以更换。所有更换的人员不低于招标文件要求，并需提前一个月向甲方提出书面申请，经甲方核实同意后方可替换，否则甲方有权没收履约保证金。</w:t>
      </w:r>
    </w:p>
    <w:p w14:paraId="5CDE6FB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21.3 监理工程师代表任命和撤回</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6EFC257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造价工程师代表任命和撤回：</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373AD639">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21.4 乙方代表授权人选任命和撤回：</w:t>
      </w:r>
      <w:r>
        <w:rPr>
          <w:rFonts w:hint="eastAsia" w:ascii="宋体" w:hAnsi="宋体" w:eastAsia="宋体" w:cs="宋体"/>
          <w:color w:val="auto"/>
          <w:kern w:val="0"/>
          <w:sz w:val="22"/>
          <w:szCs w:val="22"/>
          <w:highlight w:val="none"/>
        </w:rPr>
        <w:t xml:space="preserve"> </w:t>
      </w:r>
    </w:p>
    <w:p w14:paraId="1C8D7FCC">
      <w:pPr>
        <w:autoSpaceDE w:val="0"/>
        <w:autoSpaceDN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如项目经理或现场管理机构主要负责人的实际工作能力和工作表现未达到建设施工管理要求，甲方有权提出撤换，乙方必须在7天内无条件撤换，并在工程款中扣除6万元/人次的罚金。</w:t>
      </w:r>
    </w:p>
    <w:p w14:paraId="13680D49">
      <w:pPr>
        <w:spacing w:line="360" w:lineRule="auto"/>
        <w:ind w:left="105" w:leftChars="50" w:firstLine="360" w:firstLineChars="15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补充内容：项目经理及现场管理人员（五大员）要求</w:t>
      </w:r>
    </w:p>
    <w:p w14:paraId="59E91464">
      <w:pPr>
        <w:tabs>
          <w:tab w:val="left" w:pos="0"/>
        </w:tabs>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（1）乙方必须派出投标文件中列出的项目经理及现场管理人员负责本工程施工的管理工作，乙方有特殊情况需更换项目经理或相关管理人员，须征得甲方同意并报有关管理部门备案。</w:t>
      </w:r>
    </w:p>
    <w:p w14:paraId="16CFA02E">
      <w:pPr>
        <w:tabs>
          <w:tab w:val="left" w:pos="0"/>
        </w:tabs>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2）项目经理和现场管理人员每月驻工地时间不得少于20天。在施工过程中，甲方和监理单位将对项目经理和技术负责人、施工员、质量员、安全员实施考勤登记制度，项目经理、技术负责人、施工员、质量员、安全员因事离开施工现场两天（含两天）以上的，必须书面向监理工程师报告。未经甲方书面同意，项目经理、技术负责人、施工员、质量员、安全员每月驻工地时间少于20天的，将按每人每天</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00元的标准对乙方进行罚款。</w:t>
      </w:r>
    </w:p>
    <w:p w14:paraId="71CA17F7">
      <w:pPr>
        <w:spacing w:line="360" w:lineRule="auto"/>
        <w:ind w:left="119"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项目经理或专职安全员必须每日开展所有班组的班前活动教育，负责检查出工人员安全防护用品配备情况，着装情况，讲解当日工作安全要点和注意事项，设专人进行拍照，照片需显示拍摄时间，每天通过微信群上传，备查。一天未开展班前教育，未上传照片，每次扣罚</w:t>
      </w:r>
      <w:r>
        <w:rPr>
          <w:rFonts w:hint="eastAsia" w:ascii="宋体" w:hAnsi="宋体" w:eastAsia="宋体" w:cs="宋体"/>
          <w:color w:val="auto"/>
          <w:kern w:val="0"/>
          <w:sz w:val="24"/>
          <w:highlight w:val="none"/>
          <w:u w:val="single"/>
          <w:lang w:val="en-US" w:eastAsia="zh-CN"/>
        </w:rPr>
        <w:t>8</w:t>
      </w:r>
      <w:r>
        <w:rPr>
          <w:rFonts w:hint="eastAsia" w:ascii="宋体" w:hAnsi="宋体" w:eastAsia="宋体" w:cs="宋体"/>
          <w:color w:val="auto"/>
          <w:kern w:val="0"/>
          <w:sz w:val="24"/>
          <w:highlight w:val="none"/>
          <w:u w:val="single"/>
        </w:rPr>
        <w:t>00元。</w:t>
      </w:r>
    </w:p>
    <w:p w14:paraId="40E91FF4">
      <w:pPr>
        <w:spacing w:line="360" w:lineRule="auto"/>
        <w:ind w:left="119"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u w:val="single"/>
        </w:rPr>
        <w:t>乙方除必须严格执行国家、广东省、广州市有关安全生产的工作要求外，还必须按照</w:t>
      </w:r>
      <w:r>
        <w:rPr>
          <w:rFonts w:hint="eastAsia" w:ascii="宋体" w:hAnsi="宋体" w:eastAsia="宋体" w:cs="宋体"/>
          <w:color w:val="auto"/>
          <w:kern w:val="0"/>
          <w:sz w:val="24"/>
          <w:highlight w:val="none"/>
          <w:u w:val="single"/>
          <w:lang w:val="en-US" w:eastAsia="zh-CN"/>
        </w:rPr>
        <w:t>番禺</w:t>
      </w:r>
      <w:r>
        <w:rPr>
          <w:rFonts w:hint="eastAsia" w:ascii="宋体" w:hAnsi="宋体" w:eastAsia="宋体" w:cs="宋体"/>
          <w:color w:val="auto"/>
          <w:kern w:val="0"/>
          <w:sz w:val="24"/>
          <w:highlight w:val="none"/>
          <w:u w:val="single"/>
        </w:rPr>
        <w:t>区安全生产十大体系指标要求开展安全生产工作，未执行此项，每条指标扣罚</w:t>
      </w:r>
      <w:r>
        <w:rPr>
          <w:rFonts w:hint="eastAsia" w:ascii="宋体" w:hAnsi="宋体" w:eastAsia="宋体" w:cs="宋体"/>
          <w:color w:val="auto"/>
          <w:kern w:val="0"/>
          <w:sz w:val="24"/>
          <w:highlight w:val="none"/>
          <w:u w:val="single"/>
          <w:lang w:val="en-US" w:eastAsia="zh-CN"/>
        </w:rPr>
        <w:t>8</w:t>
      </w:r>
      <w:r>
        <w:rPr>
          <w:rFonts w:hint="eastAsia" w:ascii="宋体" w:hAnsi="宋体" w:eastAsia="宋体" w:cs="宋体"/>
          <w:color w:val="auto"/>
          <w:kern w:val="0"/>
          <w:sz w:val="24"/>
          <w:highlight w:val="none"/>
          <w:u w:val="single"/>
        </w:rPr>
        <w:t>00元。</w:t>
      </w:r>
    </w:p>
    <w:p w14:paraId="1C11A4F3">
      <w:pPr>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sz w:val="24"/>
          <w:highlight w:val="none"/>
          <w:u w:val="single"/>
        </w:rPr>
        <w:t>（5）项目经理和安全员必须每日填写安全施工日志备查；乙方必须提交项目施工总结；竣工验收时，同施工日记一并提交存档。</w:t>
      </w:r>
    </w:p>
    <w:p w14:paraId="7B002DC3">
      <w:pPr>
        <w:pStyle w:val="118"/>
        <w:spacing w:line="360" w:lineRule="auto"/>
        <w:ind w:firstLine="480" w:firstLineChars="200"/>
        <w:jc w:val="both"/>
        <w:outlineLvl w:val="9"/>
        <w:rPr>
          <w:rFonts w:ascii="宋体" w:hAnsi="宋体" w:eastAsia="宋体" w:cs="宋体"/>
          <w:color w:val="auto"/>
          <w:highlight w:val="none"/>
        </w:rPr>
      </w:pPr>
      <w:bookmarkStart w:id="247" w:name="_Toc287628040"/>
      <w:r>
        <w:rPr>
          <w:rFonts w:hint="eastAsia" w:ascii="宋体" w:hAnsi="宋体" w:eastAsia="宋体" w:cs="宋体"/>
          <w:color w:val="auto"/>
          <w:highlight w:val="none"/>
        </w:rPr>
        <w:t>22．甲方代表</w:t>
      </w:r>
      <w:bookmarkEnd w:id="247"/>
    </w:p>
    <w:p w14:paraId="208C1994">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甲方代表及其权力的限制</w:t>
      </w:r>
    </w:p>
    <w:p w14:paraId="5CF47450">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（1）甲方任命（</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）为甲方代表，其通讯方式为</w:t>
      </w:r>
    </w:p>
    <w:p w14:paraId="08CA4808">
      <w:pPr>
        <w:spacing w:line="360" w:lineRule="auto"/>
        <w:ind w:left="12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通讯地址：</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邮政编码：</w:t>
      </w:r>
      <w:r>
        <w:rPr>
          <w:rFonts w:hint="eastAsia" w:ascii="宋体" w:hAnsi="宋体" w:eastAsia="宋体" w:cs="宋体"/>
          <w:color w:val="auto"/>
          <w:kern w:val="0"/>
          <w:sz w:val="24"/>
          <w:highlight w:val="none"/>
          <w:u w:val="single"/>
        </w:rPr>
        <w:t xml:space="preserve">              </w:t>
      </w:r>
    </w:p>
    <w:p w14:paraId="760E28B3">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传真号码：</w:t>
      </w:r>
      <w:r>
        <w:rPr>
          <w:rFonts w:hint="eastAsia" w:ascii="宋体" w:hAnsi="宋体" w:eastAsia="宋体" w:cs="宋体"/>
          <w:color w:val="auto"/>
          <w:sz w:val="24"/>
          <w:highlight w:val="none"/>
          <w:u w:val="single"/>
        </w:rPr>
        <w:t xml:space="preserve">              </w:t>
      </w:r>
    </w:p>
    <w:p w14:paraId="143CB763">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（2）甲方对甲方代表权力做如下限制：</w:t>
      </w:r>
      <w:r>
        <w:rPr>
          <w:rFonts w:hint="eastAsia" w:ascii="宋体" w:hAnsi="宋体" w:eastAsia="宋体" w:cs="宋体"/>
          <w:color w:val="auto"/>
          <w:sz w:val="24"/>
          <w:highlight w:val="none"/>
          <w:u w:val="single"/>
        </w:rPr>
        <w:t xml:space="preserve"> 根据代建合同及本合同履行相关权利和义务，对工程的实施进行管理和协调。 </w:t>
      </w:r>
    </w:p>
    <w:p w14:paraId="5A92AEFF">
      <w:pPr>
        <w:spacing w:line="360" w:lineRule="auto"/>
        <w:ind w:firstLine="480" w:firstLineChars="200"/>
        <w:rPr>
          <w:rFonts w:hint="eastAsia" w:ascii="宋体" w:hAnsi="宋体" w:eastAsia="宋体" w:cs="宋体"/>
          <w:color w:val="auto"/>
          <w:sz w:val="24"/>
          <w:highlight w:val="none"/>
        </w:rPr>
      </w:pPr>
      <w:bookmarkStart w:id="248" w:name="_Toc287628041"/>
      <w:r>
        <w:rPr>
          <w:rFonts w:hint="eastAsia" w:ascii="宋体" w:hAnsi="宋体" w:eastAsia="宋体" w:cs="宋体"/>
          <w:color w:val="auto"/>
          <w:sz w:val="24"/>
          <w:highlight w:val="none"/>
        </w:rPr>
        <w:t>23．监理工程师</w:t>
      </w:r>
      <w:bookmarkEnd w:id="248"/>
    </w:p>
    <w:p w14:paraId="7D53DC6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23.1 负责合同工程的监理单位及任命的监理工程师</w:t>
      </w:r>
    </w:p>
    <w:p w14:paraId="35E9F361">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监理单位：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u w:val="single"/>
        </w:rPr>
        <w:t xml:space="preserve">              </w:t>
      </w:r>
    </w:p>
    <w:p w14:paraId="3846D78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任命（          ）为监理工程师，其联络通讯地址如下：</w:t>
      </w:r>
    </w:p>
    <w:p w14:paraId="722B0E88">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邮政编码：</w:t>
      </w:r>
      <w:r>
        <w:rPr>
          <w:rFonts w:hint="eastAsia" w:ascii="宋体" w:hAnsi="宋体" w:eastAsia="宋体" w:cs="宋体"/>
          <w:color w:val="auto"/>
          <w:kern w:val="0"/>
          <w:sz w:val="24"/>
          <w:highlight w:val="none"/>
          <w:u w:val="single"/>
        </w:rPr>
        <w:t xml:space="preserve">                 </w:t>
      </w:r>
    </w:p>
    <w:p w14:paraId="0ACBF5C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传真号码：</w:t>
      </w:r>
      <w:r>
        <w:rPr>
          <w:rFonts w:hint="eastAsia" w:ascii="宋体" w:hAnsi="宋体" w:eastAsia="宋体" w:cs="宋体"/>
          <w:color w:val="auto"/>
          <w:kern w:val="0"/>
          <w:sz w:val="24"/>
          <w:highlight w:val="none"/>
          <w:u w:val="single"/>
        </w:rPr>
        <w:t xml:space="preserve">                 </w:t>
      </w:r>
    </w:p>
    <w:p w14:paraId="7979EBB5">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23.3 (12)需要甲方批准的其他事项：</w:t>
      </w:r>
      <w:r>
        <w:rPr>
          <w:rFonts w:hint="eastAsia" w:ascii="宋体" w:hAnsi="宋体" w:eastAsia="宋体" w:cs="宋体"/>
          <w:color w:val="auto"/>
          <w:kern w:val="0"/>
          <w:sz w:val="24"/>
          <w:highlight w:val="none"/>
          <w:u w:val="single"/>
        </w:rPr>
        <w:t xml:space="preserve">      /      。</w:t>
      </w:r>
    </w:p>
    <w:p w14:paraId="2878C34B">
      <w:pPr>
        <w:pStyle w:val="118"/>
        <w:spacing w:line="360" w:lineRule="auto"/>
        <w:ind w:firstLine="480" w:firstLineChars="200"/>
        <w:jc w:val="both"/>
        <w:outlineLvl w:val="9"/>
        <w:rPr>
          <w:rFonts w:hint="eastAsia" w:ascii="宋体" w:hAnsi="宋体" w:eastAsia="宋体" w:cs="宋体"/>
          <w:color w:val="auto"/>
          <w:highlight w:val="none"/>
        </w:rPr>
      </w:pPr>
      <w:bookmarkStart w:id="249" w:name="_Toc287628042"/>
      <w:r>
        <w:rPr>
          <w:rFonts w:hint="eastAsia" w:ascii="宋体" w:hAnsi="宋体" w:eastAsia="宋体" w:cs="宋体"/>
          <w:color w:val="auto"/>
          <w:highlight w:val="none"/>
        </w:rPr>
        <w:t>24．造价工程师</w:t>
      </w:r>
      <w:bookmarkEnd w:id="249"/>
      <w:r>
        <w:rPr>
          <w:rFonts w:hint="eastAsia" w:ascii="宋体" w:hAnsi="宋体" w:eastAsia="宋体" w:cs="宋体"/>
          <w:color w:val="auto"/>
          <w:highlight w:val="none"/>
        </w:rPr>
        <w:t>（如有）</w:t>
      </w:r>
    </w:p>
    <w:p w14:paraId="1D3EA2B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24.1 负责合同工程的造价咨询单位及任命的造价工程师</w:t>
      </w:r>
    </w:p>
    <w:p w14:paraId="7FF5B46B">
      <w:pPr>
        <w:tabs>
          <w:tab w:val="left" w:pos="55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造价咨询单位：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法定代表人：</w:t>
      </w:r>
      <w:r>
        <w:rPr>
          <w:rFonts w:hint="eastAsia" w:ascii="宋体" w:hAnsi="宋体" w:eastAsia="宋体" w:cs="宋体"/>
          <w:color w:val="auto"/>
          <w:kern w:val="0"/>
          <w:sz w:val="24"/>
          <w:highlight w:val="none"/>
          <w:u w:val="single"/>
        </w:rPr>
        <w:t xml:space="preserve">              </w:t>
      </w:r>
    </w:p>
    <w:p w14:paraId="3ACDF80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任命（            ）为造价工程师，其联络通讯地址如下：</w:t>
      </w:r>
    </w:p>
    <w:p w14:paraId="62CF2D41">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通讯地址：</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邮政编码：</w:t>
      </w:r>
      <w:r>
        <w:rPr>
          <w:rFonts w:hint="eastAsia" w:ascii="宋体" w:hAnsi="宋体" w:eastAsia="宋体" w:cs="宋体"/>
          <w:color w:val="auto"/>
          <w:kern w:val="0"/>
          <w:sz w:val="24"/>
          <w:highlight w:val="none"/>
          <w:u w:val="single"/>
        </w:rPr>
        <w:t xml:space="preserve">                        </w:t>
      </w:r>
    </w:p>
    <w:p w14:paraId="5F128CD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传真号码：</w:t>
      </w:r>
      <w:r>
        <w:rPr>
          <w:rFonts w:hint="eastAsia" w:ascii="宋体" w:hAnsi="宋体" w:eastAsia="宋体" w:cs="宋体"/>
          <w:color w:val="auto"/>
          <w:kern w:val="0"/>
          <w:sz w:val="24"/>
          <w:highlight w:val="none"/>
          <w:u w:val="single"/>
        </w:rPr>
        <w:t xml:space="preserve">                        </w:t>
      </w:r>
    </w:p>
    <w:p w14:paraId="61C90F4D">
      <w:pPr>
        <w:tabs>
          <w:tab w:val="left" w:pos="3260"/>
          <w:tab w:val="left" w:pos="5740"/>
        </w:tabs>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24.3 (7)需要甲方批准的其他事项：</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7C2DE7BE">
      <w:pPr>
        <w:pStyle w:val="118"/>
        <w:spacing w:line="360" w:lineRule="auto"/>
        <w:ind w:firstLine="480" w:firstLineChars="200"/>
        <w:jc w:val="both"/>
        <w:outlineLvl w:val="9"/>
        <w:rPr>
          <w:rFonts w:ascii="宋体" w:hAnsi="宋体" w:eastAsia="宋体" w:cs="宋体"/>
          <w:color w:val="auto"/>
          <w:highlight w:val="none"/>
        </w:rPr>
      </w:pPr>
      <w:bookmarkStart w:id="250" w:name="_Toc287628043"/>
      <w:r>
        <w:rPr>
          <w:rFonts w:hint="eastAsia" w:ascii="宋体" w:hAnsi="宋体" w:eastAsia="宋体" w:cs="宋体"/>
          <w:color w:val="auto"/>
          <w:highlight w:val="none"/>
        </w:rPr>
        <w:t>25．乙方代表</w:t>
      </w:r>
      <w:bookmarkEnd w:id="250"/>
    </w:p>
    <w:p w14:paraId="50EC55CD">
      <w:pPr>
        <w:tabs>
          <w:tab w:val="left" w:pos="1240"/>
          <w:tab w:val="left" w:pos="4120"/>
          <w:tab w:val="left" w:pos="586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25.1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乙方任命（</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）为乙方代表，其联络通讯地址如下：</w:t>
      </w:r>
    </w:p>
    <w:p w14:paraId="1D42845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通讯地址：                     邮政编码：</w:t>
      </w:r>
    </w:p>
    <w:p w14:paraId="6628228B">
      <w:pPr>
        <w:autoSpaceDE w:val="0"/>
        <w:autoSpaceDN w:val="0"/>
        <w:adjustRightInd w:val="0"/>
        <w:spacing w:line="360" w:lineRule="auto"/>
        <w:ind w:firstLine="480" w:firstLineChars="200"/>
        <w:rPr>
          <w:rFonts w:ascii="宋体" w:hAnsi="宋体" w:eastAsia="宋体" w:cs="宋体"/>
          <w:color w:val="auto"/>
          <w:kern w:val="0"/>
          <w:position w:val="-2"/>
          <w:sz w:val="24"/>
          <w:highlight w:val="none"/>
        </w:rPr>
      </w:pPr>
      <w:r>
        <w:rPr>
          <w:rFonts w:hint="eastAsia" w:ascii="宋体" w:hAnsi="宋体" w:eastAsia="宋体" w:cs="宋体"/>
          <w:color w:val="auto"/>
          <w:kern w:val="0"/>
          <w:sz w:val="24"/>
          <w:highlight w:val="none"/>
        </w:rPr>
        <w:t>联系电话：               传真号码：</w:t>
      </w:r>
    </w:p>
    <w:p w14:paraId="5D516E52">
      <w:pPr>
        <w:autoSpaceDE w:val="0"/>
        <w:autoSpaceDN w:val="0"/>
        <w:adjustRightInd w:val="0"/>
        <w:spacing w:line="360" w:lineRule="auto"/>
        <w:ind w:firstLine="480" w:firstLineChars="200"/>
        <w:rPr>
          <w:rFonts w:ascii="宋体" w:hAnsi="宋体" w:eastAsia="宋体" w:cs="宋体"/>
          <w:color w:val="auto"/>
          <w:kern w:val="0"/>
          <w:position w:val="-2"/>
          <w:sz w:val="24"/>
          <w:highlight w:val="none"/>
        </w:rPr>
      </w:pPr>
      <w:r>
        <w:rPr>
          <w:rFonts w:hint="eastAsia" w:ascii="宋体" w:hAnsi="宋体" w:eastAsia="宋体" w:cs="宋体"/>
          <w:color w:val="auto"/>
          <w:kern w:val="0"/>
          <w:position w:val="-2"/>
          <w:sz w:val="24"/>
          <w:highlight w:val="none"/>
        </w:rPr>
        <w:t>补充以下内容：</w:t>
      </w:r>
    </w:p>
    <w:p w14:paraId="325D3EF8">
      <w:pPr>
        <w:autoSpaceDE w:val="0"/>
        <w:autoSpaceDN w:val="0"/>
        <w:adjustRightInd w:val="0"/>
        <w:spacing w:line="360" w:lineRule="auto"/>
        <w:ind w:firstLine="480" w:firstLineChars="200"/>
        <w:rPr>
          <w:rFonts w:ascii="宋体" w:hAnsi="宋体" w:eastAsia="宋体" w:cs="宋体"/>
          <w:color w:val="auto"/>
          <w:kern w:val="0"/>
          <w:position w:val="-2"/>
          <w:sz w:val="24"/>
          <w:highlight w:val="none"/>
          <w:u w:val="single"/>
        </w:rPr>
      </w:pPr>
      <w:r>
        <w:rPr>
          <w:rFonts w:hint="eastAsia" w:ascii="宋体" w:hAnsi="宋体" w:eastAsia="宋体" w:cs="宋体"/>
          <w:color w:val="auto"/>
          <w:kern w:val="0"/>
          <w:position w:val="-2"/>
          <w:sz w:val="24"/>
          <w:highlight w:val="none"/>
          <w:u w:val="single"/>
        </w:rPr>
        <w:t>乙方代表及现场管理机构主要部门负责人必须全职在现场办公，不得兼职或者擅自离岗。因特殊情况需短暂离岗的，应当事先报监理单位书面批准，报甲方备案,必须妥善安排工地现场的工作交接。</w:t>
      </w:r>
    </w:p>
    <w:p w14:paraId="0605129B">
      <w:pPr>
        <w:autoSpaceDE w:val="0"/>
        <w:autoSpaceDN w:val="0"/>
        <w:adjustRightInd w:val="0"/>
        <w:spacing w:line="360" w:lineRule="auto"/>
        <w:ind w:firstLine="480" w:firstLineChars="200"/>
        <w:rPr>
          <w:rFonts w:ascii="宋体" w:hAnsi="宋体" w:eastAsia="宋体" w:cs="宋体"/>
          <w:color w:val="auto"/>
          <w:kern w:val="0"/>
          <w:position w:val="-2"/>
          <w:sz w:val="24"/>
          <w:highlight w:val="none"/>
        </w:rPr>
      </w:pPr>
      <w:r>
        <w:rPr>
          <w:rFonts w:hint="eastAsia" w:ascii="宋体" w:hAnsi="宋体" w:eastAsia="宋体" w:cs="宋体"/>
          <w:color w:val="auto"/>
          <w:kern w:val="0"/>
          <w:position w:val="-2"/>
          <w:sz w:val="24"/>
          <w:highlight w:val="none"/>
          <w:u w:val="single"/>
        </w:rPr>
        <w:t>本合同所称“现场办公”，指在工程实施过程中，乙方代表及乙方现场管理机构主要部门负责人必须在施工场地全职跟班，履行各自的职责。</w:t>
      </w:r>
    </w:p>
    <w:p w14:paraId="7F91F870">
      <w:pPr>
        <w:pStyle w:val="118"/>
        <w:spacing w:line="360" w:lineRule="auto"/>
        <w:ind w:firstLine="480" w:firstLineChars="200"/>
        <w:jc w:val="both"/>
        <w:outlineLvl w:val="9"/>
        <w:rPr>
          <w:rFonts w:ascii="宋体" w:hAnsi="宋体" w:eastAsia="宋体" w:cs="宋体"/>
          <w:color w:val="auto"/>
          <w:highlight w:val="none"/>
        </w:rPr>
      </w:pPr>
      <w:bookmarkStart w:id="251" w:name="_Toc287628044"/>
      <w:r>
        <w:rPr>
          <w:rFonts w:hint="eastAsia" w:ascii="宋体" w:hAnsi="宋体" w:eastAsia="宋体" w:cs="宋体"/>
          <w:color w:val="auto"/>
          <w:highlight w:val="none"/>
        </w:rPr>
        <w:t>26．指定分包人</w:t>
      </w:r>
      <w:bookmarkEnd w:id="251"/>
    </w:p>
    <w:p w14:paraId="306068C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26.1 依法指定的分包人及其有关规定：</w:t>
      </w:r>
    </w:p>
    <w:p w14:paraId="27DC9FD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实施、完成任何永久工程的分包人：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205DD1EE">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(2) 提供本合同工程材料和工程设备、服务的分包人：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48829D39">
      <w:pPr>
        <w:pStyle w:val="118"/>
        <w:spacing w:line="360" w:lineRule="auto"/>
        <w:ind w:firstLine="480" w:firstLineChars="200"/>
        <w:jc w:val="both"/>
        <w:outlineLvl w:val="9"/>
        <w:rPr>
          <w:rFonts w:ascii="宋体" w:hAnsi="宋体" w:eastAsia="宋体" w:cs="宋体"/>
          <w:color w:val="auto"/>
          <w:highlight w:val="none"/>
        </w:rPr>
      </w:pPr>
      <w:bookmarkStart w:id="252" w:name="_Toc287628045"/>
      <w:r>
        <w:rPr>
          <w:rFonts w:hint="eastAsia" w:ascii="宋体" w:hAnsi="宋体" w:eastAsia="宋体" w:cs="宋体"/>
          <w:color w:val="auto"/>
          <w:highlight w:val="none"/>
        </w:rPr>
        <w:t>28．工程担保</w:t>
      </w:r>
      <w:bookmarkEnd w:id="252"/>
    </w:p>
    <w:p w14:paraId="5E990F0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28.1 乙方提供履约担保的约定</w:t>
      </w:r>
    </w:p>
    <w:p w14:paraId="3495F2E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履约担保的金额</w:t>
      </w:r>
      <w:r>
        <w:rPr>
          <w:rFonts w:hint="eastAsia" w:ascii="宋体" w:hAnsi="宋体" w:eastAsia="宋体" w:cs="宋体"/>
          <w:color w:val="auto"/>
          <w:spacing w:val="-120"/>
          <w:kern w:val="0"/>
          <w:sz w:val="24"/>
          <w:highlight w:val="none"/>
        </w:rPr>
        <w:t>：</w:t>
      </w:r>
      <w:r>
        <w:rPr>
          <w:rFonts w:hint="eastAsia" w:ascii="宋体" w:hAnsi="宋体" w:eastAsia="宋体" w:cs="宋体"/>
          <w:color w:val="auto"/>
          <w:spacing w:val="-120"/>
          <w:kern w:val="0"/>
          <w:sz w:val="24"/>
          <w:highlight w:val="none"/>
          <w:lang w:eastAsia="zh-CN"/>
        </w:rPr>
        <w:t>：</w:t>
      </w:r>
      <w:r>
        <w:rPr>
          <w:rFonts w:hint="eastAsia" w:ascii="宋体" w:hAnsi="宋体" w:eastAsia="宋体" w:cs="宋体"/>
          <w:color w:val="auto"/>
          <w:spacing w:val="-120"/>
          <w:kern w:val="0"/>
          <w:sz w:val="24"/>
          <w:highlight w:val="non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按中标金额（合同总价）的5%向业主单位提供工程履约保函</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rPr>
        <w:t>（大写）</w:t>
      </w:r>
      <w:r>
        <w:rPr>
          <w:rFonts w:hint="eastAsia" w:ascii="宋体" w:hAnsi="宋体" w:eastAsia="宋体" w:cs="宋体"/>
          <w:color w:val="auto"/>
          <w:kern w:val="0"/>
          <w:sz w:val="24"/>
          <w:highlight w:val="none"/>
          <w:u w:val="single"/>
        </w:rPr>
        <w:t>人民币      元整</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     元 </w:t>
      </w:r>
      <w:r>
        <w:rPr>
          <w:rFonts w:hint="eastAsia" w:ascii="宋体" w:hAnsi="宋体" w:eastAsia="宋体" w:cs="宋体"/>
          <w:color w:val="auto"/>
          <w:kern w:val="0"/>
          <w:sz w:val="24"/>
          <w:highlight w:val="none"/>
        </w:rPr>
        <w:t>）；若为联合体投标，由承担施工任务的单位提供。</w:t>
      </w:r>
    </w:p>
    <w:p w14:paraId="3FAD5D8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提供履约担保的时间：</w:t>
      </w:r>
    </w:p>
    <w:p w14:paraId="5354FE8D">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签订本合同时。</w:t>
      </w:r>
    </w:p>
    <w:p w14:paraId="41E77C1D">
      <w:pPr>
        <w:pStyle w:val="6"/>
        <w:spacing w:line="360" w:lineRule="auto"/>
        <w:ind w:firstLine="48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另作约定：签订合同前，乙方（若承包人为联合体单位的，由施工单位提供）以履约保函方式向业主单位提供中标金额（合同总价）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5</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％的履约保证金。</w:t>
      </w:r>
    </w:p>
    <w:p w14:paraId="41F0CC6A">
      <w:pPr>
        <w:spacing w:line="360" w:lineRule="auto"/>
        <w:ind w:firstLine="360" w:firstLineChars="15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（3）■ 出具履约保函的担保人：</w:t>
      </w:r>
      <w:r>
        <w:rPr>
          <w:rFonts w:hint="eastAsia" w:ascii="宋体" w:hAnsi="宋体" w:eastAsia="宋体" w:cs="宋体"/>
          <w:color w:val="auto"/>
          <w:kern w:val="0"/>
          <w:sz w:val="24"/>
          <w:highlight w:val="none"/>
          <w:u w:val="single"/>
        </w:rPr>
        <w:t>原则要求在中国注册且营业地点在广州行政辖区内的银行或甲方认可的担保机构开具，</w:t>
      </w:r>
      <w:r>
        <w:rPr>
          <w:rFonts w:hint="eastAsia" w:ascii="宋体" w:hAnsi="宋体" w:eastAsia="宋体" w:cs="宋体"/>
          <w:color w:val="auto"/>
          <w:kern w:val="0"/>
          <w:sz w:val="24"/>
          <w:szCs w:val="24"/>
          <w:highlight w:val="none"/>
          <w:u w:val="single"/>
        </w:rPr>
        <w:t>且是不可撤销、见索即付的</w:t>
      </w:r>
      <w:r>
        <w:rPr>
          <w:rFonts w:hint="eastAsia" w:ascii="宋体" w:hAnsi="宋体" w:eastAsia="宋体" w:cs="宋体"/>
          <w:color w:val="auto"/>
          <w:kern w:val="0"/>
          <w:sz w:val="24"/>
          <w:szCs w:val="24"/>
          <w:highlight w:val="none"/>
          <w:u w:val="single"/>
          <w:lang w:eastAsia="zh-CN"/>
        </w:rPr>
        <w:t>履约</w:t>
      </w:r>
      <w:r>
        <w:rPr>
          <w:rFonts w:hint="eastAsia" w:ascii="宋体" w:hAnsi="宋体" w:eastAsia="宋体" w:cs="宋体"/>
          <w:color w:val="auto"/>
          <w:kern w:val="0"/>
          <w:sz w:val="24"/>
          <w:szCs w:val="24"/>
          <w:highlight w:val="none"/>
          <w:u w:val="single"/>
        </w:rPr>
        <w:t>保函。</w:t>
      </w:r>
    </w:p>
    <w:p w14:paraId="0C244A5A">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履约保证金退还时间：</w:t>
      </w:r>
      <w:r>
        <w:rPr>
          <w:rFonts w:hint="eastAsia" w:ascii="宋体" w:hAnsi="宋体" w:eastAsia="宋体" w:cs="宋体"/>
          <w:color w:val="auto"/>
          <w:kern w:val="0"/>
          <w:sz w:val="24"/>
          <w:highlight w:val="none"/>
          <w:u w:val="single"/>
          <w:lang w:val="en-US" w:eastAsia="zh-CN"/>
        </w:rPr>
        <w:t>本工程缺陷责任期满后，甲方向乙方退还履约保函正本原件，或根据乙方要求配合办理解除保函的相关手续</w:t>
      </w:r>
      <w:r>
        <w:rPr>
          <w:rFonts w:hint="eastAsia" w:ascii="宋体" w:hAnsi="宋体" w:eastAsia="宋体" w:cs="宋体"/>
          <w:color w:val="auto"/>
          <w:kern w:val="0"/>
          <w:sz w:val="24"/>
          <w:highlight w:val="none"/>
        </w:rPr>
        <w:t>。</w:t>
      </w:r>
    </w:p>
    <w:p w14:paraId="6C6F4655">
      <w:pPr>
        <w:spacing w:line="360" w:lineRule="auto"/>
        <w:ind w:firstLine="120" w:firstLineChars="50"/>
        <w:rPr>
          <w:rFonts w:ascii="宋体" w:hAnsi="宋体" w:eastAsia="宋体" w:cs="宋体"/>
          <w:color w:val="auto"/>
          <w:kern w:val="0"/>
          <w:sz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出具</w:t>
      </w:r>
      <w:r>
        <w:rPr>
          <w:rFonts w:hint="eastAsia" w:ascii="宋体" w:hAnsi="宋体" w:eastAsia="宋体" w:cs="宋体"/>
          <w:color w:val="auto"/>
          <w:sz w:val="24"/>
          <w:highlight w:val="none"/>
          <w:shd w:val="clear" w:color="auto" w:fill="FFFFFF"/>
        </w:rPr>
        <w:t>履约担保</w:t>
      </w:r>
      <w:r>
        <w:rPr>
          <w:rFonts w:hint="eastAsia" w:ascii="宋体" w:hAnsi="宋体" w:eastAsia="宋体" w:cs="宋体"/>
          <w:color w:val="auto"/>
          <w:kern w:val="0"/>
          <w:sz w:val="24"/>
          <w:highlight w:val="none"/>
        </w:rPr>
        <w:t>的担保人：</w:t>
      </w:r>
      <w:r>
        <w:rPr>
          <w:rFonts w:hint="eastAsia" w:ascii="宋体" w:hAnsi="宋体" w:eastAsia="宋体" w:cs="宋体"/>
          <w:color w:val="auto"/>
          <w:kern w:val="0"/>
          <w:sz w:val="24"/>
          <w:highlight w:val="none"/>
          <w:u w:val="single"/>
        </w:rPr>
        <w:t xml:space="preserve">       /        </w:t>
      </w:r>
    </w:p>
    <w:p w14:paraId="5BF84666">
      <w:pPr>
        <w:spacing w:line="360" w:lineRule="auto"/>
        <w:ind w:firstLine="120" w:firstLineChars="5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出具</w:t>
      </w:r>
      <w:r>
        <w:rPr>
          <w:rFonts w:hint="eastAsia" w:ascii="宋体" w:hAnsi="宋体" w:eastAsia="宋体" w:cs="宋体"/>
          <w:color w:val="auto"/>
          <w:sz w:val="24"/>
          <w:highlight w:val="none"/>
          <w:shd w:val="clear" w:color="auto" w:fill="FFFFFF"/>
        </w:rPr>
        <w:t>履约保证保险</w:t>
      </w:r>
      <w:r>
        <w:rPr>
          <w:rFonts w:hint="eastAsia" w:ascii="宋体" w:hAnsi="宋体" w:eastAsia="宋体" w:cs="宋体"/>
          <w:color w:val="auto"/>
          <w:kern w:val="0"/>
          <w:sz w:val="24"/>
          <w:highlight w:val="none"/>
        </w:rPr>
        <w:t>的担保人：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 xml:space="preserve">  </w:t>
      </w:r>
    </w:p>
    <w:p w14:paraId="0354FFEE">
      <w:pPr>
        <w:spacing w:line="360" w:lineRule="auto"/>
        <w:ind w:firstLine="720" w:firstLineChars="300"/>
        <w:rPr>
          <w:rFonts w:ascii="宋体" w:hAnsi="宋体" w:eastAsia="宋体" w:cs="宋体"/>
          <w:color w:val="auto"/>
          <w:highlight w:val="none"/>
        </w:rPr>
      </w:pPr>
      <w:r>
        <w:rPr>
          <w:rFonts w:hint="eastAsia" w:ascii="宋体" w:hAnsi="宋体" w:eastAsia="宋体" w:cs="宋体"/>
          <w:color w:val="auto"/>
          <w:kern w:val="0"/>
          <w:sz w:val="24"/>
          <w:highlight w:val="none"/>
        </w:rPr>
        <w:t>□ 其它：</w:t>
      </w:r>
      <w:r>
        <w:rPr>
          <w:rFonts w:hint="eastAsia" w:ascii="宋体" w:hAnsi="宋体" w:eastAsia="宋体" w:cs="宋体"/>
          <w:color w:val="auto"/>
          <w:kern w:val="0"/>
          <w:sz w:val="24"/>
          <w:highlight w:val="none"/>
          <w:u w:val="single"/>
        </w:rPr>
        <w:t xml:space="preserve">       /       </w:t>
      </w:r>
    </w:p>
    <w:p w14:paraId="51EBA9AA">
      <w:pPr>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28.4 甲方提供支付担保的约定： </w:t>
      </w:r>
    </w:p>
    <w:p w14:paraId="0765D6A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支付担保的金额</w:t>
      </w:r>
      <w:r>
        <w:rPr>
          <w:rFonts w:hint="eastAsia" w:ascii="宋体" w:hAnsi="宋体" w:eastAsia="宋体" w:cs="宋体"/>
          <w:color w:val="auto"/>
          <w:spacing w:val="-120"/>
          <w:kern w:val="0"/>
          <w:sz w:val="24"/>
          <w:highlight w:val="none"/>
        </w:rPr>
        <w:t>：</w:t>
      </w:r>
      <w:r>
        <w:rPr>
          <w:rFonts w:hint="eastAsia" w:ascii="宋体" w:hAnsi="宋体" w:eastAsia="宋体" w:cs="宋体"/>
          <w:color w:val="auto"/>
          <w:kern w:val="0"/>
          <w:sz w:val="24"/>
          <w:highlight w:val="none"/>
        </w:rPr>
        <w:t>（大写）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4023E6B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提供支付担保的时间：甲方</w:t>
      </w:r>
      <w:r>
        <w:rPr>
          <w:rFonts w:hint="eastAsia" w:ascii="宋体" w:hAnsi="宋体" w:eastAsia="宋体" w:cs="宋体"/>
          <w:color w:val="auto"/>
          <w:sz w:val="24"/>
          <w:highlight w:val="none"/>
        </w:rPr>
        <w:t>不向乙方提供支付担保。</w:t>
      </w:r>
    </w:p>
    <w:p w14:paraId="66625DDB">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签订本合同时。</w:t>
      </w:r>
    </w:p>
    <w:p w14:paraId="03155F63">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543AE401">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(3) 出具支付保函的担保人：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5BCB8CBF">
      <w:pPr>
        <w:pStyle w:val="6"/>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28.8 担保内容、方式和责任等事项的约定：</w:t>
      </w:r>
    </w:p>
    <w:p w14:paraId="0725E463">
      <w:pPr>
        <w:pStyle w:val="6"/>
        <w:spacing w:line="360" w:lineRule="auto"/>
        <w:ind w:firstLine="48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2"/>
          <w:sz w:val="24"/>
          <w:szCs w:val="24"/>
          <w:highlight w:val="none"/>
          <w:u w:val="single"/>
          <w:lang w:val="en-US" w:eastAsia="zh-CN"/>
        </w:rPr>
        <w:t>合同正式签订前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乙方</w:t>
      </w:r>
      <w:r>
        <w:rPr>
          <w:rFonts w:hint="eastAsia" w:ascii="宋体" w:hAnsi="宋体" w:eastAsia="宋体" w:cs="宋体"/>
          <w:color w:val="auto"/>
          <w:kern w:val="2"/>
          <w:sz w:val="24"/>
          <w:szCs w:val="24"/>
          <w:highlight w:val="none"/>
          <w:u w:val="single"/>
        </w:rPr>
        <w:t>须向</w:t>
      </w:r>
      <w:r>
        <w:rPr>
          <w:rFonts w:hint="eastAsia" w:ascii="宋体" w:hAnsi="宋体" w:eastAsia="宋体" w:cs="宋体"/>
          <w:color w:val="auto"/>
          <w:kern w:val="2"/>
          <w:sz w:val="24"/>
          <w:szCs w:val="24"/>
          <w:highlight w:val="none"/>
          <w:u w:val="single"/>
          <w:lang w:val="en-US" w:eastAsia="zh-CN"/>
        </w:rPr>
        <w:t>甲方</w:t>
      </w:r>
      <w:r>
        <w:rPr>
          <w:rFonts w:hint="eastAsia" w:ascii="宋体" w:hAnsi="宋体" w:eastAsia="宋体" w:cs="宋体"/>
          <w:color w:val="auto"/>
          <w:kern w:val="2"/>
          <w:sz w:val="24"/>
          <w:szCs w:val="24"/>
          <w:highlight w:val="none"/>
          <w:u w:val="single"/>
        </w:rPr>
        <w:t>提交履约保证金，履约保证金为中标价款的</w:t>
      </w:r>
      <w:r>
        <w:rPr>
          <w:rFonts w:hint="eastAsia" w:ascii="宋体" w:hAnsi="宋体" w:eastAsia="宋体" w:cs="宋体"/>
          <w:color w:val="auto"/>
          <w:kern w:val="2"/>
          <w:sz w:val="24"/>
          <w:szCs w:val="24"/>
          <w:highlight w:val="none"/>
          <w:u w:val="single"/>
          <w:lang w:val="en-US" w:eastAsia="zh-CN"/>
        </w:rPr>
        <w:t>5</w:t>
      </w:r>
      <w:r>
        <w:rPr>
          <w:rFonts w:hint="eastAsia" w:ascii="宋体" w:hAnsi="宋体" w:eastAsia="宋体" w:cs="宋体"/>
          <w:color w:val="auto"/>
          <w:kern w:val="2"/>
          <w:sz w:val="24"/>
          <w:szCs w:val="24"/>
          <w:highlight w:val="none"/>
          <w:u w:val="single"/>
        </w:rPr>
        <w:t>%，以现金或转账支票方式提交或开具为中标价的</w:t>
      </w:r>
      <w:r>
        <w:rPr>
          <w:rFonts w:hint="eastAsia" w:ascii="宋体" w:hAnsi="宋体" w:eastAsia="宋体" w:cs="宋体"/>
          <w:color w:val="auto"/>
          <w:kern w:val="2"/>
          <w:sz w:val="24"/>
          <w:szCs w:val="24"/>
          <w:highlight w:val="none"/>
          <w:u w:val="single"/>
          <w:lang w:val="en-US" w:eastAsia="zh-CN"/>
        </w:rPr>
        <w:t>5</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履约</w:t>
      </w:r>
      <w:r>
        <w:rPr>
          <w:rFonts w:hint="eastAsia" w:ascii="宋体" w:hAnsi="宋体" w:eastAsia="宋体" w:cs="宋体"/>
          <w:color w:val="auto"/>
          <w:kern w:val="2"/>
          <w:sz w:val="24"/>
          <w:szCs w:val="24"/>
          <w:highlight w:val="none"/>
          <w:u w:val="single"/>
        </w:rPr>
        <w:t>保函。开具</w:t>
      </w:r>
      <w:r>
        <w:rPr>
          <w:rFonts w:hint="eastAsia" w:ascii="宋体" w:hAnsi="宋体" w:eastAsia="宋体" w:cs="宋体"/>
          <w:color w:val="auto"/>
          <w:kern w:val="2"/>
          <w:sz w:val="24"/>
          <w:szCs w:val="24"/>
          <w:highlight w:val="none"/>
          <w:u w:val="single"/>
          <w:lang w:val="en-US" w:eastAsia="zh-CN"/>
        </w:rPr>
        <w:t>履约</w:t>
      </w:r>
      <w:r>
        <w:rPr>
          <w:rFonts w:hint="eastAsia" w:ascii="宋体" w:hAnsi="宋体" w:eastAsia="宋体" w:cs="宋体"/>
          <w:color w:val="auto"/>
          <w:kern w:val="2"/>
          <w:sz w:val="24"/>
          <w:szCs w:val="24"/>
          <w:highlight w:val="none"/>
          <w:u w:val="single"/>
        </w:rPr>
        <w:t>保函的有效期至本工程竣工</w:t>
      </w:r>
      <w:r>
        <w:rPr>
          <w:rFonts w:hint="eastAsia" w:ascii="宋体" w:hAnsi="宋体" w:eastAsia="宋体" w:cs="宋体"/>
          <w:color w:val="auto"/>
          <w:kern w:val="2"/>
          <w:sz w:val="24"/>
          <w:szCs w:val="24"/>
          <w:highlight w:val="none"/>
          <w:u w:val="single"/>
          <w:lang w:val="en-US" w:eastAsia="zh-CN"/>
        </w:rPr>
        <w:t>且通过联合</w:t>
      </w:r>
      <w:r>
        <w:rPr>
          <w:rFonts w:hint="eastAsia" w:ascii="宋体" w:hAnsi="宋体" w:eastAsia="宋体" w:cs="宋体"/>
          <w:color w:val="auto"/>
          <w:kern w:val="2"/>
          <w:sz w:val="24"/>
          <w:szCs w:val="24"/>
          <w:highlight w:val="none"/>
          <w:u w:val="single"/>
        </w:rPr>
        <w:t>验收</w:t>
      </w:r>
      <w:r>
        <w:rPr>
          <w:rFonts w:hint="eastAsia" w:asciiTheme="minorEastAsia" w:hAnsiTheme="minorEastAsia" w:eastAsiaTheme="minorEastAsia"/>
          <w:color w:val="auto"/>
          <w:sz w:val="24"/>
          <w:szCs w:val="24"/>
          <w:highlight w:val="none"/>
          <w:u w:val="single"/>
        </w:rPr>
        <w:t>且缺陷责任期满之日止</w:t>
      </w:r>
      <w:r>
        <w:rPr>
          <w:rFonts w:hint="eastAsia" w:ascii="宋体" w:hAnsi="宋体" w:eastAsia="宋体" w:cs="宋体"/>
          <w:color w:val="auto"/>
          <w:kern w:val="2"/>
          <w:sz w:val="24"/>
          <w:szCs w:val="24"/>
          <w:highlight w:val="none"/>
          <w:u w:val="single"/>
        </w:rPr>
        <w:t>。</w:t>
      </w:r>
    </w:p>
    <w:p w14:paraId="179BD922">
      <w:pPr>
        <w:pStyle w:val="6"/>
        <w:spacing w:line="360" w:lineRule="auto"/>
        <w:ind w:firstLine="48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lang w:val="en-US" w:eastAsia="zh-CN"/>
        </w:rPr>
        <w:t>2）</w:t>
      </w:r>
      <w:r>
        <w:rPr>
          <w:rFonts w:hint="eastAsia" w:ascii="宋体" w:hAnsi="宋体" w:eastAsia="宋体" w:cs="宋体"/>
          <w:color w:val="auto"/>
          <w:kern w:val="2"/>
          <w:sz w:val="24"/>
          <w:szCs w:val="24"/>
          <w:highlight w:val="none"/>
          <w:u w:val="single"/>
        </w:rPr>
        <w:t>如保函过期工程</w:t>
      </w:r>
      <w:r>
        <w:rPr>
          <w:rFonts w:hint="eastAsia" w:asciiTheme="minorEastAsia" w:hAnsiTheme="minorEastAsia" w:eastAsiaTheme="minorEastAsia"/>
          <w:color w:val="auto"/>
          <w:sz w:val="24"/>
          <w:szCs w:val="24"/>
          <w:highlight w:val="none"/>
          <w:u w:val="single"/>
        </w:rPr>
        <w:t>缺陷责任期</w:t>
      </w:r>
      <w:r>
        <w:rPr>
          <w:rFonts w:hint="eastAsia" w:asciiTheme="minorEastAsia" w:hAnsiTheme="minorEastAsia" w:eastAsiaTheme="minorEastAsia"/>
          <w:color w:val="auto"/>
          <w:sz w:val="24"/>
          <w:szCs w:val="24"/>
          <w:highlight w:val="none"/>
          <w:u w:val="single"/>
          <w:lang w:val="en-US" w:eastAsia="zh-CN"/>
        </w:rPr>
        <w:t>尚未届</w:t>
      </w:r>
      <w:r>
        <w:rPr>
          <w:rFonts w:hint="eastAsia" w:asciiTheme="minorEastAsia" w:hAnsiTheme="minorEastAsia" w:eastAsiaTheme="minorEastAsia"/>
          <w:color w:val="auto"/>
          <w:sz w:val="24"/>
          <w:szCs w:val="24"/>
          <w:highlight w:val="none"/>
          <w:u w:val="single"/>
        </w:rPr>
        <w:t>满</w:t>
      </w:r>
      <w:r>
        <w:rPr>
          <w:rFonts w:hint="eastAsia" w:ascii="宋体" w:hAnsi="宋体" w:eastAsia="宋体" w:cs="宋体"/>
          <w:color w:val="auto"/>
          <w:kern w:val="2"/>
          <w:sz w:val="24"/>
          <w:szCs w:val="24"/>
          <w:highlight w:val="none"/>
          <w:u w:val="single"/>
        </w:rPr>
        <w:t>，</w:t>
      </w:r>
      <w:r>
        <w:rPr>
          <w:rFonts w:hint="eastAsia" w:ascii="宋体" w:hAnsi="宋体" w:eastAsia="宋体" w:cs="宋体"/>
          <w:b w:val="0"/>
          <w:bCs w:val="0"/>
          <w:color w:val="auto"/>
          <w:sz w:val="24"/>
          <w:szCs w:val="24"/>
          <w:highlight w:val="none"/>
          <w:u w:val="single"/>
          <w:lang w:eastAsia="zh-CN"/>
        </w:rPr>
        <w:t>乙方</w:t>
      </w:r>
      <w:r>
        <w:rPr>
          <w:rFonts w:hint="eastAsia" w:ascii="宋体" w:hAnsi="宋体" w:eastAsia="宋体" w:cs="宋体"/>
          <w:b w:val="0"/>
          <w:bCs w:val="0"/>
          <w:color w:val="auto"/>
          <w:sz w:val="24"/>
          <w:szCs w:val="24"/>
          <w:highlight w:val="none"/>
          <w:u w:val="single"/>
        </w:rPr>
        <w:t>应在保函有效期满前1个月无条件</w:t>
      </w:r>
      <w:r>
        <w:rPr>
          <w:rFonts w:hint="eastAsia" w:ascii="宋体" w:hAnsi="宋体" w:eastAsia="宋体" w:cs="宋体"/>
          <w:color w:val="auto"/>
          <w:kern w:val="2"/>
          <w:sz w:val="24"/>
          <w:szCs w:val="24"/>
          <w:highlight w:val="none"/>
          <w:u w:val="single"/>
        </w:rPr>
        <w:t>及时办理保函延期手续，确保保函担保期间不出现空缺，否则不予办理请款手续。</w:t>
      </w:r>
      <w:r>
        <w:rPr>
          <w:rFonts w:hint="eastAsia" w:ascii="宋体" w:hAnsi="宋体" w:eastAsia="宋体" w:cs="宋体"/>
          <w:color w:val="auto"/>
          <w:kern w:val="2"/>
          <w:sz w:val="24"/>
          <w:szCs w:val="24"/>
          <w:highlight w:val="none"/>
          <w:u w:val="single"/>
          <w:lang w:val="en-US" w:eastAsia="zh-CN"/>
        </w:rPr>
        <w:t>合同正式签订前</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eastAsia="zh-CN"/>
        </w:rPr>
        <w:t>乙方</w:t>
      </w:r>
      <w:r>
        <w:rPr>
          <w:rFonts w:hint="eastAsia" w:ascii="宋体" w:hAnsi="宋体" w:eastAsia="宋体" w:cs="宋体"/>
          <w:color w:val="auto"/>
          <w:kern w:val="2"/>
          <w:sz w:val="24"/>
          <w:szCs w:val="24"/>
          <w:highlight w:val="none"/>
          <w:u w:val="single"/>
        </w:rPr>
        <w:t>未提交履约保证金且未征得招标人同意延期缴交的，招标人有权取消其中标资格并没收其投标保证金，并选取第二中标候选人替补。</w:t>
      </w:r>
    </w:p>
    <w:p w14:paraId="2C2CF929">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提交的履约保函是对本合同约定的</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的全部义务（包括但不限于</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违约后应支付的违约金和赔偿金）的担保，</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的任何一次不履行或不完全履行合同义务的行为，</w:t>
      </w:r>
      <w:r>
        <w:rPr>
          <w:rFonts w:hint="eastAsia" w:ascii="宋体" w:hAnsi="宋体" w:eastAsia="宋体"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均有权向出函</w:t>
      </w:r>
      <w:r>
        <w:rPr>
          <w:rFonts w:hint="eastAsia" w:ascii="宋体" w:hAnsi="宋体" w:eastAsia="宋体" w:cs="宋体"/>
          <w:color w:val="auto"/>
          <w:sz w:val="24"/>
          <w:szCs w:val="24"/>
          <w:highlight w:val="none"/>
          <w:u w:val="single"/>
          <w:lang w:val="en-US" w:eastAsia="zh-CN"/>
        </w:rPr>
        <w:t>机构</w:t>
      </w:r>
      <w:r>
        <w:rPr>
          <w:rFonts w:hint="eastAsia" w:ascii="宋体" w:hAnsi="宋体" w:eastAsia="宋体" w:cs="宋体"/>
          <w:color w:val="auto"/>
          <w:sz w:val="24"/>
          <w:szCs w:val="24"/>
          <w:highlight w:val="none"/>
          <w:u w:val="single"/>
        </w:rPr>
        <w:t xml:space="preserve">提出索赔或启动履约保函的一部分或全部。 </w:t>
      </w:r>
    </w:p>
    <w:p w14:paraId="65E9C66E">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不履行或不完全履行合同义务的行为导致</w:t>
      </w:r>
      <w:r>
        <w:rPr>
          <w:rFonts w:hint="eastAsia" w:ascii="宋体" w:hAnsi="宋体" w:eastAsia="宋体"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通过履约保函向出函</w:t>
      </w:r>
      <w:r>
        <w:rPr>
          <w:rFonts w:hint="eastAsia" w:ascii="宋体" w:hAnsi="宋体" w:eastAsia="宋体" w:cs="宋体"/>
          <w:color w:val="auto"/>
          <w:sz w:val="24"/>
          <w:szCs w:val="24"/>
          <w:highlight w:val="none"/>
          <w:u w:val="single"/>
          <w:lang w:val="en-US" w:eastAsia="zh-CN"/>
        </w:rPr>
        <w:t>机构</w:t>
      </w:r>
      <w:r>
        <w:rPr>
          <w:rFonts w:hint="eastAsia" w:ascii="宋体" w:hAnsi="宋体" w:eastAsia="宋体" w:cs="宋体"/>
          <w:color w:val="auto"/>
          <w:sz w:val="24"/>
          <w:szCs w:val="24"/>
          <w:highlight w:val="none"/>
          <w:u w:val="single"/>
        </w:rPr>
        <w:t>索赔履约保函金额的一部分或者全部的，</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必须在</w:t>
      </w:r>
      <w:r>
        <w:rPr>
          <w:rFonts w:hint="eastAsia" w:ascii="宋体" w:hAnsi="宋体" w:eastAsia="宋体"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规定的时间内补充提交履约保函，使得本合同履行期间有效的履约保函金额不低于</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 xml:space="preserve">第一次提交的履约保函金额，同时也不超过未完工程的合同价。 </w:t>
      </w:r>
    </w:p>
    <w:p w14:paraId="3B35F220">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不履行或不完全履行合同义务的行为导致</w:t>
      </w:r>
      <w:r>
        <w:rPr>
          <w:rFonts w:hint="eastAsia" w:ascii="宋体" w:hAnsi="宋体" w:eastAsia="宋体"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没收履约担保的一部分或者全部的，</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必须在</w:t>
      </w:r>
      <w:r>
        <w:rPr>
          <w:rFonts w:hint="eastAsia" w:ascii="宋体" w:hAnsi="宋体" w:eastAsia="宋体"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规定的时间内补充提交履约担保，使得本合同履行期间有效的履约担保金额不低于</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第一次提交的履约担保，同时也不超过未完工程的合同价。</w:t>
      </w:r>
    </w:p>
    <w:p w14:paraId="20318B11">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如果</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不按</w:t>
      </w:r>
      <w:r>
        <w:rPr>
          <w:rFonts w:hint="eastAsia" w:ascii="宋体" w:hAnsi="宋体" w:eastAsia="宋体"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的要求及时补充提交履约保函的，则</w:t>
      </w:r>
      <w:r>
        <w:rPr>
          <w:rFonts w:hint="eastAsia" w:ascii="宋体" w:hAnsi="宋体" w:eastAsia="宋体"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有权部分解除或解除本合同。</w:t>
      </w:r>
    </w:p>
    <w:p w14:paraId="30482877">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）履约保函在工程</w:t>
      </w:r>
      <w:r>
        <w:rPr>
          <w:rFonts w:hint="eastAsia" w:ascii="宋体" w:hAnsi="宋体" w:eastAsia="宋体" w:cs="宋体"/>
          <w:color w:val="auto"/>
          <w:sz w:val="24"/>
          <w:szCs w:val="24"/>
          <w:highlight w:val="none"/>
          <w:u w:val="single"/>
          <w:lang w:val="en-US" w:eastAsia="zh-CN"/>
        </w:rPr>
        <w:t>竣工</w:t>
      </w:r>
      <w:r>
        <w:rPr>
          <w:rFonts w:hint="eastAsia" w:ascii="宋体" w:hAnsi="宋体" w:eastAsia="宋体" w:cs="宋体"/>
          <w:color w:val="auto"/>
          <w:kern w:val="2"/>
          <w:sz w:val="24"/>
          <w:szCs w:val="24"/>
          <w:highlight w:val="none"/>
          <w:u w:val="single"/>
          <w:lang w:val="en-US" w:eastAsia="zh-CN"/>
        </w:rPr>
        <w:t>且通过联合</w:t>
      </w:r>
      <w:r>
        <w:rPr>
          <w:rFonts w:hint="eastAsia" w:ascii="宋体" w:hAnsi="宋体" w:eastAsia="宋体" w:cs="宋体"/>
          <w:color w:val="auto"/>
          <w:kern w:val="2"/>
          <w:sz w:val="24"/>
          <w:szCs w:val="24"/>
          <w:highlight w:val="none"/>
          <w:u w:val="single"/>
        </w:rPr>
        <w:t>验收</w:t>
      </w:r>
      <w:r>
        <w:rPr>
          <w:rFonts w:hint="eastAsia" w:asciiTheme="minorEastAsia" w:hAnsiTheme="minorEastAsia" w:eastAsiaTheme="minorEastAsia"/>
          <w:color w:val="auto"/>
          <w:sz w:val="24"/>
          <w:szCs w:val="24"/>
          <w:highlight w:val="none"/>
          <w:u w:val="single"/>
        </w:rPr>
        <w:t>且缺陷责任期满之日</w:t>
      </w:r>
      <w:r>
        <w:rPr>
          <w:rFonts w:hint="eastAsia" w:ascii="宋体" w:hAnsi="宋体" w:eastAsia="宋体" w:cs="宋体"/>
          <w:color w:val="auto"/>
          <w:sz w:val="24"/>
          <w:szCs w:val="24"/>
          <w:highlight w:val="none"/>
          <w:u w:val="single"/>
        </w:rPr>
        <w:t>止。但如果因</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不履行或不完全履行合同义务的行为导致</w:t>
      </w:r>
      <w:r>
        <w:rPr>
          <w:rFonts w:hint="eastAsia" w:ascii="宋体" w:hAnsi="宋体" w:eastAsia="宋体"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扣取履约保函的一部分或者全部的，则相应扣取部分的履约保函不予退还。</w:t>
      </w:r>
    </w:p>
    <w:p w14:paraId="51ACF83B">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违约与履约担保金的扣除。如果</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违反国家法律法规及合同约定义务，导致合同提前终止或解除，</w:t>
      </w:r>
      <w:r>
        <w:rPr>
          <w:rFonts w:hint="eastAsia" w:ascii="宋体" w:hAnsi="宋体" w:eastAsia="宋体"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有权根据其损失情况，依照履约保函约定向出函</w:t>
      </w:r>
      <w:r>
        <w:rPr>
          <w:rFonts w:hint="eastAsia" w:ascii="宋体" w:hAnsi="宋体" w:eastAsia="宋体" w:cs="宋体"/>
          <w:color w:val="auto"/>
          <w:sz w:val="24"/>
          <w:szCs w:val="24"/>
          <w:highlight w:val="none"/>
          <w:u w:val="single"/>
          <w:lang w:val="en-US" w:eastAsia="zh-CN"/>
        </w:rPr>
        <w:t>机构</w:t>
      </w:r>
      <w:r>
        <w:rPr>
          <w:rFonts w:hint="eastAsia" w:ascii="宋体" w:hAnsi="宋体" w:eastAsia="宋体" w:cs="宋体"/>
          <w:color w:val="auto"/>
          <w:sz w:val="24"/>
          <w:szCs w:val="24"/>
          <w:highlight w:val="none"/>
          <w:u w:val="single"/>
        </w:rPr>
        <w:t>索偿。</w:t>
      </w:r>
    </w:p>
    <w:p w14:paraId="287987D2">
      <w:pPr>
        <w:pStyle w:val="7"/>
        <w:rPr>
          <w:color w:val="auto"/>
          <w:highlight w:val="none"/>
        </w:rPr>
      </w:pPr>
    </w:p>
    <w:p w14:paraId="44D1F86E">
      <w:pPr>
        <w:autoSpaceDE w:val="0"/>
        <w:autoSpaceDN w:val="0"/>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30.</w:t>
      </w:r>
      <w:r>
        <w:rPr>
          <w:rFonts w:hint="eastAsia" w:ascii="宋体" w:hAnsi="宋体" w:eastAsia="宋体" w:cs="宋体"/>
          <w:color w:val="auto"/>
          <w:sz w:val="24"/>
          <w:highlight w:val="none"/>
        </w:rPr>
        <w:t xml:space="preserve"> 乙方风险</w:t>
      </w:r>
    </w:p>
    <w:p w14:paraId="5424363A">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补充内容：</w:t>
      </w:r>
    </w:p>
    <w:p w14:paraId="421A3FBA">
      <w:pPr>
        <w:autoSpaceDE w:val="0"/>
        <w:autoSpaceDN w:val="0"/>
        <w:adjustRightIn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合同价款中包括的风险范围：除非合同中另有规定，报价汇总中的价格已包括施工设备、临时用水、用电、进场道路、临时设施费、赶工措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14:paraId="0F41B436">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风险费用的计算方法：风险费用已包括在合同价中，甲方不再承担有关风险费用，风险包括但不限于：</w:t>
      </w:r>
    </w:p>
    <w:p w14:paraId="07F098ED">
      <w:pPr>
        <w:spacing w:line="360" w:lineRule="auto"/>
        <w:ind w:firstLine="482" w:firstLineChars="200"/>
        <w:rPr>
          <w:rFonts w:ascii="宋体" w:hAnsi="宋体" w:eastAsia="宋体" w:cs="宋体"/>
          <w:color w:val="auto"/>
          <w:kern w:val="0"/>
          <w:sz w:val="24"/>
          <w:highlight w:val="none"/>
          <w:u w:val="single"/>
        </w:rPr>
      </w:pPr>
      <w:r>
        <w:rPr>
          <w:rFonts w:hint="eastAsia" w:ascii="宋体" w:hAnsi="宋体" w:eastAsia="宋体" w:cs="宋体"/>
          <w:b/>
          <w:color w:val="auto"/>
          <w:kern w:val="0"/>
          <w:sz w:val="24"/>
          <w:highlight w:val="none"/>
          <w:lang w:val="en-US" w:eastAsia="zh-CN"/>
        </w:rPr>
        <w:t>①</w:t>
      </w:r>
      <w:r>
        <w:rPr>
          <w:rFonts w:hint="eastAsia" w:ascii="宋体" w:hAnsi="宋体" w:eastAsia="宋体" w:cs="宋体"/>
          <w:color w:val="auto"/>
          <w:kern w:val="0"/>
          <w:sz w:val="24"/>
          <w:highlight w:val="none"/>
          <w:u w:val="single"/>
        </w:rPr>
        <w:t>乙方的投标报价包含施工过程风险的报价，乙方在施工过程所需的施工风险处理费用及不可预见费用已包含在合同价款中。乙方在施工过程造成附近建筑物、构筑物及现场已完成的构件破坏，需要恢复的费用由乙方承担</w:t>
      </w:r>
      <w:r>
        <w:rPr>
          <w:rFonts w:hint="eastAsia" w:ascii="宋体" w:hAnsi="宋体" w:eastAsia="宋体" w:cs="宋体"/>
          <w:color w:val="auto"/>
          <w:kern w:val="0"/>
          <w:sz w:val="24"/>
          <w:highlight w:val="none"/>
        </w:rPr>
        <w:t>；</w:t>
      </w:r>
    </w:p>
    <w:p w14:paraId="44246460">
      <w:pPr>
        <w:spacing w:line="360" w:lineRule="auto"/>
        <w:ind w:firstLine="482" w:firstLineChars="200"/>
        <w:rPr>
          <w:rFonts w:ascii="宋体" w:hAnsi="宋体" w:eastAsia="宋体" w:cs="宋体"/>
          <w:color w:val="auto"/>
          <w:kern w:val="0"/>
          <w:sz w:val="24"/>
          <w:highlight w:val="none"/>
          <w:u w:val="single"/>
        </w:rPr>
      </w:pPr>
      <w:r>
        <w:rPr>
          <w:rFonts w:hint="eastAsia" w:ascii="宋体" w:hAnsi="宋体" w:eastAsia="宋体" w:cs="宋体"/>
          <w:b/>
          <w:color w:val="auto"/>
          <w:kern w:val="0"/>
          <w:sz w:val="24"/>
          <w:highlight w:val="none"/>
          <w:lang w:val="en-US" w:eastAsia="zh-CN"/>
        </w:rPr>
        <w:t>②</w:t>
      </w:r>
      <w:r>
        <w:rPr>
          <w:rFonts w:hint="eastAsia" w:ascii="宋体" w:hAnsi="宋体" w:eastAsia="宋体" w:cs="宋体"/>
          <w:color w:val="auto"/>
          <w:kern w:val="0"/>
          <w:sz w:val="24"/>
          <w:highlight w:val="none"/>
          <w:u w:val="single"/>
        </w:rPr>
        <w:t>凡施工图纸中未有详细注明的做法，则按国家及广东省有关设计规范及施工验收规范中要求较高者进行施工，乙方在投标报价时须将此因素考虑在内</w:t>
      </w:r>
      <w:r>
        <w:rPr>
          <w:rFonts w:hint="eastAsia" w:ascii="宋体" w:hAnsi="宋体" w:eastAsia="宋体" w:cs="宋体"/>
          <w:color w:val="auto"/>
          <w:kern w:val="0"/>
          <w:sz w:val="24"/>
          <w:highlight w:val="none"/>
        </w:rPr>
        <w:t>；</w:t>
      </w:r>
    </w:p>
    <w:p w14:paraId="5A063DBB">
      <w:pPr>
        <w:spacing w:line="360" w:lineRule="auto"/>
        <w:ind w:firstLine="480"/>
        <w:rPr>
          <w:rFonts w:hint="eastAsia" w:ascii="宋体" w:hAnsi="宋体" w:eastAsia="宋体" w:cs="宋体"/>
          <w:color w:val="auto"/>
          <w:kern w:val="0"/>
          <w:sz w:val="24"/>
          <w:highlight w:val="none"/>
          <w:u w:val="single"/>
        </w:rPr>
      </w:pPr>
      <w:r>
        <w:rPr>
          <w:rFonts w:hint="eastAsia" w:ascii="宋体" w:hAnsi="宋体" w:eastAsia="宋体" w:cs="宋体"/>
          <w:b w:val="0"/>
          <w:color w:val="auto"/>
          <w:kern w:val="0"/>
          <w:sz w:val="24"/>
          <w:highlight w:val="none"/>
          <w:u w:val="single"/>
          <w:lang w:val="en-US" w:eastAsia="zh-CN"/>
        </w:rPr>
        <w:t>③</w:t>
      </w:r>
      <w:r>
        <w:rPr>
          <w:rFonts w:hint="eastAsia" w:ascii="宋体" w:hAnsi="宋体" w:eastAsia="宋体" w:cs="宋体"/>
          <w:color w:val="auto"/>
          <w:kern w:val="0"/>
          <w:sz w:val="24"/>
          <w:highlight w:val="none"/>
          <w:u w:val="single"/>
        </w:rPr>
        <w:t>基坑支护施工图纸应充分考虑施工措施费用，乙方不得以施工方案变更为借口，提出增加费用的要求。</w:t>
      </w:r>
    </w:p>
    <w:p w14:paraId="537166BE">
      <w:pPr>
        <w:spacing w:line="360" w:lineRule="auto"/>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lang w:val="en-US" w:eastAsia="zh-CN"/>
        </w:rPr>
        <w:t>④</w:t>
      </w:r>
      <w:r>
        <w:rPr>
          <w:rFonts w:hint="eastAsia" w:ascii="宋体" w:hAnsi="宋体" w:eastAsia="宋体" w:cs="宋体"/>
          <w:color w:val="auto"/>
          <w:kern w:val="0"/>
          <w:sz w:val="24"/>
          <w:highlight w:val="none"/>
          <w:u w:val="single"/>
        </w:rPr>
        <w:t>政策性文件规定和计价标准等的变化所导致的风险均由乙方承担。</w:t>
      </w:r>
    </w:p>
    <w:p w14:paraId="34ED3C46">
      <w:pPr>
        <w:pStyle w:val="118"/>
        <w:spacing w:line="360" w:lineRule="auto"/>
        <w:ind w:firstLine="480" w:firstLineChars="200"/>
        <w:jc w:val="both"/>
        <w:outlineLvl w:val="9"/>
        <w:rPr>
          <w:rFonts w:ascii="宋体" w:hAnsi="宋体" w:eastAsia="宋体" w:cs="宋体"/>
          <w:color w:val="auto"/>
          <w:highlight w:val="none"/>
        </w:rPr>
      </w:pPr>
      <w:bookmarkStart w:id="253" w:name="_Toc287628046"/>
      <w:r>
        <w:rPr>
          <w:rFonts w:hint="eastAsia" w:ascii="宋体" w:hAnsi="宋体" w:eastAsia="宋体" w:cs="宋体"/>
          <w:color w:val="auto"/>
          <w:highlight w:val="none"/>
        </w:rPr>
        <w:t>31．不可抗力</w:t>
      </w:r>
      <w:bookmarkEnd w:id="253"/>
    </w:p>
    <w:p w14:paraId="711F012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31.1 (4) </w:t>
      </w:r>
      <w:r>
        <w:rPr>
          <w:rFonts w:hint="eastAsia" w:ascii="宋体" w:hAnsi="宋体" w:eastAsia="宋体" w:cs="宋体"/>
          <w:color w:val="auto"/>
          <w:kern w:val="0"/>
          <w:position w:val="-2"/>
          <w:sz w:val="24"/>
          <w:highlight w:val="none"/>
        </w:rPr>
        <w:t>不可抗力的其他情形：</w:t>
      </w:r>
    </w:p>
    <w:p w14:paraId="1A3DE8DE">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不可抗力包括因战争、恐怖主义、动乱、空中飞行物坠落或其它非甲方、乙方责任或原因造成的罢工、停工、爆炸、火灾等，以及：</w:t>
      </w:r>
    </w:p>
    <w:p w14:paraId="5653EDA3">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(1) 红色暴雨警告信号或红色台风警告信号的恶劣气候，直接影响本工程无法正常施工的情形；</w:t>
      </w:r>
    </w:p>
    <w:p w14:paraId="5CE4C54B">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(2) 当地地震部门规定可列入不可抗力的情形；</w:t>
      </w:r>
    </w:p>
    <w:p w14:paraId="5904DA9A">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(3) 当地卫生部门规定可列入不可抗力、并直接影响本工程无法正常施工的情形。</w:t>
      </w:r>
    </w:p>
    <w:p w14:paraId="29ECEC7D">
      <w:pPr>
        <w:pStyle w:val="118"/>
        <w:spacing w:line="360" w:lineRule="auto"/>
        <w:ind w:firstLine="480" w:firstLineChars="200"/>
        <w:jc w:val="both"/>
        <w:outlineLvl w:val="9"/>
        <w:rPr>
          <w:rFonts w:ascii="宋体" w:hAnsi="宋体" w:eastAsia="宋体" w:cs="宋体"/>
          <w:color w:val="auto"/>
          <w:highlight w:val="none"/>
        </w:rPr>
      </w:pPr>
      <w:r>
        <w:rPr>
          <w:rFonts w:hint="eastAsia" w:ascii="宋体" w:hAnsi="宋体" w:eastAsia="宋体" w:cs="宋体"/>
          <w:color w:val="auto"/>
          <w:highlight w:val="none"/>
        </w:rPr>
        <w:t>32．保险</w:t>
      </w:r>
    </w:p>
    <w:p w14:paraId="22B81D7A">
      <w:pPr>
        <w:pStyle w:val="118"/>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32.1 甲方办理保险：</w:t>
      </w:r>
    </w:p>
    <w:p w14:paraId="70D0FDB9">
      <w:pPr>
        <w:pStyle w:val="118"/>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 xml:space="preserve"> 合同价款已经包含通用条款第32.1款的第(1)、(2)、(3)、(4)项内容，乙方负责办理上述四项保险业务，甲方提供协助，费用由乙方承担。保险期从办理保险之日起至工程竣工验收合格之日止。</w:t>
      </w:r>
    </w:p>
    <w:p w14:paraId="75319872">
      <w:pPr>
        <w:pStyle w:val="118"/>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32.8 投保内容、保险金、保险期限和责任等事项的约定：</w:t>
      </w:r>
    </w:p>
    <w:p w14:paraId="10D69530">
      <w:pPr>
        <w:pStyle w:val="118"/>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（1）甲方投保内容：已委托乙方投保。</w:t>
      </w:r>
    </w:p>
    <w:p w14:paraId="6DD7D659">
      <w:pPr>
        <w:pStyle w:val="118"/>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甲方委托乙方办理保险事项：</w:t>
      </w:r>
      <w:r>
        <w:rPr>
          <w:rFonts w:hint="eastAsia" w:ascii="宋体" w:hAnsi="宋体" w:eastAsia="宋体" w:cs="宋体"/>
          <w:bCs w:val="0"/>
          <w:color w:val="auto"/>
          <w:position w:val="0"/>
          <w:szCs w:val="24"/>
          <w:highlight w:val="none"/>
          <w:u w:val="single"/>
        </w:rPr>
        <w:t>按通用条款所列投保内容</w:t>
      </w:r>
      <w:r>
        <w:rPr>
          <w:rFonts w:hint="eastAsia" w:ascii="宋体" w:hAnsi="宋体" w:eastAsia="宋体" w:cs="宋体"/>
          <w:bCs w:val="0"/>
          <w:color w:val="auto"/>
          <w:position w:val="0"/>
          <w:szCs w:val="24"/>
          <w:highlight w:val="none"/>
        </w:rPr>
        <w:t>。</w:t>
      </w:r>
    </w:p>
    <w:p w14:paraId="0704EB22">
      <w:pPr>
        <w:pStyle w:val="118"/>
        <w:spacing w:line="360" w:lineRule="auto"/>
        <w:ind w:firstLine="480" w:firstLineChars="200"/>
        <w:jc w:val="both"/>
        <w:outlineLvl w:val="9"/>
        <w:rPr>
          <w:rFonts w:ascii="宋体" w:hAnsi="宋体" w:eastAsia="宋体" w:cs="宋体"/>
          <w:bCs w:val="0"/>
          <w:color w:val="auto"/>
          <w:position w:val="0"/>
          <w:szCs w:val="24"/>
          <w:highlight w:val="none"/>
        </w:rPr>
      </w:pPr>
      <w:bookmarkStart w:id="254" w:name="_Hlk52120651"/>
      <w:bookmarkStart w:id="255" w:name="_Hlk55205305"/>
      <w:r>
        <w:rPr>
          <w:rFonts w:hint="eastAsia" w:ascii="宋体" w:hAnsi="宋体" w:eastAsia="宋体" w:cs="宋体"/>
          <w:bCs w:val="0"/>
          <w:color w:val="auto"/>
          <w:position w:val="0"/>
          <w:szCs w:val="24"/>
          <w:highlight w:val="none"/>
        </w:rPr>
        <w:t>（2）乙方投保内容：</w:t>
      </w:r>
      <w:r>
        <w:rPr>
          <w:rFonts w:hint="eastAsia" w:ascii="宋体" w:hAnsi="宋体" w:eastAsia="宋体" w:cs="宋体"/>
          <w:bCs w:val="0"/>
          <w:color w:val="auto"/>
          <w:position w:val="0"/>
          <w:szCs w:val="24"/>
          <w:highlight w:val="none"/>
          <w:u w:val="single"/>
        </w:rPr>
        <w:t>按通用条款所列投保内容投保；保险费用由乙方承担并包含在合同总价款内，其投保单应送甲方备案，否则不得开工</w:t>
      </w:r>
      <w:r>
        <w:rPr>
          <w:rFonts w:hint="eastAsia" w:ascii="宋体" w:hAnsi="宋体" w:eastAsia="宋体" w:cs="宋体"/>
          <w:bCs w:val="0"/>
          <w:color w:val="auto"/>
          <w:position w:val="0"/>
          <w:szCs w:val="24"/>
          <w:highlight w:val="none"/>
        </w:rPr>
        <w:t>。</w:t>
      </w:r>
    </w:p>
    <w:bookmarkEnd w:id="254"/>
    <w:bookmarkEnd w:id="255"/>
    <w:p w14:paraId="52B3A30F">
      <w:pPr>
        <w:pStyle w:val="118"/>
        <w:spacing w:line="360" w:lineRule="auto"/>
        <w:ind w:firstLine="480" w:firstLineChars="200"/>
        <w:jc w:val="both"/>
        <w:outlineLvl w:val="9"/>
        <w:rPr>
          <w:rFonts w:hint="eastAsia" w:ascii="宋体" w:hAnsi="宋体" w:eastAsia="宋体" w:cs="宋体"/>
          <w:color w:val="auto"/>
          <w:highlight w:val="none"/>
        </w:rPr>
      </w:pPr>
      <w:bookmarkStart w:id="256" w:name="_Toc287628048"/>
      <w:r>
        <w:rPr>
          <w:rFonts w:hint="eastAsia" w:ascii="宋体" w:hAnsi="宋体" w:eastAsia="宋体" w:cs="宋体"/>
          <w:color w:val="auto"/>
          <w:highlight w:val="none"/>
        </w:rPr>
        <w:t>33．进度计划和报告</w:t>
      </w:r>
      <w:bookmarkEnd w:id="256"/>
    </w:p>
    <w:p w14:paraId="08EB035A">
      <w:pPr>
        <w:pStyle w:val="118"/>
        <w:spacing w:line="360" w:lineRule="auto"/>
        <w:ind w:firstLine="480" w:firstLineChars="200"/>
        <w:jc w:val="both"/>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33.1</w:t>
      </w:r>
      <w:r>
        <w:rPr>
          <w:rFonts w:hint="eastAsia" w:ascii="宋体" w:hAnsi="宋体" w:eastAsia="宋体" w:cs="宋体"/>
          <w:color w:val="auto"/>
          <w:kern w:val="2"/>
          <w:position w:val="0"/>
          <w:sz w:val="24"/>
          <w:szCs w:val="24"/>
          <w:highlight w:val="none"/>
          <w:u w:val="single"/>
        </w:rPr>
        <w:t>承包人提供施工组织设计（施工方案）和进度计划的时间：中标公示后五个天内。工程师确认的时间：</w:t>
      </w:r>
      <w:r>
        <w:rPr>
          <w:rFonts w:hint="eastAsia" w:ascii="宋体" w:hAnsi="宋体" w:eastAsia="宋体" w:cs="宋体"/>
          <w:color w:val="auto"/>
          <w:kern w:val="2"/>
          <w:position w:val="0"/>
          <w:sz w:val="24"/>
          <w:szCs w:val="24"/>
          <w:highlight w:val="none"/>
          <w:u w:val="single"/>
          <w:lang w:val="en-US" w:eastAsia="zh-CN"/>
        </w:rPr>
        <w:t>甲方</w:t>
      </w:r>
      <w:r>
        <w:rPr>
          <w:rFonts w:hint="eastAsia" w:ascii="宋体" w:hAnsi="宋体" w:eastAsia="宋体" w:cs="宋体"/>
          <w:color w:val="auto"/>
          <w:kern w:val="2"/>
          <w:position w:val="0"/>
          <w:sz w:val="24"/>
          <w:szCs w:val="24"/>
          <w:highlight w:val="none"/>
          <w:u w:val="single"/>
        </w:rPr>
        <w:t>收到</w:t>
      </w:r>
      <w:r>
        <w:rPr>
          <w:rFonts w:hint="eastAsia" w:ascii="宋体" w:hAnsi="宋体" w:eastAsia="宋体" w:cs="宋体"/>
          <w:color w:val="auto"/>
          <w:kern w:val="2"/>
          <w:position w:val="0"/>
          <w:sz w:val="24"/>
          <w:szCs w:val="24"/>
          <w:highlight w:val="none"/>
          <w:u w:val="single"/>
          <w:lang w:val="en-US" w:eastAsia="zh-CN"/>
        </w:rPr>
        <w:t>乙方</w:t>
      </w:r>
      <w:r>
        <w:rPr>
          <w:rFonts w:hint="eastAsia" w:ascii="宋体" w:hAnsi="宋体" w:eastAsia="宋体" w:cs="宋体"/>
          <w:color w:val="auto"/>
          <w:kern w:val="2"/>
          <w:position w:val="0"/>
          <w:sz w:val="24"/>
          <w:szCs w:val="24"/>
          <w:highlight w:val="none"/>
          <w:u w:val="single"/>
        </w:rPr>
        <w:t>提供的施工方案后三个工作天内。如监理工程师对承包人提供的施工组织设计（施工方案）提出修改意见，承包人应在收到监理工程师的修改意见后两个工作日内完成修改，监理工程师收到承包人提供的经修改后的施工方案后一个工作天内确认，如该方案仍未能通过，修改所需时间计算在合同工期内。</w:t>
      </w:r>
    </w:p>
    <w:p w14:paraId="2D079E9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33.3 乙方编制月施工进度报告和修订进度计划的约定：</w:t>
      </w:r>
      <w:r>
        <w:rPr>
          <w:rFonts w:hint="eastAsia" w:ascii="宋体" w:hAnsi="宋体" w:eastAsia="宋体" w:cs="宋体"/>
          <w:color w:val="auto"/>
          <w:sz w:val="24"/>
          <w:highlight w:val="none"/>
          <w:u w:val="single"/>
        </w:rPr>
        <w:t>按通用条款33.3款执行、</w:t>
      </w:r>
      <w:r>
        <w:rPr>
          <w:rFonts w:hint="eastAsia" w:ascii="宋体" w:hAnsi="宋体" w:eastAsia="宋体" w:cs="宋体"/>
          <w:color w:val="auto"/>
          <w:kern w:val="0"/>
          <w:sz w:val="24"/>
          <w:highlight w:val="none"/>
          <w:u w:val="single"/>
        </w:rPr>
        <w:t>并满足建设管理单位根据现场工程施工情况提出的要求。</w:t>
      </w:r>
    </w:p>
    <w:p w14:paraId="3589DF7D">
      <w:pPr>
        <w:pStyle w:val="118"/>
        <w:spacing w:line="360" w:lineRule="auto"/>
        <w:ind w:firstLine="480" w:firstLineChars="200"/>
        <w:jc w:val="both"/>
        <w:outlineLvl w:val="9"/>
        <w:rPr>
          <w:rFonts w:ascii="宋体" w:hAnsi="宋体" w:eastAsia="宋体" w:cs="宋体"/>
          <w:color w:val="auto"/>
          <w:highlight w:val="none"/>
        </w:rPr>
      </w:pPr>
      <w:bookmarkStart w:id="257" w:name="_Toc287628049"/>
      <w:r>
        <w:rPr>
          <w:rFonts w:hint="eastAsia" w:ascii="宋体" w:hAnsi="宋体" w:eastAsia="宋体" w:cs="宋体"/>
          <w:color w:val="auto"/>
          <w:highlight w:val="none"/>
        </w:rPr>
        <w:t>34．开工</w:t>
      </w:r>
      <w:bookmarkEnd w:id="257"/>
    </w:p>
    <w:p w14:paraId="690A3148">
      <w:pPr>
        <w:tabs>
          <w:tab w:val="left" w:pos="508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34.2 监理工程师在本合同签订后的（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）内签发开工令。</w:t>
      </w:r>
    </w:p>
    <w:p w14:paraId="4B0F9CD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按通用条款规定的</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42 天。</w:t>
      </w:r>
    </w:p>
    <w:p w14:paraId="1AB2AFE8">
      <w:pPr>
        <w:spacing w:line="480" w:lineRule="atLeast"/>
        <w:ind w:firstLine="120" w:firstLineChars="50"/>
        <w:rPr>
          <w:rFonts w:ascii="仿宋" w:hAnsi="仿宋" w:eastAsia="仿宋" w:cs="仿宋"/>
          <w:color w:val="auto"/>
          <w:kern w:val="0"/>
          <w:sz w:val="24"/>
          <w:szCs w:val="24"/>
          <w:highlight w:val="none"/>
          <w:u w:val="singl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none"/>
        </w:rPr>
        <w:t>：</w:t>
      </w:r>
      <w:r>
        <w:rPr>
          <w:rFonts w:hint="eastAsia" w:ascii="宋体" w:hAnsi="宋体" w:eastAsia="宋体" w:cs="宋体"/>
          <w:color w:val="auto"/>
          <w:kern w:val="0"/>
          <w:sz w:val="24"/>
          <w:highlight w:val="none"/>
          <w:u w:val="none"/>
          <w:lang w:val="en-US" w:eastAsia="zh-CN"/>
        </w:rPr>
        <w:t>本项目是EPCO项目，勘察阶段乙方已进入施工场地。乙方应按经甲方确认的工程进度计划时间开工</w:t>
      </w:r>
      <w:r>
        <w:rPr>
          <w:rFonts w:hint="eastAsia" w:ascii="宋体" w:hAnsi="宋体" w:eastAsia="宋体" w:cs="宋体"/>
          <w:color w:val="auto"/>
          <w:kern w:val="0"/>
          <w:sz w:val="24"/>
          <w:szCs w:val="24"/>
          <w:highlight w:val="none"/>
          <w:u w:val="none"/>
          <w:lang w:val="en-US" w:eastAsia="zh-CN"/>
        </w:rPr>
        <w:t>并</w:t>
      </w:r>
      <w:r>
        <w:rPr>
          <w:rFonts w:hint="eastAsia" w:ascii="宋体" w:hAnsi="宋体" w:eastAsia="宋体" w:cs="宋体"/>
          <w:color w:val="auto"/>
          <w:kern w:val="0"/>
          <w:sz w:val="24"/>
          <w:szCs w:val="24"/>
          <w:highlight w:val="none"/>
          <w:u w:val="none"/>
        </w:rPr>
        <w:t>一直保持合同工程连续均衡施工，直至其被改变为止。若</w:t>
      </w:r>
      <w:r>
        <w:rPr>
          <w:rFonts w:hint="eastAsia" w:ascii="宋体" w:hAnsi="宋体" w:eastAsia="宋体" w:cs="宋体"/>
          <w:color w:val="auto"/>
          <w:kern w:val="0"/>
          <w:sz w:val="24"/>
          <w:szCs w:val="24"/>
          <w:highlight w:val="none"/>
          <w:u w:val="none"/>
          <w:lang w:val="en-US" w:eastAsia="zh-CN"/>
        </w:rPr>
        <w:t>在</w:t>
      </w:r>
      <w:r>
        <w:rPr>
          <w:rFonts w:hint="eastAsia" w:ascii="宋体" w:hAnsi="宋体" w:eastAsia="宋体" w:cs="宋体"/>
          <w:color w:val="auto"/>
          <w:kern w:val="0"/>
          <w:sz w:val="24"/>
          <w:highlight w:val="none"/>
          <w:u w:val="none"/>
          <w:lang w:val="en-US" w:eastAsia="zh-CN"/>
        </w:rPr>
        <w:t>工程进度计划中确定的开工时间后的</w:t>
      </w:r>
      <w:r>
        <w:rPr>
          <w:rFonts w:hint="eastAsia" w:ascii="宋体" w:hAnsi="宋体" w:eastAsia="宋体" w:cs="宋体"/>
          <w:color w:val="auto"/>
          <w:kern w:val="0"/>
          <w:sz w:val="24"/>
          <w:szCs w:val="24"/>
          <w:highlight w:val="none"/>
          <w:u w:val="none"/>
        </w:rPr>
        <w:t>第4天</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lang w:val="en-US" w:eastAsia="zh-CN"/>
        </w:rPr>
        <w:t>仍</w:t>
      </w:r>
      <w:r>
        <w:rPr>
          <w:rFonts w:hint="eastAsia" w:ascii="宋体" w:hAnsi="宋体" w:eastAsia="宋体" w:cs="宋体"/>
          <w:color w:val="auto"/>
          <w:kern w:val="0"/>
          <w:sz w:val="24"/>
          <w:szCs w:val="24"/>
          <w:highlight w:val="none"/>
          <w:u w:val="none"/>
        </w:rPr>
        <w:t>不具备开工条件的，</w:t>
      </w:r>
      <w:r>
        <w:rPr>
          <w:rFonts w:hint="eastAsia" w:ascii="宋体" w:hAnsi="宋体" w:eastAsia="宋体" w:cs="宋体"/>
          <w:color w:val="auto"/>
          <w:kern w:val="0"/>
          <w:sz w:val="24"/>
          <w:szCs w:val="24"/>
          <w:highlight w:val="none"/>
          <w:u w:val="none"/>
          <w:lang w:val="en-US" w:eastAsia="zh-CN"/>
        </w:rPr>
        <w:t>每迟延开工一天，乙方影响甲方支付3000元违约金</w:t>
      </w:r>
      <w:r>
        <w:rPr>
          <w:rFonts w:hint="eastAsia" w:ascii="宋体" w:hAnsi="宋体" w:eastAsia="宋体" w:cs="宋体"/>
          <w:color w:val="auto"/>
          <w:kern w:val="0"/>
          <w:sz w:val="24"/>
          <w:szCs w:val="24"/>
          <w:highlight w:val="none"/>
          <w:u w:val="none"/>
        </w:rPr>
        <w:t>；若在</w:t>
      </w:r>
      <w:r>
        <w:rPr>
          <w:rFonts w:hint="eastAsia" w:ascii="宋体" w:hAnsi="宋体" w:eastAsia="宋体" w:cs="宋体"/>
          <w:color w:val="auto"/>
          <w:kern w:val="0"/>
          <w:sz w:val="24"/>
          <w:highlight w:val="none"/>
          <w:u w:val="none"/>
          <w:lang w:val="en-US" w:eastAsia="zh-CN"/>
        </w:rPr>
        <w:t>工程进度计划中确定的开工时间</w:t>
      </w:r>
      <w:r>
        <w:rPr>
          <w:rFonts w:hint="eastAsia" w:ascii="宋体" w:hAnsi="宋体" w:eastAsia="宋体" w:cs="宋体"/>
          <w:color w:val="auto"/>
          <w:kern w:val="0"/>
          <w:sz w:val="24"/>
          <w:szCs w:val="24"/>
          <w:highlight w:val="none"/>
          <w:u w:val="none"/>
        </w:rPr>
        <w:t>后</w:t>
      </w:r>
      <w:r>
        <w:rPr>
          <w:rFonts w:hint="eastAsia" w:ascii="宋体" w:hAnsi="宋体" w:eastAsia="宋体" w:cs="宋体"/>
          <w:color w:val="auto"/>
          <w:kern w:val="0"/>
          <w:sz w:val="24"/>
          <w:szCs w:val="24"/>
          <w:highlight w:val="none"/>
          <w:u w:val="none"/>
          <w:lang w:val="en-US" w:eastAsia="zh-CN"/>
        </w:rPr>
        <w:t>的</w:t>
      </w:r>
      <w:r>
        <w:rPr>
          <w:rFonts w:hint="eastAsia" w:ascii="宋体" w:hAnsi="宋体" w:eastAsia="宋体" w:cs="宋体"/>
          <w:color w:val="auto"/>
          <w:kern w:val="0"/>
          <w:sz w:val="24"/>
          <w:szCs w:val="24"/>
          <w:highlight w:val="none"/>
          <w:u w:val="none"/>
        </w:rPr>
        <w:t>第</w:t>
      </w:r>
      <w:r>
        <w:rPr>
          <w:rFonts w:hint="eastAsia" w:ascii="宋体" w:hAnsi="宋体" w:eastAsia="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天</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仍不具备开工条件的，</w:t>
      </w:r>
      <w:r>
        <w:rPr>
          <w:rFonts w:hint="eastAsia" w:ascii="宋体" w:hAnsi="宋体" w:eastAsia="宋体" w:cs="宋体"/>
          <w:color w:val="auto"/>
          <w:kern w:val="0"/>
          <w:sz w:val="24"/>
          <w:szCs w:val="24"/>
          <w:highlight w:val="none"/>
          <w:u w:val="none"/>
          <w:lang w:eastAsia="zh-CN"/>
        </w:rPr>
        <w:t>甲方</w:t>
      </w:r>
      <w:r>
        <w:rPr>
          <w:rFonts w:hint="eastAsia" w:ascii="宋体" w:hAnsi="宋体" w:eastAsia="宋体" w:cs="宋体"/>
          <w:color w:val="auto"/>
          <w:kern w:val="0"/>
          <w:sz w:val="24"/>
          <w:szCs w:val="24"/>
          <w:highlight w:val="none"/>
          <w:u w:val="none"/>
        </w:rPr>
        <w:t>有权立即解除合同，没收</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的履约保证金，并且</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需向</w:t>
      </w:r>
      <w:r>
        <w:rPr>
          <w:rFonts w:hint="eastAsia" w:ascii="宋体" w:hAnsi="宋体" w:eastAsia="宋体" w:cs="宋体"/>
          <w:color w:val="auto"/>
          <w:kern w:val="0"/>
          <w:sz w:val="24"/>
          <w:szCs w:val="24"/>
          <w:highlight w:val="none"/>
          <w:u w:val="none"/>
          <w:lang w:eastAsia="zh-CN"/>
        </w:rPr>
        <w:t>甲方</w:t>
      </w:r>
      <w:r>
        <w:rPr>
          <w:rFonts w:hint="eastAsia" w:ascii="宋体" w:hAnsi="宋体" w:eastAsia="宋体" w:cs="宋体"/>
          <w:color w:val="auto"/>
          <w:kern w:val="0"/>
          <w:sz w:val="24"/>
          <w:szCs w:val="24"/>
          <w:highlight w:val="none"/>
          <w:u w:val="none"/>
        </w:rPr>
        <w:t>赔偿因此而造成的一切损失。</w:t>
      </w:r>
    </w:p>
    <w:p w14:paraId="4627EB43">
      <w:pPr>
        <w:autoSpaceDE w:val="0"/>
        <w:autoSpaceDN w:val="0"/>
        <w:adjustRightInd w:val="0"/>
        <w:spacing w:line="360" w:lineRule="auto"/>
        <w:ind w:firstLine="480" w:firstLineChars="200"/>
        <w:rPr>
          <w:rFonts w:ascii="宋体" w:hAnsi="宋体" w:eastAsia="宋体" w:cs="宋体"/>
          <w:color w:val="auto"/>
          <w:kern w:val="0"/>
          <w:sz w:val="24"/>
          <w:highlight w:val="none"/>
        </w:rPr>
      </w:pPr>
    </w:p>
    <w:p w14:paraId="50F798AD">
      <w:pPr>
        <w:pStyle w:val="118"/>
        <w:spacing w:line="360" w:lineRule="auto"/>
        <w:ind w:firstLine="480" w:firstLineChars="200"/>
        <w:jc w:val="both"/>
        <w:outlineLvl w:val="9"/>
        <w:rPr>
          <w:rFonts w:ascii="宋体" w:hAnsi="宋体" w:eastAsia="宋体" w:cs="宋体"/>
          <w:color w:val="auto"/>
          <w:highlight w:val="none"/>
        </w:rPr>
      </w:pPr>
      <w:bookmarkStart w:id="258" w:name="_Toc287628050"/>
      <w:r>
        <w:rPr>
          <w:rFonts w:hint="eastAsia" w:ascii="宋体" w:hAnsi="宋体" w:eastAsia="宋体" w:cs="宋体"/>
          <w:color w:val="auto"/>
          <w:highlight w:val="none"/>
        </w:rPr>
        <w:t>35．暂停施工和复工</w:t>
      </w:r>
      <w:bookmarkEnd w:id="258"/>
    </w:p>
    <w:p w14:paraId="45391F4A">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35.4 乙方原因造成暂停施工的其他原因：</w:t>
      </w:r>
      <w:r>
        <w:rPr>
          <w:rFonts w:hint="eastAsia" w:ascii="宋体" w:hAnsi="宋体" w:eastAsia="宋体" w:cs="宋体"/>
          <w:color w:val="auto"/>
          <w:kern w:val="0"/>
          <w:sz w:val="24"/>
          <w:szCs w:val="24"/>
          <w:highlight w:val="none"/>
        </w:rPr>
        <w:t>包括但不限于</w:t>
      </w:r>
      <w:r>
        <w:rPr>
          <w:rFonts w:hint="eastAsia" w:ascii="宋体" w:hAnsi="宋体" w:eastAsia="宋体" w:cs="宋体"/>
          <w:color w:val="auto"/>
          <w:kern w:val="0"/>
          <w:sz w:val="24"/>
          <w:szCs w:val="24"/>
          <w:highlight w:val="none"/>
          <w:u w:val="none"/>
        </w:rPr>
        <w:t>因材料供应、施工劳力和机具设备不足、管理不善或发生安全质量事故等乙方原因导致的暂停施工</w:t>
      </w:r>
      <w:r>
        <w:rPr>
          <w:rFonts w:hint="eastAsia" w:ascii="宋体" w:hAnsi="宋体" w:eastAsia="宋体" w:cs="宋体"/>
          <w:color w:val="auto"/>
          <w:kern w:val="0"/>
          <w:sz w:val="24"/>
          <w:highlight w:val="none"/>
          <w:u w:val="none"/>
        </w:rPr>
        <w:t xml:space="preserve"> </w:t>
      </w:r>
      <w:r>
        <w:rPr>
          <w:rFonts w:hint="eastAsia" w:ascii="宋体" w:hAnsi="宋体" w:eastAsia="宋体" w:cs="宋体"/>
          <w:color w:val="auto"/>
          <w:kern w:val="0"/>
          <w:sz w:val="24"/>
          <w:highlight w:val="none"/>
        </w:rPr>
        <w:t>。</w:t>
      </w:r>
    </w:p>
    <w:p w14:paraId="5E7F52F8">
      <w:pPr>
        <w:pStyle w:val="118"/>
        <w:spacing w:line="360" w:lineRule="auto"/>
        <w:ind w:firstLine="480" w:firstLineChars="200"/>
        <w:jc w:val="both"/>
        <w:outlineLvl w:val="9"/>
        <w:rPr>
          <w:rFonts w:ascii="宋体" w:hAnsi="宋体" w:eastAsia="宋体" w:cs="宋体"/>
          <w:color w:val="auto"/>
          <w:highlight w:val="none"/>
        </w:rPr>
      </w:pPr>
      <w:bookmarkStart w:id="259" w:name="_Toc287628051"/>
      <w:r>
        <w:rPr>
          <w:rFonts w:hint="eastAsia" w:ascii="宋体" w:hAnsi="宋体" w:eastAsia="宋体" w:cs="宋体"/>
          <w:color w:val="auto"/>
          <w:highlight w:val="none"/>
        </w:rPr>
        <w:t>36．工期及工期延误</w:t>
      </w:r>
      <w:bookmarkEnd w:id="259"/>
    </w:p>
    <w:p w14:paraId="4FB4875B">
      <w:pPr>
        <w:tabs>
          <w:tab w:val="left" w:pos="508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36.1 合同工程的总工期约定为</w:t>
      </w:r>
      <w:r>
        <w:rPr>
          <w:rFonts w:hint="eastAsia" w:ascii="宋体" w:hAnsi="宋体" w:eastAsia="宋体" w:cs="宋体"/>
          <w:color w:val="auto"/>
          <w:kern w:val="0"/>
          <w:sz w:val="24"/>
          <w:highlight w:val="none"/>
          <w:lang w:val="en-US" w:eastAsia="zh-CN"/>
        </w:rPr>
        <w:t>（ ）</w:t>
      </w:r>
      <w:r>
        <w:rPr>
          <w:rFonts w:hint="eastAsia" w:ascii="宋体" w:hAnsi="宋体" w:eastAsia="宋体" w:cs="宋体"/>
          <w:color w:val="auto"/>
          <w:kern w:val="0"/>
          <w:sz w:val="24"/>
          <w:highlight w:val="none"/>
        </w:rPr>
        <w:t>日历天。</w:t>
      </w:r>
    </w:p>
    <w:p w14:paraId="1F7F942F">
      <w:pPr>
        <w:tabs>
          <w:tab w:val="left" w:pos="8780"/>
        </w:tabs>
        <w:autoSpaceDE w:val="0"/>
        <w:autoSpaceDN w:val="0"/>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36.2 工期延误</w:t>
      </w:r>
    </w:p>
    <w:p w14:paraId="1B369533">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按照</w:t>
      </w:r>
      <w:r>
        <w:rPr>
          <w:rFonts w:hint="eastAsia" w:ascii="宋体" w:hAnsi="宋体" w:eastAsia="宋体" w:cs="宋体"/>
          <w:color w:val="auto"/>
          <w:sz w:val="24"/>
          <w:highlight w:val="none"/>
          <w:u w:val="single"/>
        </w:rPr>
        <w:t>甲方批准的</w:t>
      </w:r>
      <w:r>
        <w:rPr>
          <w:rFonts w:hint="eastAsia" w:ascii="宋体" w:hAnsi="宋体" w:eastAsia="宋体" w:cs="宋体"/>
          <w:color w:val="auto"/>
          <w:kern w:val="0"/>
          <w:sz w:val="24"/>
          <w:highlight w:val="none"/>
          <w:u w:val="none"/>
          <w:lang w:val="en-US" w:eastAsia="zh-CN"/>
        </w:rPr>
        <w:t>工程进度计划</w:t>
      </w:r>
      <w:r>
        <w:rPr>
          <w:rFonts w:hint="eastAsia" w:ascii="宋体" w:hAnsi="宋体" w:eastAsia="宋体" w:cs="宋体"/>
          <w:color w:val="auto"/>
          <w:sz w:val="24"/>
          <w:highlight w:val="none"/>
          <w:u w:val="single"/>
        </w:rPr>
        <w:t>开工时间</w:t>
      </w:r>
      <w:r>
        <w:rPr>
          <w:rFonts w:hint="eastAsia" w:ascii="宋体" w:hAnsi="宋体" w:eastAsia="宋体" w:cs="宋体"/>
          <w:color w:val="auto"/>
          <w:sz w:val="24"/>
          <w:highlight w:val="none"/>
          <w:u w:val="single"/>
          <w:lang w:val="en-US" w:eastAsia="zh-CN"/>
        </w:rPr>
        <w:t>准时开工</w:t>
      </w:r>
      <w:r>
        <w:rPr>
          <w:rFonts w:hint="eastAsia" w:ascii="宋体" w:hAnsi="宋体" w:eastAsia="宋体" w:cs="宋体"/>
          <w:color w:val="auto"/>
          <w:sz w:val="24"/>
          <w:highlight w:val="none"/>
          <w:u w:val="single"/>
        </w:rPr>
        <w:t>，乙方不得推迟开工。因增加工程量等原因影响工期的，由甲方酌情签认，工期顺延，但甲方不负担任何工程费以外补偿费用。</w:t>
      </w:r>
    </w:p>
    <w:p w14:paraId="264DE24C">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36.2.1 双方约定工期顺延的其他情况：</w:t>
      </w:r>
      <w:r>
        <w:rPr>
          <w:rFonts w:hint="eastAsia" w:ascii="宋体" w:hAnsi="宋体" w:eastAsia="宋体" w:cs="宋体"/>
          <w:color w:val="auto"/>
          <w:sz w:val="24"/>
          <w:highlight w:val="none"/>
          <w:u w:val="single"/>
        </w:rPr>
        <w:t>甲方书面认可的原因，可酌情顺延工期。乙方应在工期延误发生后7天内书面申请确认。</w:t>
      </w:r>
    </w:p>
    <w:p w14:paraId="1C489484">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 xml:space="preserve">36.2.2 </w:t>
      </w:r>
      <w:r>
        <w:rPr>
          <w:rFonts w:hint="eastAsia" w:ascii="宋体" w:hAnsi="宋体" w:eastAsia="宋体" w:cs="宋体"/>
          <w:color w:val="auto"/>
          <w:sz w:val="24"/>
          <w:highlight w:val="none"/>
          <w:u w:val="single"/>
        </w:rPr>
        <w:t>乙方因材料供应、施工劳力和机具设备不足、管理不善或发生安全质量事故或其他乙方原因影响工期的，应承担工期违约责任。</w:t>
      </w:r>
    </w:p>
    <w:p w14:paraId="79886120">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 xml:space="preserve">36.2.3 </w:t>
      </w:r>
      <w:r>
        <w:rPr>
          <w:rFonts w:hint="eastAsia" w:ascii="宋体" w:hAnsi="宋体" w:eastAsia="宋体" w:cs="宋体"/>
          <w:color w:val="auto"/>
          <w:sz w:val="24"/>
          <w:highlight w:val="none"/>
          <w:u w:val="single"/>
        </w:rPr>
        <w:t>下列原因影响施工进度，且受影响的工程处在关键线路上，乙方提出书面申请，经确认后生效，但不补偿任何费用。</w:t>
      </w:r>
    </w:p>
    <w:p w14:paraId="14C729E8">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天灾或人力不可抗拒的原因，被迫停工的；</w:t>
      </w:r>
    </w:p>
    <w:p w14:paraId="094233AE">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甲方批准的工程变更资料未及时提供而影响关键线路的施工；</w:t>
      </w:r>
    </w:p>
    <w:p w14:paraId="1AE64F75">
      <w:pPr>
        <w:tabs>
          <w:tab w:val="left" w:pos="8780"/>
        </w:tabs>
        <w:autoSpaceDE w:val="0"/>
        <w:autoSpaceDN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u w:val="single"/>
        </w:rPr>
        <w:t>征地拆迁未及时解决而影响关键线路的施工；</w:t>
      </w:r>
    </w:p>
    <w:p w14:paraId="7014691B">
      <w:pPr>
        <w:pStyle w:val="118"/>
        <w:spacing w:line="360" w:lineRule="auto"/>
        <w:ind w:firstLine="480" w:firstLineChars="200"/>
        <w:jc w:val="both"/>
        <w:outlineLvl w:val="9"/>
        <w:rPr>
          <w:rFonts w:ascii="宋体" w:hAnsi="宋体" w:eastAsia="宋体" w:cs="宋体"/>
          <w:color w:val="auto"/>
          <w:highlight w:val="none"/>
        </w:rPr>
      </w:pPr>
      <w:bookmarkStart w:id="260" w:name="_Toc287628052"/>
      <w:r>
        <w:rPr>
          <w:rFonts w:hint="eastAsia" w:ascii="宋体" w:hAnsi="宋体" w:eastAsia="宋体" w:cs="宋体"/>
          <w:color w:val="auto"/>
          <w:highlight w:val="none"/>
        </w:rPr>
        <w:t>38．竣工日期</w:t>
      </w:r>
      <w:bookmarkEnd w:id="260"/>
    </w:p>
    <w:p w14:paraId="51436838">
      <w:pPr>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38.1 计划竣工日期：</w:t>
      </w:r>
      <w:r>
        <w:rPr>
          <w:rFonts w:hint="eastAsia" w:ascii="宋体" w:hAnsi="宋体" w:eastAsia="宋体" w:cs="宋体"/>
          <w:color w:val="auto"/>
          <w:kern w:val="0"/>
          <w:sz w:val="24"/>
          <w:highlight w:val="none"/>
          <w:u w:val="single"/>
        </w:rPr>
        <w:t xml:space="preserve">   年   月    日</w:t>
      </w:r>
      <w:r>
        <w:rPr>
          <w:rFonts w:hint="eastAsia" w:ascii="宋体" w:hAnsi="宋体" w:eastAsia="宋体" w:cs="宋体"/>
          <w:color w:val="auto"/>
          <w:kern w:val="0"/>
          <w:sz w:val="24"/>
          <w:highlight w:val="none"/>
        </w:rPr>
        <w:t xml:space="preserve">。  </w:t>
      </w:r>
    </w:p>
    <w:p w14:paraId="52C8C129">
      <w:pPr>
        <w:spacing w:line="360" w:lineRule="auto"/>
        <w:ind w:firstLine="240" w:firstLineChars="100"/>
        <w:rPr>
          <w:rFonts w:ascii="宋体" w:hAnsi="宋体" w:eastAsia="宋体" w:cs="宋体"/>
          <w:color w:val="auto"/>
          <w:sz w:val="24"/>
          <w:highlight w:val="none"/>
        </w:rPr>
      </w:pPr>
      <w:bookmarkStart w:id="261" w:name="_Toc46860933"/>
      <w:bookmarkStart w:id="262" w:name="_Toc469384105"/>
      <w:r>
        <w:rPr>
          <w:rFonts w:hint="eastAsia" w:ascii="宋体" w:hAnsi="宋体" w:eastAsia="宋体" w:cs="宋体"/>
          <w:color w:val="auto"/>
          <w:sz w:val="24"/>
          <w:highlight w:val="none"/>
        </w:rPr>
        <w:t>★42. 质量标准、目标</w:t>
      </w:r>
      <w:bookmarkEnd w:id="261"/>
      <w:bookmarkEnd w:id="262"/>
    </w:p>
    <w:p w14:paraId="5DF483F7">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★42.1 约定的工程质量标准</w:t>
      </w:r>
    </w:p>
    <w:p w14:paraId="783B8DFC">
      <w:pPr>
        <w:tabs>
          <w:tab w:val="left" w:pos="878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合同工程质量标准：</w:t>
      </w:r>
      <w:r>
        <w:rPr>
          <w:rFonts w:hint="eastAsia" w:ascii="宋体" w:hAnsi="宋体" w:eastAsia="宋体" w:cs="宋体"/>
          <w:color w:val="auto"/>
          <w:kern w:val="0"/>
          <w:sz w:val="24"/>
          <w:highlight w:val="none"/>
          <w:u w:val="single"/>
        </w:rPr>
        <w:t xml:space="preserve"> 合格。</w:t>
      </w:r>
    </w:p>
    <w:p w14:paraId="097654D3">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工程质量验收标准：</w:t>
      </w:r>
      <w:r>
        <w:rPr>
          <w:rFonts w:hint="eastAsia" w:ascii="宋体" w:hAnsi="宋体" w:eastAsia="宋体" w:cs="宋体"/>
          <w:color w:val="auto"/>
          <w:kern w:val="0"/>
          <w:sz w:val="24"/>
          <w:highlight w:val="none"/>
          <w:u w:val="single"/>
        </w:rPr>
        <w:t>合格。</w:t>
      </w:r>
    </w:p>
    <w:p w14:paraId="79296888">
      <w:pPr>
        <w:spacing w:line="360" w:lineRule="auto"/>
        <w:ind w:firstLine="210" w:firstLineChars="100"/>
        <w:rPr>
          <w:rFonts w:ascii="宋体" w:hAnsi="宋体" w:eastAsia="宋体" w:cs="宋体"/>
          <w:color w:val="auto"/>
          <w:sz w:val="24"/>
          <w:highlight w:val="none"/>
        </w:rPr>
      </w:pPr>
      <w:bookmarkStart w:id="263" w:name="_Toc469384106"/>
      <w:bookmarkStart w:id="264" w:name="_Toc46860934"/>
      <w:bookmarkStart w:id="265" w:name="_Toc287628054"/>
      <w:r>
        <w:rPr>
          <w:rFonts w:hint="eastAsia" w:ascii="宋体" w:hAnsi="宋体" w:eastAsia="宋体" w:cs="宋体"/>
          <w:color w:val="auto"/>
          <w:highlight w:val="none"/>
        </w:rPr>
        <w:t>★</w:t>
      </w:r>
      <w:r>
        <w:rPr>
          <w:rFonts w:hint="eastAsia" w:ascii="宋体" w:hAnsi="宋体" w:eastAsia="宋体" w:cs="宋体"/>
          <w:color w:val="auto"/>
          <w:sz w:val="24"/>
          <w:highlight w:val="none"/>
        </w:rPr>
        <w:t xml:space="preserve">45. </w:t>
      </w:r>
      <w:bookmarkEnd w:id="263"/>
      <w:r>
        <w:rPr>
          <w:rFonts w:hint="eastAsia" w:ascii="宋体" w:hAnsi="宋体" w:eastAsia="宋体" w:cs="宋体"/>
          <w:color w:val="auto"/>
          <w:sz w:val="24"/>
          <w:highlight w:val="none"/>
        </w:rPr>
        <w:t>绿色施工安全防护</w:t>
      </w:r>
      <w:bookmarkEnd w:id="264"/>
    </w:p>
    <w:p w14:paraId="78BFE046">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 xml:space="preserve">    45.1绿色施工安全防护的要求：</w:t>
      </w:r>
    </w:p>
    <w:p w14:paraId="4172CFC5">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w:t>
      </w:r>
    </w:p>
    <w:p w14:paraId="36BB8189">
      <w:pPr>
        <w:spacing w:line="360" w:lineRule="auto"/>
        <w:ind w:firstLine="120" w:firstLineChars="5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 另作约定：</w:t>
      </w:r>
      <w:r>
        <w:rPr>
          <w:rFonts w:hint="eastAsia" w:ascii="宋体" w:hAnsi="宋体" w:eastAsia="宋体" w:cs="宋体"/>
          <w:color w:val="auto"/>
          <w:kern w:val="0"/>
          <w:sz w:val="24"/>
          <w:highlight w:val="none"/>
          <w:u w:val="single"/>
        </w:rPr>
        <w:t xml:space="preserve">                                </w:t>
      </w:r>
    </w:p>
    <w:p w14:paraId="4C5CB7A2">
      <w:pPr>
        <w:spacing w:line="360" w:lineRule="auto"/>
        <w:ind w:firstLine="960" w:firstLineChars="400"/>
        <w:rPr>
          <w:rFonts w:ascii="宋体" w:hAnsi="宋体" w:eastAsia="宋体" w:cs="宋体"/>
          <w:color w:val="auto"/>
          <w:sz w:val="24"/>
          <w:highlight w:val="none"/>
        </w:rPr>
      </w:pPr>
      <w:r>
        <w:rPr>
          <w:rFonts w:hint="eastAsia" w:ascii="宋体" w:hAnsi="宋体" w:eastAsia="宋体" w:cs="宋体"/>
          <w:color w:val="auto"/>
          <w:kern w:val="0"/>
          <w:sz w:val="24"/>
          <w:highlight w:val="none"/>
        </w:rPr>
        <w:t>其中：</w:t>
      </w:r>
      <w:r>
        <w:rPr>
          <w:rFonts w:hint="eastAsia" w:ascii="宋体" w:hAnsi="宋体" w:eastAsia="宋体" w:cs="宋体"/>
          <w:color w:val="auto"/>
          <w:sz w:val="24"/>
          <w:highlight w:val="none"/>
        </w:rPr>
        <w:t>施工扬尘污染防治措施：</w:t>
      </w:r>
      <w:r>
        <w:rPr>
          <w:rFonts w:hint="eastAsia" w:ascii="宋体" w:hAnsi="宋体" w:eastAsia="宋体" w:cs="宋体"/>
          <w:color w:val="auto"/>
          <w:kern w:val="0"/>
          <w:sz w:val="24"/>
          <w:highlight w:val="none"/>
          <w:u w:val="single"/>
        </w:rPr>
        <w:t xml:space="preserve">   /   </w:t>
      </w:r>
    </w:p>
    <w:p w14:paraId="056F2F17">
      <w:pPr>
        <w:spacing w:line="360" w:lineRule="auto"/>
        <w:ind w:firstLine="1680" w:firstLineChars="700"/>
        <w:rPr>
          <w:rFonts w:ascii="宋体" w:hAnsi="宋体" w:eastAsia="宋体" w:cs="宋体"/>
          <w:color w:val="auto"/>
          <w:kern w:val="0"/>
          <w:sz w:val="24"/>
          <w:highlight w:val="none"/>
          <w:u w:val="single"/>
        </w:rPr>
      </w:pPr>
      <w:r>
        <w:rPr>
          <w:rFonts w:hint="eastAsia" w:ascii="宋体" w:hAnsi="宋体" w:eastAsia="宋体" w:cs="宋体"/>
          <w:color w:val="auto"/>
          <w:sz w:val="24"/>
          <w:highlight w:val="none"/>
        </w:rPr>
        <w:t>用工实名管理：</w:t>
      </w:r>
      <w:r>
        <w:rPr>
          <w:rFonts w:hint="eastAsia" w:ascii="宋体" w:hAnsi="宋体" w:eastAsia="宋体" w:cs="宋体"/>
          <w:color w:val="auto"/>
          <w:kern w:val="0"/>
          <w:sz w:val="24"/>
          <w:highlight w:val="none"/>
          <w:u w:val="single"/>
        </w:rPr>
        <w:t xml:space="preserve">   /    </w:t>
      </w:r>
    </w:p>
    <w:p w14:paraId="051F3763">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45.2</w:t>
      </w:r>
      <w:r>
        <w:rPr>
          <w:rFonts w:hint="eastAsia" w:ascii="宋体" w:hAnsi="宋体" w:eastAsia="宋体" w:cs="宋体"/>
          <w:color w:val="auto"/>
          <w:kern w:val="0"/>
          <w:sz w:val="24"/>
          <w:highlight w:val="none"/>
        </w:rPr>
        <w:t>用工实名制、工人工资支付分账管理</w:t>
      </w:r>
    </w:p>
    <w:p w14:paraId="45DB5FF8">
      <w:pPr>
        <w:spacing w:line="360" w:lineRule="auto"/>
        <w:ind w:firstLine="360" w:firstLineChars="15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按通用条款的规定以及以下文件规定：</w:t>
      </w:r>
    </w:p>
    <w:p w14:paraId="0F00EC8F">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1、《广州市住房和城乡建设局关于印发&lt;广州市建筑施工实名制管理办法&gt;的通知》（穗建规字〔2020〕18号）</w:t>
      </w:r>
    </w:p>
    <w:p w14:paraId="08BE15AF">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《广州市住房和城乡建设局关于在我市房建市政工程贯彻执行省用工实名及工人工资支付专用账户管理办法有关要求的通知》（穗建筑〔2019〕352号）</w:t>
      </w:r>
    </w:p>
    <w:p w14:paraId="672C430A">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《广东省住房和城乡建设厅关于印发房屋建筑和市政基础设施工程用工实名管理暂行办法的通知》（粤建规范〔2018〕1号）</w:t>
      </w:r>
    </w:p>
    <w:p w14:paraId="3D3E038E">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&lt;广州市住房和城乡建设委员会关于转发《广东省住房和城乡建设厅关于房屋建筑和市政基础设施工程用工实名管理暂行办法》的通知&gt;（穗建筑〔2018〕981号）</w:t>
      </w:r>
    </w:p>
    <w:p w14:paraId="079F5BE0">
      <w:pPr>
        <w:pStyle w:val="40"/>
        <w:spacing w:before="0" w:beforeAutospacing="0" w:after="0" w:afterAutospacing="0" w:line="360" w:lineRule="auto"/>
        <w:ind w:firstLine="480" w:firstLineChars="200"/>
        <w:rPr>
          <w:rFonts w:eastAsia="宋体" w:cs="宋体"/>
          <w:color w:val="auto"/>
          <w:highlight w:val="none"/>
        </w:rPr>
      </w:pPr>
      <w:r>
        <w:rPr>
          <w:rFonts w:hint="eastAsia" w:eastAsia="宋体" w:cs="宋体"/>
          <w:color w:val="auto"/>
          <w:highlight w:val="none"/>
        </w:rPr>
        <w:t>&lt;广州市住房和城乡建设委员会关于实施《 广州市建设领域工人工资支付分账管理实施细则 》的通知&gt;（穗建筑〔2017〕1344号）</w:t>
      </w:r>
    </w:p>
    <w:p w14:paraId="0D401914">
      <w:pPr>
        <w:spacing w:line="360" w:lineRule="auto"/>
        <w:ind w:firstLine="480" w:firstLineChars="200"/>
        <w:rPr>
          <w:color w:val="auto"/>
          <w:highlight w:val="none"/>
        </w:rPr>
      </w:pPr>
      <w:r>
        <w:rPr>
          <w:rFonts w:hint="eastAsia" w:ascii="宋体" w:hAnsi="宋体" w:eastAsia="宋体" w:cs="宋体"/>
          <w:color w:val="auto"/>
          <w:kern w:val="0"/>
          <w:sz w:val="24"/>
          <w:highlight w:val="none"/>
        </w:rPr>
        <w:t>《关于印发广州市建设领域工人工资支付分账管理实施细则的通知》（穗建规字〔2017〕10号）</w:t>
      </w:r>
    </w:p>
    <w:p w14:paraId="427D6156">
      <w:pPr>
        <w:spacing w:line="360" w:lineRule="auto"/>
        <w:ind w:firstLine="480" w:firstLineChars="200"/>
        <w:rPr>
          <w:b/>
          <w:bCs/>
          <w:color w:val="auto"/>
          <w:highlight w:val="none"/>
        </w:rPr>
      </w:pP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如上述文件已失效的，则以最新出台的文件为准</w:t>
      </w:r>
      <w:r>
        <w:rPr>
          <w:rFonts w:hint="eastAsia" w:ascii="宋体" w:hAnsi="宋体" w:cs="宋体"/>
          <w:b/>
          <w:bCs/>
          <w:color w:val="auto"/>
          <w:kern w:val="0"/>
          <w:sz w:val="24"/>
          <w:szCs w:val="24"/>
          <w:highlight w:val="none"/>
          <w:lang w:eastAsia="zh-CN"/>
        </w:rPr>
        <w:t>）</w:t>
      </w:r>
    </w:p>
    <w:p w14:paraId="490107ED">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2、□其他文件：</w:t>
      </w:r>
      <w:r>
        <w:rPr>
          <w:rFonts w:hint="eastAsia" w:ascii="宋体" w:hAnsi="宋体" w:eastAsia="宋体" w:cs="宋体"/>
          <w:color w:val="auto"/>
          <w:kern w:val="0"/>
          <w:sz w:val="24"/>
          <w:highlight w:val="none"/>
          <w:u w:val="single"/>
        </w:rPr>
        <w:t xml:space="preserve">     /    </w:t>
      </w:r>
    </w:p>
    <w:p w14:paraId="4423E17E">
      <w:pPr>
        <w:spacing w:line="360" w:lineRule="auto"/>
        <w:ind w:firstLine="840" w:firstLineChars="35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□另作约定：</w:t>
      </w:r>
      <w:r>
        <w:rPr>
          <w:rFonts w:hint="eastAsia" w:ascii="宋体" w:hAnsi="宋体" w:eastAsia="宋体" w:cs="宋体"/>
          <w:color w:val="auto"/>
          <w:kern w:val="0"/>
          <w:sz w:val="24"/>
          <w:highlight w:val="none"/>
          <w:u w:val="single"/>
        </w:rPr>
        <w:t xml:space="preserve">            </w:t>
      </w:r>
    </w:p>
    <w:p w14:paraId="00D2B06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45.6 治安管理：</w:t>
      </w:r>
    </w:p>
    <w:p w14:paraId="39143E8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按通用条款的规定。</w:t>
      </w:r>
    </w:p>
    <w:p w14:paraId="3996594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另作约定：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w:t>
      </w:r>
    </w:p>
    <w:bookmarkEnd w:id="265"/>
    <w:p w14:paraId="41F9AF74">
      <w:pPr>
        <w:autoSpaceDE w:val="0"/>
        <w:autoSpaceDN w:val="0"/>
        <w:adjustRightIn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补充内容： 文明施工要求</w:t>
      </w:r>
    </w:p>
    <w:p w14:paraId="444CA3C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（1）为规范建设项目安全文明措施费管理，乙方应知晓《安全文明措施费使用管理办法》（详见附件十四）。并愿意就安全文明措施费遵守此办法。</w:t>
      </w:r>
    </w:p>
    <w:p w14:paraId="0E1B647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乙方在本工程施工中发生1人（含）以上，3人（不含）以下人员死亡安全生产责任事故的，甲方除有权扣减乙方相当于合同总价5％的违约金外，乙方依法承担由此产生的全部经济和法律责任。并自事故发生之日起两年内不得再参与甲方及甲方其它工程项目的投标。</w:t>
      </w:r>
    </w:p>
    <w:p w14:paraId="06760F3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乙方在本工程施工中发生较大以上（3人（含）以上10人（不含）以下死亡，或者10人(含)以上50人（不含）以下重伤；10人（含）以上30人(不含)以下死亡，或者50人（含）以上100人（不含）以下重伤；30人（含）以上死亡，或者100人（不含）以上重伤）安全或质量事故的，甲方除有权扣减乙方相当于合同总价10％的违约金外，乙方依承担由此产生的全部经济和法律责任。并自事故发生之日起两年内不得再参与甲方及甲方其它工程项目的投标。</w:t>
      </w:r>
    </w:p>
    <w:p w14:paraId="7E7E134B">
      <w:pPr>
        <w:spacing w:line="360" w:lineRule="auto"/>
        <w:ind w:right="86" w:rightChars="41"/>
        <w:rPr>
          <w:rFonts w:ascii="宋体" w:hAnsi="宋体" w:eastAsia="宋体" w:cs="宋体"/>
          <w:color w:val="auto"/>
          <w:kern w:val="0"/>
          <w:sz w:val="20"/>
          <w:szCs w:val="20"/>
          <w:highlight w:val="none"/>
        </w:rPr>
      </w:pPr>
      <w:r>
        <w:rPr>
          <w:rFonts w:hint="eastAsia" w:ascii="宋体" w:hAnsi="宋体" w:eastAsia="宋体" w:cs="宋体"/>
          <w:color w:val="auto"/>
          <w:sz w:val="24"/>
          <w:highlight w:val="none"/>
        </w:rPr>
        <w:t>（3）余泥外运运距</w:t>
      </w:r>
      <w:r>
        <w:rPr>
          <w:rFonts w:ascii="宋体" w:hAnsi="宋体" w:eastAsia="宋体" w:cs="宋体"/>
          <w:color w:val="auto"/>
          <w:sz w:val="24"/>
          <w:highlight w:val="none"/>
        </w:rPr>
        <w:t>取费按20公里以内考虑，超出20公里部分不再调整</w:t>
      </w:r>
      <w:r>
        <w:rPr>
          <w:rFonts w:hint="eastAsia" w:ascii="宋体" w:hAnsi="宋体" w:eastAsia="宋体" w:cs="宋体"/>
          <w:color w:val="auto"/>
          <w:sz w:val="24"/>
          <w:highlight w:val="none"/>
        </w:rPr>
        <w:t>。乙方应按照相关法律法规及政策要求，及时办理余泥排放证、消纳证等相关证件。未办理余泥排放证、消纳证及开具相关发票，结算不予计量余泥外运及消纳费用。若因垃圾余泥处置问题被执法部门处罚，则按照处罚金额的2倍在当期工程进度款中扣除；若被投诉或举报乱排乱放余泥渣土或建筑垃圾并有相应事实依据的（如相片等），经监理单位核实确实存在该情形的，每次处罚2万元工程款，在当期工程进度款中直接扣除。出现此情况后，有理由怀疑其余土方也存在乱排乱放的情况，乙方应对其他土方是否存在乱排乱放自行举证（包括但不限于土方运输车次，余泥渣土场的进场出场记录，排放记录，施工日记，运输相片视频等系列依据），举证依据不充分的，相应余泥渣土建筑垃圾的工程费全部暂扣，直至举证依据充分为止。</w:t>
      </w:r>
    </w:p>
    <w:p w14:paraId="1994A83F">
      <w:pPr>
        <w:pStyle w:val="118"/>
        <w:spacing w:line="360" w:lineRule="auto"/>
        <w:ind w:firstLine="480" w:firstLineChars="200"/>
        <w:jc w:val="both"/>
        <w:outlineLvl w:val="9"/>
        <w:rPr>
          <w:rFonts w:ascii="宋体" w:hAnsi="宋体" w:eastAsia="宋体" w:cs="宋体"/>
          <w:color w:val="auto"/>
          <w:highlight w:val="none"/>
        </w:rPr>
      </w:pPr>
      <w:bookmarkStart w:id="266" w:name="_Toc287628055"/>
      <w:r>
        <w:rPr>
          <w:rFonts w:hint="eastAsia" w:ascii="宋体" w:hAnsi="宋体" w:eastAsia="宋体" w:cs="宋体"/>
          <w:color w:val="auto"/>
          <w:highlight w:val="none"/>
        </w:rPr>
        <w:t>46．测量放线</w:t>
      </w:r>
      <w:bookmarkEnd w:id="266"/>
    </w:p>
    <w:p w14:paraId="087EA584">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46.1施工控制网资料的时间：本项目采用EPC模式实施，施工控制网资料</w:t>
      </w:r>
      <w:r>
        <w:rPr>
          <w:rFonts w:hint="eastAsia" w:ascii="宋体" w:hAnsi="宋体" w:eastAsia="宋体" w:cs="宋体"/>
          <w:color w:val="auto"/>
          <w:kern w:val="0"/>
          <w:sz w:val="24"/>
          <w:highlight w:val="none"/>
          <w:u w:val="single"/>
        </w:rPr>
        <w:t>甲方不提供，在</w:t>
      </w:r>
      <w:r>
        <w:rPr>
          <w:rFonts w:hint="eastAsia" w:ascii="宋体" w:hAnsi="宋体" w:eastAsia="宋体" w:cs="宋体"/>
          <w:color w:val="auto"/>
          <w:sz w:val="24"/>
          <w:highlight w:val="none"/>
          <w:u w:val="single"/>
        </w:rPr>
        <w:t>开工前7天由乙方自行负责联系其联合本成员方设计单位向乙方联合体施工单位作技术交底，提供道路测量控制桩、水准点和标高。</w:t>
      </w:r>
    </w:p>
    <w:p w14:paraId="17AE3A71">
      <w:pPr>
        <w:tabs>
          <w:tab w:val="left" w:pos="1240"/>
        </w:tabs>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46.4 测量放线误差的约定：</w:t>
      </w:r>
      <w:r>
        <w:rPr>
          <w:rFonts w:hint="eastAsia" w:ascii="宋体" w:hAnsi="宋体" w:eastAsia="宋体" w:cs="宋体"/>
          <w:color w:val="auto"/>
          <w:kern w:val="0"/>
          <w:sz w:val="24"/>
          <w:highlight w:val="none"/>
          <w:u w:val="single"/>
        </w:rPr>
        <w:t>按工程质量验收有关规范执行。出现误差引起的所有损失都由乙方承担。</w:t>
      </w:r>
    </w:p>
    <w:p w14:paraId="7CA3744D">
      <w:pPr>
        <w:pStyle w:val="118"/>
        <w:spacing w:line="360" w:lineRule="auto"/>
        <w:ind w:firstLine="480" w:firstLineChars="200"/>
        <w:jc w:val="both"/>
        <w:outlineLvl w:val="9"/>
        <w:rPr>
          <w:rFonts w:ascii="宋体" w:hAnsi="宋体" w:eastAsia="宋体" w:cs="宋体"/>
          <w:color w:val="auto"/>
          <w:highlight w:val="none"/>
        </w:rPr>
      </w:pPr>
      <w:bookmarkStart w:id="267" w:name="_Toc287628056"/>
      <w:r>
        <w:rPr>
          <w:rFonts w:hint="eastAsia" w:ascii="宋体" w:hAnsi="宋体" w:eastAsia="宋体" w:cs="宋体"/>
          <w:color w:val="auto"/>
          <w:highlight w:val="none"/>
        </w:rPr>
        <w:t>48．甲方供应材料和工程设备</w:t>
      </w:r>
      <w:bookmarkEnd w:id="267"/>
    </w:p>
    <w:p w14:paraId="6AE9382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48.1 约定供应的材料和工程设备</w:t>
      </w:r>
    </w:p>
    <w:p w14:paraId="366AE612">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甲方不供应材料和工程设备，本条不适用。</w:t>
      </w:r>
    </w:p>
    <w:p w14:paraId="3DC762D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pacing w:val="1"/>
          <w:kern w:val="0"/>
          <w:sz w:val="24"/>
          <w:highlight w:val="none"/>
        </w:rPr>
        <w:t>甲方供应材料和工程设备</w:t>
      </w:r>
      <w:r>
        <w:rPr>
          <w:rFonts w:hint="eastAsia" w:ascii="宋体" w:hAnsi="宋体" w:eastAsia="宋体" w:cs="宋体"/>
          <w:color w:val="auto"/>
          <w:kern w:val="0"/>
          <w:sz w:val="24"/>
          <w:highlight w:val="none"/>
        </w:rPr>
        <w:t>的（简称“甲供”）</w:t>
      </w:r>
      <w:r>
        <w:rPr>
          <w:rFonts w:hint="eastAsia" w:ascii="宋体" w:hAnsi="宋体" w:eastAsia="宋体" w:cs="宋体"/>
          <w:color w:val="auto"/>
          <w:spacing w:val="1"/>
          <w:kern w:val="0"/>
          <w:sz w:val="24"/>
          <w:highlight w:val="none"/>
        </w:rPr>
        <w:t>，应与乙方约定“甲方供应材料和工程设备一览表</w:t>
      </w:r>
      <w:r>
        <w:rPr>
          <w:rFonts w:hint="eastAsia" w:ascii="宋体" w:hAnsi="宋体" w:eastAsia="宋体" w:cs="宋体"/>
          <w:color w:val="auto"/>
          <w:spacing w:val="-119"/>
          <w:kern w:val="0"/>
          <w:sz w:val="24"/>
          <w:highlight w:val="none"/>
        </w:rPr>
        <w:t>”</w:t>
      </w:r>
      <w:r>
        <w:rPr>
          <w:rFonts w:hint="eastAsia" w:ascii="宋体" w:hAnsi="宋体" w:eastAsia="宋体" w:cs="宋体"/>
          <w:color w:val="auto"/>
          <w:kern w:val="0"/>
          <w:sz w:val="24"/>
          <w:highlight w:val="none"/>
        </w:rPr>
        <w:t>，作为本合同的附件。甲供材料设备所需的检验或试验费用（如有）及其管理费、保管费等其它一切与之有关的费用均已包含在投标报价中。</w:t>
      </w:r>
    </w:p>
    <w:p w14:paraId="235DA7D8">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bookmarkStart w:id="268" w:name="_Hlk52201565"/>
      <w:r>
        <w:rPr>
          <w:rFonts w:hint="eastAsia" w:ascii="宋体" w:hAnsi="宋体" w:eastAsia="宋体" w:cs="宋体"/>
          <w:color w:val="auto"/>
          <w:kern w:val="0"/>
          <w:sz w:val="24"/>
          <w:highlight w:val="none"/>
        </w:rPr>
        <w:t xml:space="preserve">48.3 </w:t>
      </w:r>
      <w:r>
        <w:rPr>
          <w:rFonts w:hint="eastAsia" w:ascii="宋体" w:hAnsi="宋体" w:eastAsia="宋体" w:cs="宋体"/>
          <w:color w:val="auto"/>
          <w:kern w:val="0"/>
          <w:sz w:val="24"/>
          <w:highlight w:val="none"/>
          <w:u w:val="single"/>
        </w:rPr>
        <w:t>补充：材料和工程设备的卸货、堆放由乙方负责。</w:t>
      </w:r>
    </w:p>
    <w:p w14:paraId="7F3E526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48.5 </w:t>
      </w:r>
      <w:r>
        <w:rPr>
          <w:rFonts w:hint="eastAsia" w:ascii="宋体" w:hAnsi="宋体" w:eastAsia="宋体" w:cs="宋体"/>
          <w:color w:val="auto"/>
          <w:kern w:val="0"/>
          <w:sz w:val="24"/>
          <w:highlight w:val="none"/>
          <w:u w:val="single"/>
        </w:rPr>
        <w:t>由甲方供应的材料设备，乙方派人参加清点后由乙方妥善保管，保管费由乙方承担，因乙方保管不善或乙方原因导致的丢失或损害由乙方负责赔偿。</w:t>
      </w:r>
    </w:p>
    <w:bookmarkEnd w:id="268"/>
    <w:p w14:paraId="1E8E5978">
      <w:pPr>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48.8 甲方供应材料和工程设备的结算方式：</w:t>
      </w:r>
      <w:r>
        <w:rPr>
          <w:rFonts w:hint="eastAsia" w:ascii="宋体" w:hAnsi="宋体" w:eastAsia="宋体" w:cs="宋体"/>
          <w:color w:val="auto"/>
          <w:kern w:val="0"/>
          <w:sz w:val="24"/>
          <w:highlight w:val="none"/>
          <w:u w:val="single"/>
        </w:rPr>
        <w:t>本款不适用。</w:t>
      </w:r>
    </w:p>
    <w:p w14:paraId="14FD853F">
      <w:pPr>
        <w:pStyle w:val="118"/>
        <w:spacing w:line="360" w:lineRule="auto"/>
        <w:ind w:firstLine="480" w:firstLineChars="200"/>
        <w:jc w:val="both"/>
        <w:outlineLvl w:val="9"/>
        <w:rPr>
          <w:rFonts w:ascii="宋体" w:hAnsi="宋体" w:eastAsia="宋体" w:cs="宋体"/>
          <w:color w:val="auto"/>
          <w:highlight w:val="none"/>
        </w:rPr>
      </w:pPr>
      <w:bookmarkStart w:id="269" w:name="_Toc287628057"/>
      <w:r>
        <w:rPr>
          <w:rFonts w:hint="eastAsia" w:ascii="宋体" w:hAnsi="宋体" w:eastAsia="宋体" w:cs="宋体"/>
          <w:color w:val="auto"/>
          <w:highlight w:val="none"/>
        </w:rPr>
        <w:t>49．乙方采购材料和工程设备</w:t>
      </w:r>
      <w:bookmarkEnd w:id="269"/>
    </w:p>
    <w:p w14:paraId="752177C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49.1 乙方采购的材料和工程设备：</w:t>
      </w:r>
    </w:p>
    <w:p w14:paraId="1C163660">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按通用条款规定，由乙方负责运输和保管。</w:t>
      </w:r>
    </w:p>
    <w:p w14:paraId="17B3F6E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pacing w:val="1"/>
          <w:kern w:val="0"/>
          <w:sz w:val="24"/>
          <w:highlight w:val="none"/>
        </w:rPr>
        <w:t xml:space="preserve"> 另作约定：</w:t>
      </w:r>
    </w:p>
    <w:p w14:paraId="57E82AC8">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position w:val="-2"/>
          <w:sz w:val="24"/>
          <w:highlight w:val="none"/>
        </w:rPr>
        <w:t>49.2 乙方供货要求：</w:t>
      </w:r>
      <w:r>
        <w:rPr>
          <w:rFonts w:hint="eastAsia" w:ascii="宋体" w:hAnsi="宋体" w:eastAsia="宋体" w:cs="宋体"/>
          <w:color w:val="auto"/>
          <w:kern w:val="0"/>
          <w:sz w:val="24"/>
          <w:highlight w:val="none"/>
          <w:u w:val="single"/>
        </w:rPr>
        <w:t>按通用条款。</w:t>
      </w:r>
    </w:p>
    <w:p w14:paraId="06EFF52D">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49.8 甲方依法指定的生产厂家或供应商：</w:t>
      </w:r>
      <w:r>
        <w:rPr>
          <w:rFonts w:hint="eastAsia" w:ascii="宋体" w:hAnsi="宋体" w:eastAsia="宋体" w:cs="宋体"/>
          <w:color w:val="auto"/>
          <w:kern w:val="0"/>
          <w:sz w:val="24"/>
          <w:highlight w:val="none"/>
          <w:u w:val="single"/>
        </w:rPr>
        <w:t xml:space="preserve">按通用条款 </w:t>
      </w:r>
    </w:p>
    <w:p w14:paraId="15C3D883">
      <w:pPr>
        <w:pStyle w:val="118"/>
        <w:spacing w:line="360" w:lineRule="auto"/>
        <w:ind w:firstLine="480" w:firstLineChars="200"/>
        <w:jc w:val="both"/>
        <w:outlineLvl w:val="9"/>
        <w:rPr>
          <w:rFonts w:ascii="宋体" w:hAnsi="宋体" w:eastAsia="宋体" w:cs="宋体"/>
          <w:color w:val="auto"/>
          <w:highlight w:val="none"/>
        </w:rPr>
      </w:pPr>
      <w:bookmarkStart w:id="270" w:name="_Toc287628058"/>
      <w:r>
        <w:rPr>
          <w:rFonts w:hint="eastAsia" w:ascii="宋体" w:hAnsi="宋体" w:eastAsia="宋体" w:cs="宋体"/>
          <w:color w:val="auto"/>
          <w:highlight w:val="none"/>
        </w:rPr>
        <w:t>50．材料和工程设备的检验试验</w:t>
      </w:r>
      <w:bookmarkEnd w:id="270"/>
    </w:p>
    <w:p w14:paraId="1E0DB9BA">
      <w:pPr>
        <w:spacing w:line="480" w:lineRule="atLeast"/>
        <w:ind w:firstLine="120" w:firstLineChars="50"/>
        <w:rPr>
          <w:rFonts w:ascii="仿宋" w:hAnsi="仿宋" w:eastAsia="仿宋" w:cs="仿宋"/>
          <w:color w:val="auto"/>
          <w:kern w:val="0"/>
          <w:sz w:val="24"/>
          <w:highlight w:val="none"/>
        </w:rPr>
      </w:pPr>
      <w:r>
        <w:rPr>
          <w:rFonts w:hint="eastAsia" w:ascii="宋体" w:hAnsi="宋体" w:eastAsia="宋体" w:cs="宋体"/>
          <w:color w:val="auto"/>
          <w:kern w:val="0"/>
          <w:sz w:val="24"/>
          <w:highlight w:val="none"/>
        </w:rPr>
        <w:t>5</w:t>
      </w:r>
      <w:r>
        <w:rPr>
          <w:rFonts w:hint="eastAsia" w:ascii="宋体" w:hAnsi="宋体" w:eastAsia="宋体" w:cs="宋体"/>
          <w:color w:val="auto"/>
          <w:spacing w:val="1"/>
          <w:kern w:val="0"/>
          <w:sz w:val="24"/>
          <w:highlight w:val="none"/>
          <w:u w:val="single"/>
        </w:rPr>
        <w:t>0.2  材料和工程设备的检验试验的</w:t>
      </w:r>
      <w:r>
        <w:rPr>
          <w:rFonts w:hint="eastAsia" w:ascii="宋体" w:hAnsi="宋体" w:eastAsia="宋体" w:cs="宋体"/>
          <w:color w:val="auto"/>
          <w:spacing w:val="1"/>
          <w:kern w:val="0"/>
          <w:sz w:val="24"/>
          <w:highlight w:val="none"/>
          <w:u w:val="single"/>
          <w:lang w:val="en-US" w:eastAsia="zh-CN"/>
        </w:rPr>
        <w:t>种类和</w:t>
      </w:r>
      <w:r>
        <w:rPr>
          <w:rFonts w:hint="eastAsia" w:ascii="宋体" w:hAnsi="宋体" w:eastAsia="宋体" w:cs="宋体"/>
          <w:color w:val="auto"/>
          <w:spacing w:val="1"/>
          <w:kern w:val="0"/>
          <w:sz w:val="24"/>
          <w:highlight w:val="none"/>
          <w:u w:val="single"/>
        </w:rPr>
        <w:t>地点</w:t>
      </w:r>
    </w:p>
    <w:p w14:paraId="08F41C7D">
      <w:pPr>
        <w:spacing w:line="480" w:lineRule="atLeast"/>
        <w:ind w:firstLine="121" w:firstLineChars="50"/>
        <w:rPr>
          <w:rFonts w:hint="eastAsia"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（1） 种类：所使用原材料、成品、半成品必须附有材料合格证和材质鉴定单据，所有使用原材料，成品、半成品及现场制作成品、半成品</w:t>
      </w:r>
    </w:p>
    <w:p w14:paraId="675CBEFA">
      <w:pPr>
        <w:spacing w:line="480" w:lineRule="atLeast"/>
        <w:ind w:firstLine="121" w:firstLineChars="50"/>
        <w:rPr>
          <w:rFonts w:hint="eastAsia"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（2） 检测机构：全部按见证采样要求由现场监理人员见证取样送番禺区建设工程质量监督检测中心检验，若部分材料番禺区建设工程质量监督检测中心不能检验的，则送</w:t>
      </w:r>
      <w:r>
        <w:rPr>
          <w:rFonts w:hint="eastAsia" w:ascii="宋体" w:hAnsi="宋体" w:eastAsia="宋体" w:cs="宋体"/>
          <w:color w:val="auto"/>
          <w:spacing w:val="1"/>
          <w:kern w:val="0"/>
          <w:sz w:val="24"/>
          <w:highlight w:val="none"/>
          <w:u w:val="single"/>
          <w:lang w:eastAsia="zh-CN"/>
        </w:rPr>
        <w:t>甲方</w:t>
      </w:r>
      <w:r>
        <w:rPr>
          <w:rFonts w:hint="eastAsia" w:ascii="宋体" w:hAnsi="宋体" w:eastAsia="宋体" w:cs="宋体"/>
          <w:color w:val="auto"/>
          <w:spacing w:val="1"/>
          <w:kern w:val="0"/>
          <w:sz w:val="24"/>
          <w:highlight w:val="none"/>
          <w:u w:val="single"/>
        </w:rPr>
        <w:t>认可的检测机构检测。检验结果经监理工程师和</w:t>
      </w:r>
      <w:r>
        <w:rPr>
          <w:rFonts w:hint="eastAsia" w:ascii="宋体" w:hAnsi="宋体" w:eastAsia="宋体" w:cs="宋体"/>
          <w:color w:val="auto"/>
          <w:spacing w:val="1"/>
          <w:kern w:val="0"/>
          <w:sz w:val="24"/>
          <w:highlight w:val="none"/>
          <w:u w:val="single"/>
          <w:lang w:eastAsia="zh-CN"/>
        </w:rPr>
        <w:t>甲方</w:t>
      </w:r>
      <w:r>
        <w:rPr>
          <w:rFonts w:hint="eastAsia" w:ascii="宋体" w:hAnsi="宋体" w:eastAsia="宋体" w:cs="宋体"/>
          <w:color w:val="auto"/>
          <w:spacing w:val="1"/>
          <w:kern w:val="0"/>
          <w:sz w:val="24"/>
          <w:highlight w:val="none"/>
          <w:u w:val="single"/>
        </w:rPr>
        <w:t>认可后才可以使用，检验费用由</w:t>
      </w:r>
      <w:r>
        <w:rPr>
          <w:rFonts w:hint="eastAsia" w:ascii="宋体" w:hAnsi="宋体" w:eastAsia="宋体" w:cs="宋体"/>
          <w:color w:val="auto"/>
          <w:spacing w:val="1"/>
          <w:kern w:val="0"/>
          <w:sz w:val="24"/>
          <w:highlight w:val="none"/>
          <w:u w:val="single"/>
          <w:lang w:eastAsia="zh-CN"/>
        </w:rPr>
        <w:t>乙方</w:t>
      </w:r>
      <w:r>
        <w:rPr>
          <w:rFonts w:hint="eastAsia" w:ascii="宋体" w:hAnsi="宋体" w:eastAsia="宋体" w:cs="宋体"/>
          <w:color w:val="auto"/>
          <w:spacing w:val="1"/>
          <w:kern w:val="0"/>
          <w:sz w:val="24"/>
          <w:highlight w:val="none"/>
          <w:u w:val="single"/>
        </w:rPr>
        <w:t>承担。</w:t>
      </w:r>
    </w:p>
    <w:p w14:paraId="642E49B1">
      <w:pPr>
        <w:spacing w:line="480" w:lineRule="atLeast"/>
        <w:ind w:firstLine="121" w:firstLineChars="50"/>
        <w:rPr>
          <w:rFonts w:hint="eastAsia"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lang w:eastAsia="zh-CN"/>
        </w:rPr>
        <w:t>（</w:t>
      </w:r>
      <w:r>
        <w:rPr>
          <w:rFonts w:hint="eastAsia" w:ascii="宋体" w:hAnsi="宋体" w:eastAsia="宋体" w:cs="宋体"/>
          <w:color w:val="auto"/>
          <w:spacing w:val="1"/>
          <w:kern w:val="0"/>
          <w:sz w:val="24"/>
          <w:highlight w:val="none"/>
          <w:u w:val="single"/>
          <w:lang w:val="en-US" w:eastAsia="zh-CN"/>
        </w:rPr>
        <w:t>3</w:t>
      </w:r>
      <w:r>
        <w:rPr>
          <w:rFonts w:hint="eastAsia" w:ascii="宋体" w:hAnsi="宋体" w:eastAsia="宋体" w:cs="宋体"/>
          <w:color w:val="auto"/>
          <w:spacing w:val="1"/>
          <w:kern w:val="0"/>
          <w:sz w:val="24"/>
          <w:highlight w:val="none"/>
          <w:u w:val="single"/>
          <w:lang w:eastAsia="zh-CN"/>
        </w:rPr>
        <w:t>）乙方</w:t>
      </w:r>
      <w:r>
        <w:rPr>
          <w:rFonts w:hint="eastAsia" w:ascii="宋体" w:hAnsi="宋体" w:eastAsia="宋体" w:cs="宋体"/>
          <w:color w:val="auto"/>
          <w:spacing w:val="1"/>
          <w:kern w:val="0"/>
          <w:sz w:val="24"/>
          <w:highlight w:val="none"/>
          <w:u w:val="single"/>
        </w:rPr>
        <w:t>需配合由</w:t>
      </w:r>
      <w:r>
        <w:rPr>
          <w:rFonts w:hint="eastAsia" w:ascii="宋体" w:hAnsi="宋体" w:eastAsia="宋体" w:cs="宋体"/>
          <w:color w:val="auto"/>
          <w:spacing w:val="1"/>
          <w:kern w:val="0"/>
          <w:sz w:val="24"/>
          <w:highlight w:val="none"/>
          <w:u w:val="single"/>
          <w:lang w:eastAsia="zh-CN"/>
        </w:rPr>
        <w:t>甲方</w:t>
      </w:r>
      <w:r>
        <w:rPr>
          <w:rFonts w:hint="eastAsia" w:ascii="宋体" w:hAnsi="宋体" w:eastAsia="宋体" w:cs="宋体"/>
          <w:color w:val="auto"/>
          <w:spacing w:val="1"/>
          <w:kern w:val="0"/>
          <w:sz w:val="24"/>
          <w:highlight w:val="none"/>
          <w:u w:val="single"/>
        </w:rPr>
        <w:t>委托的桩基、结构实体及其他材料（如有）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w:t>
      </w:r>
      <w:r>
        <w:rPr>
          <w:rFonts w:hint="eastAsia" w:ascii="宋体" w:hAnsi="宋体" w:eastAsia="宋体" w:cs="宋体"/>
          <w:color w:val="auto"/>
          <w:spacing w:val="1"/>
          <w:kern w:val="0"/>
          <w:sz w:val="24"/>
          <w:highlight w:val="none"/>
          <w:u w:val="single"/>
          <w:lang w:eastAsia="zh-CN"/>
        </w:rPr>
        <w:t>乙方</w:t>
      </w:r>
      <w:r>
        <w:rPr>
          <w:rFonts w:hint="eastAsia" w:ascii="宋体" w:hAnsi="宋体" w:eastAsia="宋体" w:cs="宋体"/>
          <w:color w:val="auto"/>
          <w:spacing w:val="1"/>
          <w:kern w:val="0"/>
          <w:sz w:val="24"/>
          <w:highlight w:val="none"/>
          <w:u w:val="single"/>
        </w:rPr>
        <w:t>包干负责，有关费用已包含在本合同总价款内。</w:t>
      </w:r>
    </w:p>
    <w:p w14:paraId="062D072D">
      <w:pPr>
        <w:spacing w:line="480" w:lineRule="atLeast"/>
        <w:ind w:firstLine="121" w:firstLineChars="50"/>
        <w:rPr>
          <w:rFonts w:hint="eastAsia"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lang w:eastAsia="zh-CN"/>
        </w:rPr>
        <w:t>（</w:t>
      </w:r>
      <w:r>
        <w:rPr>
          <w:rFonts w:hint="eastAsia" w:ascii="宋体" w:hAnsi="宋体" w:eastAsia="宋体" w:cs="宋体"/>
          <w:color w:val="auto"/>
          <w:spacing w:val="1"/>
          <w:kern w:val="0"/>
          <w:sz w:val="24"/>
          <w:highlight w:val="none"/>
          <w:u w:val="single"/>
          <w:lang w:val="en-US" w:eastAsia="zh-CN"/>
        </w:rPr>
        <w:t>4</w:t>
      </w:r>
      <w:r>
        <w:rPr>
          <w:rFonts w:hint="eastAsia" w:ascii="宋体" w:hAnsi="宋体" w:eastAsia="宋体" w:cs="宋体"/>
          <w:color w:val="auto"/>
          <w:spacing w:val="1"/>
          <w:kern w:val="0"/>
          <w:sz w:val="24"/>
          <w:highlight w:val="none"/>
          <w:u w:val="single"/>
          <w:lang w:eastAsia="zh-CN"/>
        </w:rPr>
        <w:t>）乙方</w:t>
      </w:r>
      <w:r>
        <w:rPr>
          <w:rFonts w:hint="eastAsia" w:ascii="宋体" w:hAnsi="宋体" w:eastAsia="宋体" w:cs="宋体"/>
          <w:color w:val="auto"/>
          <w:spacing w:val="1"/>
          <w:kern w:val="0"/>
          <w:sz w:val="24"/>
          <w:highlight w:val="none"/>
          <w:u w:val="single"/>
        </w:rPr>
        <w:t>提供有关该工程检测所需的相关工程技术资料；现场保障足够的安全措施，符合安全施工要求，保障检测人员及设备的安全；协助检测单位的检测设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失承担责任。</w:t>
      </w:r>
      <w:r>
        <w:rPr>
          <w:rFonts w:hint="eastAsia" w:ascii="宋体" w:hAnsi="宋体" w:eastAsia="宋体" w:cs="宋体"/>
          <w:color w:val="auto"/>
          <w:spacing w:val="1"/>
          <w:kern w:val="0"/>
          <w:sz w:val="24"/>
          <w:highlight w:val="none"/>
          <w:u w:val="single"/>
          <w:lang w:eastAsia="zh-CN"/>
        </w:rPr>
        <w:t>乙方</w:t>
      </w:r>
      <w:r>
        <w:rPr>
          <w:rFonts w:hint="eastAsia" w:ascii="宋体" w:hAnsi="宋体" w:eastAsia="宋体" w:cs="宋体"/>
          <w:color w:val="auto"/>
          <w:spacing w:val="1"/>
          <w:kern w:val="0"/>
          <w:sz w:val="24"/>
          <w:highlight w:val="none"/>
          <w:u w:val="single"/>
        </w:rPr>
        <w:t>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w:t>
      </w:r>
      <w:r>
        <w:rPr>
          <w:rFonts w:hint="eastAsia" w:ascii="宋体" w:hAnsi="宋体" w:eastAsia="宋体" w:cs="宋体"/>
          <w:color w:val="auto"/>
          <w:spacing w:val="1"/>
          <w:kern w:val="0"/>
          <w:sz w:val="24"/>
          <w:highlight w:val="none"/>
          <w:u w:val="single"/>
          <w:lang w:eastAsia="zh-CN"/>
        </w:rPr>
        <w:t>乙方</w:t>
      </w:r>
      <w:r>
        <w:rPr>
          <w:rFonts w:hint="eastAsia" w:ascii="宋体" w:hAnsi="宋体" w:eastAsia="宋体" w:cs="宋体"/>
          <w:color w:val="auto"/>
          <w:spacing w:val="1"/>
          <w:kern w:val="0"/>
          <w:sz w:val="24"/>
          <w:highlight w:val="none"/>
          <w:u w:val="single"/>
        </w:rPr>
        <w:t>负责修复。</w:t>
      </w:r>
      <w:r>
        <w:rPr>
          <w:rFonts w:hint="eastAsia" w:ascii="宋体" w:hAnsi="宋体" w:eastAsia="宋体" w:cs="宋体"/>
          <w:color w:val="auto"/>
          <w:spacing w:val="1"/>
          <w:kern w:val="0"/>
          <w:sz w:val="24"/>
          <w:highlight w:val="none"/>
          <w:u w:val="single"/>
          <w:lang w:eastAsia="zh-CN"/>
        </w:rPr>
        <w:t>乙方</w:t>
      </w:r>
      <w:r>
        <w:rPr>
          <w:rFonts w:hint="eastAsia" w:ascii="宋体" w:hAnsi="宋体" w:eastAsia="宋体" w:cs="宋体"/>
          <w:color w:val="auto"/>
          <w:spacing w:val="1"/>
          <w:kern w:val="0"/>
          <w:sz w:val="24"/>
          <w:highlight w:val="none"/>
          <w:u w:val="single"/>
        </w:rPr>
        <w:t>对有关该工程检测所需的相关工程技术资料及配合所发生相关费用由</w:t>
      </w:r>
      <w:r>
        <w:rPr>
          <w:rFonts w:hint="eastAsia" w:ascii="宋体" w:hAnsi="宋体" w:eastAsia="宋体" w:cs="宋体"/>
          <w:color w:val="auto"/>
          <w:spacing w:val="1"/>
          <w:kern w:val="0"/>
          <w:sz w:val="24"/>
          <w:highlight w:val="none"/>
          <w:u w:val="single"/>
          <w:lang w:eastAsia="zh-CN"/>
        </w:rPr>
        <w:t>乙方</w:t>
      </w:r>
      <w:r>
        <w:rPr>
          <w:rFonts w:hint="eastAsia" w:ascii="宋体" w:hAnsi="宋体" w:eastAsia="宋体" w:cs="宋体"/>
          <w:color w:val="auto"/>
          <w:spacing w:val="1"/>
          <w:kern w:val="0"/>
          <w:sz w:val="24"/>
          <w:highlight w:val="none"/>
          <w:u w:val="single"/>
        </w:rPr>
        <w:t>负责，所产生的费用已包含在本合同总价款内。</w:t>
      </w:r>
    </w:p>
    <w:p w14:paraId="77420179">
      <w:pPr>
        <w:spacing w:line="480" w:lineRule="atLeast"/>
        <w:ind w:firstLine="121" w:firstLineChars="50"/>
        <w:rPr>
          <w:rFonts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lang w:eastAsia="zh-CN"/>
        </w:rPr>
        <w:t>（</w:t>
      </w:r>
      <w:r>
        <w:rPr>
          <w:rFonts w:hint="eastAsia" w:ascii="宋体" w:hAnsi="宋体" w:eastAsia="宋体" w:cs="宋体"/>
          <w:color w:val="auto"/>
          <w:spacing w:val="1"/>
          <w:kern w:val="0"/>
          <w:sz w:val="24"/>
          <w:highlight w:val="none"/>
          <w:u w:val="single"/>
          <w:lang w:val="en-US" w:eastAsia="zh-CN"/>
        </w:rPr>
        <w:t>5</w:t>
      </w:r>
      <w:r>
        <w:rPr>
          <w:rFonts w:hint="eastAsia" w:ascii="宋体" w:hAnsi="宋体" w:eastAsia="宋体" w:cs="宋体"/>
          <w:color w:val="auto"/>
          <w:spacing w:val="1"/>
          <w:kern w:val="0"/>
          <w:sz w:val="24"/>
          <w:highlight w:val="none"/>
          <w:u w:val="single"/>
          <w:lang w:eastAsia="zh-CN"/>
        </w:rPr>
        <w:t>）检测单位开展的检测工作不免除乙方平行检测的义务，造成质量安全事故或致使事故损失扩大的，由乙方承担相应的法律责任，甲方保留索赔及解除合同的权</w:t>
      </w:r>
      <w:r>
        <w:rPr>
          <w:rFonts w:hint="eastAsia" w:ascii="宋体" w:hAnsi="宋体" w:eastAsia="宋体" w:cs="宋体"/>
          <w:color w:val="auto"/>
          <w:spacing w:val="1"/>
          <w:kern w:val="0"/>
          <w:sz w:val="24"/>
          <w:highlight w:val="none"/>
          <w:u w:val="single"/>
          <w:lang w:val="en-US" w:eastAsia="zh-CN"/>
        </w:rPr>
        <w:t>利</w:t>
      </w:r>
      <w:r>
        <w:rPr>
          <w:rFonts w:hint="eastAsia" w:ascii="宋体" w:hAnsi="宋体" w:eastAsia="宋体" w:cs="宋体"/>
          <w:color w:val="auto"/>
          <w:spacing w:val="1"/>
          <w:kern w:val="0"/>
          <w:sz w:val="24"/>
          <w:highlight w:val="none"/>
          <w:u w:val="single"/>
          <w:lang w:eastAsia="zh-CN"/>
        </w:rPr>
        <w:t>，所发生的相关费用由乙方包干负责，且相关费用已包含在合同总价款内。</w:t>
      </w:r>
    </w:p>
    <w:p w14:paraId="5C2CC6CF">
      <w:pPr>
        <w:adjustRightInd w:val="0"/>
        <w:spacing w:line="360" w:lineRule="auto"/>
        <w:ind w:firstLine="484" w:firstLineChars="200"/>
        <w:rPr>
          <w:rFonts w:ascii="宋体" w:hAnsi="宋体" w:eastAsia="宋体" w:cs="宋体"/>
          <w:color w:val="auto"/>
          <w:spacing w:val="1"/>
          <w:kern w:val="0"/>
          <w:sz w:val="24"/>
          <w:highlight w:val="none"/>
          <w:u w:val="single"/>
        </w:rPr>
      </w:pPr>
      <w:bookmarkStart w:id="271" w:name="OLE_LINK4"/>
      <w:r>
        <w:rPr>
          <w:rFonts w:hint="eastAsia" w:ascii="宋体" w:hAnsi="宋体" w:eastAsia="宋体" w:cs="宋体"/>
          <w:color w:val="auto"/>
          <w:spacing w:val="1"/>
          <w:kern w:val="0"/>
          <w:sz w:val="24"/>
          <w:highlight w:val="none"/>
          <w:u w:val="single"/>
        </w:rPr>
        <w:t>50.4  材料和工程设备的检验试验费用：</w:t>
      </w:r>
    </w:p>
    <w:p w14:paraId="4DC39045">
      <w:pPr>
        <w:spacing w:line="360" w:lineRule="auto"/>
        <w:ind w:firstLine="484" w:firstLineChars="200"/>
        <w:rPr>
          <w:rFonts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 按通用条款规定。</w:t>
      </w:r>
    </w:p>
    <w:p w14:paraId="2E93F475">
      <w:pPr>
        <w:adjustRightInd w:val="0"/>
        <w:spacing w:line="360" w:lineRule="auto"/>
        <w:ind w:firstLine="484" w:firstLineChars="200"/>
        <w:rPr>
          <w:rFonts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 补充约定：</w:t>
      </w:r>
    </w:p>
    <w:p w14:paraId="53B335F6">
      <w:pPr>
        <w:pStyle w:val="118"/>
        <w:spacing w:line="360" w:lineRule="auto"/>
        <w:ind w:firstLine="484" w:firstLineChars="200"/>
        <w:jc w:val="both"/>
        <w:outlineLvl w:val="9"/>
        <w:rPr>
          <w:rFonts w:ascii="宋体" w:hAnsi="宋体" w:eastAsia="宋体" w:cs="宋体"/>
          <w:color w:val="auto"/>
          <w:highlight w:val="none"/>
        </w:rPr>
      </w:pPr>
      <w:r>
        <w:rPr>
          <w:rFonts w:hint="eastAsia" w:ascii="宋体" w:hAnsi="宋体" w:eastAsia="宋体" w:cs="宋体"/>
          <w:bCs w:val="0"/>
          <w:color w:val="auto"/>
          <w:spacing w:val="1"/>
          <w:position w:val="0"/>
          <w:szCs w:val="24"/>
          <w:highlight w:val="none"/>
          <w:u w:val="single"/>
        </w:rPr>
        <w:t>（1）当上级主管部门或质量安全监督部门提出对工程检测复检要求时，乙方应予以配合，检测结果合格的费用由甲方承担，检测结果不合格的，检测费用由乙方承担。</w:t>
      </w:r>
      <w:bookmarkEnd w:id="271"/>
    </w:p>
    <w:p w14:paraId="2EE4C485">
      <w:pPr>
        <w:pStyle w:val="118"/>
        <w:spacing w:line="360" w:lineRule="auto"/>
        <w:ind w:firstLine="480" w:firstLineChars="200"/>
        <w:jc w:val="both"/>
        <w:outlineLvl w:val="9"/>
        <w:rPr>
          <w:rFonts w:ascii="宋体" w:hAnsi="宋体" w:eastAsia="宋体" w:cs="宋体"/>
          <w:color w:val="auto"/>
          <w:highlight w:val="none"/>
        </w:rPr>
      </w:pPr>
      <w:bookmarkStart w:id="272" w:name="_Toc287628059"/>
      <w:r>
        <w:rPr>
          <w:rFonts w:hint="eastAsia" w:ascii="宋体" w:hAnsi="宋体" w:eastAsia="宋体" w:cs="宋体"/>
          <w:color w:val="auto"/>
          <w:highlight w:val="none"/>
        </w:rPr>
        <w:t>51．施工设备和临时设施</w:t>
      </w:r>
      <w:bookmarkEnd w:id="272"/>
    </w:p>
    <w:p w14:paraId="4BE2FA5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51.1 乙方配置施工设备和临时设施</w:t>
      </w:r>
    </w:p>
    <w:p w14:paraId="34128AC2">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按通用条款规定，乙方承担修建临时设施的费用。</w:t>
      </w:r>
    </w:p>
    <w:p w14:paraId="43D1F06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pacing w:val="1"/>
          <w:kern w:val="0"/>
          <w:sz w:val="24"/>
          <w:highlight w:val="none"/>
        </w:rPr>
        <w:t xml:space="preserve"> 另作约定：</w:t>
      </w:r>
      <w:r>
        <w:rPr>
          <w:rFonts w:hint="eastAsia" w:ascii="宋体" w:hAnsi="宋体" w:eastAsia="宋体" w:cs="宋体"/>
          <w:color w:val="auto"/>
          <w:spacing w:val="1"/>
          <w:kern w:val="0"/>
          <w:sz w:val="24"/>
          <w:highlight w:val="none"/>
          <w:u w:val="single"/>
        </w:rPr>
        <w:t>乙方自行承担修建临时设施的费用，需要临时占地的，由乙方办理申请手续并承担相应费用，甲方予以协助。工程施工过程中，因项目建设需要发生临时设施临迁的，由乙方承担全部费用，甲方不承担任何费用。</w:t>
      </w:r>
    </w:p>
    <w:p w14:paraId="025B0AEC">
      <w:pPr>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51.2 甲方提供的施工设备和临时设施：</w:t>
      </w:r>
      <w:r>
        <w:rPr>
          <w:rFonts w:hint="eastAsia" w:ascii="宋体" w:hAnsi="宋体" w:eastAsia="宋体" w:cs="宋体"/>
          <w:color w:val="auto"/>
          <w:kern w:val="0"/>
          <w:sz w:val="24"/>
          <w:highlight w:val="none"/>
          <w:u w:val="single"/>
        </w:rPr>
        <w:t>无</w:t>
      </w:r>
    </w:p>
    <w:p w14:paraId="4D001027">
      <w:pPr>
        <w:pStyle w:val="118"/>
        <w:spacing w:line="360" w:lineRule="auto"/>
        <w:ind w:firstLine="480" w:firstLineChars="200"/>
        <w:jc w:val="both"/>
        <w:outlineLvl w:val="9"/>
        <w:rPr>
          <w:rFonts w:ascii="宋体" w:hAnsi="宋体" w:eastAsia="宋体" w:cs="宋体"/>
          <w:color w:val="auto"/>
          <w:highlight w:val="none"/>
        </w:rPr>
      </w:pPr>
      <w:bookmarkStart w:id="273" w:name="_Toc287628060"/>
      <w:r>
        <w:rPr>
          <w:rFonts w:hint="eastAsia" w:ascii="宋体" w:hAnsi="宋体" w:eastAsia="宋体" w:cs="宋体"/>
          <w:color w:val="auto"/>
          <w:highlight w:val="none"/>
        </w:rPr>
        <w:t>52 工程质量检查</w:t>
      </w:r>
      <w:bookmarkEnd w:id="273"/>
    </w:p>
    <w:p w14:paraId="64DF4772">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52.2 本条增加以下内容：乙方在施工过程中，应及时对关键工序和隐蔽部位在施工前、施工中、施工后的典型阶段进行拍照留存。在工程竣工验收时，应向甲方完整提供每一个施工对象的同一角度、同一位置的施工前、施工中、施工后的彩色对比照片（同时提供电子文件）。</w:t>
      </w:r>
    </w:p>
    <w:p w14:paraId="06A7AFD2">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bookmarkStart w:id="274" w:name="_Hlk52203080"/>
      <w:r>
        <w:rPr>
          <w:rFonts w:hint="eastAsia" w:ascii="宋体" w:hAnsi="宋体" w:eastAsia="宋体" w:cs="宋体"/>
          <w:color w:val="auto"/>
          <w:kern w:val="0"/>
          <w:sz w:val="24"/>
          <w:highlight w:val="none"/>
          <w:u w:val="single"/>
        </w:rPr>
        <w:t>52.</w:t>
      </w:r>
      <w:r>
        <w:rPr>
          <w:rFonts w:hint="eastAsia" w:ascii="宋体" w:hAnsi="宋体" w:eastAsia="宋体" w:cs="宋体"/>
          <w:color w:val="auto"/>
          <w:kern w:val="0"/>
          <w:sz w:val="24"/>
          <w:highlight w:val="none"/>
          <w:u w:val="single"/>
          <w:lang w:val="en-US" w:eastAsia="zh-CN"/>
        </w:rPr>
        <w:t>6</w:t>
      </w:r>
      <w:r>
        <w:rPr>
          <w:rFonts w:hint="eastAsia" w:ascii="宋体" w:hAnsi="宋体" w:eastAsia="宋体" w:cs="宋体"/>
          <w:color w:val="auto"/>
          <w:kern w:val="0"/>
          <w:sz w:val="24"/>
          <w:highlight w:val="none"/>
          <w:u w:val="single"/>
        </w:rPr>
        <w:t>双方有质量争议时，由番禺区建设工程质量监督机构调解。</w:t>
      </w:r>
    </w:p>
    <w:p w14:paraId="49B76128">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因承包人责任过失造成的工程质量问题，由承包人负责无偿进行返工、加固或补强至合格，工期不予顺延；同时，承包人还须按合同价款的3%向发包人缴纳违约金，该违约金不足以弥补发包人的实际损失的，承包人还须承担赔偿责任。</w:t>
      </w:r>
    </w:p>
    <w:bookmarkEnd w:id="274"/>
    <w:p w14:paraId="1EAA1FA2">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bookmarkStart w:id="275" w:name="_Toc287628061"/>
      <w:r>
        <w:rPr>
          <w:rFonts w:hint="eastAsia" w:ascii="宋体" w:hAnsi="宋体" w:eastAsia="宋体" w:cs="宋体"/>
          <w:color w:val="auto"/>
          <w:kern w:val="0"/>
          <w:sz w:val="24"/>
          <w:highlight w:val="none"/>
        </w:rPr>
        <w:t>53．隐蔽工程和中间验收</w:t>
      </w:r>
      <w:bookmarkEnd w:id="275"/>
    </w:p>
    <w:p w14:paraId="0E8AA4D6">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53.1 中间验收的部位有：</w:t>
      </w:r>
      <w:r>
        <w:rPr>
          <w:rFonts w:hint="eastAsia" w:ascii="宋体" w:hAnsi="宋体" w:eastAsia="宋体" w:cs="宋体"/>
          <w:color w:val="auto"/>
          <w:kern w:val="0"/>
          <w:sz w:val="24"/>
          <w:highlight w:val="none"/>
          <w:u w:val="single"/>
        </w:rPr>
        <w:t>按工程验收规定，属隐蔽工程的由双方验收签证。</w:t>
      </w:r>
    </w:p>
    <w:p w14:paraId="4EC2AC9F">
      <w:pPr>
        <w:pStyle w:val="118"/>
        <w:spacing w:line="360" w:lineRule="auto"/>
        <w:ind w:firstLine="480" w:firstLineChars="200"/>
        <w:jc w:val="both"/>
        <w:outlineLvl w:val="9"/>
        <w:rPr>
          <w:rFonts w:ascii="宋体" w:hAnsi="宋体" w:eastAsia="宋体" w:cs="宋体"/>
          <w:color w:val="auto"/>
          <w:highlight w:val="none"/>
        </w:rPr>
      </w:pPr>
      <w:bookmarkStart w:id="276" w:name="_Toc287628062"/>
      <w:r>
        <w:rPr>
          <w:rFonts w:hint="eastAsia" w:ascii="宋体" w:hAnsi="宋体" w:eastAsia="宋体" w:cs="宋体"/>
          <w:color w:val="auto"/>
          <w:highlight w:val="none"/>
        </w:rPr>
        <w:t>55．工程试车</w:t>
      </w:r>
      <w:bookmarkEnd w:id="276"/>
    </w:p>
    <w:p w14:paraId="59908C2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55.1 试车内容</w:t>
      </w:r>
    </w:p>
    <w:p w14:paraId="77E154E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不需要试车的，本条不适用。</w:t>
      </w:r>
    </w:p>
    <w:p w14:paraId="5F9CC62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需要试车的，试车的内容和要求：</w:t>
      </w:r>
    </w:p>
    <w:p w14:paraId="4AA0FF5A">
      <w:pPr>
        <w:pStyle w:val="118"/>
        <w:spacing w:line="360" w:lineRule="auto"/>
        <w:ind w:firstLine="480" w:firstLineChars="200"/>
        <w:jc w:val="both"/>
        <w:outlineLvl w:val="9"/>
        <w:rPr>
          <w:rFonts w:ascii="宋体" w:hAnsi="宋体" w:eastAsia="宋体" w:cs="宋体"/>
          <w:color w:val="auto"/>
          <w:highlight w:val="none"/>
        </w:rPr>
      </w:pPr>
      <w:bookmarkStart w:id="277" w:name="_Toc287628063"/>
      <w:r>
        <w:rPr>
          <w:rFonts w:hint="eastAsia" w:ascii="宋体" w:hAnsi="宋体" w:eastAsia="宋体" w:cs="宋体"/>
          <w:color w:val="auto"/>
          <w:highlight w:val="none"/>
        </w:rPr>
        <w:t>56．工程变更</w:t>
      </w:r>
      <w:bookmarkEnd w:id="277"/>
    </w:p>
    <w:p w14:paraId="2A223B63">
      <w:pPr>
        <w:tabs>
          <w:tab w:val="left" w:pos="1360"/>
        </w:tabs>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56.4 承包人提出工程变更建议</w:t>
      </w:r>
    </w:p>
    <w:p w14:paraId="1D52211F">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xml:space="preserve">   发包人采纳承包人建议带来利益的计奖方法：</w:t>
      </w:r>
      <w:r>
        <w:rPr>
          <w:rFonts w:hint="eastAsia" w:ascii="宋体" w:hAnsi="宋体" w:eastAsia="宋体" w:cs="宋体"/>
          <w:color w:val="auto"/>
          <w:kern w:val="0"/>
          <w:sz w:val="24"/>
          <w:highlight w:val="none"/>
          <w:u w:val="none"/>
        </w:rPr>
        <w:t xml:space="preserve"> /</w:t>
      </w:r>
    </w:p>
    <w:p w14:paraId="34772AF3">
      <w:pPr>
        <w:pStyle w:val="118"/>
        <w:spacing w:line="360" w:lineRule="auto"/>
        <w:ind w:firstLine="480" w:firstLineChars="200"/>
        <w:jc w:val="both"/>
        <w:outlineLvl w:val="9"/>
        <w:rPr>
          <w:rFonts w:ascii="宋体" w:hAnsi="宋体" w:eastAsia="宋体" w:cs="宋体"/>
          <w:color w:val="auto"/>
          <w:highlight w:val="none"/>
        </w:rPr>
      </w:pPr>
      <w:bookmarkStart w:id="278" w:name="_Toc287628064"/>
      <w:r>
        <w:rPr>
          <w:rFonts w:hint="eastAsia" w:ascii="宋体" w:hAnsi="宋体" w:eastAsia="宋体" w:cs="宋体"/>
          <w:color w:val="auto"/>
          <w:highlight w:val="none"/>
        </w:rPr>
        <w:t>57、竣工验收条件</w:t>
      </w:r>
      <w:bookmarkEnd w:id="278"/>
    </w:p>
    <w:p w14:paraId="390CA45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57.1补充：</w:t>
      </w:r>
    </w:p>
    <w:p w14:paraId="4A8EBF9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（6）竣工资料</w:t>
      </w:r>
    </w:p>
    <w:p w14:paraId="795E09BA">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按《城市建设档案管理规定》、《广州市城市建设档案管理办法》、《广州市建筑工程文件整理及档案移交规定》、《广州市建设工程档案编制指南》等国家、省、市档案管理规定及甲方对档案资料的具体要求，乙方负责对竣工资料进行收集、整理、组卷、编制目录、汇总和管理。</w:t>
      </w:r>
      <w:r>
        <w:rPr>
          <w:rFonts w:hint="eastAsia" w:ascii="宋体" w:hAnsi="宋体" w:cs="宋体"/>
          <w:b/>
          <w:bCs/>
          <w:color w:val="auto"/>
          <w:kern w:val="0"/>
          <w:sz w:val="24"/>
          <w:szCs w:val="24"/>
          <w:highlight w:val="none"/>
          <w:u w:val="single"/>
          <w:lang w:eastAsia="zh-CN"/>
        </w:rPr>
        <w:t>（</w:t>
      </w:r>
      <w:r>
        <w:rPr>
          <w:rFonts w:hint="eastAsia" w:ascii="宋体" w:hAnsi="宋体" w:cs="宋体"/>
          <w:b/>
          <w:bCs/>
          <w:color w:val="auto"/>
          <w:kern w:val="0"/>
          <w:sz w:val="24"/>
          <w:szCs w:val="24"/>
          <w:highlight w:val="none"/>
          <w:u w:val="single"/>
          <w:lang w:val="en-US" w:eastAsia="zh-CN"/>
        </w:rPr>
        <w:t>如上述文件已失效的，则以最新出台的文件为准</w:t>
      </w:r>
      <w:r>
        <w:rPr>
          <w:rFonts w:hint="eastAsia" w:ascii="宋体" w:hAnsi="宋体" w:cs="宋体"/>
          <w:b/>
          <w:bCs/>
          <w:color w:val="auto"/>
          <w:kern w:val="0"/>
          <w:sz w:val="24"/>
          <w:szCs w:val="24"/>
          <w:highlight w:val="none"/>
          <w:u w:val="single"/>
          <w:lang w:eastAsia="zh-CN"/>
        </w:rPr>
        <w:t>）</w:t>
      </w:r>
    </w:p>
    <w:p w14:paraId="617C1CB3">
      <w:pPr>
        <w:adjustRightInd w:val="0"/>
        <w:spacing w:line="360" w:lineRule="auto"/>
        <w:ind w:firstLine="420" w:firstLineChars="200"/>
        <w:rPr>
          <w:rFonts w:ascii="宋体" w:hAnsi="宋体" w:eastAsia="宋体" w:cs="宋体"/>
          <w:color w:val="auto"/>
          <w:highlight w:val="none"/>
        </w:rPr>
      </w:pPr>
      <w:bookmarkStart w:id="279" w:name="_Toc287628065"/>
    </w:p>
    <w:p w14:paraId="44FB90D8">
      <w:pPr>
        <w:pStyle w:val="118"/>
        <w:spacing w:line="360" w:lineRule="auto"/>
        <w:jc w:val="both"/>
        <w:outlineLvl w:val="9"/>
        <w:rPr>
          <w:rFonts w:ascii="宋体" w:hAnsi="宋体" w:eastAsia="宋体" w:cs="宋体"/>
          <w:color w:val="auto"/>
          <w:highlight w:val="none"/>
        </w:rPr>
      </w:pPr>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58．竣工验收</w:t>
      </w:r>
      <w:bookmarkEnd w:id="279"/>
    </w:p>
    <w:p w14:paraId="20938AAF">
      <w:pPr>
        <w:tabs>
          <w:tab w:val="left" w:pos="1360"/>
        </w:tabs>
        <w:autoSpaceDE w:val="0"/>
        <w:autoSpaceDN w:val="0"/>
        <w:adjustRightInd w:val="0"/>
        <w:spacing w:line="360" w:lineRule="auto"/>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kern w:val="0"/>
          <w:sz w:val="24"/>
          <w:highlight w:val="none"/>
        </w:rPr>
        <w:t>58.1 竣工验收标准</w:t>
      </w:r>
    </w:p>
    <w:p w14:paraId="0343F69F">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合同工程竣工验收标准：</w:t>
      </w:r>
      <w:r>
        <w:rPr>
          <w:rFonts w:hint="eastAsia" w:ascii="宋体" w:hAnsi="宋体" w:eastAsia="宋体" w:cs="宋体"/>
          <w:color w:val="auto"/>
          <w:kern w:val="0"/>
          <w:sz w:val="24"/>
          <w:highlight w:val="none"/>
          <w:u w:val="single"/>
        </w:rPr>
        <w:t>符合现行国家或行业、省、市竣工验收有关规定。</w:t>
      </w:r>
    </w:p>
    <w:p w14:paraId="77B50E8B">
      <w:pPr>
        <w:tabs>
          <w:tab w:val="left" w:pos="0"/>
        </w:tabs>
        <w:spacing w:line="480" w:lineRule="atLeast"/>
        <w:ind w:firstLine="480" w:firstLineChars="20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highlight w:val="none"/>
        </w:rPr>
        <w:t>58.2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none"/>
        </w:rPr>
        <w:t>按我国现有关验收规范、评定标准全面检验所承建工程的质量会同监理单位按照《广东省房屋建筑工程和市政基础设施工程竣工验收及备案管理实施细则（试行）》的要求，填写《分部工程质量评定表》、《质量保证资料检查表》、《单位工程观感质量评定表》、《单位工程质量综合评定表》；由</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自评工程质量等级、填写《工程竣工验收申请表》，经该项目负责人、</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法人代表和技术负责人签字并加盖单位公章后，连同专用条款内约定的份数的竣工图，一并提交给工程监理单位核查。经监理单位对工程质量进行评估，提出《工程质量评估报告》，经总监理工程师签署意见和监理单位法人代表审核签名并加盖公章后，在计划竣工验收25个工作日前报送</w:t>
      </w:r>
      <w:r>
        <w:rPr>
          <w:rFonts w:hint="eastAsia" w:ascii="宋体" w:hAnsi="宋体" w:eastAsia="宋体" w:cs="宋体"/>
          <w:color w:val="auto"/>
          <w:kern w:val="0"/>
          <w:sz w:val="24"/>
          <w:szCs w:val="24"/>
          <w:highlight w:val="none"/>
          <w:u w:val="none"/>
          <w:lang w:eastAsia="zh-CN"/>
        </w:rPr>
        <w:t>甲方</w:t>
      </w:r>
      <w:r>
        <w:rPr>
          <w:rFonts w:hint="eastAsia" w:ascii="宋体" w:hAnsi="宋体" w:eastAsia="宋体" w:cs="宋体"/>
          <w:color w:val="auto"/>
          <w:kern w:val="0"/>
          <w:sz w:val="24"/>
          <w:szCs w:val="24"/>
          <w:highlight w:val="none"/>
          <w:u w:val="none"/>
        </w:rPr>
        <w:t>。</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如上述文件已失效的，则以最新出台的文件为准</w:t>
      </w:r>
      <w:r>
        <w:rPr>
          <w:rFonts w:hint="eastAsia" w:ascii="宋体" w:hAnsi="宋体" w:cs="宋体"/>
          <w:b/>
          <w:bCs/>
          <w:color w:val="auto"/>
          <w:kern w:val="0"/>
          <w:sz w:val="24"/>
          <w:szCs w:val="24"/>
          <w:highlight w:val="none"/>
          <w:lang w:eastAsia="zh-CN"/>
        </w:rPr>
        <w:t>）</w:t>
      </w:r>
    </w:p>
    <w:p w14:paraId="089B6382">
      <w:pPr>
        <w:tabs>
          <w:tab w:val="left" w:pos="0"/>
        </w:tabs>
        <w:spacing w:line="480" w:lineRule="atLeast"/>
        <w:ind w:firstLine="480" w:firstLineChars="20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none"/>
          <w:lang w:eastAsia="zh-CN"/>
        </w:rPr>
        <w:t>甲方</w:t>
      </w:r>
      <w:r>
        <w:rPr>
          <w:rFonts w:hint="eastAsia" w:ascii="宋体" w:hAnsi="宋体" w:eastAsia="宋体" w:cs="宋体"/>
          <w:color w:val="auto"/>
          <w:kern w:val="0"/>
          <w:sz w:val="24"/>
          <w:szCs w:val="24"/>
          <w:highlight w:val="none"/>
          <w:u w:val="none"/>
        </w:rPr>
        <w:t>在收到《工程竣工验收申请表》及上述其他资料后，可给予认可或提出修改意见，</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应按要求修改；</w:t>
      </w:r>
      <w:r>
        <w:rPr>
          <w:rFonts w:hint="eastAsia" w:ascii="宋体" w:hAnsi="宋体" w:eastAsia="宋体" w:cs="宋体"/>
          <w:color w:val="auto"/>
          <w:kern w:val="0"/>
          <w:sz w:val="24"/>
          <w:szCs w:val="24"/>
          <w:highlight w:val="none"/>
          <w:u w:val="none"/>
          <w:lang w:eastAsia="zh-CN"/>
        </w:rPr>
        <w:t>甲方</w:t>
      </w:r>
      <w:r>
        <w:rPr>
          <w:rFonts w:hint="eastAsia" w:ascii="宋体" w:hAnsi="宋体" w:eastAsia="宋体" w:cs="宋体"/>
          <w:color w:val="auto"/>
          <w:kern w:val="0"/>
          <w:sz w:val="24"/>
          <w:szCs w:val="24"/>
          <w:highlight w:val="none"/>
          <w:u w:val="none"/>
        </w:rPr>
        <w:t>对不符合竣工验收要求的工程内容可提出整改要求，</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应按要求及时修改；</w:t>
      </w:r>
      <w:r>
        <w:rPr>
          <w:rFonts w:hint="eastAsia" w:ascii="宋体" w:hAnsi="宋体" w:eastAsia="宋体" w:cs="宋体"/>
          <w:color w:val="auto"/>
          <w:kern w:val="0"/>
          <w:sz w:val="24"/>
          <w:szCs w:val="24"/>
          <w:highlight w:val="none"/>
          <w:u w:val="none"/>
          <w:lang w:eastAsia="zh-CN"/>
        </w:rPr>
        <w:t>甲方</w:t>
      </w:r>
      <w:r>
        <w:rPr>
          <w:rFonts w:hint="eastAsia" w:ascii="宋体" w:hAnsi="宋体" w:eastAsia="宋体" w:cs="宋体"/>
          <w:color w:val="auto"/>
          <w:kern w:val="0"/>
          <w:sz w:val="24"/>
          <w:szCs w:val="24"/>
          <w:highlight w:val="none"/>
          <w:u w:val="none"/>
        </w:rPr>
        <w:t>有权根据修改或整改造成的时间延误重新确定计划验收日期；</w:t>
      </w:r>
      <w:r>
        <w:rPr>
          <w:rFonts w:hint="eastAsia" w:ascii="宋体" w:hAnsi="宋体" w:eastAsia="宋体" w:cs="宋体"/>
          <w:color w:val="auto"/>
          <w:kern w:val="0"/>
          <w:sz w:val="24"/>
          <w:szCs w:val="24"/>
          <w:highlight w:val="none"/>
          <w:u w:val="none"/>
          <w:lang w:eastAsia="zh-CN"/>
        </w:rPr>
        <w:t>乙方</w:t>
      </w:r>
      <w:r>
        <w:rPr>
          <w:rFonts w:hint="eastAsia" w:ascii="宋体" w:hAnsi="宋体" w:eastAsia="宋体" w:cs="宋体"/>
          <w:color w:val="auto"/>
          <w:kern w:val="0"/>
          <w:sz w:val="24"/>
          <w:szCs w:val="24"/>
          <w:highlight w:val="none"/>
          <w:u w:val="none"/>
        </w:rPr>
        <w:t>必须承担由自身原因造成的上述费用。</w:t>
      </w:r>
    </w:p>
    <w:p w14:paraId="4972FC16">
      <w:pPr>
        <w:tabs>
          <w:tab w:val="left" w:pos="0"/>
        </w:tabs>
        <w:spacing w:line="48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u w:val="none"/>
        </w:rPr>
        <w:t>58.3发包人对符合竣工验收要求的工程，组织、勘察、设计、施工、监理等单位和其他有关方面的专家组成验收组，制定验收方案。并在计划竣工验收</w:t>
      </w:r>
      <w:r>
        <w:rPr>
          <w:rFonts w:hint="eastAsia" w:ascii="宋体" w:hAnsi="宋体" w:eastAsia="宋体" w:cs="宋体"/>
          <w:color w:val="auto"/>
          <w:kern w:val="0"/>
          <w:sz w:val="24"/>
          <w:highlight w:val="none"/>
          <w:u w:val="none"/>
        </w:rPr>
        <w:t>15个工作日前将验收组成员名单、验收方案连同工程技术资料和《工程竣工验收条件审核表》提交质监机构检查，并按原计划如期进行验收。对不符合验收条件的，发出整改通知书，待整改完毕后，再行验收。</w:t>
      </w:r>
    </w:p>
    <w:p w14:paraId="35C9EC0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p>
    <w:p w14:paraId="68D2185C">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rPr>
        <w:t>58.6</w:t>
      </w:r>
      <w:r>
        <w:rPr>
          <w:rFonts w:hint="eastAsia" w:ascii="宋体" w:hAnsi="宋体" w:eastAsia="宋体" w:cs="宋体"/>
          <w:color w:val="auto"/>
          <w:kern w:val="0"/>
          <w:sz w:val="24"/>
          <w:highlight w:val="none"/>
          <w:u w:val="none"/>
        </w:rPr>
        <w:t>承包人在竣工验收后10个工作日内向发包人提供完整竣工验收档案2套、安全文明施工管理竣工档案2套（按《广东省建筑施工安全管理资料统一用表》要求编制），竣工验收报告4份、竣工图纸4套、竣工图电子文件光盘2套。资料员必须参加广州市城建档案工作培训取得合格证并在竣工资料编制人处签名确认，如所签名的资料员没有持有广州市城建档案馆发的合格证，资料视为不符合要求，发包人将予以拒收。竣工验收档案须按工程档案管理的有关要求编制成册，竣工图纸制作费用已包含在合同总价款内。</w:t>
      </w:r>
    </w:p>
    <w:p w14:paraId="10306D22">
      <w:pPr>
        <w:autoSpaceDE w:val="0"/>
        <w:autoSpaceDN w:val="0"/>
        <w:adjustRightInd w:val="0"/>
        <w:spacing w:line="360" w:lineRule="auto"/>
        <w:ind w:firstLine="480" w:firstLineChars="200"/>
        <w:rPr>
          <w:rFonts w:ascii="宋体" w:hAnsi="宋体" w:eastAsia="宋体" w:cs="宋体"/>
          <w:b/>
          <w:bCs/>
          <w:color w:val="auto"/>
          <w:kern w:val="0"/>
          <w:sz w:val="24"/>
          <w:highlight w:val="none"/>
        </w:rPr>
      </w:pPr>
      <w:r>
        <w:rPr>
          <w:rFonts w:hint="eastAsia" w:ascii="宋体" w:hAnsi="宋体" w:eastAsia="宋体" w:cs="宋体"/>
          <w:color w:val="auto"/>
          <w:kern w:val="0"/>
          <w:sz w:val="24"/>
          <w:highlight w:val="none"/>
          <w:u w:val="none"/>
        </w:rPr>
        <w:t>如承包人不能在项目竣工验收后10个工作日内按规定收集、整理、装订并向发包人移交上述档案、报告、图纸和电子文件光盘，承包人须按合同价款的千分之五向发包人支付违约金。</w:t>
      </w:r>
    </w:p>
    <w:p w14:paraId="581DF44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58.9 施工期运行</w:t>
      </w:r>
    </w:p>
    <w:p w14:paraId="799C671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■合同工程无单位工程、无工程部位在施工期运行的，本款不适用。</w:t>
      </w:r>
    </w:p>
    <w:p w14:paraId="14899A5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□合同工程单位工程或工程部位需在施工期运行的，各单位工程或工程部位名称、运行时间如下：</w:t>
      </w:r>
    </w:p>
    <w:p w14:paraId="3409300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名称）工程或部位，运行时间为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221C925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（名称）工程或部位，运行时间为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43CB989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58.10 竣工清场</w:t>
      </w:r>
    </w:p>
    <w:p w14:paraId="770F302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w:t>
      </w:r>
    </w:p>
    <w:p w14:paraId="3FAAEA6B">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另作约定：</w:t>
      </w:r>
    </w:p>
    <w:p w14:paraId="2312BBB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58.11 施工队伍的撤离</w:t>
      </w:r>
    </w:p>
    <w:p w14:paraId="2C56117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按通用条款的规定，乙方的人员和施工设备全部撤离施工场地。</w:t>
      </w:r>
    </w:p>
    <w:p w14:paraId="5609853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p>
    <w:p w14:paraId="721744C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58.14 竣工资料的数量：</w:t>
      </w:r>
      <w:r>
        <w:rPr>
          <w:rFonts w:hint="eastAsia" w:ascii="宋体" w:hAnsi="宋体" w:eastAsia="宋体" w:cs="宋体"/>
          <w:color w:val="auto"/>
          <w:kern w:val="0"/>
          <w:sz w:val="24"/>
          <w:highlight w:val="none"/>
          <w:u w:val="single"/>
        </w:rPr>
        <w:t>一式六份</w:t>
      </w:r>
      <w:bookmarkStart w:id="280" w:name="_Hlk52205977"/>
      <w:r>
        <w:rPr>
          <w:rFonts w:hint="eastAsia" w:ascii="宋体" w:hAnsi="宋体" w:eastAsia="宋体" w:cs="宋体"/>
          <w:color w:val="auto"/>
          <w:kern w:val="0"/>
          <w:sz w:val="24"/>
          <w:highlight w:val="none"/>
          <w:u w:val="single"/>
        </w:rPr>
        <w:t>（完成竣工图的编制）</w:t>
      </w:r>
      <w:bookmarkEnd w:id="280"/>
    </w:p>
    <w:p w14:paraId="61E0B0C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58.15 竣工备案：</w:t>
      </w:r>
    </w:p>
    <w:p w14:paraId="51FF30C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乙方协助办理竣工备案手续，具体如下：</w:t>
      </w:r>
    </w:p>
    <w:p w14:paraId="31EC1F2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（1）在规定时间内负责收集齐所有竣工备案资料，对于不属于乙方提供的资料，乙方配合跟踪和协调，及时向甲方反馈收集进度和协调情况。</w:t>
      </w:r>
    </w:p>
    <w:p w14:paraId="1E49491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（2）收集齐所有竣工备案资料后，乙方协助按规定要求向有关部门提交竣工备案资料，并向甲方反馈备案办理进度。</w:t>
      </w:r>
    </w:p>
    <w:p w14:paraId="59FE0212">
      <w:pPr>
        <w:spacing w:line="360" w:lineRule="auto"/>
        <w:ind w:firstLine="480" w:firstLineChars="200"/>
        <w:rPr>
          <w:rFonts w:ascii="宋体" w:hAnsi="宋体" w:eastAsia="宋体" w:cs="宋体"/>
          <w:color w:val="auto"/>
          <w:kern w:val="0"/>
          <w:sz w:val="24"/>
          <w:highlight w:val="none"/>
        </w:rPr>
      </w:pPr>
    </w:p>
    <w:p w14:paraId="08CBA8A0">
      <w:pPr>
        <w:pStyle w:val="118"/>
        <w:spacing w:line="360" w:lineRule="auto"/>
        <w:ind w:firstLine="480" w:firstLineChars="200"/>
        <w:jc w:val="both"/>
        <w:outlineLvl w:val="9"/>
        <w:rPr>
          <w:rFonts w:ascii="宋体" w:hAnsi="宋体" w:eastAsia="宋体" w:cs="宋体"/>
          <w:color w:val="auto"/>
          <w:highlight w:val="none"/>
        </w:rPr>
      </w:pPr>
      <w:bookmarkStart w:id="281" w:name="_Toc287628066"/>
      <w:r>
        <w:rPr>
          <w:rFonts w:hint="eastAsia" w:ascii="宋体" w:hAnsi="宋体" w:eastAsia="宋体" w:cs="宋体"/>
          <w:color w:val="auto"/>
          <w:highlight w:val="none"/>
        </w:rPr>
        <w:t>59．缺陷责任与质量保修</w:t>
      </w:r>
      <w:bookmarkEnd w:id="281"/>
    </w:p>
    <w:p w14:paraId="0B199FC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59.1 缺陷责任期计算</w:t>
      </w:r>
    </w:p>
    <w:p w14:paraId="7F6EF4B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缺陷责任期：</w:t>
      </w:r>
      <w:r>
        <w:rPr>
          <w:rFonts w:hint="eastAsia" w:ascii="宋体" w:hAnsi="宋体" w:eastAsia="宋体" w:cs="宋体"/>
          <w:color w:val="auto"/>
          <w:kern w:val="0"/>
          <w:sz w:val="24"/>
          <w:highlight w:val="none"/>
          <w:u w:val="single"/>
        </w:rPr>
        <w:t>两年。</w:t>
      </w:r>
    </w:p>
    <w:p w14:paraId="4453C49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59.8 工程质量保修期计算</w:t>
      </w:r>
    </w:p>
    <w:p w14:paraId="618E2F8E">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质量保修期：</w:t>
      </w:r>
      <w:r>
        <w:rPr>
          <w:rFonts w:hint="eastAsia" w:ascii="宋体" w:hAnsi="宋体" w:eastAsia="宋体" w:cs="宋体"/>
          <w:color w:val="auto"/>
          <w:kern w:val="0"/>
          <w:sz w:val="24"/>
          <w:highlight w:val="none"/>
          <w:u w:val="single"/>
        </w:rPr>
        <w:t>按《建设工程质量管理条例》的规定。</w:t>
      </w:r>
    </w:p>
    <w:p w14:paraId="3D874713">
      <w:pPr>
        <w:tabs>
          <w:tab w:val="left" w:pos="1240"/>
        </w:tabs>
        <w:autoSpaceDE w:val="0"/>
        <w:autoSpaceDN w:val="0"/>
        <w:adjustRightInd w:val="0"/>
        <w:spacing w:line="360" w:lineRule="auto"/>
        <w:ind w:firstLine="480" w:firstLineChars="200"/>
        <w:rPr>
          <w:rFonts w:ascii="宋体" w:hAnsi="宋体" w:eastAsia="宋体" w:cs="宋体"/>
          <w:color w:val="auto"/>
          <w:kern w:val="0"/>
          <w:sz w:val="20"/>
          <w:szCs w:val="20"/>
          <w:highlight w:val="none"/>
        </w:rPr>
      </w:pPr>
      <w:bookmarkStart w:id="282" w:name="_Hlk52206703"/>
      <w:r>
        <w:rPr>
          <w:rFonts w:hint="eastAsia" w:ascii="宋体" w:hAnsi="宋体" w:eastAsia="宋体" w:cs="宋体"/>
          <w:color w:val="auto"/>
          <w:kern w:val="0"/>
          <w:sz w:val="24"/>
          <w:highlight w:val="none"/>
        </w:rPr>
        <w:t>工程质量保修的约定：</w:t>
      </w:r>
    </w:p>
    <w:p w14:paraId="2B03124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vanish/>
          <w:color w:val="auto"/>
          <w:sz w:val="24"/>
          <w:highlight w:val="none"/>
          <w:u w:val="single"/>
        </w:rPr>
        <w:t>度</w:t>
      </w:r>
      <w:r>
        <w:rPr>
          <w:rFonts w:hint="eastAsia" w:ascii="宋体" w:hAnsi="宋体" w:eastAsia="宋体" w:cs="宋体"/>
          <w:color w:val="auto"/>
          <w:sz w:val="24"/>
          <w:highlight w:val="none"/>
          <w:u w:val="single"/>
        </w:rPr>
        <w:t>在质量保修期内，甲方发现质量缺陷的，应及时通知乙方修正，乙方应在收到通知后的7天内派人修正；发生紧急抢修事故的，乙方应在接到通知后立即到达事故抢修现场。如乙方不能按时到场处理，甲方可另行组织工人进行修理，所发生的费用</w:t>
      </w:r>
      <w:r>
        <w:rPr>
          <w:rFonts w:hint="eastAsia" w:ascii="宋体" w:hAnsi="宋体" w:eastAsia="宋体" w:cs="宋体"/>
          <w:color w:val="auto"/>
          <w:kern w:val="0"/>
          <w:sz w:val="24"/>
          <w:highlight w:val="none"/>
          <w:u w:val="none"/>
        </w:rPr>
        <w:t>从乙方质保金中扣除</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kern w:val="2"/>
          <w:sz w:val="24"/>
          <w:szCs w:val="24"/>
          <w:highlight w:val="none"/>
          <w:u w:val="single"/>
        </w:rPr>
        <w:t>质量保证金不足以抵扣的，</w:t>
      </w:r>
      <w:r>
        <w:rPr>
          <w:rFonts w:hint="eastAsia" w:ascii="宋体" w:hAnsi="宋体" w:eastAsia="宋体" w:cs="宋体"/>
          <w:color w:val="auto"/>
          <w:kern w:val="2"/>
          <w:sz w:val="24"/>
          <w:szCs w:val="24"/>
          <w:highlight w:val="none"/>
          <w:u w:val="single"/>
          <w:lang w:eastAsia="zh-CN"/>
        </w:rPr>
        <w:t>甲方</w:t>
      </w:r>
      <w:r>
        <w:rPr>
          <w:rFonts w:hint="eastAsia" w:ascii="宋体" w:hAnsi="宋体" w:eastAsia="宋体" w:cs="宋体"/>
          <w:color w:val="auto"/>
          <w:kern w:val="2"/>
          <w:sz w:val="24"/>
          <w:szCs w:val="24"/>
          <w:highlight w:val="none"/>
          <w:u w:val="single"/>
        </w:rPr>
        <w:t>保留进一步追究</w:t>
      </w:r>
      <w:r>
        <w:rPr>
          <w:rFonts w:hint="eastAsia" w:ascii="宋体" w:hAnsi="宋体" w:eastAsia="宋体" w:cs="宋体"/>
          <w:color w:val="auto"/>
          <w:kern w:val="2"/>
          <w:sz w:val="24"/>
          <w:szCs w:val="24"/>
          <w:highlight w:val="none"/>
          <w:u w:val="single"/>
          <w:lang w:eastAsia="zh-CN"/>
        </w:rPr>
        <w:t>乙方</w:t>
      </w:r>
      <w:r>
        <w:rPr>
          <w:rFonts w:hint="eastAsia" w:ascii="宋体" w:hAnsi="宋体" w:eastAsia="宋体" w:cs="宋体"/>
          <w:color w:val="auto"/>
          <w:kern w:val="2"/>
          <w:sz w:val="24"/>
          <w:szCs w:val="24"/>
          <w:highlight w:val="none"/>
          <w:u w:val="single"/>
        </w:rPr>
        <w:t>违约责任的权利</w:t>
      </w:r>
      <w:r>
        <w:rPr>
          <w:rFonts w:hint="eastAsia" w:ascii="宋体" w:hAnsi="宋体" w:eastAsia="宋体" w:cs="宋体"/>
          <w:color w:val="auto"/>
          <w:sz w:val="24"/>
          <w:highlight w:val="none"/>
          <w:u w:val="single"/>
        </w:rPr>
        <w:t>。</w:t>
      </w:r>
      <w:bookmarkEnd w:id="282"/>
    </w:p>
    <w:p w14:paraId="79E70DC2">
      <w:pPr>
        <w:pStyle w:val="118"/>
        <w:spacing w:line="360" w:lineRule="auto"/>
        <w:ind w:firstLine="480" w:firstLineChars="200"/>
        <w:jc w:val="both"/>
        <w:outlineLvl w:val="9"/>
        <w:rPr>
          <w:rFonts w:ascii="宋体" w:hAnsi="宋体" w:eastAsia="宋体" w:cs="宋体"/>
          <w:color w:val="auto"/>
          <w:highlight w:val="none"/>
        </w:rPr>
      </w:pPr>
      <w:bookmarkStart w:id="283" w:name="_Toc287628067"/>
      <w:r>
        <w:rPr>
          <w:rFonts w:hint="eastAsia" w:ascii="宋体" w:hAnsi="宋体" w:eastAsia="宋体" w:cs="宋体"/>
          <w:color w:val="auto"/>
          <w:highlight w:val="none"/>
        </w:rPr>
        <w:t>61．工程量</w:t>
      </w:r>
      <w:bookmarkEnd w:id="283"/>
    </w:p>
    <w:p w14:paraId="1887F9E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61.1 清单工程量包括的工作内容</w:t>
      </w:r>
    </w:p>
    <w:p w14:paraId="7E0B19C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按通用条款的规定。</w:t>
      </w:r>
    </w:p>
    <w:p w14:paraId="5AE7E2B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另作约定：</w:t>
      </w:r>
    </w:p>
    <w:p w14:paraId="3B572EE2">
      <w:pPr>
        <w:pStyle w:val="118"/>
        <w:spacing w:line="360" w:lineRule="auto"/>
        <w:ind w:firstLine="480" w:firstLineChars="200"/>
        <w:jc w:val="both"/>
        <w:outlineLvl w:val="9"/>
        <w:rPr>
          <w:rFonts w:ascii="宋体" w:hAnsi="宋体" w:eastAsia="宋体" w:cs="宋体"/>
          <w:color w:val="auto"/>
          <w:highlight w:val="none"/>
        </w:rPr>
      </w:pPr>
      <w:r>
        <w:rPr>
          <w:rFonts w:hint="eastAsia" w:ascii="宋体" w:hAnsi="宋体" w:eastAsia="宋体" w:cs="宋体"/>
          <w:color w:val="auto"/>
          <w:highlight w:val="none"/>
        </w:rPr>
        <w:t>62．工程计量和计价</w:t>
      </w:r>
    </w:p>
    <w:p w14:paraId="77DE66C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w:t>
      </w:r>
    </w:p>
    <w:p w14:paraId="220B6BE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补充内容：项目工程费用根据推进进展情况选择以下对应方式进行计量：（1）按</w:t>
      </w:r>
      <w:r>
        <w:rPr>
          <w:rFonts w:hint="eastAsia" w:ascii="宋体" w:hAnsi="宋体" w:eastAsia="宋体" w:cs="宋体"/>
          <w:color w:val="auto"/>
          <w:kern w:val="0"/>
          <w:sz w:val="24"/>
          <w:highlight w:val="none"/>
          <w:lang w:val="en-US" w:eastAsia="zh-CN"/>
        </w:rPr>
        <w:t>经甲方确认</w:t>
      </w:r>
      <w:r>
        <w:rPr>
          <w:rFonts w:hint="eastAsia" w:ascii="宋体" w:hAnsi="宋体" w:eastAsia="宋体" w:cs="宋体"/>
          <w:color w:val="auto"/>
          <w:kern w:val="0"/>
          <w:sz w:val="24"/>
          <w:highlight w:val="none"/>
        </w:rPr>
        <w:t>的预算综合单价和完成的工程量计算；（2）若预算未</w:t>
      </w:r>
      <w:r>
        <w:rPr>
          <w:rFonts w:hint="eastAsia" w:ascii="宋体" w:hAnsi="宋体" w:eastAsia="宋体" w:cs="宋体"/>
          <w:color w:val="auto"/>
          <w:kern w:val="0"/>
          <w:sz w:val="24"/>
          <w:highlight w:val="none"/>
          <w:lang w:val="en-US" w:eastAsia="zh-CN"/>
        </w:rPr>
        <w:t>经甲方确认</w:t>
      </w:r>
      <w:r>
        <w:rPr>
          <w:rFonts w:hint="eastAsia" w:ascii="宋体" w:hAnsi="宋体" w:eastAsia="宋体" w:cs="宋体"/>
          <w:color w:val="auto"/>
          <w:kern w:val="0"/>
          <w:sz w:val="24"/>
          <w:highlight w:val="none"/>
        </w:rPr>
        <w:t>，以</w:t>
      </w:r>
      <w:r>
        <w:rPr>
          <w:rFonts w:hint="eastAsia" w:ascii="宋体" w:hAnsi="宋体" w:eastAsia="宋体" w:cs="宋体"/>
          <w:color w:val="auto"/>
          <w:kern w:val="0"/>
          <w:sz w:val="24"/>
          <w:highlight w:val="none"/>
          <w:lang w:val="en-US" w:eastAsia="zh-CN"/>
        </w:rPr>
        <w:t>经甲方确认</w:t>
      </w:r>
      <w:r>
        <w:rPr>
          <w:rFonts w:hint="eastAsia" w:ascii="宋体" w:hAnsi="宋体" w:eastAsia="宋体" w:cs="宋体"/>
          <w:color w:val="auto"/>
          <w:kern w:val="0"/>
          <w:sz w:val="24"/>
          <w:highlight w:val="none"/>
        </w:rPr>
        <w:t>的概算综合单价为依据和完成的工程量计算；（3）若概算未</w:t>
      </w:r>
      <w:r>
        <w:rPr>
          <w:rFonts w:hint="eastAsia" w:ascii="宋体" w:hAnsi="宋体" w:eastAsia="宋体" w:cs="宋体"/>
          <w:color w:val="auto"/>
          <w:kern w:val="0"/>
          <w:sz w:val="24"/>
          <w:highlight w:val="none"/>
          <w:lang w:val="en-US" w:eastAsia="zh-CN"/>
        </w:rPr>
        <w:t>经甲方确认</w:t>
      </w:r>
      <w:r>
        <w:rPr>
          <w:rFonts w:hint="eastAsia" w:ascii="宋体" w:hAnsi="宋体" w:eastAsia="宋体" w:cs="宋体"/>
          <w:color w:val="auto"/>
          <w:kern w:val="0"/>
          <w:sz w:val="24"/>
          <w:highlight w:val="none"/>
        </w:rPr>
        <w:t>，按本合同约定概、预算编制原则暂定工程量清单综合单价，乘以工程量计算。</w:t>
      </w:r>
    </w:p>
    <w:p w14:paraId="3CF17737">
      <w:pPr>
        <w:pStyle w:val="118"/>
        <w:spacing w:line="360" w:lineRule="auto"/>
        <w:ind w:firstLine="241" w:firstLineChars="100"/>
        <w:jc w:val="both"/>
        <w:outlineLvl w:val="9"/>
        <w:rPr>
          <w:rFonts w:ascii="宋体" w:hAnsi="宋体" w:eastAsia="宋体" w:cs="宋体"/>
          <w:color w:val="auto"/>
          <w:highlight w:val="none"/>
        </w:rPr>
      </w:pPr>
      <w:bookmarkStart w:id="284" w:name="_Toc287628068"/>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63．暂列金额</w:t>
      </w:r>
      <w:bookmarkEnd w:id="284"/>
    </w:p>
    <w:p w14:paraId="4B6C72A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63.1 合同工程的暂列金额为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p>
    <w:p w14:paraId="16A54409">
      <w:pPr>
        <w:pStyle w:val="118"/>
        <w:spacing w:line="360" w:lineRule="auto"/>
        <w:ind w:firstLine="482" w:firstLineChars="200"/>
        <w:jc w:val="both"/>
        <w:outlineLvl w:val="9"/>
        <w:rPr>
          <w:rFonts w:ascii="宋体" w:hAnsi="宋体" w:eastAsia="宋体" w:cs="宋体"/>
          <w:color w:val="auto"/>
          <w:highlight w:val="none"/>
        </w:rPr>
      </w:pPr>
      <w:bookmarkStart w:id="285" w:name="_Toc287628069"/>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65．暂估价</w:t>
      </w:r>
      <w:bookmarkEnd w:id="285"/>
    </w:p>
    <w:p w14:paraId="70764390">
      <w:pPr>
        <w:autoSpaceDE w:val="0"/>
        <w:autoSpaceDN w:val="0"/>
        <w:adjustRightInd w:val="0"/>
        <w:spacing w:line="360" w:lineRule="auto"/>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kern w:val="0"/>
          <w:sz w:val="24"/>
          <w:highlight w:val="none"/>
        </w:rPr>
        <w:t>65.1 招标暂估价项目</w:t>
      </w:r>
    </w:p>
    <w:p w14:paraId="064E491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必须招标暂估价项目合同双方当事人的权利、义务</w:t>
      </w:r>
    </w:p>
    <w:p w14:paraId="129F94E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材料、工程设备：</w:t>
      </w:r>
      <w:r>
        <w:rPr>
          <w:rFonts w:hint="eastAsia" w:ascii="宋体" w:hAnsi="宋体" w:eastAsia="宋体" w:cs="宋体"/>
          <w:color w:val="auto"/>
          <w:kern w:val="0"/>
          <w:sz w:val="24"/>
          <w:highlight w:val="none"/>
          <w:u w:val="single"/>
        </w:rPr>
        <w:t xml:space="preserve">  /  </w:t>
      </w:r>
    </w:p>
    <w:p w14:paraId="5C2C1C8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专业工程：</w:t>
      </w:r>
      <w:r>
        <w:rPr>
          <w:rFonts w:hint="eastAsia" w:hAnsi="宋体" w:eastAsia="宋体" w:cs="宋体"/>
          <w:color w:val="auto"/>
          <w:sz w:val="24"/>
          <w:highlight w:val="none"/>
          <w:u w:val="single"/>
        </w:rPr>
        <w:t>/</w:t>
      </w:r>
      <w:r>
        <w:rPr>
          <w:rFonts w:hint="eastAsia" w:ascii="宋体" w:hAnsi="宋体" w:eastAsia="宋体" w:cs="宋体"/>
          <w:color w:val="auto"/>
          <w:kern w:val="0"/>
          <w:sz w:val="24"/>
          <w:highlight w:val="none"/>
        </w:rPr>
        <w:t>。</w:t>
      </w:r>
    </w:p>
    <w:p w14:paraId="5601894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65.3 非招标专业工程款的确定</w:t>
      </w:r>
    </w:p>
    <w:p w14:paraId="2A0B0671">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按通用条款的规定，由造价工程师与分包人确定。</w:t>
      </w:r>
    </w:p>
    <w:p w14:paraId="3035030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  </w:t>
      </w:r>
    </w:p>
    <w:p w14:paraId="4D19809A">
      <w:pPr>
        <w:pStyle w:val="118"/>
        <w:spacing w:line="360" w:lineRule="auto"/>
        <w:jc w:val="both"/>
        <w:outlineLvl w:val="9"/>
        <w:rPr>
          <w:rFonts w:ascii="宋体" w:hAnsi="宋体" w:eastAsia="宋体" w:cs="宋体"/>
          <w:color w:val="auto"/>
          <w:highlight w:val="none"/>
        </w:rPr>
      </w:pPr>
      <w:r>
        <w:rPr>
          <w:rFonts w:hint="eastAsia" w:ascii="宋体" w:hAnsi="宋体" w:eastAsia="宋体" w:cs="宋体"/>
          <w:color w:val="auto"/>
          <w:sz w:val="20"/>
          <w:szCs w:val="20"/>
          <w:highlight w:val="none"/>
        </w:rPr>
        <w:t xml:space="preserve">   </w:t>
      </w:r>
      <w:bookmarkStart w:id="286" w:name="_Toc287628070"/>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66．提前竣工奖与误期赔偿费</w:t>
      </w:r>
      <w:bookmarkEnd w:id="286"/>
    </w:p>
    <w:p w14:paraId="77F238F5">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66.1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提前竣工奖</w:t>
      </w:r>
    </w:p>
    <w:p w14:paraId="369F4498">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（1）提前竣工奖额度</w:t>
      </w:r>
    </w:p>
    <w:p w14:paraId="48628BA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没约定提前竣工奖的，本款不适用。</w:t>
      </w:r>
    </w:p>
    <w:p w14:paraId="71AA75D4">
      <w:pPr>
        <w:autoSpaceDE w:val="0"/>
        <w:autoSpaceDN w:val="0"/>
        <w:adjustRightInd w:val="0"/>
        <w:spacing w:line="360" w:lineRule="auto"/>
        <w:ind w:firstLine="220" w:firstLineChars="200"/>
        <w:rPr>
          <w:rFonts w:ascii="宋体" w:hAnsi="宋体" w:eastAsia="宋体" w:cs="宋体"/>
          <w:color w:val="auto"/>
          <w:kern w:val="0"/>
          <w:sz w:val="11"/>
          <w:szCs w:val="11"/>
          <w:highlight w:val="none"/>
        </w:rPr>
      </w:pPr>
    </w:p>
    <w:p w14:paraId="683F143E">
      <w:pPr>
        <w:tabs>
          <w:tab w:val="left" w:pos="6880"/>
        </w:tabs>
        <w:autoSpaceDE w:val="0"/>
        <w:autoSpaceDN w:val="0"/>
        <w:adjustRightInd w:val="0"/>
        <w:spacing w:line="360" w:lineRule="auto"/>
        <w:ind w:firstLine="480" w:firstLineChars="200"/>
        <w:rPr>
          <w:rFonts w:ascii="宋体" w:hAnsi="宋体" w:eastAsia="宋体" w:cs="宋体"/>
          <w:color w:val="auto"/>
          <w:spacing w:val="-48"/>
          <w:kern w:val="0"/>
          <w:sz w:val="24"/>
          <w:highlight w:val="none"/>
        </w:rPr>
      </w:pPr>
      <w:r>
        <w:rPr>
          <w:rFonts w:hint="eastAsia" w:ascii="宋体" w:hAnsi="宋体" w:eastAsia="宋体" w:cs="宋体"/>
          <w:color w:val="auto"/>
          <w:kern w:val="0"/>
          <w:sz w:val="24"/>
          <w:highlight w:val="none"/>
        </w:rPr>
        <w:t>□ 约定提前竣工奖的</w:t>
      </w:r>
      <w:r>
        <w:rPr>
          <w:rFonts w:hint="eastAsia" w:ascii="宋体" w:hAnsi="宋体" w:eastAsia="宋体" w:cs="宋体"/>
          <w:color w:val="auto"/>
          <w:spacing w:val="-48"/>
          <w:kern w:val="0"/>
          <w:sz w:val="24"/>
          <w:highlight w:val="none"/>
        </w:rPr>
        <w:t>，</w:t>
      </w:r>
      <w:r>
        <w:rPr>
          <w:rFonts w:hint="eastAsia" w:ascii="宋体" w:hAnsi="宋体" w:eastAsia="宋体" w:cs="宋体"/>
          <w:color w:val="auto"/>
          <w:kern w:val="0"/>
          <w:sz w:val="24"/>
          <w:highlight w:val="none"/>
        </w:rPr>
        <w:t>每日历天应奖额度为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r>
        <w:rPr>
          <w:rFonts w:hint="eastAsia" w:ascii="宋体" w:hAnsi="宋体" w:eastAsia="宋体" w:cs="宋体"/>
          <w:color w:val="auto"/>
          <w:spacing w:val="-48"/>
          <w:kern w:val="0"/>
          <w:sz w:val="24"/>
          <w:highlight w:val="none"/>
        </w:rPr>
        <w:t>。</w:t>
      </w:r>
    </w:p>
    <w:p w14:paraId="0824479C">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（2）提前竣工奖的最高限额</w:t>
      </w:r>
    </w:p>
    <w:p w14:paraId="7CD8B4C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按通用条款规定为合同价款的5%，即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2C6F5CC4">
      <w:pPr>
        <w:tabs>
          <w:tab w:val="left" w:pos="6880"/>
        </w:tabs>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  </w:t>
      </w:r>
    </w:p>
    <w:p w14:paraId="490B0D50">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66.2</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误期赔偿费</w:t>
      </w:r>
    </w:p>
    <w:p w14:paraId="3BABF07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每日历天应赔额度为</w:t>
      </w:r>
      <w:r>
        <w:rPr>
          <w:rFonts w:hint="eastAsia" w:ascii="宋体" w:hAnsi="宋体" w:eastAsia="宋体" w:cs="宋体"/>
          <w:color w:val="auto"/>
          <w:kern w:val="0"/>
          <w:sz w:val="24"/>
          <w:highlight w:val="none"/>
          <w:u w:val="single"/>
        </w:rPr>
        <w:t>各单项工程施工费的万分之</w:t>
      </w:r>
      <w:r>
        <w:rPr>
          <w:rFonts w:hint="default" w:ascii="宋体" w:hAnsi="宋体" w:eastAsia="宋体" w:cs="宋体"/>
          <w:color w:val="auto"/>
          <w:kern w:val="0"/>
          <w:sz w:val="24"/>
          <w:highlight w:val="none"/>
          <w:u w:val="single"/>
          <w:lang w:val="en-US"/>
        </w:rPr>
        <w:t>三</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所扣违约金在工程</w:t>
      </w:r>
      <w:r>
        <w:rPr>
          <w:rFonts w:hint="eastAsia" w:ascii="宋体" w:hAnsi="宋体" w:eastAsia="宋体" w:cs="宋体"/>
          <w:color w:val="auto"/>
          <w:kern w:val="0"/>
          <w:sz w:val="24"/>
          <w:highlight w:val="none"/>
          <w:u w:val="single"/>
          <w:lang w:val="en-US" w:eastAsia="zh-CN"/>
        </w:rPr>
        <w:t>每月进度</w:t>
      </w:r>
      <w:r>
        <w:rPr>
          <w:rFonts w:hint="eastAsia" w:ascii="宋体" w:hAnsi="宋体" w:eastAsia="宋体" w:cs="宋体"/>
          <w:color w:val="auto"/>
          <w:kern w:val="0"/>
          <w:sz w:val="24"/>
          <w:highlight w:val="none"/>
          <w:u w:val="single"/>
        </w:rPr>
        <w:t>款中扣除。</w:t>
      </w:r>
    </w:p>
    <w:p w14:paraId="633330B8">
      <w:pPr>
        <w:tabs>
          <w:tab w:val="left" w:pos="626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误期赔偿费最高限额</w:t>
      </w:r>
    </w:p>
    <w:p w14:paraId="66E8A5C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■按通用条款规定为合同价款的5%，即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559DEFC0">
      <w:pPr>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 补充约定：</w:t>
      </w:r>
      <w:r>
        <w:rPr>
          <w:rFonts w:hint="eastAsia" w:ascii="宋体" w:hAnsi="宋体" w:eastAsia="宋体" w:cs="宋体"/>
          <w:color w:val="auto"/>
          <w:kern w:val="0"/>
          <w:sz w:val="24"/>
          <w:highlight w:val="none"/>
          <w:u w:val="single"/>
        </w:rPr>
        <w:t>乙方延误超过</w:t>
      </w:r>
      <w:r>
        <w:rPr>
          <w:rFonts w:hint="default" w:ascii="宋体" w:hAnsi="宋体" w:eastAsia="宋体" w:cs="宋体"/>
          <w:color w:val="auto"/>
          <w:kern w:val="0"/>
          <w:sz w:val="24"/>
          <w:highlight w:val="none"/>
          <w:u w:val="single"/>
          <w:lang w:val="en-US"/>
        </w:rPr>
        <w:t>30</w:t>
      </w:r>
      <w:r>
        <w:rPr>
          <w:rFonts w:hint="eastAsia" w:ascii="宋体" w:hAnsi="宋体" w:eastAsia="宋体" w:cs="宋体"/>
          <w:color w:val="auto"/>
          <w:kern w:val="0"/>
          <w:sz w:val="24"/>
          <w:highlight w:val="none"/>
          <w:u w:val="single"/>
        </w:rPr>
        <w:t>天的，甲方有权解除合同</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没收履约保证金</w:t>
      </w:r>
      <w:r>
        <w:rPr>
          <w:rFonts w:hint="eastAsia" w:ascii="宋体" w:hAnsi="宋体" w:eastAsia="宋体" w:cs="宋体"/>
          <w:color w:val="auto"/>
          <w:kern w:val="0"/>
          <w:sz w:val="24"/>
          <w:highlight w:val="none"/>
          <w:u w:val="single"/>
        </w:rPr>
        <w:t>。误期赔偿费甲方有权在乙方应得的工程进度款、结算款中直接扣除。</w:t>
      </w:r>
    </w:p>
    <w:p w14:paraId="5E14F702">
      <w:pPr>
        <w:pStyle w:val="118"/>
        <w:spacing w:line="360" w:lineRule="auto"/>
        <w:ind w:firstLine="241" w:firstLineChars="100"/>
        <w:jc w:val="both"/>
        <w:outlineLvl w:val="9"/>
        <w:rPr>
          <w:rFonts w:ascii="宋体" w:hAnsi="宋体" w:eastAsia="宋体" w:cs="宋体"/>
          <w:color w:val="auto"/>
          <w:highlight w:val="none"/>
        </w:rPr>
      </w:pPr>
      <w:bookmarkStart w:id="287" w:name="_Toc287628071"/>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67．工程优质费、工程建设标准费用</w:t>
      </w:r>
      <w:bookmarkEnd w:id="287"/>
    </w:p>
    <w:p w14:paraId="68EEAA4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position w:val="-2"/>
          <w:sz w:val="24"/>
          <w:highlight w:val="none"/>
        </w:rPr>
        <w:t>67.1 工程优质费的计算方法</w:t>
      </w:r>
    </w:p>
    <w:p w14:paraId="50B55AE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没约定工程优质费，本款不适用；</w:t>
      </w:r>
    </w:p>
    <w:p w14:paraId="6C6736D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约定工程优质费的，其计算方法：</w:t>
      </w:r>
    </w:p>
    <w:p w14:paraId="49574263">
      <w:pPr>
        <w:autoSpaceDE w:val="0"/>
        <w:autoSpaceDN w:val="0"/>
        <w:adjustRightInd w:val="0"/>
        <w:spacing w:line="360" w:lineRule="auto"/>
        <w:ind w:firstLine="211" w:firstLineChars="100"/>
        <w:rPr>
          <w:rFonts w:ascii="宋体" w:hAnsi="宋体" w:eastAsia="宋体" w:cs="宋体"/>
          <w:color w:val="auto"/>
          <w:kern w:val="0"/>
          <w:sz w:val="24"/>
          <w:highlight w:val="none"/>
        </w:rPr>
      </w:pPr>
      <w:r>
        <w:rPr>
          <w:rFonts w:hint="eastAsia" w:ascii="宋体" w:hAnsi="宋体" w:eastAsia="宋体" w:cs="宋体"/>
          <w:b/>
          <w:bCs/>
          <w:color w:val="auto"/>
          <w:highlight w:val="none"/>
        </w:rPr>
        <w:t>★</w:t>
      </w:r>
      <w:r>
        <w:rPr>
          <w:rFonts w:hint="eastAsia" w:ascii="宋体" w:hAnsi="宋体" w:eastAsia="宋体" w:cs="宋体"/>
          <w:color w:val="auto"/>
          <w:kern w:val="0"/>
          <w:sz w:val="24"/>
          <w:highlight w:val="none"/>
        </w:rPr>
        <w:t>67.2 工程优质费的计算额度：</w:t>
      </w:r>
    </w:p>
    <w:p w14:paraId="0347F6A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□按通用条款规定计算。</w:t>
      </w:r>
    </w:p>
    <w:p w14:paraId="5F72422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□另作约定（合同工程同时获得下列多个奖项的，只按最高奖项的额度计算）：</w:t>
      </w:r>
    </w:p>
    <w:p w14:paraId="0F8E40B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国家级质量奖，合同价款的</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1BD22FFC">
      <w:pPr>
        <w:tabs>
          <w:tab w:val="left" w:pos="628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省级质量奖，合同价款的</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2BA87BB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市级质量奖，合同价款的</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5681E6C2">
      <w:pPr>
        <w:pStyle w:val="118"/>
        <w:spacing w:line="360" w:lineRule="auto"/>
        <w:ind w:firstLine="241" w:firstLineChars="100"/>
        <w:jc w:val="both"/>
        <w:outlineLvl w:val="9"/>
        <w:rPr>
          <w:rFonts w:ascii="宋体" w:hAnsi="宋体" w:eastAsia="宋体" w:cs="宋体"/>
          <w:color w:val="auto"/>
          <w:highlight w:val="none"/>
        </w:rPr>
      </w:pPr>
      <w:bookmarkStart w:id="288" w:name="_Toc287628072"/>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68．合同价款的约定与调整</w:t>
      </w:r>
      <w:bookmarkEnd w:id="288"/>
    </w:p>
    <w:p w14:paraId="07C96CA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68.3 合同价款的调整事件</w:t>
      </w:r>
    </w:p>
    <w:p w14:paraId="68DEB667">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按通用条款规定的调整事件。</w:t>
      </w:r>
    </w:p>
    <w:p w14:paraId="1987E0C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p>
    <w:p w14:paraId="20F02A44">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 xml:space="preserve"> 工程量的偏差；</w:t>
      </w:r>
    </w:p>
    <w:p w14:paraId="368E8B31">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 xml:space="preserve"> 工程变更；</w:t>
      </w:r>
    </w:p>
    <w:p w14:paraId="5115870D">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合同执行期间发现报价中有严重不平衡报价的项目；</w:t>
      </w:r>
    </w:p>
    <w:p w14:paraId="28531FAF">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物价及后继法律法规的变化（按专用条款第76条执行）；</w:t>
      </w:r>
    </w:p>
    <w:p w14:paraId="1350BCA1">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费用索赔事件或甲、乙方负责的其他情况；</w:t>
      </w:r>
    </w:p>
    <w:p w14:paraId="302C7FDF">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工程造价管理机构发布的造价调整（按专用条款第76条优先执行，本合同如已明确约定，则工程造价管理机构发布的造价调整文件不适用）；</w:t>
      </w:r>
    </w:p>
    <w:p w14:paraId="0A78F3D6">
      <w:pPr>
        <w:pStyle w:val="6"/>
        <w:spacing w:line="360" w:lineRule="auto"/>
        <w:ind w:firstLine="480"/>
        <w:rPr>
          <w:rFonts w:ascii="宋体" w:hAnsi="宋体" w:eastAsia="宋体" w:cs="宋体"/>
          <w:color w:val="auto"/>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工程签证</w:t>
      </w:r>
    </w:p>
    <w:p w14:paraId="42A5E789">
      <w:pPr>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其他调整因素：</w:t>
      </w:r>
    </w:p>
    <w:p w14:paraId="454CA004">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68.3（9） 调整合同价款的其他事件：</w:t>
      </w:r>
      <w:r>
        <w:rPr>
          <w:rFonts w:hint="eastAsia" w:ascii="宋体" w:hAnsi="宋体" w:eastAsia="宋体" w:cs="宋体"/>
          <w:color w:val="auto"/>
          <w:kern w:val="0"/>
          <w:sz w:val="24"/>
          <w:highlight w:val="none"/>
          <w:u w:val="single"/>
        </w:rPr>
        <w:t xml:space="preserve">  /  </w:t>
      </w:r>
    </w:p>
    <w:p w14:paraId="2244FAFF">
      <w:pPr>
        <w:pStyle w:val="118"/>
        <w:spacing w:line="360" w:lineRule="auto"/>
        <w:ind w:firstLine="480" w:firstLineChars="200"/>
        <w:jc w:val="both"/>
        <w:outlineLvl w:val="9"/>
        <w:rPr>
          <w:rFonts w:ascii="宋体" w:hAnsi="宋体" w:eastAsia="宋体" w:cs="宋体"/>
          <w:color w:val="auto"/>
          <w:highlight w:val="none"/>
        </w:rPr>
      </w:pPr>
      <w:bookmarkStart w:id="289" w:name="_Toc287628073"/>
      <w:r>
        <w:rPr>
          <w:rFonts w:hint="eastAsia" w:ascii="宋体" w:hAnsi="宋体" w:eastAsia="宋体" w:cs="宋体"/>
          <w:color w:val="auto"/>
          <w:highlight w:val="none"/>
        </w:rPr>
        <w:t>72．工程变更事件</w:t>
      </w:r>
      <w:bookmarkEnd w:id="289"/>
    </w:p>
    <w:p w14:paraId="33EC9021">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72.2</w:t>
      </w:r>
      <w:r>
        <w:rPr>
          <w:rFonts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rPr>
        <w:t>调整分部分项工程费的方法：本项目按EPC模式实施，通用条款不适用。结算时分部分项工程工程量根据竣工图按实计算。</w:t>
      </w:r>
    </w:p>
    <w:p w14:paraId="0D010C1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72.5 此条款内容不适用于本合同。</w:t>
      </w:r>
    </w:p>
    <w:p w14:paraId="5F8DF345">
      <w:pPr>
        <w:pStyle w:val="118"/>
        <w:spacing w:line="360" w:lineRule="auto"/>
        <w:ind w:firstLine="480" w:firstLineChars="200"/>
        <w:jc w:val="both"/>
        <w:outlineLvl w:val="9"/>
        <w:rPr>
          <w:rFonts w:ascii="宋体" w:hAnsi="宋体" w:eastAsia="宋体" w:cs="宋体"/>
          <w:color w:val="auto"/>
          <w:highlight w:val="none"/>
        </w:rPr>
      </w:pPr>
      <w:bookmarkStart w:id="290" w:name="_Toc287628074"/>
      <w:r>
        <w:rPr>
          <w:rFonts w:hint="eastAsia" w:ascii="宋体" w:hAnsi="宋体" w:eastAsia="宋体" w:cs="宋体"/>
          <w:color w:val="auto"/>
          <w:highlight w:val="none"/>
        </w:rPr>
        <w:t>73．工程量偏差事件</w:t>
      </w:r>
      <w:bookmarkEnd w:id="290"/>
    </w:p>
    <w:p w14:paraId="10FC0DC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73.2 调整分部分项工程费的方法</w:t>
      </w:r>
    </w:p>
    <w:p w14:paraId="34E8746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调整结算分部分项工程费：</w:t>
      </w:r>
    </w:p>
    <w:p w14:paraId="250A389D">
      <w:pPr>
        <w:autoSpaceDE w:val="0"/>
        <w:autoSpaceDN w:val="0"/>
        <w:adjustRightInd w:val="0"/>
        <w:spacing w:line="360" w:lineRule="auto"/>
        <w:ind w:firstLine="480" w:firstLineChars="200"/>
        <w:rPr>
          <w:rFonts w:ascii="宋体" w:hAnsi="宋体" w:eastAsia="宋体" w:cs="宋体"/>
          <w:color w:val="auto"/>
          <w:kern w:val="0"/>
          <w:sz w:val="24"/>
          <w:szCs w:val="16"/>
          <w:highlight w:val="none"/>
        </w:rPr>
      </w:pPr>
      <w:r>
        <w:rPr>
          <w:rFonts w:hint="eastAsia" w:ascii="宋体" w:hAnsi="宋体" w:eastAsia="宋体" w:cs="宋体"/>
          <w:color w:val="auto"/>
          <w:kern w:val="0"/>
          <w:sz w:val="24"/>
          <w:highlight w:val="none"/>
        </w:rPr>
        <w:t>□按通用条款的规定调整；</w:t>
      </w:r>
      <w:r>
        <w:rPr>
          <w:rFonts w:hint="eastAsia" w:ascii="宋体" w:hAnsi="宋体" w:eastAsia="宋体" w:cs="宋体"/>
          <w:color w:val="auto"/>
          <w:kern w:val="0"/>
          <w:sz w:val="24"/>
          <w:szCs w:val="16"/>
          <w:highlight w:val="none"/>
        </w:rPr>
        <w:t xml:space="preserve"> </w:t>
      </w:r>
    </w:p>
    <w:p w14:paraId="53085EB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■按照下列方法调整：</w:t>
      </w:r>
    </w:p>
    <w:p w14:paraId="40AADB6B">
      <w:pPr>
        <w:pStyle w:val="6"/>
        <w:spacing w:line="360" w:lineRule="auto"/>
        <w:ind w:firstLine="480"/>
        <w:rPr>
          <w:rFonts w:ascii="宋体" w:hAnsi="宋体" w:eastAsia="宋体" w:cs="宋体"/>
          <w:color w:val="auto"/>
          <w:highlight w:val="none"/>
        </w:rPr>
      </w:pPr>
      <w:r>
        <w:rPr>
          <w:rFonts w:hint="eastAsia" w:ascii="宋体" w:hAnsi="宋体" w:eastAsia="宋体" w:cs="宋体"/>
          <w:color w:val="auto"/>
          <w:kern w:val="0"/>
          <w:sz w:val="24"/>
          <w:highlight w:val="none"/>
        </w:rPr>
        <w:t>本项目按EPC模式实施，通用条款不适用。结算时分部分项工程工程量根据竣工图按实计算。</w:t>
      </w:r>
    </w:p>
    <w:p w14:paraId="241530E2">
      <w:pPr>
        <w:autoSpaceDE w:val="0"/>
        <w:autoSpaceDN w:val="0"/>
        <w:adjustRightInd w:val="0"/>
        <w:spacing w:line="360" w:lineRule="auto"/>
        <w:ind w:firstLine="480" w:firstLineChars="200"/>
        <w:rPr>
          <w:rFonts w:ascii="宋体" w:hAnsi="宋体" w:eastAsia="宋体" w:cs="宋体"/>
          <w:color w:val="auto"/>
          <w:kern w:val="0"/>
          <w:position w:val="-1"/>
          <w:sz w:val="24"/>
          <w:highlight w:val="none"/>
        </w:rPr>
      </w:pPr>
      <w:r>
        <w:rPr>
          <w:rFonts w:hint="eastAsia" w:ascii="宋体" w:hAnsi="宋体" w:eastAsia="宋体" w:cs="宋体"/>
          <w:color w:val="auto"/>
          <w:kern w:val="0"/>
          <w:position w:val="-1"/>
          <w:sz w:val="24"/>
          <w:highlight w:val="none"/>
        </w:rPr>
        <w:t>73.3 调整措施项目费的方法</w:t>
      </w:r>
    </w:p>
    <w:p w14:paraId="733C5C2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position w:val="-1"/>
          <w:sz w:val="24"/>
          <w:highlight w:val="none"/>
        </w:rPr>
        <w:t>调整结算措施项目费：</w:t>
      </w:r>
    </w:p>
    <w:p w14:paraId="1000D461">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bookmarkStart w:id="291" w:name="OLE_LINK1"/>
      <w:r>
        <w:rPr>
          <w:rFonts w:hint="eastAsia" w:ascii="宋体" w:hAnsi="宋体" w:eastAsia="宋体" w:cs="宋体"/>
          <w:color w:val="auto"/>
          <w:kern w:val="0"/>
          <w:sz w:val="24"/>
          <w:highlight w:val="none"/>
        </w:rPr>
        <w:t>□ 按通用条款的规定调整；</w:t>
      </w:r>
    </w:p>
    <w:p w14:paraId="7F14584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按照下列方法调整：</w:t>
      </w:r>
      <w:bookmarkEnd w:id="291"/>
    </w:p>
    <w:p w14:paraId="5DA06F94">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本项目按EPC模式实施，通用条款不适用。本项目依据预算签订的补充协议对应的措施项目费包干，不调整。</w:t>
      </w:r>
      <w:r>
        <w:rPr>
          <w:rFonts w:hint="eastAsia" w:ascii="宋体" w:hAnsi="宋体" w:eastAsia="宋体" w:cs="宋体"/>
          <w:bCs/>
          <w:snapToGrid w:val="0"/>
          <w:color w:val="auto"/>
          <w:kern w:val="0"/>
          <w:sz w:val="24"/>
          <w:highlight w:val="none"/>
          <w:u w:val="single"/>
        </w:rPr>
        <w:t>项目措施费调减的特殊情况：</w:t>
      </w:r>
      <w:r>
        <w:rPr>
          <w:rFonts w:hint="eastAsia" w:ascii="宋体" w:hAnsi="宋体" w:eastAsia="宋体" w:cs="宋体"/>
          <w:color w:val="auto"/>
          <w:sz w:val="24"/>
          <w:highlight w:val="none"/>
        </w:rPr>
        <w:t>工程实施内容减少，</w:t>
      </w:r>
      <w:r>
        <w:rPr>
          <w:rFonts w:hint="eastAsia" w:ascii="宋体" w:hAnsi="宋体" w:eastAsia="宋体" w:cs="宋体"/>
          <w:color w:val="auto"/>
          <w:sz w:val="24"/>
          <w:highlight w:val="none"/>
          <w:lang w:val="en-US" w:eastAsia="zh-CN"/>
        </w:rPr>
        <w:t>据实</w:t>
      </w:r>
      <w:r>
        <w:rPr>
          <w:rFonts w:hint="eastAsia" w:ascii="宋体" w:hAnsi="宋体" w:eastAsia="宋体" w:cs="宋体"/>
          <w:color w:val="auto"/>
          <w:sz w:val="24"/>
          <w:highlight w:val="none"/>
        </w:rPr>
        <w:t>调减措施项目费</w:t>
      </w:r>
      <w:r>
        <w:rPr>
          <w:rFonts w:hint="eastAsia" w:ascii="宋体" w:hAnsi="宋体" w:eastAsia="宋体" w:cs="宋体"/>
          <w:bCs/>
          <w:snapToGrid w:val="0"/>
          <w:color w:val="auto"/>
          <w:kern w:val="0"/>
          <w:sz w:val="24"/>
          <w:highlight w:val="none"/>
          <w:u w:val="single"/>
        </w:rPr>
        <w:t>。措施项目费增加的，均不得调整。</w:t>
      </w:r>
    </w:p>
    <w:p w14:paraId="338035BD">
      <w:pPr>
        <w:pStyle w:val="118"/>
        <w:spacing w:line="360" w:lineRule="auto"/>
        <w:ind w:firstLine="480" w:firstLineChars="200"/>
        <w:jc w:val="both"/>
        <w:outlineLvl w:val="9"/>
        <w:rPr>
          <w:rFonts w:ascii="宋体" w:hAnsi="宋体" w:eastAsia="宋体" w:cs="宋体"/>
          <w:color w:val="auto"/>
          <w:highlight w:val="none"/>
        </w:rPr>
      </w:pPr>
      <w:bookmarkStart w:id="292" w:name="_Toc287628075"/>
      <w:r>
        <w:rPr>
          <w:rFonts w:hint="eastAsia" w:ascii="宋体" w:hAnsi="宋体" w:eastAsia="宋体" w:cs="宋体"/>
          <w:color w:val="auto"/>
          <w:highlight w:val="none"/>
        </w:rPr>
        <w:t>75．现场签证事件</w:t>
      </w:r>
      <w:bookmarkEnd w:id="292"/>
    </w:p>
    <w:p w14:paraId="6E746CB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75.3 现场签证报告的确认</w:t>
      </w:r>
    </w:p>
    <w:p w14:paraId="4570C3C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提交现场签证报告的时间：</w:t>
      </w:r>
    </w:p>
    <w:p w14:paraId="30A3C25C">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按通用条款规定的时间提交；</w:t>
      </w:r>
    </w:p>
    <w:p w14:paraId="045FD10D">
      <w:pPr>
        <w:pStyle w:val="6"/>
        <w:spacing w:line="360" w:lineRule="auto"/>
        <w:ind w:firstLine="480"/>
        <w:rPr>
          <w:rFonts w:hint="eastAsia" w:ascii="宋体" w:hAnsi="宋体" w:eastAsia="宋体"/>
          <w:color w:val="auto"/>
          <w:sz w:val="24"/>
          <w:highlight w:val="none"/>
        </w:rPr>
      </w:pPr>
      <w:r>
        <w:rPr>
          <w:rFonts w:hint="eastAsia" w:ascii="宋体" w:hAnsi="宋体" w:eastAsia="宋体"/>
          <w:color w:val="auto"/>
          <w:sz w:val="24"/>
          <w:highlight w:val="none"/>
        </w:rPr>
        <w:t xml:space="preserve">□ </w:t>
      </w:r>
      <w:r>
        <w:rPr>
          <w:rFonts w:ascii="宋体" w:hAnsi="宋体" w:eastAsia="宋体"/>
          <w:color w:val="auto"/>
          <w:sz w:val="24"/>
          <w:highlight w:val="none"/>
        </w:rPr>
        <w:t>另作约定：</w:t>
      </w:r>
    </w:p>
    <w:p w14:paraId="568C70E5">
      <w:pPr>
        <w:pStyle w:val="118"/>
        <w:spacing w:line="360" w:lineRule="auto"/>
        <w:ind w:firstLine="241" w:firstLineChars="100"/>
        <w:jc w:val="both"/>
        <w:outlineLvl w:val="9"/>
        <w:rPr>
          <w:rFonts w:ascii="宋体" w:hAnsi="宋体" w:eastAsia="宋体" w:cs="宋体"/>
          <w:color w:val="auto"/>
          <w:highlight w:val="none"/>
        </w:rPr>
      </w:pPr>
      <w:bookmarkStart w:id="293" w:name="_Toc287628076"/>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76．物价涨落事件</w:t>
      </w:r>
      <w:bookmarkEnd w:id="293"/>
    </w:p>
    <w:p w14:paraId="2AE6095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none"/>
        </w:rPr>
        <w:t>76.1</w:t>
      </w:r>
      <w:r>
        <w:rPr>
          <w:rFonts w:hint="eastAsia" w:ascii="宋体" w:hAnsi="宋体" w:eastAsia="宋体" w:cs="宋体"/>
          <w:color w:val="auto"/>
          <w:kern w:val="0"/>
          <w:sz w:val="24"/>
          <w:highlight w:val="none"/>
        </w:rPr>
        <w:t>在本合同</w:t>
      </w:r>
      <w:r>
        <w:rPr>
          <w:rFonts w:hint="eastAsia" w:ascii="宋体" w:hAnsi="宋体" w:eastAsia="宋体" w:cs="宋体"/>
          <w:color w:val="auto"/>
          <w:kern w:val="0"/>
          <w:sz w:val="24"/>
          <w:highlight w:val="none"/>
          <w:u w:val="none"/>
        </w:rPr>
        <w:t>约定</w:t>
      </w:r>
      <w:r>
        <w:rPr>
          <w:rFonts w:hint="eastAsia" w:ascii="宋体" w:hAnsi="宋体" w:eastAsia="宋体" w:cs="宋体"/>
          <w:color w:val="auto"/>
          <w:kern w:val="0"/>
          <w:sz w:val="24"/>
          <w:highlight w:val="none"/>
        </w:rPr>
        <w:t>工期内,当钢材、砂（含砂浆）和混凝土价格上涨幅度不超过</w:t>
      </w:r>
      <w:r>
        <w:rPr>
          <w:rFonts w:hint="eastAsia" w:ascii="宋体" w:hAnsi="宋体" w:eastAsia="宋体" w:cs="宋体"/>
          <w:color w:val="auto"/>
          <w:kern w:val="0"/>
          <w:sz w:val="24"/>
          <w:highlight w:val="none"/>
          <w:u w:val="none"/>
          <w:lang w:eastAsia="zh-CN"/>
        </w:rPr>
        <w:t>乙方申报施工图预算编制期</w:t>
      </w:r>
      <w:r>
        <w:rPr>
          <w:rFonts w:hint="eastAsia" w:ascii="宋体" w:hAnsi="宋体" w:eastAsia="宋体" w:cs="宋体"/>
          <w:color w:val="auto"/>
          <w:kern w:val="0"/>
          <w:sz w:val="24"/>
          <w:highlight w:val="none"/>
          <w:u w:val="none"/>
          <w:lang w:val="en-US" w:eastAsia="zh-CN"/>
        </w:rPr>
        <w:t>所在月份</w:t>
      </w:r>
      <w:r>
        <w:rPr>
          <w:rFonts w:hint="eastAsia" w:ascii="宋体" w:hAnsi="宋体" w:eastAsia="宋体" w:cs="宋体"/>
          <w:color w:val="auto"/>
          <w:kern w:val="0"/>
          <w:sz w:val="24"/>
          <w:highlight w:val="none"/>
        </w:rPr>
        <w:t>价格的</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%（含本数）时，材料价差由</w:t>
      </w:r>
      <w:r>
        <w:rPr>
          <w:rFonts w:hint="eastAsia" w:ascii="宋体" w:hAnsi="宋体" w:eastAsia="宋体" w:cs="宋体"/>
          <w:color w:val="auto"/>
          <w:kern w:val="0"/>
          <w:sz w:val="24"/>
          <w:highlight w:val="none"/>
          <w:lang w:eastAsia="zh-CN"/>
        </w:rPr>
        <w:t>乙方</w:t>
      </w:r>
      <w:r>
        <w:rPr>
          <w:rFonts w:hint="eastAsia" w:ascii="宋体" w:hAnsi="宋体" w:eastAsia="宋体" w:cs="宋体"/>
          <w:color w:val="auto"/>
          <w:kern w:val="0"/>
          <w:sz w:val="24"/>
          <w:highlight w:val="none"/>
        </w:rPr>
        <w:t>承担不作调整；上涨超出</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none"/>
        </w:rPr>
        <w:t>但未超过</w:t>
      </w:r>
      <w:r>
        <w:rPr>
          <w:rFonts w:hint="eastAsia" w:ascii="宋体" w:hAnsi="宋体" w:eastAsia="宋体" w:cs="宋体"/>
          <w:color w:val="auto"/>
          <w:kern w:val="0"/>
          <w:sz w:val="24"/>
          <w:highlight w:val="none"/>
          <w:u w:val="none"/>
          <w:lang w:val="en-US" w:eastAsia="zh-CN"/>
        </w:rPr>
        <w:t>10</w:t>
      </w:r>
      <w:r>
        <w:rPr>
          <w:rFonts w:hint="eastAsia" w:ascii="宋体" w:hAnsi="宋体" w:eastAsia="宋体" w:cs="宋体"/>
          <w:color w:val="auto"/>
          <w:kern w:val="0"/>
          <w:sz w:val="24"/>
          <w:highlight w:val="none"/>
          <w:u w:val="none"/>
        </w:rPr>
        <w:t>%（含本数）</w:t>
      </w:r>
      <w:r>
        <w:rPr>
          <w:rFonts w:hint="eastAsia" w:ascii="宋体" w:hAnsi="宋体" w:eastAsia="宋体" w:cs="宋体"/>
          <w:color w:val="auto"/>
          <w:kern w:val="0"/>
          <w:sz w:val="24"/>
          <w:highlight w:val="none"/>
        </w:rPr>
        <w:t>部分的材料价差由</w:t>
      </w:r>
      <w:r>
        <w:rPr>
          <w:rFonts w:hint="eastAsia" w:ascii="宋体" w:hAnsi="宋体" w:eastAsia="宋体" w:cs="宋体"/>
          <w:color w:val="auto"/>
          <w:kern w:val="0"/>
          <w:sz w:val="24"/>
          <w:highlight w:val="none"/>
          <w:lang w:eastAsia="zh-CN"/>
        </w:rPr>
        <w:t>甲方</w:t>
      </w:r>
      <w:r>
        <w:rPr>
          <w:rFonts w:hint="eastAsia" w:ascii="宋体" w:hAnsi="宋体" w:eastAsia="宋体" w:cs="宋体"/>
          <w:color w:val="auto"/>
          <w:kern w:val="0"/>
          <w:sz w:val="24"/>
          <w:highlight w:val="none"/>
        </w:rPr>
        <w:t>及</w:t>
      </w:r>
      <w:r>
        <w:rPr>
          <w:rFonts w:hint="eastAsia" w:ascii="宋体" w:hAnsi="宋体" w:eastAsia="宋体" w:cs="宋体"/>
          <w:color w:val="auto"/>
          <w:kern w:val="0"/>
          <w:sz w:val="24"/>
          <w:highlight w:val="none"/>
          <w:lang w:eastAsia="zh-CN"/>
        </w:rPr>
        <w:t>乙方</w:t>
      </w:r>
      <w:r>
        <w:rPr>
          <w:rFonts w:hint="eastAsia" w:ascii="宋体" w:hAnsi="宋体" w:eastAsia="宋体" w:cs="宋体"/>
          <w:color w:val="auto"/>
          <w:kern w:val="0"/>
          <w:sz w:val="24"/>
          <w:highlight w:val="none"/>
        </w:rPr>
        <w:t>各承担50%；上涨超出</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%部分的材料价差由</w:t>
      </w:r>
      <w:r>
        <w:rPr>
          <w:rFonts w:hint="eastAsia" w:ascii="宋体" w:hAnsi="宋体" w:eastAsia="宋体" w:cs="宋体"/>
          <w:color w:val="auto"/>
          <w:kern w:val="0"/>
          <w:sz w:val="24"/>
          <w:highlight w:val="none"/>
          <w:lang w:eastAsia="zh-CN"/>
        </w:rPr>
        <w:t>甲方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乙方</w:t>
      </w:r>
      <w:r>
        <w:rPr>
          <w:rFonts w:hint="eastAsia" w:ascii="宋体" w:hAnsi="宋体" w:eastAsia="宋体" w:cs="宋体"/>
          <w:color w:val="auto"/>
          <w:kern w:val="0"/>
          <w:sz w:val="24"/>
          <w:highlight w:val="none"/>
        </w:rPr>
        <w:t>分别承担99%及1%。当钢材、砂（含砂浆）和混凝土价格</w:t>
      </w:r>
      <w:r>
        <w:rPr>
          <w:rFonts w:hint="eastAsia" w:ascii="宋体" w:hAnsi="宋体" w:eastAsia="宋体" w:cs="宋体"/>
          <w:color w:val="auto"/>
          <w:kern w:val="0"/>
          <w:sz w:val="24"/>
          <w:highlight w:val="none"/>
          <w:u w:val="none"/>
        </w:rPr>
        <w:t>对比</w:t>
      </w:r>
      <w:r>
        <w:rPr>
          <w:rFonts w:hint="eastAsia" w:ascii="宋体" w:hAnsi="宋体" w:eastAsia="宋体" w:cs="宋体"/>
          <w:color w:val="auto"/>
          <w:kern w:val="0"/>
          <w:sz w:val="24"/>
          <w:highlight w:val="none"/>
          <w:u w:val="none"/>
          <w:lang w:eastAsia="zh-CN"/>
        </w:rPr>
        <w:t>乙方申报施工图预算编制期</w:t>
      </w:r>
      <w:r>
        <w:rPr>
          <w:rFonts w:hint="eastAsia" w:ascii="宋体" w:hAnsi="宋体" w:eastAsia="宋体" w:cs="宋体"/>
          <w:color w:val="auto"/>
          <w:kern w:val="0"/>
          <w:sz w:val="24"/>
          <w:highlight w:val="none"/>
          <w:u w:val="none"/>
          <w:lang w:val="en-US" w:eastAsia="zh-CN"/>
        </w:rPr>
        <w:t>所在月份</w:t>
      </w:r>
      <w:r>
        <w:rPr>
          <w:rFonts w:hint="eastAsia" w:ascii="宋体" w:hAnsi="宋体" w:eastAsia="宋体" w:cs="宋体"/>
          <w:color w:val="auto"/>
          <w:kern w:val="0"/>
          <w:sz w:val="24"/>
          <w:highlight w:val="none"/>
        </w:rPr>
        <w:t>下落幅度超过</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%（含本数）时，超出</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none"/>
        </w:rPr>
        <w:t>但未超过</w:t>
      </w:r>
      <w:r>
        <w:rPr>
          <w:rFonts w:hint="eastAsia" w:ascii="宋体" w:hAnsi="宋体" w:eastAsia="宋体" w:cs="宋体"/>
          <w:color w:val="auto"/>
          <w:kern w:val="0"/>
          <w:sz w:val="24"/>
          <w:highlight w:val="none"/>
          <w:u w:val="none"/>
          <w:lang w:val="en-US" w:eastAsia="zh-CN"/>
        </w:rPr>
        <w:t>10</w:t>
      </w:r>
      <w:r>
        <w:rPr>
          <w:rFonts w:hint="eastAsia" w:ascii="宋体" w:hAnsi="宋体" w:eastAsia="宋体" w:cs="宋体"/>
          <w:color w:val="auto"/>
          <w:kern w:val="0"/>
          <w:sz w:val="24"/>
          <w:highlight w:val="none"/>
          <w:u w:val="none"/>
        </w:rPr>
        <w:t>%（含本数）</w:t>
      </w:r>
      <w:r>
        <w:rPr>
          <w:rFonts w:hint="eastAsia" w:ascii="宋体" w:hAnsi="宋体" w:eastAsia="宋体" w:cs="宋体"/>
          <w:color w:val="auto"/>
          <w:kern w:val="0"/>
          <w:sz w:val="24"/>
          <w:highlight w:val="none"/>
        </w:rPr>
        <w:t>的部分由</w:t>
      </w:r>
      <w:r>
        <w:rPr>
          <w:rFonts w:hint="eastAsia" w:ascii="宋体" w:hAnsi="宋体" w:eastAsia="宋体" w:cs="宋体"/>
          <w:color w:val="auto"/>
          <w:kern w:val="0"/>
          <w:sz w:val="24"/>
          <w:highlight w:val="none"/>
          <w:lang w:eastAsia="zh-CN"/>
        </w:rPr>
        <w:t>乙方</w:t>
      </w:r>
      <w:r>
        <w:rPr>
          <w:rFonts w:hint="eastAsia" w:ascii="宋体" w:hAnsi="宋体" w:eastAsia="宋体" w:cs="宋体"/>
          <w:color w:val="auto"/>
          <w:kern w:val="0"/>
          <w:sz w:val="24"/>
          <w:highlight w:val="none"/>
        </w:rPr>
        <w:t>退还50%给</w:t>
      </w:r>
      <w:r>
        <w:rPr>
          <w:rFonts w:hint="eastAsia" w:ascii="宋体" w:hAnsi="宋体" w:eastAsia="宋体" w:cs="宋体"/>
          <w:color w:val="auto"/>
          <w:kern w:val="0"/>
          <w:sz w:val="24"/>
          <w:highlight w:val="none"/>
          <w:lang w:eastAsia="zh-CN"/>
        </w:rPr>
        <w:t>甲方</w:t>
      </w:r>
      <w:r>
        <w:rPr>
          <w:rFonts w:hint="eastAsia" w:ascii="宋体" w:hAnsi="宋体" w:eastAsia="宋体" w:cs="宋体"/>
          <w:color w:val="auto"/>
          <w:kern w:val="0"/>
          <w:sz w:val="24"/>
          <w:highlight w:val="none"/>
        </w:rPr>
        <w:t>，超出</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0%部分由</w:t>
      </w:r>
      <w:r>
        <w:rPr>
          <w:rFonts w:hint="eastAsia" w:ascii="宋体" w:hAnsi="宋体" w:eastAsia="宋体" w:cs="宋体"/>
          <w:color w:val="auto"/>
          <w:kern w:val="0"/>
          <w:sz w:val="24"/>
          <w:highlight w:val="none"/>
          <w:lang w:eastAsia="zh-CN"/>
        </w:rPr>
        <w:t>乙方</w:t>
      </w:r>
      <w:r>
        <w:rPr>
          <w:rFonts w:hint="eastAsia" w:ascii="宋体" w:hAnsi="宋体" w:eastAsia="宋体" w:cs="宋体"/>
          <w:color w:val="auto"/>
          <w:kern w:val="0"/>
          <w:sz w:val="24"/>
          <w:highlight w:val="none"/>
        </w:rPr>
        <w:t>退还99%给</w:t>
      </w:r>
      <w:r>
        <w:rPr>
          <w:rFonts w:hint="eastAsia" w:ascii="宋体" w:hAnsi="宋体" w:eastAsia="宋体" w:cs="宋体"/>
          <w:color w:val="auto"/>
          <w:kern w:val="0"/>
          <w:sz w:val="24"/>
          <w:highlight w:val="none"/>
          <w:lang w:eastAsia="zh-CN"/>
        </w:rPr>
        <w:t>甲方</w:t>
      </w:r>
      <w:r>
        <w:rPr>
          <w:rFonts w:hint="eastAsia" w:ascii="宋体" w:hAnsi="宋体" w:eastAsia="宋体" w:cs="宋体"/>
          <w:color w:val="auto"/>
          <w:kern w:val="0"/>
          <w:sz w:val="24"/>
          <w:highlight w:val="none"/>
        </w:rPr>
        <w:t>。</w:t>
      </w:r>
    </w:p>
    <w:p w14:paraId="79C2D036">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乙方</w:t>
      </w:r>
      <w:r>
        <w:rPr>
          <w:rFonts w:hint="eastAsia" w:ascii="宋体" w:hAnsi="宋体" w:eastAsia="宋体" w:cs="宋体"/>
          <w:color w:val="auto"/>
          <w:kern w:val="0"/>
          <w:sz w:val="24"/>
          <w:highlight w:val="none"/>
        </w:rPr>
        <w:t>在施工期间每个月度应向</w:t>
      </w:r>
      <w:r>
        <w:rPr>
          <w:rFonts w:hint="eastAsia" w:ascii="宋体" w:hAnsi="宋体" w:eastAsia="宋体" w:cs="宋体"/>
          <w:color w:val="auto"/>
          <w:kern w:val="0"/>
          <w:sz w:val="24"/>
          <w:highlight w:val="none"/>
          <w:lang w:eastAsia="zh-CN"/>
        </w:rPr>
        <w:t>甲方</w:t>
      </w:r>
      <w:r>
        <w:rPr>
          <w:rFonts w:hint="eastAsia" w:ascii="宋体" w:hAnsi="宋体" w:eastAsia="宋体" w:cs="宋体"/>
          <w:color w:val="auto"/>
          <w:kern w:val="0"/>
          <w:sz w:val="24"/>
          <w:highlight w:val="none"/>
        </w:rPr>
        <w:t>及监理人申报当月实际完成的工作内容及工程量，由监理人和</w:t>
      </w:r>
      <w:r>
        <w:rPr>
          <w:rFonts w:hint="eastAsia" w:ascii="宋体" w:hAnsi="宋体" w:eastAsia="宋体" w:cs="宋体"/>
          <w:color w:val="auto"/>
          <w:kern w:val="0"/>
          <w:sz w:val="24"/>
          <w:highlight w:val="none"/>
          <w:lang w:eastAsia="zh-CN"/>
        </w:rPr>
        <w:t>甲方</w:t>
      </w:r>
      <w:r>
        <w:rPr>
          <w:rFonts w:hint="eastAsia" w:ascii="宋体" w:hAnsi="宋体" w:eastAsia="宋体" w:cs="宋体"/>
          <w:color w:val="auto"/>
          <w:kern w:val="0"/>
          <w:sz w:val="24"/>
          <w:highlight w:val="none"/>
        </w:rPr>
        <w:t>审核后，作为调整价差的依据，如不按时申报，</w:t>
      </w:r>
      <w:r>
        <w:rPr>
          <w:rFonts w:hint="eastAsia" w:ascii="宋体" w:hAnsi="宋体" w:eastAsia="宋体" w:cs="宋体"/>
          <w:color w:val="auto"/>
          <w:kern w:val="0"/>
          <w:sz w:val="24"/>
          <w:highlight w:val="none"/>
          <w:lang w:eastAsia="zh-CN"/>
        </w:rPr>
        <w:t>甲方</w:t>
      </w:r>
      <w:r>
        <w:rPr>
          <w:rFonts w:hint="eastAsia" w:ascii="宋体" w:hAnsi="宋体" w:eastAsia="宋体" w:cs="宋体"/>
          <w:color w:val="auto"/>
          <w:kern w:val="0"/>
          <w:sz w:val="24"/>
          <w:highlight w:val="none"/>
        </w:rPr>
        <w:t>有权对</w:t>
      </w:r>
      <w:r>
        <w:rPr>
          <w:rFonts w:hint="eastAsia" w:ascii="宋体" w:hAnsi="宋体" w:eastAsia="宋体" w:cs="宋体"/>
          <w:color w:val="auto"/>
          <w:kern w:val="0"/>
          <w:sz w:val="24"/>
          <w:highlight w:val="none"/>
          <w:lang w:eastAsia="zh-CN"/>
        </w:rPr>
        <w:t>乙方</w:t>
      </w:r>
      <w:r>
        <w:rPr>
          <w:rFonts w:hint="eastAsia" w:ascii="宋体" w:hAnsi="宋体" w:eastAsia="宋体" w:cs="宋体"/>
          <w:color w:val="auto"/>
          <w:kern w:val="0"/>
          <w:sz w:val="24"/>
          <w:highlight w:val="none"/>
        </w:rPr>
        <w:t>提出价格调增的申请不予认可，并保留对价格调减的权利。当月建设工程价格信息文件发布后，材料价差调整的工程款按工程变更审核流程审核后，可以在次月申请工程进度款时一并申请拨付（或扣除）。</w:t>
      </w:r>
    </w:p>
    <w:p w14:paraId="44514DCA">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对未在原合同约定工期内完工的，只对约定工期内发生的符合前述</w:t>
      </w:r>
      <w:r>
        <w:rPr>
          <w:rFonts w:hint="eastAsia" w:ascii="宋体" w:hAnsi="宋体" w:eastAsia="宋体" w:cs="宋体"/>
          <w:color w:val="auto"/>
          <w:sz w:val="24"/>
          <w:highlight w:val="none"/>
          <w:u w:val="single"/>
        </w:rPr>
        <w:t>材料价差调整条件的</w:t>
      </w:r>
      <w:r>
        <w:rPr>
          <w:rFonts w:hint="eastAsia" w:ascii="宋体" w:hAnsi="宋体" w:eastAsia="宋体" w:cs="宋体"/>
          <w:color w:val="auto"/>
          <w:kern w:val="0"/>
          <w:sz w:val="24"/>
          <w:highlight w:val="none"/>
          <w:u w:val="single"/>
        </w:rPr>
        <w:t>钢材、砂（含砂浆）和混凝土的价差进行调整，对超出约定工期部分发生的材料价差不作调整。</w:t>
      </w:r>
    </w:p>
    <w:p w14:paraId="7721667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若由于</w:t>
      </w:r>
      <w:r>
        <w:rPr>
          <w:rFonts w:hint="eastAsia" w:ascii="宋体" w:hAnsi="宋体" w:eastAsia="宋体" w:cs="宋体"/>
          <w:color w:val="auto"/>
          <w:kern w:val="0"/>
          <w:sz w:val="24"/>
          <w:highlight w:val="none"/>
          <w:u w:val="single"/>
          <w:lang w:eastAsia="zh-CN"/>
        </w:rPr>
        <w:t>甲方</w:t>
      </w:r>
      <w:r>
        <w:rPr>
          <w:rFonts w:hint="eastAsia" w:ascii="宋体" w:hAnsi="宋体" w:eastAsia="宋体" w:cs="宋体"/>
          <w:color w:val="auto"/>
          <w:kern w:val="0"/>
          <w:sz w:val="24"/>
          <w:highlight w:val="none"/>
          <w:u w:val="single"/>
        </w:rPr>
        <w:t>的原因停工</w:t>
      </w:r>
      <w:r>
        <w:rPr>
          <w:rFonts w:hint="eastAsia" w:ascii="宋体" w:hAnsi="宋体" w:eastAsia="宋体" w:cs="宋体"/>
          <w:color w:val="auto"/>
          <w:kern w:val="0"/>
          <w:sz w:val="24"/>
          <w:highlight w:val="none"/>
          <w:u w:val="single"/>
          <w:lang w:eastAsia="zh-CN"/>
        </w:rPr>
        <w:t>（或不能如期开工）工期超过一年（含一年）以上，复工（或批准开工）后按照复工（或批准开工）当月发布的建设工程价格信息文件为依据，在工程结算时调整合同价，复工（或批准开工）后施工期间的价差按照上述调整方式进行调整。</w:t>
      </w:r>
    </w:p>
    <w:p w14:paraId="5359C195">
      <w:pPr>
        <w:pStyle w:val="118"/>
        <w:spacing w:line="360" w:lineRule="auto"/>
        <w:ind w:firstLine="480" w:firstLineChars="200"/>
        <w:jc w:val="both"/>
        <w:outlineLvl w:val="9"/>
        <w:rPr>
          <w:rFonts w:ascii="宋体" w:hAnsi="宋体" w:eastAsia="宋体" w:cs="宋体"/>
          <w:color w:val="auto"/>
          <w:highlight w:val="none"/>
        </w:rPr>
      </w:pPr>
      <w:bookmarkStart w:id="294" w:name="_Toc287628077"/>
      <w:r>
        <w:rPr>
          <w:rFonts w:hint="eastAsia" w:ascii="宋体" w:hAnsi="宋体" w:eastAsia="宋体" w:cs="宋体"/>
          <w:color w:val="auto"/>
          <w:highlight w:val="none"/>
        </w:rPr>
        <w:t>78．支付事项</w:t>
      </w:r>
      <w:bookmarkEnd w:id="294"/>
    </w:p>
    <w:p w14:paraId="0BB6AF67">
      <w:pPr>
        <w:tabs>
          <w:tab w:val="left" w:pos="4180"/>
        </w:tabs>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78.2 延迟支付的利息计算：</w:t>
      </w:r>
      <w:r>
        <w:rPr>
          <w:rFonts w:hint="eastAsia" w:ascii="宋体" w:hAnsi="宋体" w:eastAsia="宋体" w:cs="宋体"/>
          <w:color w:val="auto"/>
          <w:kern w:val="0"/>
          <w:sz w:val="24"/>
          <w:highlight w:val="none"/>
          <w:u w:val="single"/>
        </w:rPr>
        <w:t>本条不适用。</w:t>
      </w:r>
    </w:p>
    <w:p w14:paraId="2F81DB5E">
      <w:pPr>
        <w:pStyle w:val="118"/>
        <w:spacing w:line="360" w:lineRule="auto"/>
        <w:ind w:firstLine="241" w:firstLineChars="100"/>
        <w:jc w:val="both"/>
        <w:outlineLvl w:val="9"/>
        <w:rPr>
          <w:rFonts w:ascii="宋体" w:hAnsi="宋体" w:eastAsia="宋体" w:cs="宋体"/>
          <w:color w:val="auto"/>
          <w:highlight w:val="none"/>
        </w:rPr>
      </w:pPr>
      <w:bookmarkStart w:id="295" w:name="_Toc287628078"/>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79．预付款</w:t>
      </w:r>
      <w:bookmarkEnd w:id="295"/>
    </w:p>
    <w:p w14:paraId="2681CD3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79.1 预付款的约定及管理</w:t>
      </w:r>
    </w:p>
    <w:p w14:paraId="51C60E0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预付款的约定</w:t>
      </w:r>
    </w:p>
    <w:p w14:paraId="304CF5B4">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xml:space="preserve"> 没约定预付款的，本款不适用。</w:t>
      </w:r>
    </w:p>
    <w:p w14:paraId="69E48233">
      <w:pPr>
        <w:autoSpaceDE w:val="0"/>
        <w:autoSpaceDN w:val="0"/>
        <w:adjustRightInd w:val="0"/>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约定预付款的，预付款的金额为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strike/>
          <w:dstrike w:val="0"/>
          <w:color w:val="auto"/>
          <w:kern w:val="0"/>
          <w:sz w:val="24"/>
          <w:highlight w:val="none"/>
          <w:u w:val="single"/>
          <w:lang w:val="en-US" w:eastAsia="zh-CN"/>
        </w:rPr>
        <w:t>10</w:t>
      </w:r>
      <w:r>
        <w:rPr>
          <w:rFonts w:hint="eastAsia" w:ascii="宋体" w:hAnsi="宋体" w:eastAsia="宋体" w:cs="宋体"/>
          <w:strike/>
          <w:dstrike w:val="0"/>
          <w:color w:val="auto"/>
          <w:kern w:val="0"/>
          <w:sz w:val="24"/>
          <w:highlight w:val="none"/>
          <w:u w:val="single"/>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其支付办法和抵扣方式，按本条有关专用条款的约定。</w:t>
      </w:r>
    </w:p>
    <w:p w14:paraId="112C62A9">
      <w:pPr>
        <w:rPr>
          <w:rFonts w:hint="eastAsia" w:ascii="宋体" w:hAnsi="宋体"/>
          <w:color w:val="auto"/>
          <w:kern w:val="0"/>
          <w:sz w:val="24"/>
          <w:highlight w:val="none"/>
        </w:rPr>
      </w:pPr>
      <w:r>
        <w:rPr>
          <w:rFonts w:hint="eastAsia" w:ascii="宋体" w:hAnsi="宋体"/>
          <w:color w:val="auto"/>
          <w:kern w:val="0"/>
          <w:sz w:val="24"/>
          <w:highlight w:val="none"/>
        </w:rPr>
        <w:t>预付款的划拨方式：</w:t>
      </w:r>
    </w:p>
    <w:p w14:paraId="4D214F66">
      <w:pPr>
        <w:rPr>
          <w:rFonts w:hint="eastAsia" w:ascii="宋体" w:hAnsi="宋体"/>
          <w:color w:val="auto"/>
          <w:kern w:val="0"/>
          <w:sz w:val="24"/>
          <w:highlight w:val="none"/>
        </w:rPr>
      </w:pPr>
    </w:p>
    <w:p w14:paraId="69206225">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79.2 提交预付款支付申请期限：</w:t>
      </w:r>
    </w:p>
    <w:p w14:paraId="606A4446">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按承包人在完成本款三项工作后的7天内。</w:t>
      </w:r>
    </w:p>
    <w:p w14:paraId="30CE339B">
      <w:pPr>
        <w:spacing w:line="360" w:lineRule="auto"/>
        <w:ind w:left="420" w:leftChars="200"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另作约定：</w:t>
      </w:r>
      <w:r>
        <w:rPr>
          <w:rFonts w:hint="eastAsia" w:ascii="宋体" w:hAnsi="宋体" w:eastAsia="宋体" w:cs="宋体"/>
          <w:strike/>
          <w:dstrike w:val="0"/>
          <w:color w:val="auto"/>
          <w:kern w:val="0"/>
          <w:sz w:val="24"/>
          <w:highlight w:val="none"/>
          <w:u w:val="single"/>
        </w:rPr>
        <w:t>合同</w:t>
      </w:r>
      <w:r>
        <w:rPr>
          <w:rFonts w:hint="eastAsia" w:ascii="宋体" w:hAnsi="宋体" w:eastAsia="宋体" w:cs="宋体"/>
          <w:strike/>
          <w:dstrike w:val="0"/>
          <w:color w:val="auto"/>
          <w:kern w:val="0"/>
          <w:sz w:val="24"/>
          <w:highlight w:val="none"/>
          <w:u w:val="single"/>
          <w:lang w:val="en-US" w:eastAsia="zh-CN"/>
        </w:rPr>
        <w:t>签订后</w:t>
      </w:r>
      <w:r>
        <w:rPr>
          <w:rFonts w:hint="eastAsia" w:ascii="宋体" w:hAnsi="宋体" w:eastAsia="宋体" w:cs="宋体"/>
          <w:strike/>
          <w:dstrike w:val="0"/>
          <w:color w:val="auto"/>
          <w:kern w:val="0"/>
          <w:sz w:val="24"/>
          <w:highlight w:val="none"/>
          <w:u w:val="single"/>
        </w:rPr>
        <w:t>，</w:t>
      </w:r>
      <w:r>
        <w:rPr>
          <w:rFonts w:hint="eastAsia" w:ascii="宋体" w:hAnsi="宋体" w:eastAsia="宋体" w:cs="宋体"/>
          <w:strike/>
          <w:dstrike w:val="0"/>
          <w:color w:val="auto"/>
          <w:kern w:val="0"/>
          <w:sz w:val="24"/>
          <w:highlight w:val="none"/>
          <w:u w:val="single"/>
          <w:lang w:val="en-US" w:eastAsia="zh-CN"/>
        </w:rPr>
        <w:t>乙方</w:t>
      </w:r>
      <w:r>
        <w:rPr>
          <w:rFonts w:hint="eastAsia" w:ascii="宋体" w:hAnsi="宋体" w:eastAsia="宋体" w:cs="宋体"/>
          <w:strike/>
          <w:dstrike w:val="0"/>
          <w:color w:val="auto"/>
          <w:kern w:val="0"/>
          <w:sz w:val="24"/>
          <w:highlight w:val="none"/>
          <w:u w:val="single"/>
        </w:rPr>
        <w:t>已完成进场，</w:t>
      </w:r>
      <w:r>
        <w:rPr>
          <w:rFonts w:hint="eastAsia" w:ascii="宋体" w:hAnsi="宋体" w:eastAsia="宋体" w:cs="宋体"/>
          <w:strike/>
          <w:dstrike w:val="0"/>
          <w:color w:val="auto"/>
          <w:kern w:val="0"/>
          <w:sz w:val="24"/>
          <w:highlight w:val="none"/>
          <w:u w:val="single"/>
          <w:lang w:val="en-US" w:eastAsia="zh-CN"/>
        </w:rPr>
        <w:t>项目取得施工许可证（含分阶段施工许可证），</w:t>
      </w:r>
      <w:r>
        <w:rPr>
          <w:rFonts w:hint="eastAsia" w:ascii="宋体" w:hAnsi="宋体" w:eastAsia="宋体" w:cs="宋体"/>
          <w:strike/>
          <w:dstrike w:val="0"/>
          <w:color w:val="auto"/>
          <w:kern w:val="0"/>
          <w:sz w:val="24"/>
          <w:highlight w:val="none"/>
          <w:u w:val="single"/>
        </w:rPr>
        <w:t>具备开工条件，且监理人和</w:t>
      </w:r>
      <w:r>
        <w:rPr>
          <w:rFonts w:hint="eastAsia" w:ascii="宋体" w:hAnsi="宋体" w:eastAsia="宋体" w:cs="宋体"/>
          <w:strike/>
          <w:dstrike w:val="0"/>
          <w:color w:val="auto"/>
          <w:kern w:val="0"/>
          <w:sz w:val="24"/>
          <w:highlight w:val="none"/>
          <w:u w:val="single"/>
          <w:lang w:val="en-US" w:eastAsia="zh-CN"/>
        </w:rPr>
        <w:t>甲方</w:t>
      </w:r>
      <w:r>
        <w:rPr>
          <w:rFonts w:hint="eastAsia" w:ascii="宋体" w:hAnsi="宋体" w:eastAsia="宋体" w:cs="宋体"/>
          <w:strike/>
          <w:dstrike w:val="0"/>
          <w:color w:val="auto"/>
          <w:kern w:val="0"/>
          <w:sz w:val="24"/>
          <w:highlight w:val="none"/>
          <w:u w:val="single"/>
        </w:rPr>
        <w:t>已在开工报告上签署同意开工意见</w:t>
      </w:r>
      <w:r>
        <w:rPr>
          <w:rFonts w:hint="eastAsia" w:ascii="宋体" w:hAnsi="宋体" w:eastAsia="宋体" w:cs="宋体"/>
          <w:strike/>
          <w:dstrike w:val="0"/>
          <w:color w:val="auto"/>
          <w:kern w:val="0"/>
          <w:sz w:val="24"/>
          <w:highlight w:val="none"/>
          <w:u w:val="single"/>
          <w:lang w:eastAsia="zh-CN"/>
        </w:rPr>
        <w:t>，</w:t>
      </w:r>
      <w:r>
        <w:rPr>
          <w:rFonts w:hint="eastAsia" w:ascii="宋体" w:hAnsi="宋体" w:eastAsia="宋体" w:cs="宋体"/>
          <w:strike/>
          <w:dstrike w:val="0"/>
          <w:color w:val="auto"/>
          <w:kern w:val="0"/>
          <w:sz w:val="24"/>
          <w:highlight w:val="none"/>
          <w:u w:val="single"/>
          <w:lang w:val="en-US" w:eastAsia="zh-CN"/>
        </w:rPr>
        <w:t>乙方</w:t>
      </w:r>
      <w:r>
        <w:rPr>
          <w:rFonts w:hint="eastAsia" w:ascii="宋体" w:hAnsi="宋体" w:eastAsia="宋体" w:cs="宋体"/>
          <w:strike/>
          <w:dstrike w:val="0"/>
          <w:color w:val="auto"/>
          <w:kern w:val="0"/>
          <w:sz w:val="24"/>
          <w:highlight w:val="none"/>
          <w:u w:val="single"/>
          <w:lang w:eastAsia="zh-CN"/>
        </w:rPr>
        <w:t>按投标文件规定的主要负责工程施工管理的人员及各职能部门到位，施工机具及生产人员按经</w:t>
      </w:r>
      <w:r>
        <w:rPr>
          <w:rFonts w:hint="eastAsia" w:ascii="宋体" w:hAnsi="宋体" w:eastAsia="宋体" w:cs="宋体"/>
          <w:strike/>
          <w:dstrike w:val="0"/>
          <w:color w:val="auto"/>
          <w:kern w:val="0"/>
          <w:sz w:val="24"/>
          <w:highlight w:val="none"/>
          <w:u w:val="single"/>
          <w:lang w:val="en-US" w:eastAsia="zh-CN"/>
        </w:rPr>
        <w:t>甲方</w:t>
      </w:r>
      <w:r>
        <w:rPr>
          <w:rFonts w:hint="eastAsia" w:ascii="宋体" w:hAnsi="宋体" w:eastAsia="宋体" w:cs="宋体"/>
          <w:strike/>
          <w:dstrike w:val="0"/>
          <w:color w:val="auto"/>
          <w:kern w:val="0"/>
          <w:sz w:val="24"/>
          <w:highlight w:val="none"/>
          <w:u w:val="single"/>
          <w:lang w:eastAsia="zh-CN"/>
        </w:rPr>
        <w:t>审定的计划已经进场，</w:t>
      </w:r>
      <w:r>
        <w:rPr>
          <w:rFonts w:hint="eastAsia" w:ascii="宋体" w:hAnsi="宋体" w:eastAsia="宋体" w:cs="宋体"/>
          <w:strike/>
          <w:dstrike w:val="0"/>
          <w:color w:val="auto"/>
          <w:kern w:val="0"/>
          <w:sz w:val="24"/>
          <w:highlight w:val="none"/>
          <w:u w:val="single"/>
        </w:rPr>
        <w:t>并</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按本合同附件中的格式向</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提供与预付工程款金额相当的广州市范围内四大国有股份制银行（即中国银行、农业银行、建设银行和工商银行）保函，</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受理申请之日起30个日历天内，</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向</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预付合同总价的10%；一旦支付进度款后不再受理预付款申请。保函须由</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领取并交给</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,经</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查询核实为有效保函后才受理,查询核实发生的相关费用由</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承担</w:t>
      </w:r>
      <w:r>
        <w:rPr>
          <w:rFonts w:hint="eastAsia" w:ascii="宋体" w:hAnsi="宋体" w:eastAsia="宋体" w:cs="宋体"/>
          <w:color w:val="auto"/>
          <w:kern w:val="0"/>
          <w:sz w:val="24"/>
          <w:highlight w:val="none"/>
          <w:u w:val="single"/>
        </w:rPr>
        <w:t>。</w:t>
      </w:r>
    </w:p>
    <w:p w14:paraId="5388C2E4">
      <w:pPr>
        <w:spacing w:line="360" w:lineRule="auto"/>
        <w:rPr>
          <w:rFonts w:hint="eastAsia" w:ascii="宋体" w:hAnsi="宋体"/>
          <w:color w:val="auto"/>
          <w:kern w:val="0"/>
          <w:sz w:val="24"/>
          <w:highlight w:val="none"/>
          <w:u w:val="single"/>
        </w:rPr>
      </w:pPr>
    </w:p>
    <w:p w14:paraId="5E569790">
      <w:pPr>
        <w:spacing w:line="360" w:lineRule="auto"/>
        <w:rPr>
          <w:rFonts w:hint="eastAsia" w:ascii="宋体" w:hAnsi="宋体" w:eastAsia="宋体" w:cs="宋体"/>
          <w:color w:val="auto"/>
          <w:kern w:val="0"/>
          <w:sz w:val="24"/>
          <w:highlight w:val="none"/>
        </w:rPr>
      </w:pPr>
      <w:r>
        <w:rPr>
          <w:rFonts w:hint="eastAsia" w:ascii="宋体" w:hAnsi="宋体"/>
          <w:color w:val="auto"/>
          <w:kern w:val="0"/>
          <w:sz w:val="24"/>
          <w:highlight w:val="none"/>
        </w:rPr>
        <w:t xml:space="preserve">  </w:t>
      </w:r>
      <w:r>
        <w:rPr>
          <w:rFonts w:hint="eastAsia" w:ascii="宋体" w:hAnsi="宋体" w:eastAsia="宋体" w:cs="宋体"/>
          <w:color w:val="auto"/>
          <w:kern w:val="0"/>
          <w:sz w:val="24"/>
          <w:highlight w:val="none"/>
        </w:rPr>
        <w:t>79.4 预付款抵扣方式</w:t>
      </w:r>
    </w:p>
    <w:p w14:paraId="0449F4C3">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预付款按照期中应支付工程款的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%扣回，直到扣完为止。</w:t>
      </w:r>
    </w:p>
    <w:p w14:paraId="6382F65A">
      <w:pPr>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xml:space="preserve"> 其他方式：</w:t>
      </w:r>
      <w:r>
        <w:rPr>
          <w:rFonts w:hint="eastAsia" w:ascii="宋体" w:hAnsi="宋体" w:eastAsia="宋体" w:cs="宋体"/>
          <w:strike/>
          <w:dstrike w:val="0"/>
          <w:color w:val="auto"/>
          <w:kern w:val="0"/>
          <w:sz w:val="24"/>
          <w:highlight w:val="none"/>
          <w:u w:val="single"/>
        </w:rPr>
        <w:t>从工程进度完成50%后开始分三次扣回（包括单独支付的</w:t>
      </w:r>
      <w:r>
        <w:rPr>
          <w:rFonts w:hint="eastAsia" w:ascii="宋体" w:hAnsi="宋体" w:eastAsia="宋体" w:cs="宋体"/>
          <w:strike/>
          <w:dstrike w:val="0"/>
          <w:color w:val="auto"/>
          <w:sz w:val="24"/>
          <w:highlight w:val="none"/>
        </w:rPr>
        <w:t>绿色施工安全防护措施费</w:t>
      </w:r>
      <w:r>
        <w:rPr>
          <w:rFonts w:hint="eastAsia" w:ascii="宋体" w:hAnsi="宋体" w:eastAsia="宋体" w:cs="宋体"/>
          <w:strike/>
          <w:dstrike w:val="0"/>
          <w:color w:val="auto"/>
          <w:kern w:val="0"/>
          <w:sz w:val="24"/>
          <w:highlight w:val="none"/>
          <w:u w:val="single"/>
        </w:rPr>
        <w:t>），分别为按比例3：4：3分次扣回预付款，工程进度完成70%后扣回第二次预付款，工程进度完成80%前须全部扣回预付款。</w:t>
      </w:r>
    </w:p>
    <w:p w14:paraId="1DB5487D">
      <w:pPr>
        <w:spacing w:line="360" w:lineRule="auto"/>
        <w:rPr>
          <w:rFonts w:hint="eastAsia" w:ascii="宋体" w:hAnsi="宋体" w:eastAsia="宋体" w:cs="宋体"/>
          <w:color w:val="auto"/>
          <w:kern w:val="0"/>
          <w:sz w:val="24"/>
          <w:highlight w:val="none"/>
          <w:u w:val="single"/>
        </w:rPr>
      </w:pPr>
    </w:p>
    <w:p w14:paraId="5D8EF07E">
      <w:pPr>
        <w:spacing w:line="360" w:lineRule="auto"/>
        <w:ind w:firstLine="240" w:firstLineChars="100"/>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rPr>
        <w:t xml:space="preserve">79.5 </w:t>
      </w:r>
      <w:r>
        <w:rPr>
          <w:rFonts w:hint="eastAsia" w:ascii="宋体" w:hAnsi="宋体" w:eastAsia="宋体" w:cs="宋体"/>
          <w:strike/>
          <w:dstrike w:val="0"/>
          <w:color w:val="auto"/>
          <w:kern w:val="0"/>
          <w:sz w:val="24"/>
          <w:highlight w:val="none"/>
          <w:u w:val="single"/>
        </w:rPr>
        <w:t>预付款保函的有效与退还</w:t>
      </w:r>
      <w:r>
        <w:rPr>
          <w:rFonts w:hint="eastAsia" w:ascii="宋体" w:hAnsi="宋体" w:eastAsia="宋体" w:cs="宋体"/>
          <w:strike/>
          <w:dstrike w:val="0"/>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 xml:space="preserve">  </w:t>
      </w:r>
    </w:p>
    <w:p w14:paraId="55E3568E">
      <w:pPr>
        <w:spacing w:line="360" w:lineRule="auto"/>
        <w:ind w:firstLine="480" w:firstLineChars="200"/>
        <w:rPr>
          <w:rFonts w:hint="eastAsia" w:ascii="宋体" w:hAnsi="宋体" w:eastAsia="宋体" w:cs="宋体"/>
          <w:strike/>
          <w:dstrike w:val="0"/>
          <w:color w:val="auto"/>
          <w:kern w:val="0"/>
          <w:sz w:val="24"/>
          <w:highlight w:val="none"/>
          <w:u w:val="single"/>
        </w:rPr>
      </w:pPr>
      <w:r>
        <w:rPr>
          <w:rFonts w:hint="eastAsia" w:ascii="宋体" w:hAnsi="宋体" w:eastAsia="宋体" w:cs="宋体"/>
          <w:strike/>
          <w:dstrike w:val="0"/>
          <w:color w:val="auto"/>
          <w:kern w:val="0"/>
          <w:sz w:val="24"/>
          <w:highlight w:val="none"/>
          <w:u w:val="single"/>
        </w:rPr>
        <w:t>《预付款保函》期满前的1个月，相关事项仍未完成的，</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须向</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提供新的保证期限为不少于至工程验收合格之日起计半年内的有效的《预付款保函》给</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或将即将到期的《预付款保函》延期使之符合本条之约定；如</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不能提供《预付款保函》的，</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需提供经</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认可的其他担保；如不能提供令</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认可的其他担保的，</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须在《预付款保函》期满前的1个月开始，每天按工程总造价的0.2‰向</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支付违约金，如在《预付款保函》期满之日，</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仍未能提供新的保函或经</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认可的其他担保的，</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有权解除本合同并不被视作甲方违约。</w:t>
      </w:r>
    </w:p>
    <w:p w14:paraId="172DDB33">
      <w:pPr>
        <w:spacing w:line="360" w:lineRule="auto"/>
        <w:ind w:firstLine="480" w:firstLineChars="200"/>
        <w:rPr>
          <w:rFonts w:hint="eastAsia" w:ascii="宋体" w:hAnsi="宋体" w:eastAsia="宋体" w:cs="宋体"/>
          <w:strike/>
          <w:dstrike w:val="0"/>
          <w:color w:val="auto"/>
          <w:kern w:val="0"/>
          <w:sz w:val="24"/>
          <w:highlight w:val="none"/>
          <w:u w:val="single"/>
        </w:rPr>
      </w:pPr>
      <w:r>
        <w:rPr>
          <w:rFonts w:hint="eastAsia" w:ascii="宋体" w:hAnsi="宋体" w:eastAsia="宋体" w:cs="宋体"/>
          <w:strike/>
          <w:dstrike w:val="0"/>
          <w:color w:val="auto"/>
          <w:kern w:val="0"/>
          <w:sz w:val="24"/>
          <w:highlight w:val="none"/>
          <w:u w:val="single"/>
        </w:rPr>
        <w:t>如工程停工超过6个月，而</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已支付的预付款未有全额扣回时，</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有权要求</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向</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lang w:val="en-US" w:eastAsia="zh-CN"/>
        </w:rPr>
        <w:t>退还</w:t>
      </w:r>
      <w:r>
        <w:rPr>
          <w:rFonts w:hint="eastAsia" w:ascii="宋体" w:hAnsi="宋体" w:eastAsia="宋体" w:cs="宋体"/>
          <w:strike/>
          <w:dstrike w:val="0"/>
          <w:color w:val="auto"/>
          <w:kern w:val="0"/>
          <w:sz w:val="24"/>
          <w:highlight w:val="none"/>
          <w:u w:val="single"/>
        </w:rPr>
        <w:t>未抵扣完的预付款，在收到</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通知后15日内，</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应将未抵扣完的预付款转入</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的指定账户中，如</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未能按时完成上述工作，</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将通知预付款保函的出证银行向</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支付未抵扣完的预付款。工程复工时，</w:t>
      </w:r>
      <w:r>
        <w:rPr>
          <w:rFonts w:hint="eastAsia" w:ascii="宋体" w:hAnsi="宋体" w:eastAsia="宋体" w:cs="宋体"/>
          <w:strike/>
          <w:dstrike w:val="0"/>
          <w:color w:val="auto"/>
          <w:kern w:val="0"/>
          <w:sz w:val="24"/>
          <w:highlight w:val="none"/>
          <w:u w:val="single"/>
          <w:lang w:eastAsia="zh-CN"/>
        </w:rPr>
        <w:t>乙方</w:t>
      </w:r>
      <w:r>
        <w:rPr>
          <w:rFonts w:hint="eastAsia" w:ascii="宋体" w:hAnsi="宋体" w:eastAsia="宋体" w:cs="宋体"/>
          <w:strike/>
          <w:dstrike w:val="0"/>
          <w:color w:val="auto"/>
          <w:kern w:val="0"/>
          <w:sz w:val="24"/>
          <w:highlight w:val="none"/>
          <w:u w:val="single"/>
        </w:rPr>
        <w:t>再向</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rPr>
        <w:t>申请支付上述向</w:t>
      </w:r>
      <w:r>
        <w:rPr>
          <w:rFonts w:hint="eastAsia" w:ascii="宋体" w:hAnsi="宋体" w:eastAsia="宋体" w:cs="宋体"/>
          <w:strike/>
          <w:dstrike w:val="0"/>
          <w:color w:val="auto"/>
          <w:kern w:val="0"/>
          <w:sz w:val="24"/>
          <w:highlight w:val="none"/>
          <w:u w:val="single"/>
          <w:lang w:eastAsia="zh-CN"/>
        </w:rPr>
        <w:t>甲方</w:t>
      </w:r>
      <w:r>
        <w:rPr>
          <w:rFonts w:hint="eastAsia" w:ascii="宋体" w:hAnsi="宋体" w:eastAsia="宋体" w:cs="宋体"/>
          <w:strike/>
          <w:dstrike w:val="0"/>
          <w:color w:val="auto"/>
          <w:kern w:val="0"/>
          <w:sz w:val="24"/>
          <w:highlight w:val="none"/>
          <w:u w:val="single"/>
          <w:lang w:val="en-US" w:eastAsia="zh-CN"/>
        </w:rPr>
        <w:t>退还</w:t>
      </w:r>
      <w:r>
        <w:rPr>
          <w:rFonts w:hint="eastAsia" w:ascii="宋体" w:hAnsi="宋体" w:eastAsia="宋体" w:cs="宋体"/>
          <w:strike/>
          <w:dstrike w:val="0"/>
          <w:color w:val="auto"/>
          <w:kern w:val="0"/>
          <w:sz w:val="24"/>
          <w:highlight w:val="none"/>
          <w:u w:val="single"/>
        </w:rPr>
        <w:t>的预付款。</w:t>
      </w:r>
    </w:p>
    <w:p w14:paraId="02533405">
      <w:pPr>
        <w:adjustRightInd w:val="0"/>
        <w:spacing w:before="120" w:beforeLines="50" w:line="360" w:lineRule="auto"/>
        <w:ind w:firstLine="480" w:firstLineChars="200"/>
        <w:rPr>
          <w:rFonts w:hint="eastAsia" w:ascii="宋体" w:hAnsi="宋体" w:eastAsia="宋体" w:cs="宋体"/>
          <w:strike/>
          <w:dstrike w:val="0"/>
          <w:color w:val="auto"/>
          <w:sz w:val="24"/>
          <w:highlight w:val="none"/>
          <w:u w:val="single"/>
        </w:rPr>
      </w:pPr>
      <w:r>
        <w:rPr>
          <w:rFonts w:hint="eastAsia" w:ascii="宋体" w:hAnsi="宋体" w:eastAsia="宋体" w:cs="宋体"/>
          <w:strike/>
          <w:dstrike w:val="0"/>
          <w:color w:val="auto"/>
          <w:sz w:val="24"/>
          <w:highlight w:val="none"/>
          <w:u w:val="single"/>
        </w:rPr>
        <w:t>预付款抵扣完成后，可申请办理预付款保函退回手续。</w:t>
      </w:r>
      <w:bookmarkStart w:id="296" w:name="_Toc469384129"/>
      <w:bookmarkStart w:id="297" w:name="_Toc46860962"/>
      <w:bookmarkStart w:id="298" w:name="_Toc287628079"/>
    </w:p>
    <w:p w14:paraId="0D5FA35A">
      <w:pPr>
        <w:adjustRightInd w:val="0"/>
        <w:spacing w:before="120" w:beforeLines="5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★80. 绿色施工安全防护费</w:t>
      </w:r>
      <w:bookmarkEnd w:id="296"/>
      <w:bookmarkEnd w:id="297"/>
    </w:p>
    <w:p w14:paraId="2EB99D2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bookmarkEnd w:id="298"/>
      <w:r>
        <w:rPr>
          <w:rFonts w:hint="eastAsia" w:ascii="宋体" w:hAnsi="宋体" w:eastAsia="宋体" w:cs="宋体"/>
          <w:color w:val="auto"/>
          <w:sz w:val="24"/>
          <w:highlight w:val="none"/>
        </w:rPr>
        <w:t>★80.1 绿色施工安全防护费的内容、范围和金额</w:t>
      </w:r>
    </w:p>
    <w:p w14:paraId="34E662C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内容和范围</w:t>
      </w:r>
    </w:p>
    <w:p w14:paraId="754D0D43">
      <w:pPr>
        <w:autoSpaceDE w:val="0"/>
        <w:autoSpaceDN w:val="0"/>
        <w:adjustRightInd w:val="0"/>
        <w:spacing w:line="360" w:lineRule="auto"/>
        <w:ind w:firstLine="480" w:firstLineChars="200"/>
        <w:rPr>
          <w:rFonts w:hint="eastAsia"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按通用条款的规定，以现行广东省统一工程计价依据规定为准。</w:t>
      </w:r>
    </w:p>
    <w:p w14:paraId="16B4BF61">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p>
    <w:p w14:paraId="5D98745B">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安全文明施工费的总金额为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p>
    <w:p w14:paraId="75199758">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80.2 </w:t>
      </w:r>
      <w:r>
        <w:rPr>
          <w:rFonts w:hint="eastAsia" w:ascii="宋体" w:hAnsi="宋体" w:eastAsia="宋体" w:cs="宋体"/>
          <w:color w:val="auto"/>
          <w:kern w:val="0"/>
          <w:sz w:val="24"/>
          <w:szCs w:val="24"/>
          <w:highlight w:val="none"/>
        </w:rPr>
        <w:t>支付申请的提交与核实</w:t>
      </w:r>
    </w:p>
    <w:p w14:paraId="4B04F60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■按通用条款的规定。</w:t>
      </w:r>
    </w:p>
    <w:p w14:paraId="780A33E7">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xml:space="preserve">  另作约定：</w:t>
      </w:r>
    </w:p>
    <w:p w14:paraId="59803F39">
      <w:pPr>
        <w:pStyle w:val="6"/>
        <w:spacing w:line="360" w:lineRule="auto"/>
        <w:ind w:firstLine="480"/>
        <w:rPr>
          <w:rFonts w:ascii="宋体" w:hAnsi="宋体" w:eastAsia="宋体" w:cs="宋体"/>
          <w:color w:val="auto"/>
          <w:highlight w:val="none"/>
        </w:rPr>
      </w:pPr>
      <w:r>
        <w:rPr>
          <w:rFonts w:hint="eastAsia" w:ascii="宋体" w:hAnsi="宋体" w:eastAsia="宋体" w:cs="宋体"/>
          <w:color w:val="auto"/>
          <w:kern w:val="0"/>
          <w:sz w:val="24"/>
          <w:highlight w:val="none"/>
        </w:rPr>
        <w:t xml:space="preserve">80.3 </w:t>
      </w:r>
      <w:r>
        <w:rPr>
          <w:rFonts w:hint="eastAsia" w:ascii="宋体" w:hAnsi="宋体" w:eastAsia="宋体" w:cs="宋体"/>
          <w:color w:val="auto"/>
          <w:kern w:val="0"/>
          <w:sz w:val="24"/>
          <w:highlight w:val="none"/>
          <w:lang w:val="en-US" w:eastAsia="zh-CN"/>
        </w:rPr>
        <w:t>费用支付</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本条不适用</w:t>
      </w:r>
    </w:p>
    <w:p w14:paraId="3A2A6201">
      <w:pPr>
        <w:pStyle w:val="118"/>
        <w:spacing w:line="360" w:lineRule="auto"/>
        <w:ind w:firstLine="241" w:firstLineChars="100"/>
        <w:jc w:val="both"/>
        <w:outlineLvl w:val="9"/>
        <w:rPr>
          <w:rFonts w:ascii="宋体" w:hAnsi="宋体" w:eastAsia="宋体" w:cs="宋体"/>
          <w:color w:val="auto"/>
          <w:highlight w:val="none"/>
        </w:rPr>
      </w:pPr>
      <w:bookmarkStart w:id="299" w:name="_Toc287628080"/>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81．进度款</w:t>
      </w:r>
      <w:bookmarkEnd w:id="299"/>
    </w:p>
    <w:p w14:paraId="48D9CD5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81.1 </w:t>
      </w:r>
    </w:p>
    <w:p w14:paraId="0086656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支付期限</w:t>
      </w:r>
    </w:p>
    <w:p w14:paraId="1F8789B7">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以月为单位。</w:t>
      </w:r>
    </w:p>
    <w:p w14:paraId="3839D16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以季度为单位。</w:t>
      </w:r>
    </w:p>
    <w:p w14:paraId="066CC97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position w:val="-3"/>
          <w:sz w:val="24"/>
          <w:highlight w:val="none"/>
        </w:rPr>
        <w:t>□ 以形象进度为准，具体为：</w:t>
      </w:r>
      <w:r>
        <w:rPr>
          <w:rFonts w:hint="eastAsia" w:ascii="宋体" w:hAnsi="宋体" w:eastAsia="宋体" w:cs="宋体"/>
          <w:color w:val="auto"/>
          <w:kern w:val="0"/>
          <w:position w:val="-3"/>
          <w:sz w:val="24"/>
          <w:highlight w:val="none"/>
          <w:u w:val="single"/>
        </w:rPr>
        <w:t xml:space="preserve">  /  </w:t>
      </w:r>
    </w:p>
    <w:p w14:paraId="3F7789C2">
      <w:pPr>
        <w:autoSpaceDE w:val="0"/>
        <w:autoSpaceDN w:val="0"/>
        <w:adjustRightInd w:val="0"/>
        <w:spacing w:line="360" w:lineRule="auto"/>
        <w:ind w:firstLine="480" w:firstLineChars="200"/>
        <w:rPr>
          <w:rFonts w:ascii="宋体" w:hAnsi="宋体" w:eastAsia="宋体" w:cs="宋体"/>
          <w:color w:val="auto"/>
          <w:kern w:val="0"/>
          <w:sz w:val="18"/>
          <w:szCs w:val="18"/>
          <w:highlight w:val="none"/>
        </w:rPr>
      </w:pPr>
      <w:r>
        <w:rPr>
          <w:rFonts w:hint="eastAsia" w:ascii="宋体" w:hAnsi="宋体" w:eastAsia="宋体" w:cs="宋体"/>
          <w:color w:val="auto"/>
          <w:kern w:val="0"/>
          <w:position w:val="-2"/>
          <w:sz w:val="24"/>
          <w:highlight w:val="none"/>
        </w:rPr>
        <w:t>81.1(11) 本期间应支付或扣留（回）的其他款项：</w:t>
      </w:r>
      <w:r>
        <w:rPr>
          <w:rFonts w:hint="eastAsia" w:ascii="宋体" w:hAnsi="宋体" w:eastAsia="宋体" w:cs="宋体"/>
          <w:color w:val="auto"/>
          <w:kern w:val="0"/>
          <w:position w:val="-3"/>
          <w:sz w:val="24"/>
          <w:highlight w:val="none"/>
          <w:u w:val="single"/>
        </w:rPr>
        <w:t xml:space="preserve">  /  </w:t>
      </w:r>
    </w:p>
    <w:p w14:paraId="3AF5854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政府资金投资工程的支付期、支付办法</w:t>
      </w:r>
    </w:p>
    <w:p w14:paraId="79E546F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w:t>
      </w:r>
    </w:p>
    <w:p w14:paraId="7803E370">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按专用条款81.3约定 </w:t>
      </w:r>
    </w:p>
    <w:p w14:paraId="5D67E88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81.2 期中支付的最低限额为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79EE52E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81.3 进度款支付：</w:t>
      </w:r>
    </w:p>
    <w:p w14:paraId="5068581C">
      <w:pPr>
        <w:autoSpaceDE w:val="0"/>
        <w:autoSpaceDN w:val="0"/>
        <w:adjustRightInd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本项目建设资金由勘察设计施工总承包及运营（EPC+O）单位以全垫资方式开发。自领取施工许可证之日起五年内，分期向EPC+O单位支付100%结算金额，但在缺陷责任期两年未满时，最多支付至结算金额97%，剩余部分待缺陷责任期满后付清。如未有结算情况下，支付金额最多支付至完成工程量的请款金额的80%。</w:t>
      </w:r>
    </w:p>
    <w:p w14:paraId="42B3644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工程结算</w:t>
      </w:r>
      <w:r>
        <w:rPr>
          <w:rFonts w:hint="eastAsia" w:ascii="宋体" w:hAnsi="宋体" w:eastAsia="宋体" w:cs="宋体"/>
          <w:color w:val="auto"/>
          <w:kern w:val="0"/>
          <w:sz w:val="24"/>
          <w:highlight w:val="none"/>
          <w:lang w:val="en-US" w:eastAsia="zh-CN"/>
        </w:rPr>
        <w:t>最终</w:t>
      </w:r>
      <w:r>
        <w:rPr>
          <w:rFonts w:hint="eastAsia" w:ascii="宋体" w:hAnsi="宋体" w:eastAsia="宋体" w:cs="宋体"/>
          <w:color w:val="auto"/>
          <w:kern w:val="0"/>
          <w:sz w:val="24"/>
          <w:highlight w:val="none"/>
        </w:rPr>
        <w:t>以</w:t>
      </w:r>
      <w:r>
        <w:rPr>
          <w:rFonts w:hint="eastAsia" w:ascii="宋体" w:hAnsi="宋体" w:eastAsia="宋体" w:cs="宋体"/>
          <w:color w:val="auto"/>
          <w:kern w:val="0"/>
          <w:sz w:val="24"/>
          <w:highlight w:val="none"/>
          <w:lang w:val="en-US" w:eastAsia="zh-CN"/>
        </w:rPr>
        <w:t>甲方确认</w:t>
      </w:r>
      <w:r>
        <w:rPr>
          <w:rFonts w:hint="eastAsia" w:ascii="宋体" w:hAnsi="宋体" w:eastAsia="宋体" w:cs="宋体"/>
          <w:color w:val="auto"/>
          <w:kern w:val="0"/>
          <w:sz w:val="24"/>
          <w:highlight w:val="none"/>
        </w:rPr>
        <w:t>的结算价为准，若项目被列入</w:t>
      </w:r>
      <w:r>
        <w:rPr>
          <w:rFonts w:hint="eastAsia" w:ascii="宋体" w:hAnsi="宋体" w:eastAsia="宋体" w:cs="宋体"/>
          <w:color w:val="auto"/>
          <w:kern w:val="0"/>
          <w:sz w:val="24"/>
          <w:highlight w:val="none"/>
          <w:lang w:val="en-US" w:eastAsia="zh-CN"/>
        </w:rPr>
        <w:t>政府</w:t>
      </w:r>
      <w:r>
        <w:rPr>
          <w:rFonts w:hint="eastAsia" w:ascii="宋体" w:hAnsi="宋体" w:eastAsia="宋体" w:cs="宋体"/>
          <w:color w:val="auto"/>
          <w:kern w:val="0"/>
          <w:sz w:val="24"/>
          <w:highlight w:val="none"/>
        </w:rPr>
        <w:t>审计部门年度项目审计计划的，价款结算时以审计部门出具的审计结果为依据。</w:t>
      </w:r>
    </w:p>
    <w:p w14:paraId="03A5DC4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每次款项支付前，乙方应先提供与待支付金额一致的正规发票，否则业主单位有权延期支付。未</w:t>
      </w:r>
      <w:r>
        <w:rPr>
          <w:rFonts w:hint="eastAsia" w:ascii="宋体" w:hAnsi="宋体" w:eastAsia="宋体" w:cs="宋体"/>
          <w:color w:val="auto"/>
          <w:kern w:val="0"/>
          <w:sz w:val="24"/>
          <w:highlight w:val="none"/>
          <w:lang w:val="en-US" w:eastAsia="zh-CN"/>
        </w:rPr>
        <w:t>因甲方原因</w:t>
      </w:r>
      <w:r>
        <w:rPr>
          <w:rFonts w:hint="eastAsia" w:ascii="宋体" w:hAnsi="宋体" w:eastAsia="宋体" w:cs="宋体"/>
          <w:color w:val="auto"/>
          <w:kern w:val="0"/>
          <w:sz w:val="24"/>
          <w:highlight w:val="none"/>
        </w:rPr>
        <w:t>导致延期支付的，不视为甲方违约，乙方不得以此为由暂停相关工作，仍应按项目开发时序</w:t>
      </w:r>
      <w:r>
        <w:rPr>
          <w:rFonts w:hint="eastAsia" w:ascii="宋体" w:hAnsi="宋体" w:eastAsia="宋体" w:cs="宋体"/>
          <w:color w:val="auto"/>
          <w:kern w:val="0"/>
          <w:sz w:val="24"/>
          <w:highlight w:val="none"/>
          <w:lang w:val="en-US" w:eastAsia="zh-CN"/>
        </w:rPr>
        <w:t>及</w:t>
      </w:r>
      <w:r>
        <w:rPr>
          <w:rFonts w:hint="eastAsia" w:ascii="宋体" w:hAnsi="宋体" w:eastAsia="宋体" w:cs="宋体"/>
          <w:color w:val="auto"/>
          <w:kern w:val="0"/>
          <w:sz w:val="24"/>
          <w:highlight w:val="none"/>
        </w:rPr>
        <w:t>按甲方要求推进，否则属于乙方违约，按本合同有关条款处理。</w:t>
      </w:r>
    </w:p>
    <w:p w14:paraId="6EFEA5E3">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）乙方需按上述约定按期申请工程进度款；或者经甲方同意后，可将满足申请条件的多个支付节点合并一起申请工程进度款。</w:t>
      </w:r>
    </w:p>
    <w:p w14:paraId="7ABFE84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81.4 期中支付的最低限额为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5D6668AC">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81.5 进度款支付的限制：</w:t>
      </w:r>
      <w:r>
        <w:rPr>
          <w:rFonts w:hint="eastAsia" w:ascii="宋体" w:hAnsi="宋体" w:eastAsia="宋体" w:cs="宋体"/>
          <w:color w:val="auto"/>
          <w:sz w:val="24"/>
          <w:highlight w:val="none"/>
          <w:u w:val="single"/>
        </w:rPr>
        <w:t>本条不适用</w:t>
      </w:r>
      <w:r>
        <w:rPr>
          <w:rFonts w:hint="eastAsia" w:ascii="宋体" w:hAnsi="宋体" w:eastAsia="宋体" w:cs="宋体"/>
          <w:color w:val="auto"/>
          <w:sz w:val="24"/>
          <w:highlight w:val="none"/>
        </w:rPr>
        <w:t>。</w:t>
      </w:r>
    </w:p>
    <w:p w14:paraId="6C643FDA">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补充内容：</w:t>
      </w:r>
    </w:p>
    <w:p w14:paraId="303CE84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（1）已完工程款额报告的提交和核实                                                                                        </w:t>
      </w:r>
    </w:p>
    <w:p w14:paraId="45EBB233">
      <w:pPr>
        <w:spacing w:line="360" w:lineRule="auto"/>
        <w:ind w:firstLine="480" w:firstLineChars="200"/>
        <w:outlineLvl w:val="0"/>
        <w:rPr>
          <w:rFonts w:ascii="宋体" w:hAnsi="宋体" w:eastAsia="宋体" w:cs="宋体"/>
          <w:color w:val="auto"/>
          <w:sz w:val="24"/>
          <w:highlight w:val="none"/>
        </w:rPr>
      </w:pPr>
      <w:bookmarkStart w:id="300" w:name="_Toc32350"/>
      <w:bookmarkStart w:id="301" w:name="_Toc30595"/>
      <w:r>
        <w:rPr>
          <w:rFonts w:hint="eastAsia" w:ascii="宋体" w:hAnsi="宋体" w:eastAsia="宋体" w:cs="宋体"/>
          <w:color w:val="auto"/>
          <w:sz w:val="24"/>
          <w:highlight w:val="none"/>
        </w:rPr>
        <w:t>乙方应按照约定向监理单位、甲方提交已完工程款额报告。收到报告后，监理单位和甲方应及时核实工程量，并将核实结果通知乙方，作为工程计价和工程款支付的依据。</w:t>
      </w:r>
      <w:bookmarkEnd w:id="300"/>
      <w:bookmarkEnd w:id="301"/>
    </w:p>
    <w:p w14:paraId="7DA77139">
      <w:pPr>
        <w:spacing w:line="360" w:lineRule="auto"/>
        <w:ind w:firstLine="480" w:firstLineChars="200"/>
        <w:outlineLvl w:val="0"/>
        <w:rPr>
          <w:rFonts w:ascii="宋体" w:hAnsi="宋体" w:eastAsia="宋体" w:cs="宋体"/>
          <w:color w:val="auto"/>
          <w:sz w:val="24"/>
          <w:highlight w:val="none"/>
        </w:rPr>
      </w:pPr>
      <w:bookmarkStart w:id="302" w:name="_Toc31822"/>
      <w:bookmarkStart w:id="303" w:name="_Toc11169"/>
      <w:r>
        <w:rPr>
          <w:rFonts w:hint="eastAsia" w:ascii="宋体" w:hAnsi="宋体" w:eastAsia="宋体" w:cs="宋体"/>
          <w:color w:val="auto"/>
          <w:sz w:val="24"/>
          <w:highlight w:val="none"/>
        </w:rPr>
        <w:t>（2）对超出施工图纸范围或因乙方原因造成返工的工程量，均不予计量。</w:t>
      </w:r>
      <w:bookmarkEnd w:id="302"/>
      <w:bookmarkEnd w:id="303"/>
    </w:p>
    <w:p w14:paraId="095276E1">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（3）补充说明：在任何情况下，最终结算工程量不能超过施工图设计工程量与设计变更工程量之和。</w:t>
      </w:r>
    </w:p>
    <w:p w14:paraId="401D547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（4）工程款付款条件：</w:t>
      </w:r>
    </w:p>
    <w:p w14:paraId="16D5D81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1）当月工程质量应符合质量标准（设计、规范要求及招标文件要求）； </w:t>
      </w:r>
    </w:p>
    <w:p w14:paraId="226B4A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2）原则上应当完成当月工程进度计划，非乙方施工方原因除外；</w:t>
      </w:r>
    </w:p>
    <w:p w14:paraId="61CD8BE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3）内业资料同步；</w:t>
      </w:r>
    </w:p>
    <w:p w14:paraId="2FEEC04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4）试验（复试）报告证明所用材料合格或满足合同要求；</w:t>
      </w:r>
    </w:p>
    <w:p w14:paraId="3627689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5）经监理工程师验收合格；</w:t>
      </w:r>
    </w:p>
    <w:p w14:paraId="1AF4C35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6）绿色施工安全防护措施符合国家规范、法规；</w:t>
      </w:r>
    </w:p>
    <w:p w14:paraId="0278FB4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7）无因欠发施工人员工资，而出现上访或其他不良事件。</w:t>
      </w:r>
    </w:p>
    <w:p w14:paraId="2DFB371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8）工程建设档案资料的提供与工程建设进度同步。分步工程、专业工程档案资料在工程完成的次月15日前提供；专项验收的资料在建设管理单位要求的时间内提供。</w:t>
      </w:r>
    </w:p>
    <w:p w14:paraId="2C93FA84">
      <w:pPr>
        <w:pStyle w:val="6"/>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如未能达到以上要求，工程款暂停支付，直至整改至符合以上要求。</w:t>
      </w:r>
    </w:p>
    <w:p w14:paraId="754977B8">
      <w:pPr>
        <w:pStyle w:val="118"/>
        <w:spacing w:line="360" w:lineRule="auto"/>
        <w:ind w:firstLine="480" w:firstLineChars="200"/>
        <w:jc w:val="both"/>
        <w:outlineLvl w:val="9"/>
        <w:rPr>
          <w:rFonts w:ascii="宋体" w:hAnsi="宋体" w:eastAsia="宋体" w:cs="宋体"/>
          <w:color w:val="auto"/>
          <w:highlight w:val="none"/>
        </w:rPr>
      </w:pPr>
      <w:bookmarkStart w:id="304" w:name="_Toc287628081"/>
      <w:r>
        <w:rPr>
          <w:rFonts w:hint="eastAsia" w:ascii="宋体" w:hAnsi="宋体" w:eastAsia="宋体" w:cs="宋体"/>
          <w:color w:val="auto"/>
          <w:highlight w:val="none"/>
        </w:rPr>
        <w:t>82．竣工结算</w:t>
      </w:r>
      <w:bookmarkEnd w:id="304"/>
    </w:p>
    <w:p w14:paraId="3CF0DD92">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82.1 结算的程序和时限：</w:t>
      </w:r>
    </w:p>
    <w:p w14:paraId="2AE66500">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■按通用条款的规定办理。</w:t>
      </w:r>
    </w:p>
    <w:p w14:paraId="1B5D94BD">
      <w:pPr>
        <w:autoSpaceDE w:val="0"/>
        <w:autoSpaceDN w:val="0"/>
        <w:adjustRightInd w:val="0"/>
        <w:spacing w:line="360" w:lineRule="auto"/>
        <w:ind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lang w:val="en-US" w:eastAsia="zh-CN"/>
        </w:rPr>
        <w:t>补充</w:t>
      </w:r>
      <w:r>
        <w:rPr>
          <w:rFonts w:hint="eastAsia" w:ascii="宋体" w:hAnsi="宋体" w:eastAsia="宋体" w:cs="宋体"/>
          <w:color w:val="auto"/>
          <w:kern w:val="0"/>
          <w:sz w:val="24"/>
          <w:highlight w:val="none"/>
        </w:rPr>
        <w:t>约定：</w:t>
      </w:r>
      <w:r>
        <w:rPr>
          <w:rFonts w:hint="eastAsia" w:ascii="宋体" w:hAnsi="宋体" w:eastAsia="宋体" w:cs="宋体"/>
          <w:color w:val="auto"/>
          <w:kern w:val="0"/>
          <w:sz w:val="24"/>
          <w:highlight w:val="none"/>
          <w:u w:val="single"/>
          <w:lang w:val="en-US" w:eastAsia="zh-CN"/>
        </w:rPr>
        <w:t>本项目采用EPCO模式，不适用通用条款第82.5条交付工程的约定。</w:t>
      </w:r>
    </w:p>
    <w:p w14:paraId="46D93D0A">
      <w:pPr>
        <w:pStyle w:val="6"/>
        <w:rPr>
          <w:rFonts w:ascii="宋体" w:hAnsi="宋体" w:eastAsia="宋体" w:cs="宋体"/>
          <w:color w:val="auto"/>
          <w:highlight w:val="none"/>
        </w:rPr>
      </w:pPr>
      <w:bookmarkStart w:id="305" w:name="_Toc287628082"/>
    </w:p>
    <w:p w14:paraId="55CA74A5">
      <w:pPr>
        <w:pStyle w:val="118"/>
        <w:spacing w:line="360" w:lineRule="auto"/>
        <w:ind w:firstLine="241" w:firstLineChars="100"/>
        <w:jc w:val="both"/>
        <w:outlineLvl w:val="9"/>
        <w:rPr>
          <w:rFonts w:ascii="宋体" w:hAnsi="宋体" w:eastAsia="宋体" w:cs="宋体"/>
          <w:color w:val="auto"/>
          <w:highlight w:val="none"/>
        </w:rPr>
      </w:pPr>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83．结算款</w:t>
      </w:r>
      <w:bookmarkEnd w:id="305"/>
    </w:p>
    <w:p w14:paraId="7CC51D5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83.1 提交竣工支付申请</w:t>
      </w:r>
    </w:p>
    <w:p w14:paraId="3F41373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竣工支付期限</w:t>
      </w:r>
    </w:p>
    <w:p w14:paraId="14B044D9">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按通用条款的规定，</w:t>
      </w:r>
      <w:r>
        <w:rPr>
          <w:rFonts w:hint="eastAsia" w:ascii="宋体" w:hAnsi="宋体" w:eastAsia="宋体" w:cs="宋体"/>
          <w:color w:val="auto"/>
          <w:kern w:val="0"/>
          <w:sz w:val="24"/>
          <w:highlight w:val="none"/>
          <w:u w:val="single"/>
          <w:lang w:val="en-US" w:eastAsia="zh-CN"/>
        </w:rPr>
        <w:t xml:space="preserve">        </w:t>
      </w:r>
    </w:p>
    <w:p w14:paraId="67F0672D">
      <w:pPr>
        <w:autoSpaceDE w:val="0"/>
        <w:autoSpaceDN w:val="0"/>
        <w:adjustRightInd w:val="0"/>
        <w:spacing w:line="360" w:lineRule="auto"/>
        <w:ind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另作约定：</w:t>
      </w:r>
      <w:r>
        <w:rPr>
          <w:rFonts w:hint="eastAsia" w:ascii="宋体" w:hAnsi="宋体" w:eastAsia="宋体" w:cs="宋体"/>
          <w:color w:val="auto"/>
          <w:kern w:val="0"/>
          <w:sz w:val="24"/>
          <w:highlight w:val="none"/>
          <w:u w:val="single"/>
          <w:lang w:val="en-US" w:eastAsia="zh-CN"/>
        </w:rPr>
        <w:t>甲方领取本建设项目不动产权证后，向银行贷款约5000万元用于支付工程款，剩余部分由村自筹资金支付；自领取施工许可证之日起五年内，分期向EPC+O单位付清建设资金，支付至结算金额100%，但在缺陷责任期两年未满时，最多支付至结算金额97%，剩余部分待缺陷责任期满后付清；</w:t>
      </w:r>
    </w:p>
    <w:p w14:paraId="55C3917A">
      <w:pPr>
        <w:autoSpaceDE w:val="0"/>
        <w:autoSpaceDN w:val="0"/>
        <w:adjustRightInd w:val="0"/>
        <w:spacing w:line="360" w:lineRule="auto"/>
        <w:ind w:firstLine="480" w:firstLineChars="200"/>
        <w:rPr>
          <w:rFonts w:ascii="宋体" w:hAnsi="宋体" w:eastAsia="宋体" w:cs="宋体"/>
          <w:strike/>
          <w:dstrike w:val="0"/>
          <w:color w:val="auto"/>
          <w:kern w:val="0"/>
          <w:sz w:val="24"/>
          <w:highlight w:val="none"/>
        </w:rPr>
      </w:pPr>
      <w:r>
        <w:rPr>
          <w:rFonts w:hint="eastAsia" w:ascii="宋体" w:hAnsi="宋体" w:eastAsia="宋体" w:cs="宋体"/>
          <w:strike/>
          <w:dstrike w:val="0"/>
          <w:color w:val="auto"/>
          <w:kern w:val="0"/>
          <w:sz w:val="24"/>
          <w:highlight w:val="none"/>
        </w:rPr>
        <w:t>(2) 政府资金投资工程的支付期、支付办法</w:t>
      </w:r>
    </w:p>
    <w:p w14:paraId="0BEE374E">
      <w:pPr>
        <w:autoSpaceDE w:val="0"/>
        <w:autoSpaceDN w:val="0"/>
        <w:adjustRightInd w:val="0"/>
        <w:spacing w:line="360" w:lineRule="auto"/>
        <w:ind w:firstLine="480" w:firstLineChars="200"/>
        <w:rPr>
          <w:rFonts w:ascii="宋体" w:hAnsi="宋体" w:eastAsia="宋体" w:cs="宋体"/>
          <w:strike/>
          <w:dstrike w:val="0"/>
          <w:color w:val="auto"/>
          <w:kern w:val="0"/>
          <w:sz w:val="11"/>
          <w:szCs w:val="11"/>
          <w:highlight w:val="none"/>
        </w:rPr>
      </w:pPr>
      <w:r>
        <w:rPr>
          <w:rFonts w:hint="eastAsia" w:ascii="宋体" w:hAnsi="宋体" w:eastAsia="宋体" w:cs="宋体"/>
          <w:strike/>
          <w:dstrike w:val="0"/>
          <w:color w:val="auto"/>
          <w:kern w:val="0"/>
          <w:sz w:val="24"/>
          <w:highlight w:val="none"/>
          <w:lang w:eastAsia="zh-CN"/>
        </w:rPr>
        <w:t>☑</w:t>
      </w:r>
      <w:r>
        <w:rPr>
          <w:rFonts w:hint="eastAsia" w:ascii="宋体" w:hAnsi="宋体" w:eastAsia="宋体" w:cs="宋体"/>
          <w:strike/>
          <w:dstrike w:val="0"/>
          <w:color w:val="auto"/>
          <w:kern w:val="0"/>
          <w:sz w:val="24"/>
          <w:highlight w:val="none"/>
        </w:rPr>
        <w:t xml:space="preserve"> 按通用条款的规定办理。</w:t>
      </w:r>
    </w:p>
    <w:p w14:paraId="296FF4BC">
      <w:pPr>
        <w:autoSpaceDE w:val="0"/>
        <w:autoSpaceDN w:val="0"/>
        <w:adjustRightInd w:val="0"/>
        <w:spacing w:line="360" w:lineRule="auto"/>
        <w:ind w:firstLine="480" w:firstLineChars="200"/>
        <w:rPr>
          <w:rFonts w:hint="eastAsia" w:ascii="宋体" w:hAnsi="宋体" w:eastAsia="宋体" w:cs="宋体"/>
          <w:strike/>
          <w:dstrike w:val="0"/>
          <w:color w:val="auto"/>
          <w:kern w:val="0"/>
          <w:sz w:val="24"/>
          <w:highlight w:val="none"/>
        </w:rPr>
      </w:pPr>
      <w:r>
        <w:rPr>
          <w:rFonts w:hint="eastAsia" w:ascii="宋体" w:hAnsi="宋体" w:eastAsia="宋体" w:cs="宋体"/>
          <w:strike/>
          <w:dstrike w:val="0"/>
          <w:color w:val="auto"/>
          <w:kern w:val="0"/>
          <w:sz w:val="24"/>
          <w:szCs w:val="24"/>
          <w:highlight w:val="none"/>
          <w:lang w:eastAsia="zh-CN"/>
        </w:rPr>
        <w:t>（</w:t>
      </w:r>
      <w:r>
        <w:rPr>
          <w:rFonts w:hint="eastAsia" w:ascii="宋体" w:hAnsi="宋体" w:eastAsia="宋体" w:cs="宋体"/>
          <w:strike/>
          <w:dstrike w:val="0"/>
          <w:color w:val="auto"/>
          <w:kern w:val="0"/>
          <w:sz w:val="24"/>
          <w:szCs w:val="24"/>
          <w:highlight w:val="none"/>
          <w:lang w:val="en-US" w:eastAsia="zh-CN"/>
        </w:rPr>
        <w:t>3）结算原则：</w:t>
      </w:r>
      <w:r>
        <w:rPr>
          <w:rFonts w:hint="eastAsia" w:ascii="宋体" w:hAnsi="宋体" w:eastAsia="宋体" w:cs="宋体"/>
          <w:strike/>
          <w:dstrike w:val="0"/>
          <w:color w:val="auto"/>
          <w:kern w:val="0"/>
          <w:sz w:val="24"/>
          <w:szCs w:val="24"/>
          <w:highlight w:val="none"/>
        </w:rPr>
        <w:t>分部分项工程综合单价以双方审核确认后的施工图预算（已考虑中标下浮率）的综合单价固定不变，结算时按下浮后</w:t>
      </w:r>
      <w:r>
        <w:rPr>
          <w:rFonts w:hint="eastAsia" w:ascii="宋体" w:hAnsi="宋体" w:eastAsia="宋体" w:cs="宋体"/>
          <w:strike/>
          <w:dstrike w:val="0"/>
          <w:color w:val="auto"/>
          <w:kern w:val="0"/>
          <w:sz w:val="24"/>
          <w:highlight w:val="none"/>
        </w:rPr>
        <w:t>的综合单价包干、工程量按实计算。</w:t>
      </w:r>
    </w:p>
    <w:p w14:paraId="7781246F">
      <w:pPr>
        <w:autoSpaceDE w:val="0"/>
        <w:autoSpaceDN w:val="0"/>
        <w:adjustRightInd w:val="0"/>
        <w:spacing w:line="360" w:lineRule="auto"/>
        <w:ind w:firstLine="480" w:firstLineChars="200"/>
        <w:rPr>
          <w:rFonts w:hint="eastAsia" w:ascii="宋体" w:hAnsi="宋体" w:eastAsia="宋体" w:cs="宋体"/>
          <w:strike/>
          <w:dstrike w:val="0"/>
          <w:color w:val="auto"/>
          <w:kern w:val="0"/>
          <w:sz w:val="24"/>
          <w:highlight w:val="none"/>
        </w:rPr>
      </w:pPr>
      <w:r>
        <w:rPr>
          <w:rFonts w:hint="eastAsia" w:ascii="宋体" w:hAnsi="宋体" w:eastAsia="宋体" w:cs="宋体"/>
          <w:strike/>
          <w:dstrike w:val="0"/>
          <w:color w:val="auto"/>
          <w:kern w:val="0"/>
          <w:sz w:val="24"/>
          <w:highlight w:val="none"/>
          <w:lang w:eastAsia="zh-CN"/>
        </w:rPr>
        <w:t>乙方</w:t>
      </w:r>
      <w:r>
        <w:rPr>
          <w:rFonts w:hint="eastAsia" w:ascii="宋体" w:hAnsi="宋体" w:eastAsia="宋体" w:cs="宋体"/>
          <w:strike/>
          <w:dstrike w:val="0"/>
          <w:color w:val="auto"/>
          <w:kern w:val="0"/>
          <w:sz w:val="24"/>
          <w:highlight w:val="none"/>
        </w:rPr>
        <w:t>报送的最终版施工图纸和施工图预算经</w:t>
      </w:r>
      <w:r>
        <w:rPr>
          <w:rFonts w:hint="eastAsia" w:ascii="宋体" w:hAnsi="宋体" w:eastAsia="宋体" w:cs="宋体"/>
          <w:strike/>
          <w:dstrike w:val="0"/>
          <w:color w:val="auto"/>
          <w:kern w:val="0"/>
          <w:sz w:val="24"/>
          <w:highlight w:val="none"/>
          <w:lang w:eastAsia="zh-CN"/>
        </w:rPr>
        <w:t>甲方</w:t>
      </w:r>
      <w:r>
        <w:rPr>
          <w:rFonts w:hint="eastAsia" w:ascii="宋体" w:hAnsi="宋体" w:eastAsia="宋体" w:cs="宋体"/>
          <w:strike/>
          <w:dstrike w:val="0"/>
          <w:color w:val="auto"/>
          <w:kern w:val="0"/>
          <w:sz w:val="24"/>
          <w:highlight w:val="none"/>
        </w:rPr>
        <w:t>审核确认后，如因</w:t>
      </w:r>
      <w:r>
        <w:rPr>
          <w:rFonts w:hint="eastAsia" w:ascii="宋体" w:hAnsi="宋体" w:eastAsia="宋体" w:cs="宋体"/>
          <w:strike/>
          <w:dstrike w:val="0"/>
          <w:color w:val="auto"/>
          <w:kern w:val="0"/>
          <w:sz w:val="24"/>
          <w:highlight w:val="none"/>
          <w:lang w:eastAsia="zh-CN"/>
        </w:rPr>
        <w:t>乙方</w:t>
      </w:r>
      <w:r>
        <w:rPr>
          <w:rFonts w:hint="eastAsia" w:ascii="宋体" w:hAnsi="宋体" w:eastAsia="宋体" w:cs="宋体"/>
          <w:strike/>
          <w:dstrike w:val="0"/>
          <w:color w:val="auto"/>
          <w:kern w:val="0"/>
          <w:sz w:val="24"/>
          <w:highlight w:val="none"/>
        </w:rPr>
        <w:t>原因导致修改(增或减)图纸的，增加部分费用由</w:t>
      </w:r>
      <w:r>
        <w:rPr>
          <w:rFonts w:hint="eastAsia" w:ascii="宋体" w:hAnsi="宋体" w:eastAsia="宋体" w:cs="宋体"/>
          <w:strike/>
          <w:dstrike w:val="0"/>
          <w:color w:val="auto"/>
          <w:kern w:val="0"/>
          <w:sz w:val="24"/>
          <w:highlight w:val="none"/>
          <w:lang w:eastAsia="zh-CN"/>
        </w:rPr>
        <w:t>乙方</w:t>
      </w:r>
      <w:r>
        <w:rPr>
          <w:rFonts w:hint="eastAsia" w:ascii="宋体" w:hAnsi="宋体" w:eastAsia="宋体" w:cs="宋体"/>
          <w:strike/>
          <w:dstrike w:val="0"/>
          <w:color w:val="auto"/>
          <w:kern w:val="0"/>
          <w:sz w:val="24"/>
          <w:highlight w:val="none"/>
        </w:rPr>
        <w:t>自行承担，减少部分费用按实结算，</w:t>
      </w:r>
      <w:r>
        <w:rPr>
          <w:rFonts w:hint="eastAsia" w:ascii="宋体" w:hAnsi="宋体" w:eastAsia="宋体" w:cs="宋体"/>
          <w:strike/>
          <w:dstrike w:val="0"/>
          <w:color w:val="auto"/>
          <w:kern w:val="0"/>
          <w:sz w:val="24"/>
          <w:highlight w:val="none"/>
          <w:u w:val="single"/>
        </w:rPr>
        <w:t>最终结算价不得超过中标价</w:t>
      </w:r>
      <w:r>
        <w:rPr>
          <w:rFonts w:hint="eastAsia" w:ascii="宋体" w:hAnsi="宋体" w:eastAsia="宋体" w:cs="宋体"/>
          <w:strike/>
          <w:dstrike w:val="0"/>
          <w:color w:val="auto"/>
          <w:kern w:val="0"/>
          <w:sz w:val="24"/>
          <w:highlight w:val="none"/>
          <w:u w:val="single"/>
          <w:lang w:eastAsia="zh-CN"/>
        </w:rPr>
        <w:t>；</w:t>
      </w:r>
      <w:bookmarkStart w:id="306" w:name="_Hlk82680053"/>
      <w:r>
        <w:rPr>
          <w:rFonts w:hint="eastAsia" w:ascii="宋体" w:hAnsi="宋体" w:eastAsia="宋体" w:cs="宋体"/>
          <w:strike/>
          <w:dstrike w:val="0"/>
          <w:color w:val="auto"/>
          <w:kern w:val="0"/>
          <w:sz w:val="24"/>
          <w:highlight w:val="none"/>
        </w:rPr>
        <w:t>如非</w:t>
      </w:r>
      <w:r>
        <w:rPr>
          <w:rFonts w:hint="eastAsia" w:ascii="宋体" w:hAnsi="宋体" w:eastAsia="宋体" w:cs="宋体"/>
          <w:strike/>
          <w:dstrike w:val="0"/>
          <w:color w:val="auto"/>
          <w:kern w:val="0"/>
          <w:sz w:val="24"/>
          <w:highlight w:val="none"/>
          <w:lang w:eastAsia="zh-CN"/>
        </w:rPr>
        <w:t>乙方</w:t>
      </w:r>
      <w:r>
        <w:rPr>
          <w:rFonts w:hint="eastAsia" w:ascii="宋体" w:hAnsi="宋体" w:eastAsia="宋体" w:cs="宋体"/>
          <w:strike/>
          <w:dstrike w:val="0"/>
          <w:color w:val="auto"/>
          <w:kern w:val="0"/>
          <w:sz w:val="24"/>
          <w:highlight w:val="none"/>
        </w:rPr>
        <w:t>原因发生重大方案决策调整的</w:t>
      </w:r>
      <w:bookmarkEnd w:id="306"/>
      <w:r>
        <w:rPr>
          <w:rFonts w:hint="eastAsia" w:ascii="宋体" w:hAnsi="宋体" w:eastAsia="宋体" w:cs="宋体"/>
          <w:strike/>
          <w:dstrike w:val="0"/>
          <w:color w:val="auto"/>
          <w:kern w:val="0"/>
          <w:sz w:val="24"/>
          <w:highlight w:val="none"/>
        </w:rPr>
        <w:t>，调整内容经</w:t>
      </w:r>
      <w:r>
        <w:rPr>
          <w:rFonts w:hint="eastAsia" w:ascii="宋体" w:hAnsi="宋体" w:eastAsia="宋体" w:cs="宋体"/>
          <w:strike/>
          <w:dstrike w:val="0"/>
          <w:color w:val="auto"/>
          <w:kern w:val="0"/>
          <w:sz w:val="24"/>
          <w:highlight w:val="none"/>
          <w:lang w:eastAsia="zh-CN"/>
        </w:rPr>
        <w:t>甲方</w:t>
      </w:r>
      <w:r>
        <w:rPr>
          <w:rFonts w:hint="eastAsia" w:ascii="宋体" w:hAnsi="宋体" w:eastAsia="宋体" w:cs="宋体"/>
          <w:strike/>
          <w:dstrike w:val="0"/>
          <w:color w:val="auto"/>
          <w:kern w:val="0"/>
          <w:sz w:val="24"/>
          <w:highlight w:val="none"/>
        </w:rPr>
        <w:t>和监理单位批准确认并已完善变更手续的，可予以调整价款，最终结算价以</w:t>
      </w:r>
      <w:r>
        <w:rPr>
          <w:rFonts w:hint="eastAsia" w:ascii="宋体" w:hAnsi="宋体" w:eastAsia="宋体" w:cs="宋体"/>
          <w:strike/>
          <w:dstrike w:val="0"/>
          <w:color w:val="auto"/>
          <w:kern w:val="0"/>
          <w:sz w:val="24"/>
          <w:highlight w:val="none"/>
          <w:lang w:eastAsia="zh-CN"/>
        </w:rPr>
        <w:t>甲方</w:t>
      </w:r>
      <w:r>
        <w:rPr>
          <w:rFonts w:hint="eastAsia" w:ascii="宋体" w:hAnsi="宋体" w:eastAsia="宋体" w:cs="宋体"/>
          <w:strike/>
          <w:dstrike w:val="0"/>
          <w:color w:val="auto"/>
          <w:kern w:val="0"/>
          <w:sz w:val="24"/>
          <w:highlight w:val="none"/>
        </w:rPr>
        <w:t xml:space="preserve">审定为准。    </w:t>
      </w:r>
    </w:p>
    <w:p w14:paraId="7B75D02F">
      <w:pPr>
        <w:autoSpaceDE w:val="0"/>
        <w:autoSpaceDN w:val="0"/>
        <w:adjustRightInd w:val="0"/>
        <w:spacing w:line="360" w:lineRule="auto"/>
        <w:ind w:firstLine="480" w:firstLineChars="200"/>
        <w:rPr>
          <w:rFonts w:hint="eastAsia" w:ascii="宋体" w:hAnsi="宋体" w:eastAsia="宋体" w:cs="宋体"/>
          <w:strike/>
          <w:dstrike w:val="0"/>
          <w:color w:val="auto"/>
          <w:kern w:val="0"/>
          <w:sz w:val="24"/>
          <w:highlight w:val="none"/>
          <w:lang w:eastAsia="zh-CN"/>
        </w:rPr>
      </w:pPr>
      <w:r>
        <w:rPr>
          <w:rFonts w:hint="eastAsia" w:ascii="宋体" w:hAnsi="宋体" w:eastAsia="宋体" w:cs="宋体"/>
          <w:strike/>
          <w:dstrike w:val="0"/>
          <w:color w:val="auto"/>
          <w:kern w:val="0"/>
          <w:sz w:val="24"/>
          <w:highlight w:val="none"/>
        </w:rPr>
        <w:t>非</w:t>
      </w:r>
      <w:r>
        <w:rPr>
          <w:rFonts w:hint="eastAsia" w:ascii="宋体" w:hAnsi="宋体" w:eastAsia="宋体" w:cs="宋体"/>
          <w:strike/>
          <w:dstrike w:val="0"/>
          <w:color w:val="auto"/>
          <w:kern w:val="0"/>
          <w:sz w:val="24"/>
          <w:highlight w:val="none"/>
          <w:lang w:eastAsia="zh-CN"/>
        </w:rPr>
        <w:t>乙方</w:t>
      </w:r>
      <w:r>
        <w:rPr>
          <w:rFonts w:hint="eastAsia" w:ascii="宋体" w:hAnsi="宋体" w:eastAsia="宋体" w:cs="宋体"/>
          <w:strike/>
          <w:dstrike w:val="0"/>
          <w:color w:val="auto"/>
          <w:kern w:val="0"/>
          <w:sz w:val="24"/>
          <w:highlight w:val="none"/>
        </w:rPr>
        <w:t>原因导致施工过程中必须增加合同范围以外且无法在竣工图纸上反映的实施内容，经</w:t>
      </w:r>
      <w:r>
        <w:rPr>
          <w:rFonts w:hint="eastAsia" w:ascii="宋体" w:hAnsi="宋体" w:eastAsia="宋体" w:cs="宋体"/>
          <w:strike/>
          <w:dstrike w:val="0"/>
          <w:color w:val="auto"/>
          <w:kern w:val="0"/>
          <w:sz w:val="24"/>
          <w:highlight w:val="none"/>
          <w:lang w:eastAsia="zh-CN"/>
        </w:rPr>
        <w:t>甲方</w:t>
      </w:r>
      <w:r>
        <w:rPr>
          <w:rFonts w:hint="eastAsia" w:ascii="宋体" w:hAnsi="宋体" w:eastAsia="宋体" w:cs="宋体"/>
          <w:strike/>
          <w:dstrike w:val="0"/>
          <w:color w:val="auto"/>
          <w:kern w:val="0"/>
          <w:sz w:val="24"/>
          <w:highlight w:val="none"/>
        </w:rPr>
        <w:t>和监理单位批准确认并已完善现场签证手续的，可予以调整价款，最终结算价以</w:t>
      </w:r>
      <w:r>
        <w:rPr>
          <w:rFonts w:hint="eastAsia" w:ascii="宋体" w:hAnsi="宋体" w:eastAsia="宋体" w:cs="宋体"/>
          <w:strike/>
          <w:dstrike w:val="0"/>
          <w:color w:val="auto"/>
          <w:kern w:val="0"/>
          <w:sz w:val="24"/>
          <w:highlight w:val="none"/>
          <w:lang w:eastAsia="zh-CN"/>
        </w:rPr>
        <w:t>甲方</w:t>
      </w:r>
      <w:r>
        <w:rPr>
          <w:rFonts w:hint="eastAsia" w:ascii="宋体" w:hAnsi="宋体" w:eastAsia="宋体" w:cs="宋体"/>
          <w:strike/>
          <w:dstrike w:val="0"/>
          <w:color w:val="auto"/>
          <w:kern w:val="0"/>
          <w:sz w:val="24"/>
          <w:highlight w:val="none"/>
        </w:rPr>
        <w:t>审定为准</w:t>
      </w:r>
      <w:r>
        <w:rPr>
          <w:rFonts w:hint="eastAsia" w:ascii="宋体" w:hAnsi="宋体" w:eastAsia="宋体" w:cs="宋体"/>
          <w:strike/>
          <w:dstrike w:val="0"/>
          <w:color w:val="auto"/>
          <w:kern w:val="0"/>
          <w:sz w:val="24"/>
          <w:highlight w:val="none"/>
          <w:lang w:eastAsia="zh-CN"/>
        </w:rPr>
        <w:t>。</w:t>
      </w:r>
    </w:p>
    <w:p w14:paraId="642F8EB8">
      <w:pPr>
        <w:pStyle w:val="118"/>
        <w:spacing w:line="360" w:lineRule="auto"/>
        <w:ind w:firstLine="241" w:firstLineChars="100"/>
        <w:jc w:val="both"/>
        <w:outlineLvl w:val="9"/>
        <w:rPr>
          <w:rFonts w:ascii="宋体" w:hAnsi="宋体" w:eastAsia="宋体" w:cs="宋体"/>
          <w:color w:val="auto"/>
          <w:highlight w:val="none"/>
        </w:rPr>
      </w:pPr>
      <w:bookmarkStart w:id="307" w:name="_Toc287628083"/>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84．质量保证金</w:t>
      </w:r>
      <w:bookmarkEnd w:id="307"/>
    </w:p>
    <w:p w14:paraId="615424C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84.2 质量保证金的约定与扣留</w:t>
      </w:r>
    </w:p>
    <w:p w14:paraId="6A2840E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质量保证金的约定</w:t>
      </w:r>
    </w:p>
    <w:p w14:paraId="03A9D27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按通用条款的规定为合同价款的</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3 %，即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p>
    <w:p w14:paraId="55F92FC6">
      <w:pPr>
        <w:tabs>
          <w:tab w:val="left" w:pos="3700"/>
        </w:tabs>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工程结算总价款的3%</w:t>
      </w:r>
      <w:r>
        <w:rPr>
          <w:rFonts w:hint="eastAsia" w:ascii="宋体" w:hAnsi="宋体" w:eastAsia="宋体" w:cs="宋体"/>
          <w:color w:val="auto"/>
          <w:kern w:val="0"/>
          <w:sz w:val="24"/>
          <w:highlight w:val="none"/>
        </w:rPr>
        <w:t>。</w:t>
      </w:r>
    </w:p>
    <w:p w14:paraId="7AF0151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质量保证金的扣留</w:t>
      </w:r>
    </w:p>
    <w:p w14:paraId="56F605D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按通用条款的规定，按每支付期应支付给乙方的进度款和结算款的3%扣留。</w:t>
      </w:r>
    </w:p>
    <w:p w14:paraId="77AEEA39">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在</w:t>
      </w:r>
      <w:r>
        <w:rPr>
          <w:rFonts w:hint="eastAsia" w:ascii="宋体" w:hAnsi="宋体" w:eastAsia="宋体" w:cs="宋体"/>
          <w:color w:val="auto"/>
          <w:kern w:val="0"/>
          <w:sz w:val="24"/>
          <w:highlight w:val="none"/>
          <w:u w:val="single"/>
          <w:lang w:val="en-US" w:eastAsia="zh-CN"/>
        </w:rPr>
        <w:t>工程竣工结算款</w:t>
      </w:r>
      <w:r>
        <w:rPr>
          <w:rFonts w:hint="eastAsia" w:ascii="宋体" w:hAnsi="宋体" w:eastAsia="宋体" w:cs="宋体"/>
          <w:color w:val="auto"/>
          <w:kern w:val="0"/>
          <w:sz w:val="24"/>
          <w:highlight w:val="none"/>
          <w:u w:val="single"/>
        </w:rPr>
        <w:t>中扣除。</w:t>
      </w:r>
    </w:p>
    <w:p w14:paraId="3B96409D">
      <w:pPr>
        <w:autoSpaceDE w:val="0"/>
        <w:autoSpaceDN w:val="0"/>
        <w:adjustRightInd w:val="0"/>
        <w:spacing w:line="360" w:lineRule="auto"/>
        <w:ind w:firstLine="480" w:firstLineChars="200"/>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xml:space="preserve">84.3 </w:t>
      </w:r>
      <w:r>
        <w:rPr>
          <w:rFonts w:hint="eastAsia" w:ascii="宋体" w:hAnsi="宋体" w:eastAsia="宋体" w:cs="宋体"/>
          <w:color w:val="auto"/>
          <w:kern w:val="0"/>
          <w:sz w:val="24"/>
          <w:highlight w:val="none"/>
          <w:lang w:val="en-US" w:eastAsia="zh-CN"/>
        </w:rPr>
        <w:t>补充约定：质量保证金的返还时间：如工程竣工验收合格后3年内无质量问题，则在工程竣工验收合格满3年后的10工作日内年无息返还乙方。若有质量问题，甲方每次返还质保金时需扣除发生的维保费用。在缺陷责任期内如出现工程缺陷情况，乙方须于收到甲方的指令起计24小时内派员进行修复有关缺陷，并于修复工程完成后向甲方提交修复报告。若乙方拒绝执行有关工作或逾期未执行，则甲方在发函催告之日起的3个日历天后，可另行雇用其它施工单位执行有关工作，由此涉及的所有开支将由乙方承担并相应扣减其保修金额，甲方不再另行通知</w:t>
      </w:r>
      <w:r>
        <w:rPr>
          <w:rFonts w:hint="eastAsia" w:ascii="宋体" w:hAnsi="宋体" w:eastAsia="宋体" w:cs="宋体"/>
          <w:bCs w:val="0"/>
          <w:color w:val="auto"/>
          <w:kern w:val="0"/>
          <w:sz w:val="24"/>
          <w:szCs w:val="24"/>
          <w:highlight w:val="none"/>
        </w:rPr>
        <w:t>。</w:t>
      </w:r>
    </w:p>
    <w:p w14:paraId="1B19C5D6">
      <w:pPr>
        <w:pStyle w:val="118"/>
        <w:spacing w:line="360" w:lineRule="auto"/>
        <w:ind w:firstLine="480" w:firstLineChars="200"/>
        <w:jc w:val="both"/>
        <w:outlineLvl w:val="9"/>
        <w:rPr>
          <w:rFonts w:ascii="宋体" w:hAnsi="宋体" w:eastAsia="宋体" w:cs="宋体"/>
          <w:color w:val="auto"/>
          <w:highlight w:val="none"/>
        </w:rPr>
      </w:pPr>
      <w:bookmarkStart w:id="308" w:name="_Toc287628084"/>
      <w:r>
        <w:rPr>
          <w:rFonts w:hint="eastAsia" w:ascii="宋体" w:hAnsi="宋体" w:eastAsia="宋体" w:cs="宋体"/>
          <w:color w:val="auto"/>
          <w:highlight w:val="none"/>
        </w:rPr>
        <w:t>85．最终清算款</w:t>
      </w:r>
      <w:bookmarkEnd w:id="308"/>
    </w:p>
    <w:p w14:paraId="2B5BDA0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85.1 提交最终清算支付申请</w:t>
      </w:r>
    </w:p>
    <w:p w14:paraId="2B22553F">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最终清算支付申请</w:t>
      </w:r>
    </w:p>
    <w:p w14:paraId="7D3C6B95">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提交份数：</w:t>
      </w:r>
      <w:r>
        <w:rPr>
          <w:rFonts w:hint="eastAsia" w:ascii="宋体" w:hAnsi="宋体" w:eastAsia="宋体" w:cs="宋体"/>
          <w:color w:val="auto"/>
          <w:kern w:val="0"/>
          <w:sz w:val="24"/>
          <w:highlight w:val="none"/>
          <w:u w:val="single"/>
        </w:rPr>
        <w:t xml:space="preserve">  一式四份。  </w:t>
      </w:r>
    </w:p>
    <w:p w14:paraId="3CA8B3D7">
      <w:pPr>
        <w:autoSpaceDE w:val="0"/>
        <w:autoSpaceDN w:val="0"/>
        <w:adjustRightInd w:val="0"/>
        <w:spacing w:line="360" w:lineRule="auto"/>
        <w:ind w:firstLine="480" w:firstLineChars="200"/>
        <w:rPr>
          <w:rFonts w:ascii="宋体" w:hAnsi="宋体" w:eastAsia="宋体" w:cs="宋体"/>
          <w:color w:val="auto"/>
          <w:kern w:val="0"/>
          <w:sz w:val="16"/>
          <w:szCs w:val="16"/>
          <w:highlight w:val="none"/>
        </w:rPr>
      </w:pPr>
      <w:r>
        <w:rPr>
          <w:rFonts w:hint="eastAsia" w:ascii="宋体" w:hAnsi="宋体" w:eastAsia="宋体" w:cs="宋体"/>
          <w:color w:val="auto"/>
          <w:kern w:val="0"/>
          <w:sz w:val="24"/>
          <w:highlight w:val="none"/>
        </w:rPr>
        <w:t>提交期限：</w:t>
      </w:r>
      <w:r>
        <w:rPr>
          <w:rFonts w:hint="eastAsia" w:ascii="宋体" w:hAnsi="宋体" w:eastAsia="宋体" w:cs="宋体"/>
          <w:color w:val="auto"/>
          <w:kern w:val="0"/>
          <w:sz w:val="24"/>
          <w:highlight w:val="none"/>
          <w:u w:val="single"/>
        </w:rPr>
        <w:t xml:space="preserve">  缺陷责任期满30日内。  </w:t>
      </w:r>
    </w:p>
    <w:p w14:paraId="5D5F0648">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最终清算支付时限</w:t>
      </w:r>
    </w:p>
    <w:p w14:paraId="52FCAAE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按通用条款的规定，在造价工程师签发最终清算支付证书后的14天内。</w:t>
      </w:r>
    </w:p>
    <w:p w14:paraId="4D3C868D">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缺陷责任期期满，并取得缺陷责任期终止证书后，按工程款支付办法向乙方支付工程结算余款（无息）。</w:t>
      </w:r>
    </w:p>
    <w:p w14:paraId="781820A9">
      <w:pPr>
        <w:autoSpaceDE w:val="0"/>
        <w:autoSpaceDN w:val="0"/>
        <w:adjustRightInd w:val="0"/>
        <w:spacing w:line="360" w:lineRule="auto"/>
        <w:ind w:firstLine="400" w:firstLineChars="200"/>
        <w:rPr>
          <w:rFonts w:ascii="宋体" w:hAnsi="宋体" w:eastAsia="宋体" w:cs="宋体"/>
          <w:color w:val="auto"/>
          <w:kern w:val="0"/>
          <w:sz w:val="20"/>
          <w:szCs w:val="20"/>
          <w:highlight w:val="none"/>
        </w:rPr>
      </w:pPr>
      <w:bookmarkStart w:id="309" w:name="_Toc287628085"/>
    </w:p>
    <w:p w14:paraId="5D20C0DD">
      <w:pPr>
        <w:pStyle w:val="118"/>
        <w:spacing w:line="360" w:lineRule="auto"/>
        <w:ind w:firstLine="480" w:firstLineChars="200"/>
        <w:jc w:val="both"/>
        <w:outlineLvl w:val="9"/>
        <w:rPr>
          <w:rFonts w:ascii="宋体" w:hAnsi="宋体" w:eastAsia="宋体" w:cs="宋体"/>
          <w:color w:val="auto"/>
          <w:highlight w:val="none"/>
        </w:rPr>
      </w:pPr>
      <w:r>
        <w:rPr>
          <w:rFonts w:hint="eastAsia" w:ascii="宋体" w:hAnsi="宋体" w:eastAsia="宋体" w:cs="宋体"/>
          <w:color w:val="auto"/>
          <w:highlight w:val="none"/>
        </w:rPr>
        <w:t>86．合同争议</w:t>
      </w:r>
      <w:bookmarkEnd w:id="309"/>
    </w:p>
    <w:p w14:paraId="7180466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86.4 调解或认定</w:t>
      </w:r>
    </w:p>
    <w:p w14:paraId="35764C9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争议调解或认定机构：</w:t>
      </w:r>
    </w:p>
    <w:p w14:paraId="261832E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□按通用条款的规定。</w:t>
      </w:r>
    </w:p>
    <w:p w14:paraId="1136901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另有约定：</w:t>
      </w:r>
    </w:p>
    <w:p w14:paraId="6BD79340">
      <w:pPr>
        <w:pStyle w:val="6"/>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u w:val="single"/>
        </w:rPr>
        <w:t>本合同履行中发生争议的，在协商过程中乙方不得停止施工，若协商不成的，甲方为确保工程按时竣工，有权委托其他施工单位进行施工，发生的费用由乙方承担，且在甲方和监理单位向乙方下发通知要求退场之日起，乙方必须退场，且甲方可对乙方处以5000元/日的违约金及向银行提取履约保函所担保的全额；情况严重时甲方有权单方解除合同和要求乙方先行退场，之后办理工程清算</w:t>
      </w:r>
    </w:p>
    <w:p w14:paraId="09ADE90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86.6 仲裁或诉讼</w:t>
      </w:r>
    </w:p>
    <w:p w14:paraId="700CF84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解决争议的最终方式：</w:t>
      </w:r>
    </w:p>
    <w:p w14:paraId="38CDC179">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（仲裁机构）申请仲裁。</w:t>
      </w:r>
    </w:p>
    <w:p w14:paraId="36CE3C6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向有管辖权的人民法院提起诉讼。</w:t>
      </w:r>
    </w:p>
    <w:p w14:paraId="0C722E5A">
      <w:pPr>
        <w:autoSpaceDE w:val="0"/>
        <w:autoSpaceDN w:val="0"/>
        <w:adjustRightIn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：向</w:t>
      </w:r>
      <w:r>
        <w:rPr>
          <w:rFonts w:hint="eastAsia" w:ascii="宋体" w:hAnsi="宋体" w:eastAsia="宋体" w:cs="宋体"/>
          <w:color w:val="auto"/>
          <w:kern w:val="0"/>
          <w:sz w:val="24"/>
          <w:highlight w:val="none"/>
          <w:u w:val="single"/>
          <w:lang w:val="en-US" w:eastAsia="zh-CN"/>
        </w:rPr>
        <w:t>广州市番禺区</w:t>
      </w:r>
      <w:r>
        <w:rPr>
          <w:rFonts w:hint="eastAsia" w:ascii="宋体" w:hAnsi="宋体" w:eastAsia="宋体" w:cs="宋体"/>
          <w:color w:val="auto"/>
          <w:kern w:val="0"/>
          <w:sz w:val="24"/>
          <w:highlight w:val="none"/>
          <w:u w:val="single"/>
        </w:rPr>
        <w:t>人民法院提起诉讼。</w:t>
      </w:r>
    </w:p>
    <w:p w14:paraId="7CB06BE9">
      <w:pPr>
        <w:pStyle w:val="3"/>
        <w:spacing w:after="0"/>
        <w:rPr>
          <w:rFonts w:hint="eastAsia"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违约责任补充：</w:t>
      </w:r>
    </w:p>
    <w:p w14:paraId="2F00944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90.3</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有需要向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返还费用、赔偿和/或支付违约金的，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有权从应付款项中直接扣除对应损失金额。若不足抵付</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 xml:space="preserve">损失的, </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还应负责赔偿。</w:t>
      </w:r>
    </w:p>
    <w:p w14:paraId="74EFB78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90.4</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承担违约责任的方式包括但不限于：</w:t>
      </w:r>
    </w:p>
    <w:p w14:paraId="3894C5A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①书面警告。</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不履行或不完全履行合同或不执行总监理工程师或</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（含主管人员）的指令时，</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有权向</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发出书面警告。</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必须在书面警告限定的时间内履行义务或执行指令，否则应承担1次一般违约责任。</w:t>
      </w:r>
    </w:p>
    <w:p w14:paraId="4DD8F59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②一般违约责任。</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违反本合同的约定须承担一般违约责任时，必须向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支付违约金10000元/次。</w:t>
      </w:r>
    </w:p>
    <w:p w14:paraId="650A1ACB">
      <w:pPr>
        <w:numPr>
          <w:ilvl w:val="0"/>
          <w:numId w:val="31"/>
        </w:num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严重违约责任。</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违反本合同的约定须承担严重违约责任时，必须向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w:t>
      </w:r>
      <w:r>
        <w:rPr>
          <w:rFonts w:hint="default" w:ascii="宋体" w:hAnsi="宋体" w:eastAsia="宋体" w:cs="宋体"/>
          <w:color w:val="auto"/>
          <w:kern w:val="0"/>
          <w:sz w:val="24"/>
          <w:szCs w:val="24"/>
          <w:highlight w:val="none"/>
          <w:lang w:val="en-US"/>
        </w:rPr>
        <w:t>5</w:t>
      </w:r>
      <w:r>
        <w:rPr>
          <w:rFonts w:hint="eastAsia" w:ascii="宋体" w:hAnsi="宋体" w:eastAsia="宋体" w:cs="宋体"/>
          <w:color w:val="auto"/>
          <w:kern w:val="0"/>
          <w:sz w:val="24"/>
          <w:szCs w:val="24"/>
          <w:highlight w:val="none"/>
        </w:rPr>
        <w:t>0000元/次。</w:t>
      </w:r>
    </w:p>
    <w:p w14:paraId="2BE85D4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④部分解除合同。当</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违反本合同的约定符合部分解除合同的条件时，</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有权向</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发出书面部分解除合同的通知，该通知在送达</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时即生效。</w:t>
      </w:r>
      <w:r>
        <w:rPr>
          <w:rFonts w:hint="eastAsia" w:ascii="宋体" w:hAnsi="宋体" w:eastAsia="宋体" w:cs="宋体"/>
          <w:color w:val="auto"/>
          <w:kern w:val="0"/>
          <w:sz w:val="24"/>
          <w:szCs w:val="24"/>
          <w:highlight w:val="none"/>
          <w:u w:val="none"/>
          <w:lang w:eastAsia="zh-CN"/>
        </w:rPr>
        <w:t>甲方</w:t>
      </w:r>
      <w:r>
        <w:rPr>
          <w:rFonts w:hint="eastAsia" w:ascii="宋体" w:hAnsi="宋体" w:eastAsia="宋体" w:cs="宋体"/>
          <w:color w:val="auto"/>
          <w:kern w:val="0"/>
          <w:sz w:val="24"/>
          <w:szCs w:val="24"/>
          <w:highlight w:val="none"/>
          <w:u w:val="none"/>
        </w:rPr>
        <w:t>有权从本合同价款中直接扣除被解除部分工程所需的全部费用，</w:t>
      </w:r>
      <w:r>
        <w:rPr>
          <w:rFonts w:hint="eastAsia" w:ascii="宋体" w:hAnsi="宋体" w:eastAsia="宋体" w:cs="宋体"/>
          <w:color w:val="auto"/>
          <w:kern w:val="0"/>
          <w:sz w:val="24"/>
          <w:szCs w:val="24"/>
          <w:highlight w:val="none"/>
        </w:rPr>
        <w:t>同时，</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应在部分解除合同之日起七日内向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支付被解除部分工程合同价款5%的违约金并赔偿</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的实际损失。</w:t>
      </w:r>
    </w:p>
    <w:p w14:paraId="54F828E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⑤解除合同。当</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违反本合同的约定符合解除合同的条件时，</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有权向</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发出书面解除合同的通知，该通知在送达</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时即生效，</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应在解除合同之日起七日内向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支付项目施工图预算金额的5%的违约金并赔偿</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的实际损失。</w:t>
      </w:r>
    </w:p>
    <w:p w14:paraId="3A54B71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⑥赔偿损失。因</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原因造成</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经济损失的，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应赔偿</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的全部直接和间接经济损失。</w:t>
      </w:r>
    </w:p>
    <w:p w14:paraId="1A3C143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⑦完全由专业</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和专业分包人造成违约，也不免除</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的违约责任。</w:t>
      </w:r>
    </w:p>
    <w:p w14:paraId="69AF333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按本合同约定应支付的违约金和赔偿金应分别计算。</w:t>
      </w:r>
    </w:p>
    <w:p w14:paraId="7A85C45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9</w:t>
      </w:r>
      <w:r>
        <w:rPr>
          <w:rFonts w:hint="eastAsia" w:ascii="宋体" w:hAnsi="宋体" w:eastAsia="宋体" w:cs="宋体"/>
          <w:color w:val="auto"/>
          <w:kern w:val="0"/>
          <w:sz w:val="24"/>
          <w:szCs w:val="24"/>
          <w:highlight w:val="none"/>
          <w:lang w:val="en-US" w:eastAsia="zh-CN"/>
        </w:rPr>
        <w:t>0.6</w:t>
      </w:r>
      <w:r>
        <w:rPr>
          <w:rFonts w:hint="eastAsia" w:ascii="宋体" w:hAnsi="宋体" w:eastAsia="宋体" w:cs="宋体"/>
          <w:color w:val="auto"/>
          <w:kern w:val="0"/>
          <w:sz w:val="24"/>
          <w:szCs w:val="24"/>
          <w:highlight w:val="none"/>
        </w:rPr>
        <w:t>在本合同有效期内，累计三次书面警告另追加一次一般违约责任；累计三次一般违约责任另追加一次严重违约责任；累计三次严重违约责任，</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有权单方面部分或全部解除合同。</w:t>
      </w:r>
    </w:p>
    <w:p w14:paraId="2882797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必要时，</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有权书面通知</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必须在</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规定的时间内主动支付，否则，</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有权按应支付金额每天加收2‰滞纳金。</w:t>
      </w:r>
    </w:p>
    <w:p w14:paraId="06A4FA04">
      <w:pPr>
        <w:spacing w:line="360" w:lineRule="auto"/>
        <w:ind w:firstLine="480" w:firstLineChars="200"/>
        <w:rPr>
          <w:rFonts w:hint="eastAsia" w:ascii="宋体" w:hAnsi="宋体" w:eastAsia="宋体" w:cs="宋体"/>
          <w:b w:val="0"/>
          <w:bCs w:val="0"/>
          <w:color w:val="auto"/>
          <w:kern w:val="0"/>
          <w:sz w:val="24"/>
          <w:szCs w:val="24"/>
          <w:highlight w:val="none"/>
        </w:rPr>
      </w:pPr>
      <w:bookmarkStart w:id="310" w:name="_Toc503856446"/>
      <w:r>
        <w:rPr>
          <w:rFonts w:hint="eastAsia" w:ascii="宋体" w:hAnsi="宋体" w:eastAsia="宋体" w:cs="宋体"/>
          <w:color w:val="auto"/>
          <w:kern w:val="0"/>
          <w:sz w:val="24"/>
          <w:szCs w:val="24"/>
          <w:highlight w:val="none"/>
          <w:lang w:eastAsia="zh-CN"/>
        </w:rPr>
        <w:t>9</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b w:val="0"/>
          <w:bCs w:val="0"/>
          <w:color w:val="auto"/>
          <w:kern w:val="0"/>
          <w:sz w:val="24"/>
          <w:szCs w:val="24"/>
          <w:highlight w:val="none"/>
        </w:rPr>
        <w:t>工程组织管理方面的违约责任</w:t>
      </w:r>
      <w:bookmarkEnd w:id="310"/>
    </w:p>
    <w:p w14:paraId="0169DAF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不服从</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及监理单位的管理，对</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、监理单位的指令和书面通知公开或变相拒不执行的，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视情节严重程度有权要求其发生一次承担1次一般违约责任或者1次严重违约责任，并由</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承担由此造成的一切经济损失。情节较轻的，可给予书面警告；情节特别严重的，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有权单方面部分解除合同或解除合同。</w:t>
      </w:r>
    </w:p>
    <w:p w14:paraId="5AFA627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不遵守</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所制订的各项制度、规定的，由</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按所触犯制度、规定的有关规定承担违约责任。若对于所触犯制度、规定的责任无明确规定的，按本合同专用条款约定处理。</w:t>
      </w:r>
    </w:p>
    <w:p w14:paraId="18C6F12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不按约定投入技术管理人员、施工作业人员、施工机械设备，或者擅自变更资源投入计划或者擅自对已投入的资源进行调整的（即使征得</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同意更换的，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仍应承担违反投标承诺的违约责任），</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必须按照总监理工程师或者</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的指令限期改正；</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拒不限期改正的，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有权要求其发生一次承担1次严重违约责任。情节较轻的，可给予书面警告；情节特别严重的（指同一事件连续3次发出书面警告），</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有权单方面部分解除合同或解除合同。现场管理机构各部主要技术管理人员的实际工作能力和工作效果达不到招标文件的明确要求或投标文件的承诺，或其工作态度存在严重不足，不适应现场工作需要的，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提出撤换，所调换来人员的资质、资历、学历、职称、业绩、实际工作能力不得低于原投标文件中所承诺人员的素质；</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要求</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撤换不合格人员，如</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既不立即撤换，也不及时提出整改意见，则视同拒绝执行</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的指令，</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有权要求其发生一次承担1次严重违约责任。情节较轻的，可给予书面警告；情节特别严重的（指同一事件连续3次发出书面警告），</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有权单方面部分解除合同或解除合同。</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要求</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以实际工作能力较高的人员调换实际工作能力较低的现场人员，或者</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主动要求以实际工作能力较高的人员调换实际工作能力较低的现场人员，不免除</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需承担的违约责任。</w:t>
      </w:r>
    </w:p>
    <w:p w14:paraId="0AD215E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④经</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或监理单位抽查发现</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其技术管理人员或施工作业人员没有按要求佩带相关身份卡的，由</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按每人次500元的标准向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支付违约金并立即改正。</w:t>
      </w:r>
    </w:p>
    <w:p w14:paraId="570C6A8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的项目负责人、技术负责人等主要技术管理人员必须参加监理单位或</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主持的工程例会和其他要求的专题会议，除获得监理单位或</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批准外，每缺席1人次，</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须承担1次一般违约责任。情节较轻的，可给予书面警告；</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的项目负责人及专业负责人需驻场，其出勤率需达到80%/月，若</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在检查的过程中发现项目负责人或其技术负责人不在场，1次则给予书面警告，连续2次（含2次）以上或一个月发现3次（含3次）以上，则每一次都按一般违约责任处理。</w:t>
      </w:r>
    </w:p>
    <w:p w14:paraId="45570BA3">
      <w:pPr>
        <w:keepNext/>
        <w:keepLine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⑥</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不按本合同规定做好施工总承包管理或配合工作，经总监理工程师或</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发出限期改正通知后3天内，</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仍未能整改至令总监理工程师或</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满意的，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视情节严重程度有权要求其承担1次一般违约责任或者1次严重违约责任。</w:t>
      </w:r>
    </w:p>
    <w:p w14:paraId="7C8CBB9D">
      <w:pPr>
        <w:keepNext/>
        <w:keepLine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⑦除</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未按合同约定支付工程款的，由于</w:t>
      </w:r>
      <w:r>
        <w:rPr>
          <w:rFonts w:hint="eastAsia" w:ascii="宋体" w:hAnsi="宋体" w:eastAsia="宋体" w:cs="宋体"/>
          <w:color w:val="auto"/>
          <w:kern w:val="0"/>
          <w:sz w:val="24"/>
          <w:highlight w:val="none"/>
          <w:u w:val="single"/>
        </w:rPr>
        <w:t>乙方出现拖欠工人工资纠纷的，公司领导应在接到通知后1小时内到现场协调处理。在15日内按所欠工资额的</w:t>
      </w:r>
      <w:r>
        <w:rPr>
          <w:rFonts w:hint="eastAsia" w:ascii="宋体" w:hAnsi="宋体" w:eastAsia="宋体" w:cs="宋体"/>
          <w:color w:val="auto"/>
          <w:kern w:val="0"/>
          <w:sz w:val="24"/>
          <w:highlight w:val="none"/>
          <w:u w:val="single"/>
          <w:lang w:val="en-US" w:eastAsia="zh-CN"/>
        </w:rPr>
        <w:t>2</w:t>
      </w:r>
      <w:r>
        <w:rPr>
          <w:rFonts w:hint="eastAsia" w:ascii="宋体" w:hAnsi="宋体" w:eastAsia="宋体" w:cs="宋体"/>
          <w:color w:val="auto"/>
          <w:kern w:val="0"/>
          <w:sz w:val="24"/>
          <w:highlight w:val="none"/>
          <w:u w:val="single"/>
        </w:rPr>
        <w:t>倍向发包方交纳罚金。乙方如拒不交纳罚金，甲方有权在进度款扣减或提取履约保证金，列入黑名单及拒绝其后续投标，并报上级主管部门</w:t>
      </w:r>
      <w:r>
        <w:rPr>
          <w:rFonts w:hint="eastAsia" w:ascii="宋体" w:hAnsi="宋体" w:eastAsia="宋体" w:cs="宋体"/>
          <w:color w:val="auto"/>
          <w:kern w:val="0"/>
          <w:sz w:val="24"/>
          <w:szCs w:val="24"/>
          <w:highlight w:val="none"/>
        </w:rPr>
        <w:t>。</w:t>
      </w:r>
    </w:p>
    <w:p w14:paraId="399097F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⑧</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不按合同约定或</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要求提交竣工资料的，每发生一次，承担一次一般违约责任。</w:t>
      </w:r>
    </w:p>
    <w:p w14:paraId="7EB84DD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⑨</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单方面擅自终止或解除本合同的，应向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支付违约金及赔偿损失。</w:t>
      </w:r>
    </w:p>
    <w:p w14:paraId="1582C0E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⑩</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及监理单位将不定期抽查</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及其所管辖的专业承包单位和分包单位实行平安卡管理制度的情况，如发现违反本合同有关约定的，由</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按相关条款的约定承担违约责任。如发现有冒名顶替或人不到场而代为刷卡等弄虚作假现象的，由</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按相关条款的约定承担违约责任。</w:t>
      </w:r>
    </w:p>
    <w:p w14:paraId="51931E49">
      <w:pPr>
        <w:keepNext/>
        <w:keepLine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⑪</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必须向本项目的所有施工人员购买意外伤害保险。对于</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或其分包人所雇用的工人出现的伤亡事故或损失，应由</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自行负责（但由于</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或监理单位的行为失误所造成的除外）。对于这类伤亡或损失，</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不负责任，不负担涉及这类伤亡或损失的索赔、诉讼、损害赔偿及其他费用。对分包单位出现的工人意外事故或伤害，由于分包单位原因造成的，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需承担连带责任。</w:t>
      </w:r>
    </w:p>
    <w:p w14:paraId="512D8907">
      <w:pPr>
        <w:keepNext/>
        <w:keepLine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\o\ac(○,12)</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负责本项目施工的整体管理，包括对</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单独发包的专业分包单位的管理，如</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管理不善或不配合</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单独发包的专业分包单位而对本工程造成不利影响的，包括但不限于环境污染、工期延误、违规（额外）收费、文明施工混乱、劳资纠纷、质量缺陷等，每发现一次，</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支付违约金50000元/次。</w:t>
      </w:r>
    </w:p>
    <w:p w14:paraId="443CD4BF">
      <w:pPr>
        <w:spacing w:line="360" w:lineRule="auto"/>
        <w:ind w:firstLine="480" w:firstLineChars="200"/>
        <w:rPr>
          <w:rFonts w:hint="eastAsia" w:ascii="宋体" w:hAnsi="宋体" w:eastAsia="宋体" w:cs="宋体"/>
          <w:b w:val="0"/>
          <w:bCs w:val="0"/>
          <w:color w:val="auto"/>
          <w:kern w:val="0"/>
          <w:sz w:val="24"/>
          <w:szCs w:val="24"/>
          <w:highlight w:val="none"/>
        </w:rPr>
      </w:pPr>
      <w:bookmarkStart w:id="311" w:name="_Toc503856447"/>
      <w:r>
        <w:rPr>
          <w:rFonts w:hint="eastAsia" w:ascii="宋体" w:hAnsi="宋体" w:eastAsia="宋体" w:cs="宋体"/>
          <w:color w:val="auto"/>
          <w:kern w:val="0"/>
          <w:sz w:val="24"/>
          <w:szCs w:val="24"/>
          <w:highlight w:val="none"/>
          <w:lang w:eastAsia="zh-CN"/>
        </w:rPr>
        <w:t>9</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b w:val="0"/>
          <w:bCs w:val="0"/>
          <w:color w:val="auto"/>
          <w:kern w:val="0"/>
          <w:sz w:val="24"/>
          <w:szCs w:val="24"/>
          <w:highlight w:val="none"/>
        </w:rPr>
        <w:t>材料设备管理及工程质量方面的违约责任</w:t>
      </w:r>
      <w:bookmarkEnd w:id="311"/>
    </w:p>
    <w:p w14:paraId="4352615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（包括</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委托的材料设备检验机构）或总监理工程师抽查</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的工程材料设备，发现所检查的材料与合同约定标准的任何一项不符合时，</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除必须全部退货、返工，并赔偿</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由此遭受的实际损失外，还应当按照该批次材料的价值，按照如下约定承担违约责任：</w:t>
      </w:r>
    </w:p>
    <w:p w14:paraId="3C571AA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A、对于单宗或批次材料价值不高于10万元的（含10万元），但累计抽检不合格达3次，</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承担1次一般违约责任。</w:t>
      </w:r>
    </w:p>
    <w:p w14:paraId="0965D666">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B、单宗或批次材料价值在10万元以上100万元以下（含100万元），</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承担1次一般违约责任。</w:t>
      </w:r>
    </w:p>
    <w:p w14:paraId="10B1083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C、单宗或批次材料价值100-200万元（含200万元），</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承担1次严重违约责任。</w:t>
      </w:r>
    </w:p>
    <w:p w14:paraId="386A5DC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D、单宗或批次材料价值在200万元以上的，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承担违约金</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万元。</w:t>
      </w:r>
    </w:p>
    <w:p w14:paraId="18F74EB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必须保证用于本合同工程所有的材料设备的品牌、型号、规格、质量等符合本合同及招投标文件的要求，严禁假冒伪劣产品，严禁以次充好，严禁未经</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批准即以其他产品（包括</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的产品）顶替本合同及招投标文件中规定的产品。如发生上述情况，</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必须无条件在</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限定的时间内全部更换为符合要求的产品，因此给</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造成实际损失的，由</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负责赔偿，并承担相应违约责任；同时，</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有权将</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的上述行为通过媒体公开披露，并移送有关主管部门依法处理。如因此致使</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需要另行采购符合本合同及招投标文件要求的货物的，由</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按另行采购的货物总价款的两倍向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w:t>
      </w:r>
    </w:p>
    <w:p w14:paraId="03EFE2E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不按合同专用条款约定对用于本合同工程的材料设备进行管理的，视同不服从</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及监理单位管理，应视情节严重程度，按本条款的约定承担违约责任；同时</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有权暂停支付本合同工程进度款，直到</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完成相关工作为止。</w:t>
      </w:r>
    </w:p>
    <w:p w14:paraId="35BB784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必须对各工序报验核查质量控制点。</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申请报验后，经总监理工程师或</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检查发现存在较大质量问题（存在质量问题的部分超过检查部分工程的10%），则该工序质量为不合格，</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必须对不合格部分进行返工，返工后经检查合格才准进入下一工序，工期不予顺延。复检的结果，按每一分项工程计算，总计发现3次或连续发现2次质量控制点不合格的，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承担1次一般违约责任；总计发现3次以上（不含本数）或连续发现2次以上（不含本数）质量控制点不合格的，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承担1次严重违约责任；</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采取整改措施后效果仍不明显的，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有权部分解除合同，将该分项工程另行发包，且不免除</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应承担的违约赔偿责任。</w:t>
      </w:r>
    </w:p>
    <w:p w14:paraId="5252A43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⑤工程竣工验收不符合国家强制性标准及规范要求，</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除应向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支付所在工程总造价5%的违约金并无偿采取补救措施及赔偿</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的实际损失外，还应承担由此引起的一切责任。</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不能在</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要求期限内整改至符合约定标准的，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有权单方解除合同。</w:t>
      </w:r>
    </w:p>
    <w:p w14:paraId="1C83F52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⑥工程质量未达到本合同协议书约定质量标准的，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支付单位工程审定结算总价2％的违约金，并按</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要求期限整改至约定质量标准，</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不能在</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要求期限内整改至符合约定标准的，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有权单方解除合同。</w:t>
      </w:r>
    </w:p>
    <w:p w14:paraId="467D6B3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⑦在本合同工程质量保修期内发现有重大质量不合格问题的（该重大质量问题应界定为达不到要求的质量标准，属质量保修的问题除外），</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必须在规定的期限内返工达到合同约定的质量等级并赔偿由此给</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造成的损失，同时按该不合格项目所处分项工程总造价的5%向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不能在</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要求期限内整改至符合约定标准的，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有权委托其他单位实施，费用由</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承担。</w:t>
      </w:r>
    </w:p>
    <w:p w14:paraId="245D04F0">
      <w:pPr>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lang w:eastAsia="zh-CN"/>
        </w:rPr>
        <w:t>9</w:t>
      </w:r>
      <w:r>
        <w:rPr>
          <w:rFonts w:hint="eastAsia" w:ascii="宋体" w:hAnsi="宋体" w:eastAsia="宋体" w:cs="宋体"/>
          <w:color w:val="auto"/>
          <w:kern w:val="0"/>
          <w:sz w:val="24"/>
          <w:szCs w:val="24"/>
          <w:highlight w:val="none"/>
          <w:lang w:val="en-US" w:eastAsia="zh-CN"/>
        </w:rPr>
        <w:t>0.9</w:t>
      </w:r>
      <w:r>
        <w:rPr>
          <w:rFonts w:hint="eastAsia" w:ascii="宋体" w:hAnsi="宋体" w:eastAsia="宋体" w:cs="宋体"/>
          <w:b w:val="0"/>
          <w:bCs w:val="0"/>
          <w:color w:val="auto"/>
          <w:kern w:val="0"/>
          <w:sz w:val="24"/>
          <w:szCs w:val="24"/>
          <w:highlight w:val="none"/>
        </w:rPr>
        <w:t>安全生产方面的违约责任</w:t>
      </w:r>
    </w:p>
    <w:p w14:paraId="2C83A8D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在政府行政主管部门组织的安全生产检查中，被发现存在严重的安全隐患，被通报批评，或被新闻媒体曝光造成不良影响的，被通报或被曝光1次，</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必须承担1次严重违约责任；造成严重社会影响或累计被通报或被曝光3次以上（含本数）的，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有权解除合同。</w:t>
      </w:r>
    </w:p>
    <w:p w14:paraId="02B1D99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、总监理工程师进行的日常安全生产检查中，被发现存在安全隐患的，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应限期改正。若同样问题被发现2次或累计类似问题被发现3次的，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必须承担1次一般违约责任。此类问题的认定，以</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、总监理工程师书面通知、指令、通报或会议纪要为准。</w:t>
      </w:r>
    </w:p>
    <w:p w14:paraId="5C6900F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因自身原因造成安全事故（含工程质量事故）的，除按国家规定由主管部门处罚外，</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需承担违约处罚。发生安全事故，</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每一次给予</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一次严重违约处罚，直至部分或全部解除合同。</w:t>
      </w:r>
    </w:p>
    <w:p w14:paraId="75D84CE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④发生事故的：</w:t>
      </w:r>
    </w:p>
    <w:p w14:paraId="734CB00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A、发生特别重大事故，如造成人员死亡的，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须向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支付违约金，违约金从人民币1000万元起计，死亡的人数多于30人时，每增加死亡1人，</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除支付上述违约金外还须再向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支付违约金人民币50万元／人；</w:t>
      </w:r>
    </w:p>
    <w:p w14:paraId="6866761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B、发生重大事故，如造成人员死亡的，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须向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支付违约金，违约金从人民币500万元起计，死亡的人数多于10人时，每增加死亡1人，</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除支付上述违约金外还须再向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支付违约金人民币50万元／人；</w:t>
      </w:r>
    </w:p>
    <w:p w14:paraId="0B8BD374">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C、发生较大事故，如造成人员死亡或重伤的，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须向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支付违约金，违约金从人民币300万元起计，死亡的人数多于3人或重伤人数多于20人时，每增加死亡1人或重伤3人，</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除支付上述违约金外还须再向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支付违约金人民币50万元；</w:t>
      </w:r>
    </w:p>
    <w:p w14:paraId="45E50D7D">
      <w:pPr>
        <w:keepNext/>
        <w:keepLine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D、发生一般事故，如造成人员死亡或重伤的，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须向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支付违约金，违约金从人民币100万元起计，死亡的人数多于1人或重伤人数多于3人时，每增加死亡1人或重伤3人，</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除支付上述违约金外还须再向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支付违约金人民币50万元。</w:t>
      </w:r>
    </w:p>
    <w:p w14:paraId="57387CE5">
      <w:pPr>
        <w:keepNext/>
        <w:keepLine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E、安全事故及质量事故等级界定按国家现行有关规定执行。</w:t>
      </w:r>
    </w:p>
    <w:p w14:paraId="160A7AF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依照支付违约金后，所支付的违约金不足以弥补由此给</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造成的损失的，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还须补偿</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的其他损失。</w:t>
      </w:r>
    </w:p>
    <w:p w14:paraId="44884ACC">
      <w:pPr>
        <w:spacing w:line="360" w:lineRule="auto"/>
        <w:ind w:firstLine="480" w:firstLineChars="200"/>
        <w:rPr>
          <w:rFonts w:hint="eastAsia" w:ascii="宋体" w:hAnsi="宋体" w:eastAsia="宋体" w:cs="宋体"/>
          <w:b w:val="0"/>
          <w:bCs w:val="0"/>
          <w:color w:val="auto"/>
          <w:kern w:val="0"/>
          <w:sz w:val="24"/>
          <w:szCs w:val="24"/>
          <w:highlight w:val="none"/>
        </w:rPr>
      </w:pPr>
      <w:bookmarkStart w:id="312" w:name="_Toc503856448"/>
      <w:r>
        <w:rPr>
          <w:rFonts w:hint="eastAsia" w:ascii="宋体" w:hAnsi="宋体" w:eastAsia="宋体" w:cs="宋体"/>
          <w:b w:val="0"/>
          <w:bCs w:val="0"/>
          <w:color w:val="auto"/>
          <w:kern w:val="0"/>
          <w:sz w:val="24"/>
          <w:szCs w:val="24"/>
          <w:highlight w:val="none"/>
          <w:lang w:eastAsia="zh-CN"/>
        </w:rPr>
        <w:t>9</w:t>
      </w:r>
      <w:r>
        <w:rPr>
          <w:rFonts w:hint="eastAsia" w:ascii="宋体" w:hAnsi="宋体" w:eastAsia="宋体" w:cs="宋体"/>
          <w:b w:val="0"/>
          <w:bCs w:val="0"/>
          <w:color w:val="auto"/>
          <w:kern w:val="0"/>
          <w:sz w:val="24"/>
          <w:szCs w:val="24"/>
          <w:highlight w:val="none"/>
          <w:lang w:val="en-US" w:eastAsia="zh-CN"/>
        </w:rPr>
        <w:t>0.10</w:t>
      </w:r>
      <w:r>
        <w:rPr>
          <w:rFonts w:hint="eastAsia" w:ascii="宋体" w:hAnsi="宋体" w:eastAsia="宋体" w:cs="宋体"/>
          <w:b w:val="0"/>
          <w:bCs w:val="0"/>
          <w:color w:val="auto"/>
          <w:kern w:val="0"/>
          <w:sz w:val="24"/>
          <w:szCs w:val="24"/>
          <w:highlight w:val="none"/>
        </w:rPr>
        <w:t>文明施工、环境保护方面的违约责任</w:t>
      </w:r>
      <w:bookmarkEnd w:id="312"/>
    </w:p>
    <w:p w14:paraId="236BFCE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、总监理工程师对</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文明施工措施进行对照检查。经检查发现</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因自身原因未能落实的，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必须承担1次一般违约责任，并限期改正；如限期届满未改正的，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须承担1次严重违约责任。</w:t>
      </w:r>
    </w:p>
    <w:p w14:paraId="2C7E967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②在行业主管部门的检查中，</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的施工场地被评为不合格工地或者被通报批评或者被新闻媒体曝光的，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必须承担1次严重违约责任，并立即采取切实有效措施予以整改；拒不采取切实有效措施整改的，或整改效果不明显的，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有权部分或全部解除合同。</w:t>
      </w:r>
    </w:p>
    <w:p w14:paraId="78E7A85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在施工过程中因其自身原因造成周围环境卫生状况较差，被其他施工单位或周围居民投诉的，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必须在当天内整改。若故意拖延或类似问题累计被投诉2次以上且经查实的，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必须承担1次严重违约责任。</w:t>
      </w:r>
    </w:p>
    <w:p w14:paraId="5FAF4864">
      <w:pPr>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90.11</w:t>
      </w:r>
      <w:r>
        <w:rPr>
          <w:rFonts w:hint="eastAsia" w:ascii="宋体" w:hAnsi="宋体" w:eastAsia="宋体" w:cs="宋体"/>
          <w:b w:val="0"/>
          <w:bCs w:val="0"/>
          <w:color w:val="auto"/>
          <w:kern w:val="0"/>
          <w:sz w:val="24"/>
          <w:szCs w:val="24"/>
          <w:highlight w:val="none"/>
        </w:rPr>
        <w:t>工程转包、分包方面的违约责任</w:t>
      </w:r>
    </w:p>
    <w:p w14:paraId="77A45D0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不按约定进行分包管理的，视同不服从</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及监理单位管理，应承担违约责任；同时</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有权暂停支付本合同工程进度款，直到</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完成相关工作为止。</w:t>
      </w:r>
    </w:p>
    <w:p w14:paraId="2FC1D488">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转包工程或者违反法律法规及本合同约定分包工程的，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有权单方面部分解除合同或解除合同，并由</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承担由此产生的一切责任及损失。</w:t>
      </w:r>
    </w:p>
    <w:p w14:paraId="6763C254">
      <w:pPr>
        <w:widowControl/>
        <w:spacing w:line="360" w:lineRule="auto"/>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及其项目负责人不能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14:paraId="78E7AEA7">
      <w:pPr>
        <w:widowControl/>
        <w:spacing w:line="360" w:lineRule="auto"/>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得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14:paraId="7D3CDF97">
      <w:pPr>
        <w:widowControl/>
        <w:spacing w:line="360" w:lineRule="auto"/>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核实存在上述③、④顶任一情况，有权要求</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万元/项的违约金或单方解除合同。</w:t>
      </w:r>
    </w:p>
    <w:p w14:paraId="7C5BE217">
      <w:pPr>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9</w:t>
      </w:r>
      <w:r>
        <w:rPr>
          <w:rFonts w:hint="eastAsia" w:ascii="宋体" w:hAnsi="宋体" w:eastAsia="宋体" w:cs="宋体"/>
          <w:b w:val="0"/>
          <w:bCs w:val="0"/>
          <w:color w:val="auto"/>
          <w:kern w:val="0"/>
          <w:sz w:val="24"/>
          <w:szCs w:val="24"/>
          <w:highlight w:val="none"/>
          <w:lang w:val="en-US" w:eastAsia="zh-CN"/>
        </w:rPr>
        <w:t>0.12</w:t>
      </w:r>
      <w:r>
        <w:rPr>
          <w:rFonts w:hint="eastAsia" w:ascii="宋体" w:hAnsi="宋体" w:eastAsia="宋体" w:cs="宋体"/>
          <w:b w:val="0"/>
          <w:bCs w:val="0"/>
          <w:color w:val="auto"/>
          <w:kern w:val="0"/>
          <w:sz w:val="24"/>
          <w:szCs w:val="24"/>
          <w:highlight w:val="none"/>
        </w:rPr>
        <w:t>农民工工资支付方面的违约责任</w:t>
      </w:r>
    </w:p>
    <w:p w14:paraId="7F038BF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违反约定，被农民工投诉或上访属实的，</w:t>
      </w:r>
      <w:r>
        <w:rPr>
          <w:rFonts w:hint="eastAsia" w:ascii="宋体" w:hAnsi="宋体" w:eastAsia="宋体" w:cs="宋体"/>
          <w:color w:val="auto"/>
          <w:kern w:val="0"/>
          <w:sz w:val="24"/>
          <w:highlight w:val="none"/>
          <w:u w:val="single"/>
        </w:rPr>
        <w:t>乙方出现拖欠工人工资纠纷的，公司领导应在接到通知后1小时内到现场协调处理。在15日内按所欠工资额的</w:t>
      </w:r>
      <w:r>
        <w:rPr>
          <w:rFonts w:hint="eastAsia" w:ascii="宋体" w:hAnsi="宋体" w:eastAsia="宋体" w:cs="宋体"/>
          <w:color w:val="auto"/>
          <w:kern w:val="0"/>
          <w:sz w:val="24"/>
          <w:highlight w:val="none"/>
          <w:u w:val="single"/>
          <w:lang w:val="en-US" w:eastAsia="zh-CN"/>
        </w:rPr>
        <w:t>2</w:t>
      </w:r>
      <w:r>
        <w:rPr>
          <w:rFonts w:hint="eastAsia" w:ascii="宋体" w:hAnsi="宋体" w:eastAsia="宋体" w:cs="宋体"/>
          <w:color w:val="auto"/>
          <w:kern w:val="0"/>
          <w:sz w:val="24"/>
          <w:highlight w:val="none"/>
          <w:u w:val="single"/>
        </w:rPr>
        <w:t>倍向发包方交纳罚金。乙方如拒不交纳罚金，甲方有权在进度款扣减或提取履约保证金，列入黑名单及拒绝其后续投标，并报上级主管部门</w:t>
      </w:r>
      <w:r>
        <w:rPr>
          <w:rFonts w:hint="eastAsia" w:ascii="宋体" w:hAnsi="宋体" w:eastAsia="宋体" w:cs="宋体"/>
          <w:color w:val="auto"/>
          <w:kern w:val="0"/>
          <w:sz w:val="24"/>
          <w:szCs w:val="24"/>
          <w:highlight w:val="none"/>
        </w:rPr>
        <w:t>。</w:t>
      </w:r>
    </w:p>
    <w:p w14:paraId="310BF1E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②除</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违约外，由于</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或其管理的分包单位（包括施工专业分包、供货分包及劳务分包单位等）拖欠农民工工资致使</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被投诉或起诉并被判令先行垫付农民工工资的，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除每一次承担1次严重违约责任外，还应向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先行垫付的农民工工资金额的两倍作为补偿。</w:t>
      </w:r>
    </w:p>
    <w:p w14:paraId="1CFA08F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③因</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违约导致</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暂停支付工程款时，</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不得以此为理由拖欠农民工工资，在</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就暂停支付工程款问题解决之前，</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 xml:space="preserve">有义务先行支付其所属工人工资。 </w:t>
      </w:r>
    </w:p>
    <w:p w14:paraId="4F3D224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不按合同及有关规定按时、足额支付分包单位合同价款及民工工资致使民工集体上访、集聚围阻而造成社会不良影响的，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须承担每一次20万元的违约金，并上报省、市主管部门建议取消其参加广州地区省、市重大项目的投标资格，并由</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予以公告。如属恶意煽动并造成社会不良影响的，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将提请司法部门追究其法律责任。</w:t>
      </w:r>
    </w:p>
    <w:p w14:paraId="33A343E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9</w:t>
      </w:r>
      <w:r>
        <w:rPr>
          <w:rFonts w:hint="eastAsia" w:ascii="宋体" w:hAnsi="宋体" w:eastAsia="宋体" w:cs="宋体"/>
          <w:color w:val="auto"/>
          <w:kern w:val="0"/>
          <w:sz w:val="24"/>
          <w:szCs w:val="24"/>
          <w:highlight w:val="none"/>
          <w:lang w:val="en-US" w:eastAsia="zh-CN"/>
        </w:rPr>
        <w:t>0.13</w:t>
      </w:r>
      <w:r>
        <w:rPr>
          <w:rFonts w:hint="eastAsia" w:ascii="宋体" w:hAnsi="宋体" w:eastAsia="宋体" w:cs="宋体"/>
          <w:color w:val="auto"/>
          <w:kern w:val="0"/>
          <w:sz w:val="24"/>
          <w:szCs w:val="24"/>
          <w:highlight w:val="none"/>
        </w:rPr>
        <w:t>除上述约定之外，</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不履行或不完全履行合同其他义务的，均构成违约，应当承担1次一般违约责任。情节较重的，应当承担1次严重违约责任。并立即采取切实有效措施予以整改；拒不采取切实有效措施整改的，或整改效果不明显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有权部分或全部解除合同。</w:t>
      </w:r>
    </w:p>
    <w:p w14:paraId="6AE5502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9</w:t>
      </w:r>
      <w:r>
        <w:rPr>
          <w:rFonts w:hint="eastAsia" w:ascii="宋体" w:hAnsi="宋体" w:eastAsia="宋体" w:cs="宋体"/>
          <w:color w:val="auto"/>
          <w:kern w:val="0"/>
          <w:sz w:val="24"/>
          <w:szCs w:val="24"/>
          <w:highlight w:val="none"/>
          <w:lang w:val="en-US" w:eastAsia="zh-CN"/>
        </w:rPr>
        <w:t>0.14</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违约责任的认定方式及送达程序：</w:t>
      </w:r>
    </w:p>
    <w:p w14:paraId="240982B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①认定方式：以</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发出的通知、通报、会议纪要等书面文件确定的内容为准。</w:t>
      </w:r>
    </w:p>
    <w:p w14:paraId="58F62AE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②送达程序：</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以下列方式之一将书面违约处理决定送达</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w:t>
      </w:r>
    </w:p>
    <w:p w14:paraId="47B6BBF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现场项目负责人或负责收发文人员签收。</w:t>
      </w:r>
    </w:p>
    <w:p w14:paraId="05E20ED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邮寄送达（以</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邮寄凭证为准，视为</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已签收）。</w:t>
      </w:r>
    </w:p>
    <w:p w14:paraId="4F1DFD8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派两名以上（含两名）工作人员送达</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公司，即视为</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已确认收到。</w:t>
      </w:r>
    </w:p>
    <w:p w14:paraId="47A04F5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D、其他法律法规规定的送达确认方式。</w:t>
      </w:r>
    </w:p>
    <w:p w14:paraId="72942C74">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以书面形式作出的违约处理决定一经送达</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立即生效。</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如有足够证据证明不应由其承担违约责任的，应在收到违约处理决定后3天内以书面形式向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提出异议并附上有关证据；</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在收到</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的异议后 15 天内审核完毕且作出书面决定并通知</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。在异议审核期间，</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须照常施工，不得以审核未确定为由拖延或者中止工程施工。</w:t>
      </w:r>
    </w:p>
    <w:p w14:paraId="42043B3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注：以上条款如未注明违约或赔偿责任的，</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有权根据</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违约情况所造成的损失及后果，要求</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承担相应的赔偿责任。</w:t>
      </w:r>
    </w:p>
    <w:p w14:paraId="29D6EB42">
      <w:pPr>
        <w:rPr>
          <w:rFonts w:hint="default"/>
          <w:color w:val="auto"/>
          <w:highlight w:val="none"/>
          <w:lang w:val="en-US" w:eastAsia="zh-CN"/>
        </w:rPr>
      </w:pPr>
    </w:p>
    <w:p w14:paraId="27502796">
      <w:pPr>
        <w:pStyle w:val="118"/>
        <w:spacing w:line="360" w:lineRule="auto"/>
        <w:ind w:firstLine="480" w:firstLineChars="200"/>
        <w:jc w:val="both"/>
        <w:outlineLvl w:val="9"/>
        <w:rPr>
          <w:rFonts w:ascii="宋体" w:hAnsi="宋体" w:eastAsia="宋体" w:cs="宋体"/>
          <w:color w:val="auto"/>
          <w:highlight w:val="none"/>
        </w:rPr>
      </w:pPr>
      <w:bookmarkStart w:id="313" w:name="_Toc287628086"/>
      <w:r>
        <w:rPr>
          <w:rFonts w:hint="eastAsia" w:ascii="宋体" w:hAnsi="宋体" w:eastAsia="宋体" w:cs="宋体"/>
          <w:color w:val="auto"/>
          <w:highlight w:val="none"/>
        </w:rPr>
        <w:t>94．保密要求</w:t>
      </w:r>
      <w:bookmarkEnd w:id="313"/>
    </w:p>
    <w:p w14:paraId="6510735B">
      <w:pPr>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94.1 提供保密信息的期限：</w:t>
      </w:r>
      <w:r>
        <w:rPr>
          <w:rFonts w:hint="eastAsia" w:ascii="宋体" w:hAnsi="宋体" w:eastAsia="宋体" w:cs="宋体"/>
          <w:color w:val="auto"/>
          <w:kern w:val="0"/>
          <w:sz w:val="24"/>
          <w:highlight w:val="none"/>
          <w:u w:val="single"/>
        </w:rPr>
        <w:t xml:space="preserve"> 不因本合同终止而结束，应长期保密。 </w:t>
      </w:r>
    </w:p>
    <w:p w14:paraId="75D2E8CB">
      <w:pPr>
        <w:pStyle w:val="118"/>
        <w:spacing w:line="360" w:lineRule="auto"/>
        <w:ind w:firstLine="480" w:firstLineChars="200"/>
        <w:jc w:val="both"/>
        <w:outlineLvl w:val="9"/>
        <w:rPr>
          <w:rFonts w:ascii="宋体" w:hAnsi="宋体" w:eastAsia="宋体" w:cs="宋体"/>
          <w:color w:val="auto"/>
          <w:highlight w:val="none"/>
        </w:rPr>
      </w:pPr>
      <w:bookmarkStart w:id="314" w:name="_Toc287628087"/>
      <w:r>
        <w:rPr>
          <w:rFonts w:hint="eastAsia" w:ascii="宋体" w:hAnsi="宋体" w:eastAsia="宋体" w:cs="宋体"/>
          <w:color w:val="auto"/>
          <w:highlight w:val="none"/>
        </w:rPr>
        <w:t>97．合同份数</w:t>
      </w:r>
      <w:bookmarkEnd w:id="314"/>
    </w:p>
    <w:p w14:paraId="7FF7EA9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97.1 约定提供合同文件</w:t>
      </w:r>
    </w:p>
    <w:p w14:paraId="11453B7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提供合同文本：</w:t>
      </w:r>
    </w:p>
    <w:p w14:paraId="3DC20E3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按通用条款的规定，由甲方向乙方提供。</w:t>
      </w:r>
    </w:p>
    <w:p w14:paraId="76FBDB0F">
      <w:pPr>
        <w:autoSpaceDE w:val="0"/>
        <w:autoSpaceDN w:val="0"/>
        <w:adjustRightInd w:val="0"/>
        <w:spacing w:line="360" w:lineRule="auto"/>
        <w:ind w:firstLine="480" w:firstLineChars="200"/>
        <w:rPr>
          <w:rFonts w:ascii="宋体" w:hAnsi="宋体" w:eastAsia="宋体" w:cs="宋体"/>
          <w:b/>
          <w:bCs/>
          <w:color w:val="auto"/>
          <w:sz w:val="36"/>
          <w:szCs w:val="36"/>
          <w:highlight w:val="none"/>
          <w:lang w:eastAsia="zh-CN"/>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由甲方提供合同范本给乙方，乙方按照第一篇合同协议书第十五条约定份数向甲方免费提供正式合同文本。</w:t>
      </w:r>
    </w:p>
    <w:p w14:paraId="3FD9E41B">
      <w:pPr>
        <w:rPr>
          <w:rFonts w:ascii="宋体" w:hAnsi="宋体" w:eastAsia="宋体" w:cs="宋体"/>
          <w:color w:val="auto"/>
          <w:highlight w:val="none"/>
        </w:rPr>
        <w:sectPr>
          <w:pgSz w:w="11906" w:h="16838"/>
          <w:pgMar w:top="1440" w:right="1797" w:bottom="1440" w:left="1800" w:header="851" w:footer="992" w:gutter="0"/>
          <w:pgNumType w:fmt="numberInDash"/>
          <w:cols w:space="720" w:num="1"/>
          <w:docGrid w:linePitch="312" w:charSpace="0"/>
        </w:sectPr>
      </w:pPr>
    </w:p>
    <w:p w14:paraId="17AA62CF">
      <w:pPr>
        <w:pStyle w:val="130"/>
        <w:jc w:val="center"/>
        <w:rPr>
          <w:rFonts w:ascii="宋体" w:hAnsi="宋体" w:eastAsia="宋体" w:cs="宋体"/>
          <w:color w:val="auto"/>
          <w:highlight w:val="none"/>
          <w:lang w:eastAsia="zh-CN"/>
        </w:rPr>
      </w:pPr>
      <w:r>
        <w:rPr>
          <w:rFonts w:hint="eastAsia" w:ascii="宋体" w:hAnsi="宋体" w:eastAsia="宋体" w:cs="宋体"/>
          <w:b/>
          <w:bCs/>
          <w:color w:val="auto"/>
          <w:sz w:val="36"/>
          <w:szCs w:val="36"/>
          <w:highlight w:val="none"/>
          <w:lang w:eastAsia="zh-CN"/>
        </w:rPr>
        <w:t>第</w:t>
      </w:r>
      <w:r>
        <w:rPr>
          <w:rFonts w:hint="eastAsia" w:ascii="宋体" w:hAnsi="宋体" w:eastAsia="宋体" w:cs="宋体"/>
          <w:b/>
          <w:color w:val="auto"/>
          <w:sz w:val="36"/>
          <w:szCs w:val="36"/>
          <w:highlight w:val="none"/>
          <w:lang w:eastAsia="zh-CN"/>
        </w:rPr>
        <w:t>三章</w:t>
      </w:r>
      <w:r>
        <w:rPr>
          <w:rFonts w:hint="eastAsia" w:ascii="宋体" w:hAnsi="宋体" w:eastAsia="宋体" w:cs="宋体"/>
          <w:b/>
          <w:bCs/>
          <w:color w:val="auto"/>
          <w:sz w:val="36"/>
          <w:szCs w:val="36"/>
          <w:highlight w:val="none"/>
          <w:lang w:eastAsia="zh-CN"/>
        </w:rPr>
        <w:t xml:space="preserve">   补充条款</w:t>
      </w:r>
    </w:p>
    <w:p w14:paraId="04AFC80C">
      <w:pPr>
        <w:pStyle w:val="6"/>
        <w:spacing w:line="360" w:lineRule="auto"/>
        <w:ind w:firstLine="0" w:firstLineChars="0"/>
        <w:rPr>
          <w:rFonts w:ascii="宋体" w:hAnsi="宋体" w:eastAsia="宋体" w:cs="宋体"/>
          <w:color w:val="auto"/>
          <w:sz w:val="24"/>
          <w:highlight w:val="none"/>
        </w:rPr>
      </w:pPr>
      <w:bookmarkStart w:id="315" w:name="_Toc287628088"/>
    </w:p>
    <w:p w14:paraId="2046FC0A">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1.本工程合同价款内已包含但不限于下列费用：</w:t>
      </w:r>
    </w:p>
    <w:p w14:paraId="092D296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（1）临时施工道路的维护、临时施工便道及临时征地。</w:t>
      </w:r>
    </w:p>
    <w:p w14:paraId="2FBE549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（2）施工占用道路的，按规定办理手续后乙方负责道路交通维护疏导、保洁等。</w:t>
      </w:r>
    </w:p>
    <w:p w14:paraId="75A080B9">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（3）工程建设临时占用红线外场地使用费，相应场地设施、地下管网保护和修复。</w:t>
      </w:r>
    </w:p>
    <w:p w14:paraId="6CF903C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（4）基坑支护的设计、编制施工方案、评审及施工验收等。</w:t>
      </w:r>
    </w:p>
    <w:p w14:paraId="4655B0C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（5）乙方原因造成的市政设施、绿化、农用地等损坏或灭失后的原状恢复。</w:t>
      </w:r>
    </w:p>
    <w:p w14:paraId="322A2DFC">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2.由于乙方施工方案缺陷而造成的经济损失，包括但不限于调整施工方案所增加的费用，以及对甲方造成的经济损失均由乙方负责，情况严重时甲方可单方面解除合同。</w:t>
      </w:r>
    </w:p>
    <w:p w14:paraId="11F9883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3.工程建设实施过程中，甲方有权减少实施已标价工程量清单内项目，或要求分步分期实施、暂缓施工等，但不补偿乙方任何费用。</w:t>
      </w:r>
    </w:p>
    <w:p w14:paraId="6047D08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本项目为EPC</w:t>
      </w:r>
      <w:r>
        <w:rPr>
          <w:rFonts w:hint="eastAsia" w:ascii="宋体" w:hAnsi="宋体" w:eastAsia="宋体" w:cs="宋体"/>
          <w:color w:val="auto"/>
          <w:sz w:val="24"/>
          <w:highlight w:val="none"/>
          <w:lang w:val="en-US" w:eastAsia="zh-CN"/>
        </w:rPr>
        <w:t>O</w:t>
      </w:r>
      <w:r>
        <w:rPr>
          <w:rFonts w:hint="eastAsia" w:ascii="宋体" w:hAnsi="宋体" w:eastAsia="宋体" w:cs="宋体"/>
          <w:color w:val="auto"/>
          <w:sz w:val="24"/>
          <w:highlight w:val="none"/>
        </w:rPr>
        <w:t>模式，乙方对施工图、施工图预算及工程量清单负责。工程量清单漏项漏量、工程变更、签证等引起工程结算造价增加的（不含人、材、机调整价差），工程施工部分的项目总结算价不得超过</w:t>
      </w:r>
      <w:r>
        <w:rPr>
          <w:rFonts w:hint="eastAsia" w:ascii="宋体" w:hAnsi="宋体" w:eastAsia="宋体" w:cs="宋体"/>
          <w:color w:val="auto"/>
          <w:sz w:val="24"/>
          <w:highlight w:val="none"/>
          <w:lang w:val="en-US" w:eastAsia="zh-CN"/>
        </w:rPr>
        <w:t>甲方确认的施工图预算以及</w:t>
      </w:r>
      <w:r>
        <w:rPr>
          <w:rFonts w:hint="eastAsia" w:ascii="宋体" w:hAnsi="宋体" w:eastAsia="宋体" w:cs="宋体"/>
          <w:color w:val="auto"/>
          <w:sz w:val="24"/>
          <w:highlight w:val="none"/>
        </w:rPr>
        <w:t>第一篇协议中合同总价的施工部分总价。</w:t>
      </w:r>
    </w:p>
    <w:p w14:paraId="6ED69D6D">
      <w:pPr>
        <w:tabs>
          <w:tab w:val="left" w:pos="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6.施工期间乙方应遵守并执行国家、省、市有关防火、爆破和施工安全以及文明卫生施工、环卫、环保噪音等规定，建立规章制度和防护措施。否则，因此造成的损失或被有关部门处罚，均由乙方负责。</w:t>
      </w:r>
    </w:p>
    <w:p w14:paraId="691F27A3">
      <w:pPr>
        <w:pStyle w:val="102"/>
        <w:adjustRightInd w:val="0"/>
        <w:snapToGrid w:val="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7.工程初步验收报告经甲方认可后60天内，乙方未提交完整结算资料的，由乙方承担全部责任。乙方在工程竣工验收后一年内未提交完整结算资料的，甲方有权解除合同。</w:t>
      </w:r>
    </w:p>
    <w:p w14:paraId="44DC8CAD">
      <w:pPr>
        <w:pStyle w:val="102"/>
        <w:adjustRightInd w:val="0"/>
        <w:snapToGrid w:val="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8.工程施工扬尘污染防治措施、绿色施工措施费和用工实名管理费用，已包含于合同价款内，甲方不再另行承担和支付，且结算时不作调增。乙方仍应按照有关文件的规定采取工程施工扬尘污染防治措施，采取绿色施工措施和进行用工实名管理。</w:t>
      </w:r>
    </w:p>
    <w:p w14:paraId="039D68E0">
      <w:pPr>
        <w:spacing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9、工人工资支付分账管理</w:t>
      </w:r>
    </w:p>
    <w:p w14:paraId="294CB388">
      <w:pPr>
        <w:pStyle w:val="102"/>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9.1 根据《广东省建设领域工人工资支付分账管理暂行办法》(粤人社规〔2015〕3号)、《广州市建设领域工人工资支付分账管理实施细则》（穗建规字〔2017〕10号）等有关规定，就本项目工人工资支付分账管理事宜协商一致，签订本补充条款。</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如上述文件已失效的，则以最新出台的文件为准</w:t>
      </w:r>
      <w:r>
        <w:rPr>
          <w:rFonts w:hint="eastAsia" w:ascii="宋体" w:hAnsi="宋体" w:cs="宋体"/>
          <w:b/>
          <w:bCs/>
          <w:color w:val="auto"/>
          <w:kern w:val="0"/>
          <w:sz w:val="24"/>
          <w:szCs w:val="24"/>
          <w:highlight w:val="none"/>
          <w:lang w:eastAsia="zh-CN"/>
        </w:rPr>
        <w:t>）</w:t>
      </w:r>
    </w:p>
    <w:p w14:paraId="46B528C8">
      <w:pPr>
        <w:pStyle w:val="102"/>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9.2 甲方负责监督乙方的工人工资支付情况，协调本项目的工人工资支付事宜。乙方服从甲方有关工人工资支付的监督管理，否则由此导致拖欠或克扣工人工资造成群体性事件或其他不良行为的，由乙方承担责任，直接列入</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lang w:eastAsia="zh-CN"/>
        </w:rPr>
        <w:t>黑名单，在一定期限内拒绝其投标。</w:t>
      </w:r>
    </w:p>
    <w:p w14:paraId="37C732A6">
      <w:pPr>
        <w:pStyle w:val="102"/>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9.3 乙方须在签订合同后14天内，对本项目工程款中的工人工资开立工人工资支付专用账户，严禁挪作他用，确保专款专用，具体账户信息以公函形式报甲方确认。</w:t>
      </w:r>
    </w:p>
    <w:p w14:paraId="09FA864C">
      <w:pPr>
        <w:pStyle w:val="102"/>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乙方办理工人工资支付专用账户撤销手续的，应当取得甲方对本项目完工且乙方已结清工人工资的确认意见。</w:t>
      </w:r>
    </w:p>
    <w:p w14:paraId="0770C590">
      <w:pPr>
        <w:pStyle w:val="102"/>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9.4 工人工资的支付包括但不限于以银行转账支票的方式办理。乙方自收到各期工程款之日起7日内支付工人工资。</w:t>
      </w:r>
    </w:p>
    <w:p w14:paraId="31C35190">
      <w:pPr>
        <w:pStyle w:val="102"/>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9.5 乙方按照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14:paraId="1E4A7A45">
      <w:pPr>
        <w:pStyle w:val="102"/>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工人工资款比例暂定为</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%，由甲方按照合同约定按时足额支付至</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lang w:eastAsia="zh-CN"/>
        </w:rPr>
        <w:t>乙方工人工资专用账户，工人工资款最终以实际结算金额为准。</w:t>
      </w:r>
    </w:p>
    <w:p w14:paraId="4A12302C">
      <w:pPr>
        <w:pStyle w:val="102"/>
        <w:adjustRightInd w:val="0"/>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9.6 乙方须建立工人考勤、工资结算和支付等管理台账，并于每次申请工程款时向甲方报备。</w:t>
      </w:r>
    </w:p>
    <w:p w14:paraId="3C9C057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10.工程量清单项目特征漏项未标注的内容，已审批预算计价文件已计价的，不视为清单漏项，仍按已标价工程程量清单对应综合单价办理结算。</w:t>
      </w:r>
    </w:p>
    <w:p w14:paraId="028E8E01">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11.非因乙方原因的工程延期，由乙方提出申请，经批准后工期顺延，但不补偿乙方任何损失和费用。</w:t>
      </w:r>
    </w:p>
    <w:p w14:paraId="5CD0F1B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12.工程开工后投标文件项目经理应驻场组织项目的施工，至工程竣工验收通过。未经建设管理单位批准，投标文件项目经理未驻场或擅自离开工地，按每缺勤一天罚款1000元计算。</w:t>
      </w:r>
    </w:p>
    <w:p w14:paraId="77B3E2A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13.工程变更均需取得监理单位、甲方的审批确认。否则，不得计入工程结算。</w:t>
      </w:r>
    </w:p>
    <w:p w14:paraId="3CB8604C">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工程开工后，工程款未依据本合同约定时间而超期4个月内未足额支付，或乙方认为影响工程施工的其他原因，乙方均不得以此为由不按工期计划施工或擅自暂停施工拖延工期，仍应按经批准的施工组织设计中的总进度计划施工。否则，视为乙方违约，暂停施工期间每日历天按合同价款万分之五计算停工罚款</w:t>
      </w:r>
      <w:bookmarkStart w:id="316" w:name="_Hlk52266486"/>
      <w:r>
        <w:rPr>
          <w:rFonts w:hint="eastAsia" w:ascii="宋体" w:hAnsi="宋体" w:eastAsia="宋体" w:cs="宋体"/>
          <w:color w:val="auto"/>
          <w:sz w:val="24"/>
          <w:highlight w:val="none"/>
        </w:rPr>
        <w:t>，罚款总额不超过合同价</w:t>
      </w:r>
      <w:r>
        <w:rPr>
          <w:rFonts w:hint="default" w:ascii="宋体" w:hAnsi="宋体" w:eastAsia="宋体" w:cs="宋体"/>
          <w:color w:val="auto"/>
          <w:sz w:val="24"/>
          <w:highlight w:val="none"/>
          <w:lang w:val="en-US"/>
        </w:rPr>
        <w:t>5</w:t>
      </w:r>
      <w:r>
        <w:rPr>
          <w:rFonts w:hint="eastAsia" w:ascii="宋体" w:hAnsi="宋体" w:eastAsia="宋体" w:cs="宋体"/>
          <w:color w:val="auto"/>
          <w:sz w:val="24"/>
          <w:highlight w:val="none"/>
        </w:rPr>
        <w:t>%。</w:t>
      </w:r>
      <w:bookmarkEnd w:id="316"/>
    </w:p>
    <w:p w14:paraId="5D0AAA65">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15.根据穗建造价[2018]64号和粤建标函﹝2018﹞106号，本项目已计算了扬尘防治措施费和用工实名管理费用，乙方未按有关文件规定实施或未达到要求的，甲方有权在工程进度请款和结算计价时扣除相应费用。</w:t>
      </w:r>
    </w:p>
    <w:p w14:paraId="7B91AE62">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16.余泥外运运距取费按20公里以内考虑，超出20公里部分不再调整。乙方应按照相关法律法规及政策要求，及时办理余泥排放证、消纳证等相关证件。未办理余泥排放证、消纳证及开具相关发票，结算不予计量余泥外运及消纳费用。</w:t>
      </w:r>
    </w:p>
    <w:p w14:paraId="6F190056">
      <w:pPr>
        <w:pStyle w:val="16"/>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17.各单位工程未在约定期限内竣工的，按每延期一天对应工程预算价的万分之五罚款，在进度款请款和结算中扣除。罚款总额不超过</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结算价</w:t>
      </w:r>
      <w:r>
        <w:rPr>
          <w:rFonts w:hint="default" w:ascii="宋体" w:hAnsi="宋体" w:eastAsia="宋体" w:cs="宋体"/>
          <w:color w:val="auto"/>
          <w:sz w:val="24"/>
          <w:highlight w:val="none"/>
          <w:lang w:val="en-US"/>
        </w:rPr>
        <w:t>5</w:t>
      </w:r>
      <w:r>
        <w:rPr>
          <w:rFonts w:hint="eastAsia" w:ascii="宋体" w:hAnsi="宋体" w:eastAsia="宋体" w:cs="宋体"/>
          <w:color w:val="auto"/>
          <w:sz w:val="24"/>
          <w:highlight w:val="none"/>
        </w:rPr>
        <w:t>%。</w:t>
      </w:r>
    </w:p>
    <w:p w14:paraId="0C19ED53">
      <w:pPr>
        <w:pStyle w:val="95"/>
        <w:autoSpaceDE w:val="0"/>
        <w:autoSpaceDN w:val="0"/>
        <w:adjustRightInd w:val="0"/>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18.本合同签订后或开工通知发出后，因征地拆迁、管线迁改、临时施工借地等其他涉及非乙方原因，导致工程延期的，在乙方提出工程延期申请报告，经监理单位、甲方审仳后，工期可以顺延，但甲方不赔偿乙方任何损失。</w:t>
      </w:r>
    </w:p>
    <w:p w14:paraId="22CA2B80">
      <w:pPr>
        <w:pStyle w:val="95"/>
        <w:autoSpaceDE w:val="0"/>
        <w:autoSpaceDN w:val="0"/>
        <w:adjustRightInd w:val="0"/>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19.不论何原因，乙方因本工程发生诉讼案件涉及甲方，但甲方已履行本合同约定的相应义务和责任，甲方所发生的诉讼费用、代理律师费用，以及与诉讼案件相关的全部费用，由乙方直接支付给甲方。否则，在工程进度款和结算款请款中直接扣除。</w:t>
      </w:r>
    </w:p>
    <w:p w14:paraId="6269DA77">
      <w:pPr>
        <w:pStyle w:val="95"/>
        <w:autoSpaceDE w:val="0"/>
        <w:autoSpaceDN w:val="0"/>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20.</w:t>
      </w:r>
      <w:bookmarkStart w:id="317" w:name="_Hlk54957660"/>
      <w:r>
        <w:rPr>
          <w:rFonts w:hint="eastAsia" w:ascii="宋体" w:hAnsi="宋体" w:eastAsia="宋体" w:cs="宋体"/>
          <w:color w:val="auto"/>
          <w:sz w:val="24"/>
          <w:highlight w:val="none"/>
        </w:rPr>
        <w:t>乙方应在本合同签订后，在办理第一</w:t>
      </w:r>
      <w:r>
        <w:rPr>
          <w:rFonts w:hint="eastAsia" w:ascii="宋体" w:hAnsi="宋体" w:eastAsia="宋体" w:cs="宋体"/>
          <w:color w:val="auto"/>
          <w:kern w:val="0"/>
          <w:sz w:val="24"/>
          <w:highlight w:val="none"/>
        </w:rPr>
        <w:t>期进度款请款</w:t>
      </w:r>
      <w:r>
        <w:rPr>
          <w:rFonts w:hint="eastAsia" w:ascii="宋体" w:hAnsi="宋体" w:eastAsia="宋体" w:cs="宋体"/>
          <w:color w:val="auto"/>
          <w:sz w:val="24"/>
          <w:highlight w:val="none"/>
        </w:rPr>
        <w:t>前办理安全生产责任保险。乙方需按照甲方</w:t>
      </w:r>
      <w:r>
        <w:rPr>
          <w:rFonts w:hint="eastAsia" w:ascii="宋体" w:hAnsi="宋体" w:eastAsia="宋体" w:cs="宋体"/>
          <w:color w:val="auto"/>
          <w:kern w:val="0"/>
          <w:sz w:val="24"/>
          <w:highlight w:val="none"/>
        </w:rPr>
        <w:t>《安全文明措施费使用管理办法》</w:t>
      </w:r>
      <w:r>
        <w:rPr>
          <w:rFonts w:hint="eastAsia" w:ascii="宋体" w:hAnsi="宋体" w:eastAsia="宋体" w:cs="宋体"/>
          <w:color w:val="auto"/>
          <w:sz w:val="24"/>
          <w:highlight w:val="none"/>
        </w:rPr>
        <w:t>文件执行，做到绿色施工安全防护措施费专款、足额投入，申请绿色施工安全防护措施费需要按照文件要求，提供相应证明材料。并确认甲方的《安全文明措施费使用管理办法》为本协议组成部分，乙方确认已经完全知晓。</w:t>
      </w:r>
    </w:p>
    <w:bookmarkEnd w:id="317"/>
    <w:p w14:paraId="6955E8A2">
      <w:pPr>
        <w:pStyle w:val="95"/>
        <w:autoSpaceDE w:val="0"/>
        <w:autoSpaceDN w:val="0"/>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为规范项目建设管理，乙方需遵守甲方《服务供应商不规范行为管理办法（另册），并确认《服务供应商不规范行为管理办法》为本协议组成部分，乙方确认已经完全知晓《服务供应商不规范行为管理办法》内容，并无条件认可甲方按照《服务供应商不规范行为管理办法》及甲方的管理制度对其处罚，对乙方行为实行“黑、白名单”管理。如乙方履行合同存在严重不履约行为，甲方发出项目监管函每次扣罚乙方5000元，甲方发出本项目约谈法定代表人通知书每次扣罚乙方10000元。甲方连续向乙方发出3份约谈法定代表人通知书，自第三份约谈通知书发出之日起暂停乙方对甲方后续项目的投标资格半年，并在</w:t>
      </w:r>
      <w:r>
        <w:rPr>
          <w:rFonts w:hint="eastAsia" w:ascii="宋体" w:hAnsi="宋体" w:eastAsia="宋体" w:cs="宋体"/>
          <w:color w:val="auto"/>
          <w:sz w:val="24"/>
          <w:highlight w:val="none"/>
          <w:lang w:val="en-US" w:eastAsia="zh-CN"/>
        </w:rPr>
        <w:t>番禺</w:t>
      </w:r>
      <w:r>
        <w:rPr>
          <w:rFonts w:hint="eastAsia" w:ascii="宋体" w:hAnsi="宋体" w:eastAsia="宋体" w:cs="宋体"/>
          <w:color w:val="auto"/>
          <w:sz w:val="24"/>
          <w:highlight w:val="none"/>
        </w:rPr>
        <w:t>区范围内通报。后续再每多发出一份约谈法定代表人通知书，自通知书发出之日起自动停标半年，停标时间如有重合，自动顺延。罚款在工程费用中直接扣减。</w:t>
      </w:r>
    </w:p>
    <w:p w14:paraId="18A7024C">
      <w:pPr>
        <w:pStyle w:val="95"/>
        <w:autoSpaceDE w:val="0"/>
        <w:autoSpaceDN w:val="0"/>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如乙方有违背本合同条款的行为，相关条款中未涉及处理措施的，则每次扣罚50000元，直接在当期工程款和结算款中扣除，如有涉及处理措施低于本条处罚标准的，按照本条处罚标准执行，但不能抵消乙方应该履行的赔偿责任。</w:t>
      </w:r>
    </w:p>
    <w:p w14:paraId="2BBA8187">
      <w:pPr>
        <w:pStyle w:val="95"/>
        <w:autoSpaceDE w:val="0"/>
        <w:autoSpaceDN w:val="0"/>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23.乙方应遵守甲方发布的一系列履约监管办法。若在合同履行过程中甲方有新发布的履约监管办法，甲方将</w:t>
      </w:r>
      <w:r>
        <w:rPr>
          <w:rFonts w:hint="eastAsia" w:ascii="宋体" w:hAnsi="宋体" w:eastAsia="宋体" w:cs="宋体"/>
          <w:color w:val="auto"/>
          <w:sz w:val="24"/>
          <w:highlight w:val="none"/>
          <w:lang w:val="en-US" w:eastAsia="zh-CN"/>
        </w:rPr>
        <w:t>发文</w:t>
      </w:r>
      <w:r>
        <w:rPr>
          <w:rFonts w:hint="eastAsia" w:ascii="宋体" w:hAnsi="宋体" w:eastAsia="宋体" w:cs="宋体"/>
          <w:color w:val="auto"/>
          <w:sz w:val="24"/>
          <w:highlight w:val="none"/>
        </w:rPr>
        <w:t>予以</w:t>
      </w:r>
      <w:r>
        <w:rPr>
          <w:rFonts w:hint="eastAsia" w:ascii="宋体" w:hAnsi="宋体" w:eastAsia="宋体" w:cs="宋体"/>
          <w:color w:val="auto"/>
          <w:sz w:val="24"/>
          <w:highlight w:val="none"/>
          <w:lang w:val="en-US" w:eastAsia="zh-CN"/>
        </w:rPr>
        <w:t>告知</w:t>
      </w:r>
      <w:r>
        <w:rPr>
          <w:rFonts w:hint="eastAsia" w:ascii="宋体" w:hAnsi="宋体" w:eastAsia="宋体" w:cs="宋体"/>
          <w:color w:val="auto"/>
          <w:sz w:val="24"/>
          <w:highlight w:val="none"/>
        </w:rPr>
        <w:t>，乙方应该知晓并遵守。</w:t>
      </w:r>
    </w:p>
    <w:p w14:paraId="62D533DB">
      <w:pPr>
        <w:pStyle w:val="95"/>
        <w:autoSpaceDE w:val="0"/>
        <w:autoSpaceDN w:val="0"/>
        <w:adjustRightInd w:val="0"/>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24.无论通用条款、专用条款、其他条款是否约定，或法律法规是否规定，包括索赔事件、工程变更、以及现场与工程相关的费用等涉及工程价款调整的，均需得到项目监理单位、甲方的书面审批确认并加盖单位公章，否则，不调整合同价款，且不视为甲、甲方违约，乙方无异议。合同价款调整需要上级部门审批的，还需获得其审批，否则，不予调整合同价款，乙方仍应完成全部工程（包括增加工程和变更工程等），达到竣工验收和使用标准。乙方以未调整相关合同价款为由，拒绝履行合同相关约定的，按乙方违约处理，处罚措施按本合同有关条款执行。</w:t>
      </w:r>
    </w:p>
    <w:p w14:paraId="52906E2E">
      <w:pPr>
        <w:pStyle w:val="95"/>
        <w:autoSpaceDE w:val="0"/>
        <w:autoSpaceDN w:val="0"/>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bCs/>
          <w:color w:val="auto"/>
          <w:sz w:val="24"/>
          <w:highlight w:val="none"/>
        </w:rPr>
        <w:t>25.乙方施工期间，相应地块甲方项目处于在建状态的，乙方应与该在建项目施工总承包人签订现场安全管理协议。</w:t>
      </w:r>
    </w:p>
    <w:p w14:paraId="63EC74BC">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26.乙方合同印花税及工程款发票的开具须在工程所在地的税务部门办理,否则甲方有权拒绝审批工程进度款。</w:t>
      </w:r>
    </w:p>
    <w:p w14:paraId="1E411948">
      <w:pPr>
        <w:autoSpaceDE w:val="0"/>
        <w:autoSpaceDN w:val="0"/>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27.同一事件，若合同有多个处罚条款，按处罚高的条款处理。</w:t>
      </w:r>
    </w:p>
    <w:p w14:paraId="1D74A1E1">
      <w:pPr>
        <w:pStyle w:val="83"/>
        <w:jc w:val="both"/>
        <w:rPr>
          <w:rFonts w:hint="eastAsia" w:ascii="宋体" w:hAnsi="宋体" w:eastAsia="宋体" w:cs="宋体"/>
          <w:b/>
          <w:color w:val="auto"/>
          <w:kern w:val="0"/>
          <w:sz w:val="36"/>
          <w:szCs w:val="36"/>
          <w:highlight w:val="none"/>
          <w:lang w:val="en-US" w:eastAsia="zh-CN"/>
        </w:rPr>
      </w:pPr>
      <w:bookmarkStart w:id="318" w:name="_Toc31428"/>
      <w:bookmarkStart w:id="319" w:name="_Toc3492"/>
      <w:r>
        <w:rPr>
          <w:rFonts w:hint="eastAsia" w:ascii="宋体" w:hAnsi="宋体" w:eastAsia="宋体" w:cs="宋体"/>
          <w:color w:val="auto"/>
          <w:sz w:val="24"/>
          <w:highlight w:val="none"/>
        </w:rPr>
        <w:t>28.本合同未尽事宜，由本合同双方协商签订补充协议。</w:t>
      </w:r>
      <w:bookmarkEnd w:id="318"/>
      <w:bookmarkEnd w:id="319"/>
    </w:p>
    <w:p w14:paraId="40E66C1F">
      <w:pPr>
        <w:keepNext w:val="0"/>
        <w:keepLines w:val="0"/>
        <w:jc w:val="both"/>
        <w:outlineLvl w:val="9"/>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br w:type="page"/>
      </w:r>
    </w:p>
    <w:p w14:paraId="7945BB1F">
      <w:pPr>
        <w:pStyle w:val="83"/>
        <w:spacing w:before="939" w:beforeLines="301" w:after="315" w:afterLines="100"/>
        <w:rPr>
          <w:rFonts w:hint="eastAsia" w:ascii="宋体" w:hAnsi="宋体" w:eastAsia="宋体" w:cs="宋体"/>
          <w:b/>
          <w:color w:val="auto"/>
          <w:kern w:val="0"/>
          <w:sz w:val="36"/>
          <w:szCs w:val="36"/>
          <w:highlight w:val="none"/>
        </w:rPr>
      </w:pPr>
      <w:bookmarkStart w:id="320" w:name="_Toc29809"/>
      <w:r>
        <w:rPr>
          <w:rFonts w:hint="eastAsia" w:ascii="宋体" w:hAnsi="宋体" w:eastAsia="宋体" w:cs="宋体"/>
          <w:b/>
          <w:color w:val="auto"/>
          <w:kern w:val="0"/>
          <w:sz w:val="36"/>
          <w:szCs w:val="36"/>
          <w:highlight w:val="none"/>
          <w:lang w:val="en-US" w:eastAsia="zh-CN"/>
        </w:rPr>
        <w:t xml:space="preserve">第五篇 </w:t>
      </w:r>
      <w:r>
        <w:rPr>
          <w:rFonts w:hint="eastAsia" w:ascii="宋体" w:hAnsi="宋体" w:eastAsia="宋体" w:cs="宋体"/>
          <w:b/>
          <w:color w:val="auto"/>
          <w:kern w:val="0"/>
          <w:sz w:val="36"/>
          <w:szCs w:val="36"/>
          <w:highlight w:val="none"/>
        </w:rPr>
        <w:t>物业运营管理合同</w:t>
      </w:r>
      <w:bookmarkEnd w:id="320"/>
    </w:p>
    <w:p w14:paraId="66C96148">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针对</w:t>
      </w:r>
      <w:r>
        <w:rPr>
          <w:rFonts w:hint="eastAsia" w:ascii="宋体" w:hAnsi="宋体" w:eastAsia="宋体" w:cs="宋体"/>
          <w:color w:val="auto"/>
          <w:sz w:val="24"/>
          <w:highlight w:val="none"/>
          <w:lang w:eastAsia="zh-CN"/>
        </w:rPr>
        <w:t>番禺区傍江东村村镇工业集聚区更新改造试点项目（首开区）勘察设计施工总承包及运营（EPCO）</w:t>
      </w:r>
      <w:r>
        <w:rPr>
          <w:rFonts w:hint="eastAsia" w:ascii="宋体" w:hAnsi="宋体" w:eastAsia="宋体" w:cs="宋体"/>
          <w:color w:val="auto"/>
          <w:sz w:val="24"/>
          <w:highlight w:val="none"/>
        </w:rPr>
        <w:t>中的运营管理部分，并根据</w:t>
      </w:r>
      <w:r>
        <w:rPr>
          <w:rFonts w:hint="eastAsia" w:ascii="宋体" w:hAnsi="宋体" w:eastAsia="宋体" w:cs="宋体"/>
          <w:color w:val="auto"/>
          <w:sz w:val="24"/>
          <w:highlight w:val="none"/>
          <w:lang w:eastAsia="zh-CN"/>
        </w:rPr>
        <w:t>番禺区傍江东村村镇工业集聚区更新改造试点项目（首开区）</w:t>
      </w:r>
      <w:r>
        <w:rPr>
          <w:rFonts w:hint="eastAsia" w:ascii="宋体" w:hAnsi="宋体" w:eastAsia="宋体" w:cs="宋体"/>
          <w:color w:val="auto"/>
          <w:sz w:val="24"/>
          <w:highlight w:val="none"/>
        </w:rPr>
        <w:t>工程建设的实际情况，甲方委托乙方为竣工后的村工业集聚区产业园区</w:t>
      </w:r>
      <w:r>
        <w:rPr>
          <w:rFonts w:hint="eastAsia" w:ascii="宋体" w:hAnsi="宋体" w:eastAsia="宋体" w:cs="宋体"/>
          <w:color w:val="auto"/>
          <w:sz w:val="24"/>
          <w:highlight w:val="none"/>
          <w:lang w:eastAsia="zh-CN"/>
        </w:rPr>
        <w:t>（首开区）</w:t>
      </w:r>
      <w:r>
        <w:rPr>
          <w:rFonts w:hint="eastAsia" w:ascii="宋体" w:hAnsi="宋体" w:eastAsia="宋体" w:cs="宋体"/>
          <w:color w:val="auto"/>
          <w:sz w:val="24"/>
          <w:highlight w:val="none"/>
        </w:rPr>
        <w:t>提供运营管理服务，建立产业园区产业经营发展体系及长效管养机制。经双方友好协商，特约定如下：</w:t>
      </w:r>
    </w:p>
    <w:p w14:paraId="6C31095C">
      <w:pPr>
        <w:pStyle w:val="44"/>
        <w:rPr>
          <w:rFonts w:hint="eastAsia" w:ascii="宋体" w:hAnsi="宋体" w:eastAsia="宋体" w:cs="宋体"/>
          <w:color w:val="auto"/>
          <w:highlight w:val="none"/>
        </w:rPr>
      </w:pPr>
    </w:p>
    <w:p w14:paraId="1D2ABED6">
      <w:pPr>
        <w:spacing w:line="360" w:lineRule="auto"/>
        <w:ind w:firstLine="480" w:firstLineChars="200"/>
        <w:rPr>
          <w:rFonts w:hint="eastAsia" w:ascii="黑体" w:hAnsi="黑体" w:eastAsia="黑体" w:cs="黑体"/>
          <w:b w:val="0"/>
          <w:color w:val="auto"/>
          <w:sz w:val="24"/>
          <w:highlight w:val="none"/>
        </w:rPr>
      </w:pPr>
      <w:r>
        <w:rPr>
          <w:rFonts w:hint="eastAsia" w:ascii="黑体" w:hAnsi="黑体" w:eastAsia="黑体" w:cs="黑体"/>
          <w:b w:val="0"/>
          <w:color w:val="auto"/>
          <w:sz w:val="24"/>
          <w:highlight w:val="none"/>
        </w:rPr>
        <w:t>一、</w:t>
      </w:r>
      <w:r>
        <w:rPr>
          <w:rFonts w:hint="eastAsia" w:ascii="黑体" w:hAnsi="黑体" w:eastAsia="黑体" w:cs="黑体"/>
          <w:b w:val="0"/>
          <w:color w:val="auto"/>
          <w:sz w:val="24"/>
          <w:highlight w:val="none"/>
          <w:lang w:val="en-US" w:eastAsia="zh-CN"/>
        </w:rPr>
        <w:t>项目</w:t>
      </w:r>
      <w:r>
        <w:rPr>
          <w:rFonts w:hint="eastAsia" w:ascii="黑体" w:hAnsi="黑体" w:eastAsia="黑体" w:cs="黑体"/>
          <w:b w:val="0"/>
          <w:color w:val="auto"/>
          <w:sz w:val="24"/>
          <w:highlight w:val="none"/>
        </w:rPr>
        <w:t>概况 　　</w:t>
      </w:r>
    </w:p>
    <w:p w14:paraId="52E20239">
      <w:pPr>
        <w:spacing w:line="5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番禺区傍江东村村镇工业集聚区更新改造试点项目（首开区）</w:t>
      </w:r>
      <w:r>
        <w:rPr>
          <w:rFonts w:hint="eastAsia" w:ascii="宋体" w:hAnsi="宋体" w:eastAsia="宋体" w:cs="宋体"/>
          <w:color w:val="auto"/>
          <w:sz w:val="24"/>
          <w:highlight w:val="none"/>
          <w:u w:val="single"/>
          <w:lang w:val="en-US" w:eastAsia="zh-CN"/>
        </w:rPr>
        <w:t>管理运营项目</w:t>
      </w:r>
      <w:r>
        <w:rPr>
          <w:rFonts w:hint="eastAsia" w:ascii="宋体" w:hAnsi="宋体" w:eastAsia="宋体" w:cs="宋体"/>
          <w:color w:val="auto"/>
          <w:sz w:val="24"/>
          <w:highlight w:val="none"/>
          <w:u w:val="single"/>
          <w:lang w:eastAsia="zh-CN"/>
        </w:rPr>
        <w:t>。</w:t>
      </w:r>
    </w:p>
    <w:p w14:paraId="6F4971EC">
      <w:pPr>
        <w:spacing w:before="246" w:beforeLines="79" w:after="14"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none"/>
        </w:rPr>
        <w:t>园区产权</w:t>
      </w:r>
      <w:r>
        <w:rPr>
          <w:rFonts w:hint="eastAsia" w:ascii="宋体" w:hAnsi="宋体" w:eastAsia="宋体" w:cs="宋体"/>
          <w:color w:val="auto"/>
          <w:sz w:val="24"/>
          <w:highlight w:val="none"/>
        </w:rPr>
        <w:t>所有人：广州市番禺区大龙街</w:t>
      </w:r>
      <w:r>
        <w:rPr>
          <w:rFonts w:hint="eastAsia" w:ascii="宋体" w:hAnsi="宋体" w:eastAsia="宋体" w:cs="宋体"/>
          <w:color w:val="auto"/>
          <w:sz w:val="24"/>
          <w:highlight w:val="none"/>
          <w:lang w:eastAsia="zh-CN"/>
        </w:rPr>
        <w:t>傍江东村</w:t>
      </w:r>
      <w:r>
        <w:rPr>
          <w:rFonts w:hint="eastAsia" w:ascii="宋体" w:hAnsi="宋体" w:eastAsia="宋体" w:cs="宋体"/>
          <w:color w:val="auto"/>
          <w:sz w:val="24"/>
          <w:highlight w:val="none"/>
        </w:rPr>
        <w:t>股份合作经济社。</w:t>
      </w:r>
    </w:p>
    <w:p w14:paraId="0261FC46">
      <w:pPr>
        <w:pStyle w:val="130"/>
        <w:spacing w:before="246" w:beforeLines="79" w:after="14" w:line="360" w:lineRule="auto"/>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3、项目类型、</w:t>
      </w:r>
      <w:r>
        <w:rPr>
          <w:rFonts w:hint="eastAsia" w:ascii="宋体" w:hAnsi="宋体" w:eastAsia="宋体" w:cs="宋体"/>
          <w:color w:val="auto"/>
          <w:sz w:val="24"/>
          <w:highlight w:val="none"/>
          <w:u w:val="none"/>
        </w:rPr>
        <w:t>功能及用途</w:t>
      </w:r>
      <w:r>
        <w:rPr>
          <w:rFonts w:hint="eastAsia" w:ascii="宋体" w:hAnsi="宋体" w:eastAsia="宋体" w:cs="宋体"/>
          <w:color w:val="auto"/>
          <w:sz w:val="24"/>
          <w:highlight w:val="none"/>
          <w:u w:val="none"/>
          <w:lang w:val="en-US" w:eastAsia="zh-CN"/>
        </w:rPr>
        <w:t>：</w:t>
      </w:r>
    </w:p>
    <w:p w14:paraId="5C98AADD">
      <w:pPr>
        <w:pStyle w:val="130"/>
        <w:spacing w:before="246" w:beforeLines="79" w:after="14" w:line="360" w:lineRule="auto"/>
        <w:ind w:firstLine="0" w:firstLineChars="0"/>
        <w:rPr>
          <w:rFonts w:ascii="Segoe UI Historic" w:hAnsi="Segoe UI Historic" w:cs="Segoe UI Historic"/>
          <w:color w:val="auto"/>
          <w:sz w:val="24"/>
          <w:highlight w:val="none"/>
          <w:lang w:eastAsia="zh-CN"/>
        </w:rPr>
      </w:pPr>
      <w:r>
        <w:rPr>
          <w:rFonts w:hint="eastAsia" w:ascii="宋体" w:hAnsi="宋体" w:eastAsia="宋体" w:cs="宋体"/>
          <w:color w:val="auto"/>
          <w:sz w:val="24"/>
          <w:highlight w:val="none"/>
          <w:u w:val="none"/>
          <w:lang w:val="en-US" w:eastAsia="zh-CN"/>
        </w:rPr>
        <w:t>（1）本项目类型定位为工业园区，可用于</w:t>
      </w:r>
      <w:r>
        <w:rPr>
          <w:rFonts w:hint="eastAsia" w:ascii="宋体" w:hAnsi="宋体" w:eastAsia="宋体" w:cs="宋体"/>
          <w:color w:val="auto"/>
          <w:sz w:val="24"/>
          <w:highlight w:val="none"/>
          <w:u w:val="none"/>
          <w:lang w:eastAsia="zh-CN"/>
        </w:rPr>
        <w:t>工业、办公、仓储、商业、服务业等。乙方如需变更、增加</w:t>
      </w:r>
      <w:r>
        <w:rPr>
          <w:rFonts w:hint="eastAsia" w:ascii="宋体" w:hAnsi="宋体" w:eastAsia="宋体" w:cs="宋体"/>
          <w:color w:val="auto"/>
          <w:sz w:val="24"/>
          <w:highlight w:val="none"/>
          <w:u w:val="none"/>
          <w:lang w:val="en-US" w:eastAsia="zh-CN"/>
        </w:rPr>
        <w:t>使用用途、功能</w:t>
      </w:r>
      <w:r>
        <w:rPr>
          <w:rFonts w:hint="eastAsia" w:ascii="宋体" w:hAnsi="宋体" w:eastAsia="宋体" w:cs="宋体"/>
          <w:color w:val="auto"/>
          <w:sz w:val="24"/>
          <w:highlight w:val="none"/>
          <w:u w:val="none"/>
          <w:lang w:eastAsia="zh-CN"/>
        </w:rPr>
        <w:t>时，须经甲方书面同意，并按有关法律、法规办理改变用途的报批手续，甲方提供协助</w:t>
      </w:r>
      <w:r>
        <w:rPr>
          <w:rFonts w:hint="eastAsia" w:ascii="宋体" w:hAnsi="宋体" w:eastAsia="宋体" w:cs="宋体"/>
          <w:color w:val="auto"/>
          <w:sz w:val="24"/>
          <w:highlight w:val="none"/>
          <w:lang w:eastAsia="zh-CN"/>
        </w:rPr>
        <w:t>，但报批所需费用均由乙方承担。</w:t>
      </w:r>
    </w:p>
    <w:p w14:paraId="0A1FDFF3">
      <w:pPr>
        <w:pStyle w:val="130"/>
        <w:spacing w:before="246" w:beforeLines="79" w:after="14"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none"/>
          <w:lang w:val="en-US" w:eastAsia="zh-CN"/>
        </w:rPr>
        <w:t>（2）乙方应保证园区进驻企业</w:t>
      </w:r>
      <w:r>
        <w:rPr>
          <w:rFonts w:hint="eastAsia" w:ascii="宋体" w:hAnsi="宋体" w:eastAsia="宋体" w:cs="宋体"/>
          <w:color w:val="auto"/>
          <w:sz w:val="24"/>
          <w:highlight w:val="none"/>
          <w:u w:val="none"/>
          <w:lang w:eastAsia="zh-CN"/>
        </w:rPr>
        <w:t>在</w:t>
      </w:r>
      <w:r>
        <w:rPr>
          <w:rFonts w:hint="eastAsia" w:ascii="宋体" w:hAnsi="宋体" w:eastAsia="宋体" w:cs="宋体"/>
          <w:color w:val="auto"/>
          <w:sz w:val="24"/>
          <w:highlight w:val="none"/>
          <w:u w:val="none"/>
          <w:lang w:val="en-US" w:eastAsia="zh-CN"/>
        </w:rPr>
        <w:t>园区</w:t>
      </w:r>
      <w:r>
        <w:rPr>
          <w:rFonts w:hint="eastAsia" w:ascii="宋体" w:hAnsi="宋体" w:eastAsia="宋体" w:cs="宋体"/>
          <w:color w:val="auto"/>
          <w:sz w:val="24"/>
          <w:highlight w:val="none"/>
          <w:u w:val="none"/>
          <w:lang w:eastAsia="zh-CN"/>
        </w:rPr>
        <w:t>内进行经营活动时，符合环保、消防等相关法律政策规定。</w:t>
      </w:r>
      <w:r>
        <w:rPr>
          <w:rFonts w:hint="eastAsia" w:ascii="宋体" w:hAnsi="宋体" w:eastAsia="宋体" w:cs="宋体"/>
          <w:color w:val="auto"/>
          <w:sz w:val="24"/>
          <w:highlight w:val="none"/>
          <w:u w:val="none"/>
          <w:lang w:val="en-US" w:eastAsia="zh-CN"/>
        </w:rPr>
        <w:t>已</w:t>
      </w:r>
      <w:r>
        <w:rPr>
          <w:rFonts w:hint="eastAsia" w:ascii="宋体" w:hAnsi="宋体" w:eastAsia="宋体" w:cs="宋体"/>
          <w:color w:val="auto"/>
          <w:sz w:val="24"/>
          <w:highlight w:val="none"/>
          <w:u w:val="none"/>
          <w:lang w:eastAsia="zh-CN"/>
        </w:rPr>
        <w:t>按法律法规的规定向有关部门申请并取得必要的执照、批准证书或许可证</w:t>
      </w:r>
      <w:r>
        <w:rPr>
          <w:rFonts w:hint="eastAsia" w:ascii="宋体" w:hAnsi="宋体" w:eastAsia="宋体" w:cs="宋体"/>
          <w:color w:val="auto"/>
          <w:sz w:val="24"/>
          <w:highlight w:val="none"/>
          <w:lang w:eastAsia="zh-CN"/>
        </w:rPr>
        <w:t>等，并应按照该等执照、批准证书或许可证的规定进行合法经营活动，不得</w:t>
      </w:r>
      <w:r>
        <w:rPr>
          <w:rFonts w:hint="eastAsia" w:ascii="宋体" w:hAnsi="宋体" w:eastAsia="宋体" w:cs="宋体"/>
          <w:color w:val="auto"/>
          <w:sz w:val="24"/>
          <w:highlight w:val="none"/>
          <w:lang w:val="en-US" w:eastAsia="zh-CN"/>
        </w:rPr>
        <w:t>进行</w:t>
      </w:r>
      <w:r>
        <w:rPr>
          <w:rFonts w:hint="eastAsia" w:ascii="宋体" w:hAnsi="宋体" w:eastAsia="宋体" w:cs="宋体"/>
          <w:color w:val="auto"/>
          <w:sz w:val="24"/>
          <w:highlight w:val="none"/>
          <w:lang w:eastAsia="zh-CN"/>
        </w:rPr>
        <w:t>对甲方的商誉及信誉有不良影响的行为。</w:t>
      </w:r>
    </w:p>
    <w:p w14:paraId="4736704E">
      <w:pPr>
        <w:pStyle w:val="130"/>
        <w:spacing w:before="246" w:beforeLines="79" w:after="14" w:line="360" w:lineRule="auto"/>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color w:val="auto"/>
          <w:sz w:val="24"/>
          <w:highlight w:val="none"/>
          <w:lang w:val="en-US" w:eastAsia="zh-CN"/>
        </w:rPr>
        <w:t>4、合作模式</w:t>
      </w:r>
      <w:r>
        <w:rPr>
          <w:rFonts w:hint="eastAsia" w:ascii="宋体" w:hAnsi="宋体" w:eastAsia="宋体" w:cs="宋体"/>
          <w:color w:val="auto"/>
          <w:sz w:val="24"/>
          <w:highlight w:val="none"/>
        </w:rPr>
        <w:t>：在运营期内，乙方拥有园区运营管理权</w:t>
      </w:r>
      <w:r>
        <w:rPr>
          <w:rFonts w:hint="eastAsia" w:ascii="宋体" w:hAnsi="宋体" w:eastAsia="宋体" w:cs="宋体"/>
          <w:color w:val="auto"/>
          <w:sz w:val="24"/>
          <w:highlight w:val="none"/>
          <w:lang w:val="en-US" w:eastAsia="zh-CN"/>
        </w:rPr>
        <w:t>并按照</w:t>
      </w:r>
      <w:r>
        <w:rPr>
          <w:rFonts w:hint="eastAsia" w:ascii="宋体" w:hAnsi="宋体" w:eastAsia="宋体" w:cs="宋体"/>
          <w:bCs w:val="0"/>
          <w:color w:val="auto"/>
          <w:sz w:val="24"/>
          <w:highlight w:val="none"/>
        </w:rPr>
        <w:t>“</w:t>
      </w:r>
      <w:r>
        <w:rPr>
          <w:rFonts w:hint="eastAsia" w:ascii="宋体" w:hAnsi="宋体" w:eastAsia="宋体" w:cs="宋体"/>
          <w:bCs w:val="0"/>
          <w:color w:val="auto"/>
          <w:sz w:val="24"/>
          <w:highlight w:val="none"/>
          <w:lang w:val="en-US" w:eastAsia="zh-CN"/>
        </w:rPr>
        <w:t>乙方整体经营方式</w:t>
      </w:r>
      <w:r>
        <w:rPr>
          <w:rFonts w:hint="eastAsia" w:ascii="宋体" w:hAnsi="宋体" w:eastAsia="宋体" w:cs="宋体"/>
          <w:bCs w:val="0"/>
          <w:color w:val="auto"/>
          <w:sz w:val="24"/>
          <w:highlight w:val="none"/>
        </w:rPr>
        <w:t>”方式</w:t>
      </w:r>
      <w:r>
        <w:rPr>
          <w:rFonts w:hint="eastAsia" w:ascii="宋体" w:hAnsi="宋体" w:eastAsia="宋体" w:cs="宋体"/>
          <w:bCs w:val="0"/>
          <w:color w:val="auto"/>
          <w:sz w:val="24"/>
          <w:highlight w:val="none"/>
          <w:lang w:val="en-US" w:eastAsia="zh-CN"/>
        </w:rPr>
        <w:t>向甲方支付运营金（即：租金）</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由乙方以</w:t>
      </w:r>
      <w:r>
        <w:rPr>
          <w:rFonts w:hint="eastAsia" w:ascii="Times New Roman" w:hAnsi="Times New Roman" w:eastAsia="宋体" w:cs="Times New Roman"/>
          <w:color w:val="auto"/>
          <w:sz w:val="24"/>
          <w:highlight w:val="none"/>
        </w:rPr>
        <w:t>项目经营主体的名义</w:t>
      </w:r>
      <w:r>
        <w:rPr>
          <w:rFonts w:hint="eastAsia" w:ascii="宋体" w:hAnsi="宋体" w:eastAsia="宋体" w:cs="宋体"/>
          <w:color w:val="auto"/>
          <w:sz w:val="24"/>
          <w:highlight w:val="none"/>
          <w:lang w:val="en-US" w:eastAsia="zh-CN"/>
        </w:rPr>
        <w:t>运营管理</w:t>
      </w:r>
      <w:r>
        <w:rPr>
          <w:rFonts w:hint="eastAsia" w:ascii="宋体" w:hAnsi="宋体" w:eastAsia="宋体" w:cs="宋体"/>
          <w:color w:val="auto"/>
          <w:sz w:val="24"/>
          <w:highlight w:val="none"/>
        </w:rPr>
        <w:t>竣工后的村工业集聚区</w:t>
      </w:r>
      <w:r>
        <w:rPr>
          <w:rFonts w:hint="eastAsia" w:ascii="宋体" w:hAnsi="宋体" w:eastAsia="宋体" w:cs="宋体"/>
          <w:color w:val="auto"/>
          <w:sz w:val="24"/>
          <w:highlight w:val="none"/>
          <w:lang w:eastAsia="zh-CN"/>
        </w:rPr>
        <w:t>（首开区）</w:t>
      </w:r>
      <w:r>
        <w:rPr>
          <w:rFonts w:hint="eastAsia" w:ascii="宋体" w:hAnsi="宋体" w:eastAsia="宋体" w:cs="宋体"/>
          <w:color w:val="auto"/>
          <w:sz w:val="24"/>
          <w:highlight w:val="none"/>
        </w:rPr>
        <w:t>产业园区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w:t>
      </w:r>
      <w:r>
        <w:rPr>
          <w:rFonts w:hint="eastAsia" w:ascii="宋体" w:hAnsi="宋体" w:eastAsia="宋体" w:cs="宋体"/>
          <w:color w:val="auto"/>
          <w:sz w:val="24"/>
          <w:highlight w:val="none"/>
          <w:lang w:val="en-US" w:eastAsia="zh-CN"/>
        </w:rPr>
        <w:t>但不限于提供</w:t>
      </w:r>
      <w:r>
        <w:rPr>
          <w:rFonts w:hint="eastAsia" w:ascii="宋体" w:hAnsi="宋体" w:eastAsia="宋体" w:cs="宋体"/>
          <w:color w:val="auto"/>
          <w:sz w:val="24"/>
          <w:highlight w:val="none"/>
        </w:rPr>
        <w:t>园区产业定位及规划、园区品牌运营及推广、园区入驻企业招商及管理、园区服务业引入管理、园区物业管理等服务</w:t>
      </w:r>
      <w:r>
        <w:rPr>
          <w:rFonts w:hint="eastAsia" w:ascii="宋体" w:hAnsi="宋体" w:eastAsia="宋体" w:cs="宋体"/>
          <w:color w:val="auto"/>
          <w:sz w:val="24"/>
          <w:highlight w:val="none"/>
          <w:lang w:eastAsia="zh-CN"/>
        </w:rPr>
        <w:t>。</w:t>
      </w:r>
    </w:p>
    <w:p w14:paraId="192B80D1">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宋体" w:hAnsi="宋体" w:eastAsia="宋体" w:cs="宋体"/>
          <w:color w:val="auto"/>
          <w:sz w:val="24"/>
          <w:highlight w:val="none"/>
          <w:u w:val="none"/>
          <w:lang w:val="en-US" w:eastAsia="zh-CN"/>
        </w:rPr>
        <w:t>5、项目运营管理服务</w:t>
      </w:r>
      <w:r>
        <w:rPr>
          <w:rFonts w:ascii="Times New Roman" w:hAnsi="Times New Roman" w:eastAsia="宋体" w:cs="Times New Roman"/>
          <w:color w:val="auto"/>
          <w:sz w:val="24"/>
          <w:highlight w:val="none"/>
          <w:u w:val="none"/>
        </w:rPr>
        <w:t>范</w:t>
      </w:r>
      <w:r>
        <w:rPr>
          <w:rFonts w:ascii="Times New Roman" w:hAnsi="Times New Roman" w:eastAsia="宋体" w:cs="Times New Roman"/>
          <w:color w:val="auto"/>
          <w:sz w:val="24"/>
          <w:highlight w:val="none"/>
        </w:rPr>
        <w:t>围</w:t>
      </w:r>
      <w:r>
        <w:rPr>
          <w:rFonts w:hint="eastAsia" w:ascii="Times New Roman" w:hAnsi="Times New Roman" w:eastAsia="宋体" w:cs="Times New Roman"/>
          <w:color w:val="auto"/>
          <w:sz w:val="24"/>
          <w:highlight w:val="none"/>
          <w:lang w:val="en-US" w:eastAsia="zh-CN"/>
        </w:rPr>
        <w:t>及面积：</w:t>
      </w:r>
      <w:r>
        <w:rPr>
          <w:rFonts w:ascii="Times New Roman" w:hAnsi="Times New Roman" w:eastAsia="宋体" w:cs="Times New Roman"/>
          <w:color w:val="auto"/>
          <w:sz w:val="24"/>
          <w:highlight w:val="none"/>
        </w:rPr>
        <w:t>项目所在用</w:t>
      </w:r>
      <w:r>
        <w:rPr>
          <w:rFonts w:hint="eastAsia" w:ascii="Times New Roman" w:hAnsi="Times New Roman" w:eastAsia="宋体" w:cs="Times New Roman"/>
          <w:color w:val="auto"/>
          <w:sz w:val="24"/>
          <w:highlight w:val="none"/>
        </w:rPr>
        <w:t>地</w:t>
      </w:r>
      <w:r>
        <w:rPr>
          <w:rFonts w:ascii="Times New Roman" w:hAnsi="Times New Roman" w:eastAsia="宋体" w:cs="Times New Roman"/>
          <w:color w:val="auto"/>
          <w:sz w:val="24"/>
          <w:highlight w:val="none"/>
        </w:rPr>
        <w:t>红线范围内的建筑物、空地、外广场、停车场、屋顶、外立面、架空层、人防车位等</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具体以双方确认的</w:t>
      </w:r>
      <w:r>
        <w:rPr>
          <w:rFonts w:hint="eastAsia" w:ascii="Times New Roman" w:hAnsi="Times New Roman" w:eastAsia="宋体" w:cs="Times New Roman"/>
          <w:color w:val="auto"/>
          <w:sz w:val="24"/>
          <w:highlight w:val="none"/>
        </w:rPr>
        <w:t>《项目</w:t>
      </w:r>
      <w:r>
        <w:rPr>
          <w:rFonts w:hint="eastAsia" w:ascii="Times New Roman" w:hAnsi="Times New Roman" w:eastAsia="宋体" w:cs="Times New Roman"/>
          <w:color w:val="auto"/>
          <w:sz w:val="24"/>
          <w:highlight w:val="none"/>
          <w:lang w:val="en-US" w:eastAsia="zh-CN"/>
        </w:rPr>
        <w:t>运营</w:t>
      </w:r>
      <w:r>
        <w:rPr>
          <w:rFonts w:hint="eastAsia" w:ascii="Times New Roman" w:hAnsi="Times New Roman" w:eastAsia="宋体" w:cs="Times New Roman"/>
          <w:color w:val="auto"/>
          <w:sz w:val="24"/>
          <w:highlight w:val="none"/>
        </w:rPr>
        <w:t>范围</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以及</w:t>
      </w:r>
      <w:r>
        <w:rPr>
          <w:rFonts w:hint="eastAsia" w:ascii="Times New Roman" w:hAnsi="Times New Roman" w:eastAsia="宋体" w:cs="Times New Roman"/>
          <w:color w:val="auto"/>
          <w:sz w:val="24"/>
          <w:highlight w:val="none"/>
        </w:rPr>
        <w:t>《项目建筑面积测绘表》</w:t>
      </w:r>
      <w:r>
        <w:rPr>
          <w:rFonts w:hint="eastAsia" w:ascii="Times New Roman" w:hAnsi="Times New Roman" w:eastAsia="宋体" w:cs="Times New Roman"/>
          <w:color w:val="auto"/>
          <w:sz w:val="24"/>
          <w:highlight w:val="none"/>
          <w:lang w:val="en-US" w:eastAsia="zh-CN"/>
        </w:rPr>
        <w:t>为准</w:t>
      </w:r>
      <w:r>
        <w:rPr>
          <w:rFonts w:hint="eastAsia" w:ascii="Times New Roman" w:hAnsi="Times New Roman" w:eastAsia="宋体" w:cs="Times New Roman"/>
          <w:color w:val="auto"/>
          <w:sz w:val="24"/>
          <w:highlight w:val="none"/>
          <w:lang w:eastAsia="zh-CN"/>
        </w:rPr>
        <w:t>）。</w:t>
      </w:r>
    </w:p>
    <w:p w14:paraId="53CD71D6">
      <w:pPr>
        <w:wordWrap/>
        <w:spacing w:line="360" w:lineRule="auto"/>
        <w:ind w:firstLine="420" w:firstLineChars="200"/>
        <w:rPr>
          <w:rFonts w:hint="eastAsia" w:ascii="黑体" w:hAnsi="黑体" w:eastAsia="黑体" w:cs="黑体"/>
          <w:b w:val="0"/>
          <w:color w:val="auto"/>
          <w:sz w:val="24"/>
          <w:highlight w:val="none"/>
        </w:rPr>
      </w:pPr>
      <w:r>
        <w:rPr>
          <w:rFonts w:hint="eastAsia" w:ascii="黑体" w:hAnsi="黑体" w:eastAsia="黑体" w:cs="黑体"/>
          <w:color w:val="auto"/>
          <w:highlight w:val="none"/>
          <w:lang w:val="en-US" w:eastAsia="zh-CN"/>
        </w:rPr>
        <w:t>二、</w:t>
      </w:r>
      <w:r>
        <w:rPr>
          <w:rFonts w:hint="eastAsia" w:ascii="黑体" w:hAnsi="黑体" w:eastAsia="黑体" w:cs="黑体"/>
          <w:b w:val="0"/>
          <w:color w:val="auto"/>
          <w:sz w:val="24"/>
          <w:highlight w:val="none"/>
        </w:rPr>
        <w:t>运营期约定</w:t>
      </w:r>
    </w:p>
    <w:p w14:paraId="70A06FCE">
      <w:pPr>
        <w:wordWrap w:val="0"/>
        <w:spacing w:line="500" w:lineRule="exact"/>
        <w:ind w:firstLine="420"/>
        <w:rPr>
          <w:rFonts w:hint="eastAsia" w:ascii="宋体" w:hAnsi="宋体" w:eastAsia="宋体" w:cs="宋体"/>
          <w:bCs/>
          <w:color w:val="auto"/>
          <w:kern w:val="0"/>
          <w:sz w:val="24"/>
          <w:szCs w:val="22"/>
          <w:highlight w:val="none"/>
          <w:lang w:val="en-US" w:eastAsia="zh-CN" w:bidi="ar-SA"/>
        </w:rPr>
      </w:pPr>
      <w:r>
        <w:rPr>
          <w:rFonts w:hint="eastAsia" w:ascii="宋体" w:hAnsi="宋体" w:eastAsia="宋体" w:cs="宋体"/>
          <w:bCs/>
          <w:color w:val="auto"/>
          <w:kern w:val="0"/>
          <w:sz w:val="24"/>
          <w:szCs w:val="22"/>
          <w:highlight w:val="none"/>
          <w:lang w:val="en-US" w:eastAsia="zh-CN" w:bidi="ar-SA"/>
        </w:rPr>
        <w:t>1、 运营期</w:t>
      </w:r>
    </w:p>
    <w:p w14:paraId="4666D367">
      <w:pPr>
        <w:wordWrap w:val="0"/>
        <w:spacing w:line="500" w:lineRule="exact"/>
        <w:ind w:firstLine="420"/>
        <w:rPr>
          <w:rFonts w:hint="eastAsia" w:ascii="宋体" w:hAnsi="宋体" w:eastAsia="宋体" w:cs="宋体"/>
          <w:bCs/>
          <w:color w:val="auto"/>
          <w:kern w:val="0"/>
          <w:sz w:val="24"/>
          <w:szCs w:val="22"/>
          <w:highlight w:val="none"/>
          <w:lang w:val="en-US" w:eastAsia="zh-CN" w:bidi="ar-SA"/>
        </w:rPr>
      </w:pPr>
      <w:r>
        <w:rPr>
          <w:rFonts w:hint="eastAsia" w:ascii="宋体" w:hAnsi="宋体" w:eastAsia="宋体" w:cs="宋体"/>
          <w:bCs/>
          <w:color w:val="auto"/>
          <w:kern w:val="0"/>
          <w:sz w:val="24"/>
          <w:szCs w:val="22"/>
          <w:highlight w:val="none"/>
          <w:lang w:val="en-US" w:eastAsia="zh-CN" w:bidi="ar-SA"/>
        </w:rPr>
        <w:t>（1）运营期为20年（自项目领取施工许可证之日起算满 24个月后的20年，无论项目是否建成、竣工验收、投入运营等，均视为项目己进入运营期）。</w:t>
      </w:r>
    </w:p>
    <w:p w14:paraId="478DB0DE">
      <w:pPr>
        <w:wordWrap w:val="0"/>
        <w:spacing w:line="500" w:lineRule="exact"/>
        <w:ind w:firstLine="420"/>
        <w:rPr>
          <w:rFonts w:hint="default" w:ascii="宋体" w:hAnsi="宋体" w:eastAsia="宋体" w:cs="宋体"/>
          <w:bCs/>
          <w:color w:val="auto"/>
          <w:kern w:val="0"/>
          <w:sz w:val="24"/>
          <w:szCs w:val="22"/>
          <w:highlight w:val="none"/>
          <w:lang w:val="en-US" w:eastAsia="zh-CN" w:bidi="ar-SA"/>
        </w:rPr>
      </w:pPr>
      <w:r>
        <w:rPr>
          <w:rFonts w:hint="eastAsia" w:ascii="宋体" w:hAnsi="宋体" w:eastAsia="宋体" w:cs="宋体"/>
          <w:bCs/>
          <w:color w:val="auto"/>
          <w:kern w:val="0"/>
          <w:sz w:val="24"/>
          <w:szCs w:val="22"/>
          <w:highlight w:val="none"/>
          <w:lang w:val="en-US" w:eastAsia="zh-CN" w:bidi="ar-SA"/>
        </w:rPr>
        <w:t>（2）自领取施工许可证之日起算满24个月后，无论项目是否建成、竣工验收、投入运营，均视为项目已进入运营期，乙方应按本合同约定支付运营期间甲方的每月租金。自项目领取施工许可证之日起算满24个月后项目未建成、未竣工验收或未投入运营的，运营期不顺延。</w:t>
      </w:r>
    </w:p>
    <w:p w14:paraId="613B55C3">
      <w:pPr>
        <w:wordWrap w:val="0"/>
        <w:spacing w:line="500" w:lineRule="exact"/>
        <w:ind w:firstLine="42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2、续租</w:t>
      </w:r>
    </w:p>
    <w:p w14:paraId="5870E318">
      <w:pPr>
        <w:pStyle w:val="154"/>
        <w:spacing w:before="246" w:beforeLines="79" w:after="14" w:line="360" w:lineRule="auto"/>
        <w:ind w:firstLine="480" w:firstLineChars="200"/>
        <w:rPr>
          <w:rFonts w:hint="eastAsia" w:ascii="宋体" w:hAnsi="宋体" w:eastAsia="宋体" w:cs="宋体"/>
          <w:bCs/>
          <w:color w:val="auto"/>
          <w:kern w:val="0"/>
          <w:sz w:val="24"/>
          <w:szCs w:val="22"/>
          <w:highlight w:val="none"/>
          <w:lang w:val="en-US" w:eastAsia="zh-CN" w:bidi="ar-SA"/>
        </w:rPr>
      </w:pPr>
      <w:r>
        <w:rPr>
          <w:rFonts w:hint="eastAsia" w:ascii="宋体" w:hAnsi="宋体" w:eastAsia="宋体" w:cs="宋体"/>
          <w:bCs/>
          <w:color w:val="auto"/>
          <w:kern w:val="0"/>
          <w:sz w:val="24"/>
          <w:szCs w:val="22"/>
          <w:highlight w:val="none"/>
          <w:lang w:val="en-US" w:eastAsia="zh-CN" w:bidi="ar-SA"/>
        </w:rPr>
        <w:t>运营期满后，如甲方对本项目用地或物业重新整体招租的，在不违反当时的法律法规及相关政策文件的前提下，乙方在同等条件下有优先承租权。</w:t>
      </w:r>
    </w:p>
    <w:p w14:paraId="4E4C10DF">
      <w:pPr>
        <w:wordWrap w:val="0"/>
        <w:spacing w:line="500" w:lineRule="exact"/>
        <w:ind w:firstLine="420"/>
        <w:rPr>
          <w:rFonts w:hint="eastAsia" w:ascii="黑体" w:hAnsi="黑体" w:eastAsia="黑体" w:cs="黑体"/>
          <w:b w:val="0"/>
          <w:bCs/>
          <w:color w:val="auto"/>
          <w:sz w:val="24"/>
          <w:highlight w:val="none"/>
          <w:lang w:val="en-US" w:eastAsia="zh-CN"/>
        </w:rPr>
      </w:pPr>
      <w:r>
        <w:rPr>
          <w:rFonts w:hint="eastAsia" w:ascii="黑体" w:hAnsi="黑体" w:eastAsia="黑体" w:cs="黑体"/>
          <w:b w:val="0"/>
          <w:bCs/>
          <w:color w:val="auto"/>
          <w:sz w:val="24"/>
          <w:highlight w:val="none"/>
          <w:lang w:val="en-US" w:eastAsia="zh-CN"/>
        </w:rPr>
        <w:t>三、租金及其他费用约定</w:t>
      </w:r>
    </w:p>
    <w:p w14:paraId="15A27B2E">
      <w:pPr>
        <w:wordWrap w:val="0"/>
        <w:spacing w:line="500" w:lineRule="exact"/>
        <w:ind w:firstLine="42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①运营期内，建筑物租金标准（元/㎡）（含税）具体如下：</w:t>
      </w:r>
    </w:p>
    <w:tbl>
      <w:tblPr>
        <w:tblStyle w:val="45"/>
        <w:tblW w:w="10180" w:type="dxa"/>
        <w:tblInd w:w="-1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51"/>
        <w:gridCol w:w="951"/>
        <w:gridCol w:w="951"/>
        <w:gridCol w:w="951"/>
        <w:gridCol w:w="951"/>
        <w:gridCol w:w="951"/>
        <w:gridCol w:w="951"/>
        <w:gridCol w:w="951"/>
        <w:gridCol w:w="952"/>
        <w:gridCol w:w="952"/>
      </w:tblGrid>
      <w:tr w14:paraId="688B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945721E">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年限</w:t>
            </w:r>
          </w:p>
        </w:tc>
        <w:tc>
          <w:tcPr>
            <w:tcW w:w="951" w:type="dxa"/>
          </w:tcPr>
          <w:p w14:paraId="1550394F">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第1年</w:t>
            </w:r>
          </w:p>
        </w:tc>
        <w:tc>
          <w:tcPr>
            <w:tcW w:w="951" w:type="dxa"/>
          </w:tcPr>
          <w:p w14:paraId="2C38CFFC">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第2年</w:t>
            </w:r>
          </w:p>
        </w:tc>
        <w:tc>
          <w:tcPr>
            <w:tcW w:w="951" w:type="dxa"/>
          </w:tcPr>
          <w:p w14:paraId="10CB1CAC">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第3年</w:t>
            </w:r>
          </w:p>
        </w:tc>
        <w:tc>
          <w:tcPr>
            <w:tcW w:w="951" w:type="dxa"/>
          </w:tcPr>
          <w:p w14:paraId="42FE1198">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第4年</w:t>
            </w:r>
          </w:p>
        </w:tc>
        <w:tc>
          <w:tcPr>
            <w:tcW w:w="951" w:type="dxa"/>
          </w:tcPr>
          <w:p w14:paraId="79A682DA">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第5年</w:t>
            </w:r>
          </w:p>
        </w:tc>
        <w:tc>
          <w:tcPr>
            <w:tcW w:w="951" w:type="dxa"/>
          </w:tcPr>
          <w:p w14:paraId="2FCFC7B0">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第6年</w:t>
            </w:r>
          </w:p>
        </w:tc>
        <w:tc>
          <w:tcPr>
            <w:tcW w:w="951" w:type="dxa"/>
          </w:tcPr>
          <w:p w14:paraId="7EDF5E19">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第7年</w:t>
            </w:r>
          </w:p>
        </w:tc>
        <w:tc>
          <w:tcPr>
            <w:tcW w:w="951" w:type="dxa"/>
          </w:tcPr>
          <w:p w14:paraId="7FFEB050">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第8年</w:t>
            </w:r>
          </w:p>
        </w:tc>
        <w:tc>
          <w:tcPr>
            <w:tcW w:w="952" w:type="dxa"/>
          </w:tcPr>
          <w:p w14:paraId="61D5004E">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第9年</w:t>
            </w:r>
          </w:p>
        </w:tc>
        <w:tc>
          <w:tcPr>
            <w:tcW w:w="952" w:type="dxa"/>
          </w:tcPr>
          <w:p w14:paraId="73E19821">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第10年</w:t>
            </w:r>
          </w:p>
        </w:tc>
      </w:tr>
      <w:tr w14:paraId="35D7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79DABFBC">
            <w:pPr>
              <w:keepNext w:val="0"/>
              <w:keepLines w:val="0"/>
              <w:suppressLineNumbers w:val="0"/>
              <w:wordWrap w:val="0"/>
              <w:spacing w:before="0" w:beforeAutospacing="0" w:after="0" w:afterAutospacing="0" w:line="500" w:lineRule="exact"/>
              <w:ind w:left="0" w:right="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标准</w:t>
            </w:r>
          </w:p>
        </w:tc>
        <w:tc>
          <w:tcPr>
            <w:tcW w:w="951" w:type="dxa"/>
          </w:tcPr>
          <w:p w14:paraId="0B5585B1">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951" w:type="dxa"/>
          </w:tcPr>
          <w:p w14:paraId="6A4A5017">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951" w:type="dxa"/>
          </w:tcPr>
          <w:p w14:paraId="680E11D1">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951" w:type="dxa"/>
          </w:tcPr>
          <w:p w14:paraId="4DA35705">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16.8</w:t>
            </w:r>
          </w:p>
        </w:tc>
        <w:tc>
          <w:tcPr>
            <w:tcW w:w="951" w:type="dxa"/>
          </w:tcPr>
          <w:p w14:paraId="1EE8F02E">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16.8</w:t>
            </w:r>
          </w:p>
        </w:tc>
        <w:tc>
          <w:tcPr>
            <w:tcW w:w="951" w:type="dxa"/>
          </w:tcPr>
          <w:p w14:paraId="456A0376">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16.8</w:t>
            </w:r>
          </w:p>
        </w:tc>
        <w:tc>
          <w:tcPr>
            <w:tcW w:w="951" w:type="dxa"/>
          </w:tcPr>
          <w:p w14:paraId="30DB58C2">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17.64</w:t>
            </w:r>
          </w:p>
        </w:tc>
        <w:tc>
          <w:tcPr>
            <w:tcW w:w="951" w:type="dxa"/>
          </w:tcPr>
          <w:p w14:paraId="3B4F4FF5">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17.64</w:t>
            </w:r>
          </w:p>
        </w:tc>
        <w:tc>
          <w:tcPr>
            <w:tcW w:w="952" w:type="dxa"/>
          </w:tcPr>
          <w:p w14:paraId="10B067A5">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17.64</w:t>
            </w:r>
          </w:p>
        </w:tc>
        <w:tc>
          <w:tcPr>
            <w:tcW w:w="952" w:type="dxa"/>
          </w:tcPr>
          <w:p w14:paraId="5D88DC9F">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18.52</w:t>
            </w:r>
          </w:p>
        </w:tc>
      </w:tr>
      <w:tr w14:paraId="7E02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6B2706B8">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年限</w:t>
            </w:r>
          </w:p>
        </w:tc>
        <w:tc>
          <w:tcPr>
            <w:tcW w:w="951" w:type="dxa"/>
          </w:tcPr>
          <w:p w14:paraId="1A89F633">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第11年</w:t>
            </w:r>
          </w:p>
        </w:tc>
        <w:tc>
          <w:tcPr>
            <w:tcW w:w="951" w:type="dxa"/>
          </w:tcPr>
          <w:p w14:paraId="205F1991">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第12年</w:t>
            </w:r>
          </w:p>
        </w:tc>
        <w:tc>
          <w:tcPr>
            <w:tcW w:w="951" w:type="dxa"/>
          </w:tcPr>
          <w:p w14:paraId="223048CA">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第13年</w:t>
            </w:r>
          </w:p>
        </w:tc>
        <w:tc>
          <w:tcPr>
            <w:tcW w:w="951" w:type="dxa"/>
          </w:tcPr>
          <w:p w14:paraId="79FC75A3">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第14年</w:t>
            </w:r>
          </w:p>
        </w:tc>
        <w:tc>
          <w:tcPr>
            <w:tcW w:w="951" w:type="dxa"/>
          </w:tcPr>
          <w:p w14:paraId="5D210EBC">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第15年</w:t>
            </w:r>
          </w:p>
        </w:tc>
        <w:tc>
          <w:tcPr>
            <w:tcW w:w="951" w:type="dxa"/>
          </w:tcPr>
          <w:p w14:paraId="634B46C2">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年16年</w:t>
            </w:r>
          </w:p>
        </w:tc>
        <w:tc>
          <w:tcPr>
            <w:tcW w:w="951" w:type="dxa"/>
          </w:tcPr>
          <w:p w14:paraId="5E3B5E1B">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第17年</w:t>
            </w:r>
          </w:p>
        </w:tc>
        <w:tc>
          <w:tcPr>
            <w:tcW w:w="951" w:type="dxa"/>
          </w:tcPr>
          <w:p w14:paraId="0B494CE3">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第18年</w:t>
            </w:r>
          </w:p>
        </w:tc>
        <w:tc>
          <w:tcPr>
            <w:tcW w:w="952" w:type="dxa"/>
          </w:tcPr>
          <w:p w14:paraId="427172FB">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第19年</w:t>
            </w:r>
          </w:p>
        </w:tc>
        <w:tc>
          <w:tcPr>
            <w:tcW w:w="952" w:type="dxa"/>
          </w:tcPr>
          <w:p w14:paraId="2A14CE80">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第20年</w:t>
            </w:r>
          </w:p>
        </w:tc>
      </w:tr>
      <w:tr w14:paraId="3EFF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32A62EF8">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标准</w:t>
            </w:r>
          </w:p>
        </w:tc>
        <w:tc>
          <w:tcPr>
            <w:tcW w:w="951" w:type="dxa"/>
          </w:tcPr>
          <w:p w14:paraId="47A081E1">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18.52</w:t>
            </w:r>
          </w:p>
        </w:tc>
        <w:tc>
          <w:tcPr>
            <w:tcW w:w="951" w:type="dxa"/>
          </w:tcPr>
          <w:p w14:paraId="00AD34AC">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18.52</w:t>
            </w:r>
          </w:p>
        </w:tc>
        <w:tc>
          <w:tcPr>
            <w:tcW w:w="951" w:type="dxa"/>
          </w:tcPr>
          <w:p w14:paraId="74B2E4C8">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19.45</w:t>
            </w:r>
          </w:p>
        </w:tc>
        <w:tc>
          <w:tcPr>
            <w:tcW w:w="951" w:type="dxa"/>
          </w:tcPr>
          <w:p w14:paraId="68C72F36">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19.45</w:t>
            </w:r>
          </w:p>
        </w:tc>
        <w:tc>
          <w:tcPr>
            <w:tcW w:w="951" w:type="dxa"/>
          </w:tcPr>
          <w:p w14:paraId="722073EB">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19.45</w:t>
            </w:r>
          </w:p>
        </w:tc>
        <w:tc>
          <w:tcPr>
            <w:tcW w:w="951" w:type="dxa"/>
          </w:tcPr>
          <w:p w14:paraId="1A54FF22">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20.42</w:t>
            </w:r>
          </w:p>
        </w:tc>
        <w:tc>
          <w:tcPr>
            <w:tcW w:w="951" w:type="dxa"/>
          </w:tcPr>
          <w:p w14:paraId="0D1C753A">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20.42</w:t>
            </w:r>
          </w:p>
        </w:tc>
        <w:tc>
          <w:tcPr>
            <w:tcW w:w="951" w:type="dxa"/>
          </w:tcPr>
          <w:p w14:paraId="34D7707A">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20.42</w:t>
            </w:r>
          </w:p>
        </w:tc>
        <w:tc>
          <w:tcPr>
            <w:tcW w:w="952" w:type="dxa"/>
          </w:tcPr>
          <w:p w14:paraId="643A8335">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21.44</w:t>
            </w:r>
          </w:p>
        </w:tc>
        <w:tc>
          <w:tcPr>
            <w:tcW w:w="952" w:type="dxa"/>
          </w:tcPr>
          <w:p w14:paraId="6E0771C9">
            <w:pPr>
              <w:keepNext w:val="0"/>
              <w:keepLines w:val="0"/>
              <w:suppressLineNumbers w:val="0"/>
              <w:wordWrap w:val="0"/>
              <w:spacing w:before="0" w:beforeAutospacing="0" w:after="0" w:afterAutospacing="0" w:line="500" w:lineRule="exact"/>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21.44</w:t>
            </w:r>
          </w:p>
        </w:tc>
      </w:tr>
    </w:tbl>
    <w:p w14:paraId="4B7D9B9E">
      <w:pPr>
        <w:wordWrap w:val="0"/>
        <w:spacing w:line="500" w:lineRule="exact"/>
        <w:ind w:firstLine="42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②空地租金标准：空地租金4元/平方米/月支付租金（含税）。</w:t>
      </w:r>
    </w:p>
    <w:p w14:paraId="355D38B2">
      <w:pPr>
        <w:wordWrap w:val="0"/>
        <w:spacing w:line="500" w:lineRule="exact"/>
        <w:ind w:firstLine="42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③租金按月支付，乙方在每月10日前（若10日为法定节假日则提前至法定节假日前最后一个工作日）向甲方支付当月的全部租金。</w:t>
      </w:r>
    </w:p>
    <w:p w14:paraId="0490E27F">
      <w:pPr>
        <w:wordWrap w:val="0"/>
        <w:spacing w:line="50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④租金的计租面积：按照证载建筑面积计算；在根据合同约定项目已进入运营期但未取得相关权属证书期间，确定计租面积优先顺序如下：1.经甲方盖章确认后的竣工图所示物业建筑面积；2.根据经双方确认的施工图所计算得出物业建筑面积；3.甲方开展本项目前委托第三方机构出具的可行性研究报告上的建筑面积；</w:t>
      </w:r>
    </w:p>
    <w:p w14:paraId="7EF3B813">
      <w:pPr>
        <w:wordWrap w:val="0"/>
        <w:spacing w:line="50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确定空地计租面积的优先顺序如下：1.根据合同约定项目已进入运营期但双方未确认的所有空地面积；2.根据经双方确认的施工图所示所有空地面积；3.甲方开展本项目前委托第三方机构出具的可行性研究报告上的所有空地面积。</w:t>
      </w:r>
    </w:p>
    <w:p w14:paraId="3DED2866">
      <w:pPr>
        <w:wordWrap w:val="0"/>
        <w:spacing w:line="500" w:lineRule="exact"/>
        <w:ind w:firstLine="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⑤、其他费用</w:t>
      </w:r>
    </w:p>
    <w:p w14:paraId="4200E949">
      <w:pPr>
        <w:wordWrap w:val="0"/>
        <w:spacing w:line="50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垃圾清运费用:由乙方向甲方按0.1元/平方米/月支付（如垃圾处理费升价，则卫生费按相应升价的比例增加）。</w:t>
      </w:r>
    </w:p>
    <w:p w14:paraId="721DB24E">
      <w:pPr>
        <w:wordWrap w:val="0"/>
        <w:spacing w:line="500" w:lineRule="exact"/>
        <w:ind w:firstLine="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⑥、运营保证金</w:t>
      </w:r>
    </w:p>
    <w:p w14:paraId="4F8B8664">
      <w:pPr>
        <w:pStyle w:val="6"/>
        <w:spacing w:line="360" w:lineRule="auto"/>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（1</w:t>
      </w:r>
      <w:r>
        <w:rPr>
          <w:rFonts w:hint="eastAsia" w:ascii="宋体" w:hAnsi="宋体" w:eastAsia="宋体" w:cs="宋体"/>
          <w:bCs/>
          <w:color w:val="auto"/>
          <w:sz w:val="24"/>
          <w:highlight w:val="none"/>
          <w:lang w:val="en-US" w:eastAsia="zh-CN"/>
        </w:rPr>
        <w:t>）</w:t>
      </w:r>
      <w:r>
        <w:rPr>
          <w:rFonts w:hint="eastAsia" w:ascii="宋体" w:hAnsi="宋体" w:eastAsia="宋体" w:cs="宋体"/>
          <w:color w:val="auto"/>
          <w:kern w:val="0"/>
          <w:sz w:val="24"/>
          <w:highlight w:val="none"/>
        </w:rPr>
        <w:t>签订合同</w:t>
      </w:r>
      <w:r>
        <w:rPr>
          <w:rFonts w:hint="eastAsia" w:ascii="宋体" w:hAnsi="宋体" w:eastAsia="宋体" w:cs="宋体"/>
          <w:color w:val="auto"/>
          <w:kern w:val="0"/>
          <w:sz w:val="24"/>
          <w:highlight w:val="none"/>
          <w:lang w:val="en-US" w:eastAsia="zh-CN"/>
        </w:rPr>
        <w:t>后30个日历日内</w:t>
      </w:r>
      <w:r>
        <w:rPr>
          <w:rFonts w:hint="eastAsia" w:ascii="宋体" w:hAnsi="宋体" w:eastAsia="宋体" w:cs="宋体"/>
          <w:color w:val="auto"/>
          <w:kern w:val="0"/>
          <w:sz w:val="24"/>
          <w:highlight w:val="none"/>
        </w:rPr>
        <w:t>乙方</w:t>
      </w:r>
      <w:r>
        <w:rPr>
          <w:rFonts w:hint="eastAsia" w:ascii="宋体" w:hAnsi="宋体" w:eastAsia="宋体" w:cs="宋体"/>
          <w:color w:val="auto"/>
          <w:kern w:val="0"/>
          <w:sz w:val="24"/>
          <w:highlight w:val="none"/>
          <w:lang w:val="en-US" w:eastAsia="zh-CN"/>
        </w:rPr>
        <w:t>应</w:t>
      </w:r>
      <w:r>
        <w:rPr>
          <w:rFonts w:hint="eastAsia" w:ascii="宋体" w:hAnsi="宋体" w:eastAsia="宋体" w:cs="宋体"/>
          <w:color w:val="auto"/>
          <w:kern w:val="0"/>
          <w:sz w:val="24"/>
          <w:highlight w:val="none"/>
        </w:rPr>
        <w:t>以</w:t>
      </w:r>
      <w:r>
        <w:rPr>
          <w:rFonts w:hint="eastAsia" w:ascii="宋体" w:hAnsi="宋体" w:eastAsia="宋体" w:cs="宋体"/>
          <w:color w:val="auto"/>
          <w:kern w:val="0"/>
          <w:sz w:val="24"/>
          <w:highlight w:val="none"/>
          <w:lang w:val="en-US" w:eastAsia="zh-CN"/>
        </w:rPr>
        <w:t>现金</w:t>
      </w:r>
      <w:r>
        <w:rPr>
          <w:rFonts w:hint="eastAsia" w:ascii="宋体" w:hAnsi="宋体" w:eastAsia="宋体" w:cs="宋体"/>
          <w:color w:val="auto"/>
          <w:kern w:val="0"/>
          <w:sz w:val="24"/>
          <w:highlight w:val="none"/>
        </w:rPr>
        <w:t>方式向</w:t>
      </w:r>
      <w:r>
        <w:rPr>
          <w:rFonts w:hint="eastAsia" w:ascii="宋体" w:hAnsi="宋体" w:eastAsia="宋体" w:cs="宋体"/>
          <w:color w:val="auto"/>
          <w:kern w:val="0"/>
          <w:sz w:val="24"/>
          <w:highlight w:val="none"/>
          <w:lang w:val="en-US" w:eastAsia="zh-CN"/>
        </w:rPr>
        <w:t>甲方</w:t>
      </w:r>
      <w:r>
        <w:rPr>
          <w:rFonts w:hint="eastAsia" w:ascii="宋体" w:hAnsi="宋体" w:eastAsia="宋体" w:cs="宋体"/>
          <w:color w:val="auto"/>
          <w:kern w:val="0"/>
          <w:sz w:val="24"/>
          <w:highlight w:val="none"/>
        </w:rPr>
        <w:t>提供</w:t>
      </w:r>
      <w:r>
        <w:rPr>
          <w:rFonts w:hint="eastAsia" w:ascii="宋体" w:hAnsi="宋体" w:eastAsia="宋体" w:cs="宋体"/>
          <w:color w:val="auto"/>
          <w:kern w:val="0"/>
          <w:sz w:val="24"/>
          <w:highlight w:val="none"/>
          <w:lang w:val="en-US" w:eastAsia="zh-CN"/>
        </w:rPr>
        <w:t>1500万元的运营保证金：其中500万元作为物业运营管理合同保证金，剩余1000万元抵扣租金：</w:t>
      </w:r>
    </w:p>
    <w:p w14:paraId="5EA30FFF">
      <w:pPr>
        <w:pStyle w:val="6"/>
        <w:spacing w:line="360" w:lineRule="auto"/>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（2）合同正式签订后30个日历日内乙方未提交运营保证金且未征得甲方同意延期缴交的，甲方有权解除合同。</w:t>
      </w:r>
    </w:p>
    <w:p w14:paraId="6C9562D3">
      <w:pPr>
        <w:pStyle w:val="6"/>
        <w:spacing w:line="360" w:lineRule="auto"/>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运营合同期内，如果乙方违反本合同约定，给甲方造成损害的，在甲方发出书面通知后15天内，乙方拒不纠正或赔偿的，甲方有权直接从上述运营保证金中抵扣（不影响甲方对乙方该等行为可行使的任何其他权利或补救方法），以补偿因乙方违约造成的损失。乙方应在收到甲方抵扣通知后15个工作日内将物业运营管理合同保证金（500万元）重新补足。如乙方收到甲方抵扣通知后15个工作日内未将物业运营管理合同保证金（500万元）重新补足的，视为乙方根本违约。</w:t>
      </w:r>
    </w:p>
    <w:p w14:paraId="675F1EA1">
      <w:pPr>
        <w:pStyle w:val="6"/>
        <w:spacing w:line="360" w:lineRule="auto"/>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（4）运营合同期届满，乙方未出现任何违约行为，并按约定方式将园区交还给甲方后一个月内，甲方将无息向乙方退还全部物业运营管理合同保证金（500万元）。</w:t>
      </w:r>
    </w:p>
    <w:p w14:paraId="1DEFB7C9">
      <w:pPr>
        <w:numPr>
          <w:ilvl w:val="1"/>
          <w:numId w:val="0"/>
        </w:numPr>
        <w:spacing w:before="315" w:beforeLines="100" w:after="315" w:afterLines="100" w:line="360" w:lineRule="auto"/>
        <w:ind w:firstLine="0" w:firstLineChars="0"/>
        <w:outlineLvl w:val="0"/>
        <w:rPr>
          <w:rFonts w:hint="eastAsia" w:ascii="黑体" w:hAnsi="黑体" w:eastAsia="黑体" w:cs="黑体"/>
          <w:b w:val="0"/>
          <w:bCs w:val="0"/>
          <w:color w:val="auto"/>
          <w:sz w:val="24"/>
          <w:highlight w:val="none"/>
        </w:rPr>
      </w:pPr>
      <w:bookmarkStart w:id="321" w:name="_Toc4370"/>
      <w:bookmarkStart w:id="322" w:name="_Toc8925"/>
      <w:bookmarkStart w:id="323" w:name="_Toc13792"/>
      <w:bookmarkStart w:id="324" w:name="_Toc9879"/>
      <w:bookmarkStart w:id="325" w:name="_Toc26927"/>
      <w:bookmarkStart w:id="326" w:name="_Toc11711"/>
      <w:bookmarkStart w:id="327" w:name="_Toc16846"/>
      <w:bookmarkStart w:id="328" w:name="_Toc5045"/>
      <w:bookmarkStart w:id="329" w:name="_Toc2232"/>
      <w:r>
        <w:rPr>
          <w:rFonts w:hint="eastAsia" w:ascii="黑体" w:hAnsi="黑体" w:eastAsia="黑体" w:cs="黑体"/>
          <w:b w:val="0"/>
          <w:bCs w:val="0"/>
          <w:color w:val="auto"/>
          <w:sz w:val="24"/>
          <w:highlight w:val="none"/>
          <w:lang w:val="en-US" w:eastAsia="zh-CN"/>
        </w:rPr>
        <w:t>四、</w:t>
      </w:r>
      <w:r>
        <w:rPr>
          <w:rFonts w:hint="eastAsia" w:ascii="黑体" w:hAnsi="黑体" w:eastAsia="黑体" w:cs="黑体"/>
          <w:b w:val="0"/>
          <w:bCs w:val="0"/>
          <w:color w:val="auto"/>
          <w:sz w:val="24"/>
          <w:highlight w:val="none"/>
        </w:rPr>
        <w:t>项目经营证照、账户及资料管理</w:t>
      </w:r>
      <w:bookmarkEnd w:id="321"/>
      <w:bookmarkEnd w:id="322"/>
      <w:bookmarkEnd w:id="323"/>
      <w:bookmarkEnd w:id="324"/>
      <w:bookmarkEnd w:id="325"/>
      <w:bookmarkEnd w:id="326"/>
      <w:bookmarkEnd w:id="327"/>
      <w:bookmarkEnd w:id="328"/>
      <w:bookmarkEnd w:id="329"/>
    </w:p>
    <w:p w14:paraId="27C16414">
      <w:pPr>
        <w:numPr>
          <w:ilvl w:val="0"/>
          <w:numId w:val="0"/>
        </w:numPr>
        <w:spacing w:before="0" w:beforeLines="0" w:after="156" w:afterLines="50" w:line="360" w:lineRule="auto"/>
        <w:ind w:firstLineChars="0"/>
        <w:outlineLvl w:val="0"/>
        <w:rPr>
          <w:rFonts w:hint="eastAsia" w:ascii="Times New Roman" w:hAnsi="Times New Roman" w:eastAsia="宋体" w:cs="Times New Roman"/>
          <w:color w:val="auto"/>
          <w:sz w:val="24"/>
          <w:highlight w:val="none"/>
        </w:rPr>
      </w:pPr>
      <w:bookmarkStart w:id="330" w:name="_Toc7645"/>
      <w:bookmarkStart w:id="331" w:name="_Toc25440"/>
      <w:r>
        <w:rPr>
          <w:rFonts w:hint="eastAsia" w:ascii="Times New Roman" w:hAnsi="Times New Roman" w:eastAsia="宋体" w:cs="Times New Roman"/>
          <w:color w:val="auto"/>
          <w:sz w:val="24"/>
          <w:highlight w:val="none"/>
          <w:lang w:val="en-US" w:eastAsia="zh-CN"/>
        </w:rPr>
        <w:t>1、乙</w:t>
      </w:r>
      <w:r>
        <w:rPr>
          <w:rFonts w:hint="eastAsia" w:ascii="Times New Roman" w:hAnsi="Times New Roman" w:eastAsia="宋体" w:cs="Times New Roman"/>
          <w:color w:val="auto"/>
          <w:sz w:val="24"/>
          <w:highlight w:val="none"/>
        </w:rPr>
        <w:t>方</w:t>
      </w:r>
      <w:r>
        <w:rPr>
          <w:rFonts w:hint="eastAsia" w:ascii="Times New Roman" w:hAnsi="Times New Roman" w:eastAsia="宋体" w:cs="Times New Roman"/>
          <w:color w:val="auto"/>
          <w:sz w:val="24"/>
          <w:highlight w:val="none"/>
          <w:lang w:val="en-US" w:eastAsia="zh-CN"/>
        </w:rPr>
        <w:t>应</w:t>
      </w:r>
      <w:r>
        <w:rPr>
          <w:rFonts w:hint="eastAsia" w:ascii="Times New Roman" w:hAnsi="Times New Roman" w:eastAsia="宋体" w:cs="Times New Roman"/>
          <w:color w:val="auto"/>
          <w:sz w:val="24"/>
          <w:highlight w:val="none"/>
        </w:rPr>
        <w:t>取得经营项目所需的一切执照和许可，包括但不限于营业执照、税务登记证、开户许可证、特种行业许可证等（或其他证明</w:t>
      </w:r>
      <w:r>
        <w:rPr>
          <w:rFonts w:hint="eastAsia" w:ascii="Times New Roman" w:hAnsi="Times New Roman" w:eastAsia="宋体" w:cs="Times New Roman"/>
          <w:color w:val="auto"/>
          <w:sz w:val="24"/>
          <w:highlight w:val="none"/>
          <w:lang w:val="en-US" w:eastAsia="zh-CN"/>
        </w:rPr>
        <w:t>乙</w:t>
      </w:r>
      <w:r>
        <w:rPr>
          <w:rFonts w:hint="eastAsia" w:ascii="Times New Roman" w:hAnsi="Times New Roman" w:eastAsia="宋体" w:cs="Times New Roman"/>
          <w:color w:val="auto"/>
          <w:sz w:val="24"/>
          <w:highlight w:val="none"/>
        </w:rPr>
        <w:t>方有权经营项目的法律文件），并在整个</w:t>
      </w:r>
      <w:r>
        <w:rPr>
          <w:rFonts w:hint="eastAsia" w:ascii="Times New Roman" w:hAnsi="Times New Roman" w:eastAsia="宋体" w:cs="Times New Roman"/>
          <w:color w:val="auto"/>
          <w:sz w:val="24"/>
          <w:highlight w:val="none"/>
          <w:lang w:val="en-US" w:eastAsia="zh-CN"/>
        </w:rPr>
        <w:t>运</w:t>
      </w:r>
      <w:r>
        <w:rPr>
          <w:rFonts w:hint="eastAsia" w:ascii="Times New Roman" w:hAnsi="Times New Roman" w:eastAsia="宋体" w:cs="Times New Roman"/>
          <w:color w:val="auto"/>
          <w:sz w:val="24"/>
          <w:highlight w:val="none"/>
        </w:rPr>
        <w:t>营期限内使这些证照持续有效；</w:t>
      </w:r>
      <w:r>
        <w:rPr>
          <w:rFonts w:hint="eastAsia" w:ascii="Times New Roman" w:hAnsi="Times New Roman" w:eastAsia="宋体" w:cs="Times New Roman"/>
          <w:color w:val="auto"/>
          <w:sz w:val="24"/>
          <w:highlight w:val="none"/>
          <w:lang w:val="en-US" w:eastAsia="zh-CN"/>
        </w:rPr>
        <w:t>甲</w:t>
      </w:r>
      <w:r>
        <w:rPr>
          <w:rFonts w:hint="eastAsia" w:ascii="Times New Roman" w:hAnsi="Times New Roman" w:eastAsia="宋体" w:cs="Times New Roman"/>
          <w:color w:val="auto"/>
          <w:sz w:val="24"/>
          <w:highlight w:val="none"/>
        </w:rPr>
        <w:t>方在本合同有效期内应当协助</w:t>
      </w:r>
      <w:r>
        <w:rPr>
          <w:rFonts w:hint="eastAsia" w:ascii="Times New Roman" w:hAnsi="Times New Roman" w:eastAsia="宋体" w:cs="Times New Roman"/>
          <w:color w:val="auto"/>
          <w:sz w:val="24"/>
          <w:highlight w:val="none"/>
          <w:lang w:val="en-US" w:eastAsia="zh-CN"/>
        </w:rPr>
        <w:t>乙</w:t>
      </w:r>
      <w:r>
        <w:rPr>
          <w:rFonts w:hint="eastAsia" w:ascii="Times New Roman" w:hAnsi="Times New Roman" w:eastAsia="宋体" w:cs="Times New Roman"/>
          <w:color w:val="auto"/>
          <w:sz w:val="24"/>
          <w:highlight w:val="none"/>
        </w:rPr>
        <w:t>方申领、维护前述执照和许可文件。</w:t>
      </w:r>
      <w:bookmarkEnd w:id="330"/>
      <w:bookmarkEnd w:id="331"/>
    </w:p>
    <w:p w14:paraId="71E89EAA">
      <w:pPr>
        <w:spacing w:before="315" w:beforeLines="100" w:after="315" w:afterLines="100" w:line="360" w:lineRule="auto"/>
        <w:ind w:firstLine="0" w:firstLineChars="0"/>
        <w:rPr>
          <w:rFonts w:hint="eastAsia" w:ascii="黑体" w:hAnsi="黑体" w:eastAsia="黑体" w:cs="黑体"/>
          <w:b w:val="0"/>
          <w:bCs/>
          <w:color w:val="auto"/>
          <w:sz w:val="24"/>
          <w:highlight w:val="none"/>
          <w:lang w:val="en-US" w:eastAsia="zh-CN"/>
        </w:rPr>
      </w:pPr>
      <w:r>
        <w:rPr>
          <w:rFonts w:hint="eastAsia" w:ascii="黑体" w:hAnsi="黑体" w:eastAsia="黑体" w:cs="黑体"/>
          <w:b w:val="0"/>
          <w:bCs/>
          <w:color w:val="auto"/>
          <w:sz w:val="24"/>
          <w:highlight w:val="none"/>
          <w:lang w:val="en-US" w:eastAsia="zh-CN"/>
        </w:rPr>
        <w:t>五、其他费用</w:t>
      </w:r>
    </w:p>
    <w:p w14:paraId="54C1B232">
      <w:pPr>
        <w:spacing w:beforeLines="0" w:line="360" w:lineRule="auto"/>
        <w:ind w:firstLine="482"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w:t>
      </w:r>
      <w:r>
        <w:rPr>
          <w:rFonts w:hint="eastAsia" w:ascii="宋体" w:hAnsi="宋体" w:eastAsia="宋体" w:cs="宋体"/>
          <w:color w:val="auto"/>
          <w:sz w:val="24"/>
          <w:szCs w:val="22"/>
          <w:highlight w:val="none"/>
          <w:lang w:val="en-US" w:eastAsia="zh-CN" w:bidi="ar-SA"/>
        </w:rPr>
        <w:t>乙方须自行负担园区经营过程中包括但不限于因自身经营活动产生的税费、通讯费、能源费（水费、电费、燃气费等）、水电损耗分摊、租金、垃圾清运费用（包括委托第三方机构处理垃圾的服务费、政府部门要求收取的垃圾处理费等）及其他费用。</w:t>
      </w:r>
    </w:p>
    <w:p w14:paraId="293B684F">
      <w:pPr>
        <w:pStyle w:val="155"/>
        <w:spacing w:before="0" w:after="0" w:line="360" w:lineRule="auto"/>
        <w:ind w:firstLine="480" w:firstLineChars="20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2、合同期间园区的财产一切险、公众险及第三方责任险均由乙方办理（其中，财产一切险保额不低于4亿元、公众险赔付不低于2000万元及第三方责任险赔付不低于2000万元），甲方协助办理，费用由乙方承担。保险的责任期间应涵盖本合同所述的整个运营期间。乙方应每年向甲方提交保险单复印件、保险付费证明等资料。如乙方拒绝或违约购买相关保险的，园区内产生的一切人身、财产相关事故所造成的损失，均由乙方自行承担。</w:t>
      </w:r>
    </w:p>
    <w:p w14:paraId="72365163">
      <w:pPr>
        <w:pStyle w:val="155"/>
        <w:spacing w:before="0" w:after="0" w:line="360" w:lineRule="auto"/>
        <w:ind w:firstLine="480" w:firstLineChars="20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3、乙方不得做出任何行为、事件，导致保险无效；乙方亦不得做出或容许乙方所雇佣的相关人员做出任何行为、事件，致使保险风险增加。否则，相关事故所造成的损失，由乙方与乙方的相关人员承担连带赔偿责任。</w:t>
      </w:r>
    </w:p>
    <w:p w14:paraId="4F873126">
      <w:pPr>
        <w:pStyle w:val="155"/>
        <w:tabs>
          <w:tab w:val="left" w:pos="342"/>
        </w:tabs>
        <w:spacing w:before="0" w:after="0" w:line="360" w:lineRule="auto"/>
        <w:ind w:firstLine="480" w:firstLineChars="20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4、若本条所述保险风险增加，并导致保险费增加，甲方有权在不影响其任何其他权利和补救的前提下，要求乙方立即补足因此而增加的保险费。</w:t>
      </w:r>
    </w:p>
    <w:p w14:paraId="762D4E2A">
      <w:pPr>
        <w:pStyle w:val="155"/>
        <w:numPr>
          <w:ilvl w:val="0"/>
          <w:numId w:val="0"/>
        </w:numPr>
        <w:spacing w:before="0" w:after="14" w:afterLines="50" w:line="360" w:lineRule="auto"/>
        <w:ind w:left="0" w:firstLine="480" w:firstLineChars="200"/>
        <w:rPr>
          <w:rFonts w:hint="default"/>
          <w:color w:val="auto"/>
          <w:highlight w:val="none"/>
          <w:lang w:val="en-US" w:eastAsia="zh-CN"/>
        </w:rPr>
      </w:pPr>
      <w:r>
        <w:rPr>
          <w:rFonts w:hint="eastAsia" w:ascii="宋体" w:hAnsi="宋体" w:eastAsia="宋体" w:cs="宋体"/>
          <w:color w:val="auto"/>
          <w:sz w:val="24"/>
          <w:szCs w:val="22"/>
          <w:highlight w:val="none"/>
          <w:lang w:val="en-US" w:eastAsia="zh-CN" w:bidi="ar-SA"/>
        </w:rPr>
        <w:t>5、如因乙方原因，发生</w:t>
      </w:r>
      <w:r>
        <w:rPr>
          <w:rFonts w:hint="eastAsia" w:ascii="Segoe UI Historic" w:hAnsi="Segoe UI Historic" w:eastAsia="宋体" w:cs="Segoe UI Historic"/>
          <w:color w:val="auto"/>
          <w:sz w:val="24"/>
          <w:szCs w:val="22"/>
          <w:highlight w:val="none"/>
          <w:lang w:val="en-US" w:eastAsia="zh-CN" w:bidi="ar-SA"/>
        </w:rPr>
        <w:t>涉及甲方损失的保险事故，乙方从保险公司获得的赔款应当优先用于赔偿甲方的损失。</w:t>
      </w:r>
    </w:p>
    <w:p w14:paraId="6E21A62A">
      <w:pPr>
        <w:pStyle w:val="130"/>
        <w:spacing w:before="246" w:beforeLines="79" w:after="14" w:line="360" w:lineRule="auto"/>
        <w:ind w:firstLine="0" w:firstLineChars="0"/>
        <w:rPr>
          <w:rFonts w:hint="eastAsia" w:ascii="黑体" w:hAnsi="黑体" w:eastAsia="黑体" w:cs="黑体"/>
          <w:b w:val="0"/>
          <w:bCs w:val="0"/>
          <w:color w:val="auto"/>
          <w:sz w:val="24"/>
          <w:highlight w:val="none"/>
          <w:lang w:eastAsia="zh-CN"/>
        </w:rPr>
      </w:pPr>
      <w:r>
        <w:rPr>
          <w:rFonts w:hint="eastAsia" w:ascii="黑体" w:hAnsi="黑体" w:eastAsia="黑体" w:cs="黑体"/>
          <w:b w:val="0"/>
          <w:bCs w:val="0"/>
          <w:color w:val="auto"/>
          <w:sz w:val="24"/>
          <w:highlight w:val="none"/>
          <w:lang w:val="en-US" w:eastAsia="zh-CN"/>
        </w:rPr>
        <w:t>六、</w:t>
      </w:r>
      <w:r>
        <w:rPr>
          <w:rFonts w:hint="eastAsia" w:ascii="黑体" w:hAnsi="黑体" w:eastAsia="黑体" w:cs="黑体"/>
          <w:b w:val="0"/>
          <w:bCs w:val="0"/>
          <w:color w:val="auto"/>
          <w:sz w:val="24"/>
          <w:highlight w:val="none"/>
          <w:lang w:eastAsia="zh-CN"/>
        </w:rPr>
        <w:t>逾期支付的处理</w:t>
      </w:r>
    </w:p>
    <w:p w14:paraId="2F85C656">
      <w:pPr>
        <w:pStyle w:val="130"/>
        <w:spacing w:before="246" w:beforeLines="79" w:after="14"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乙方未能按约定期限向甲方支付</w:t>
      </w:r>
      <w:r>
        <w:rPr>
          <w:rFonts w:hint="eastAsia" w:ascii="宋体" w:hAnsi="宋体" w:eastAsia="宋体" w:cs="宋体"/>
          <w:color w:val="auto"/>
          <w:sz w:val="24"/>
          <w:highlight w:val="none"/>
          <w:lang w:val="en-US" w:eastAsia="zh-CN"/>
        </w:rPr>
        <w:t>租金、垃圾清运费用</w:t>
      </w:r>
      <w:r>
        <w:rPr>
          <w:rFonts w:hint="eastAsia" w:ascii="宋体" w:hAnsi="宋体" w:eastAsia="宋体" w:cs="宋体"/>
          <w:color w:val="auto"/>
          <w:sz w:val="24"/>
          <w:highlight w:val="none"/>
          <w:lang w:eastAsia="zh-CN"/>
        </w:rPr>
        <w:t>等费用的，每逾期1日，乙方应按拖欠款项</w:t>
      </w:r>
      <w:r>
        <w:rPr>
          <w:rFonts w:hint="eastAsia" w:ascii="宋体" w:hAnsi="宋体" w:eastAsia="宋体" w:cs="宋体"/>
          <w:color w:val="auto"/>
          <w:sz w:val="24"/>
          <w:highlight w:val="none"/>
          <w:lang w:val="en-US" w:eastAsia="zh-CN"/>
        </w:rPr>
        <w:t>万</w:t>
      </w:r>
      <w:r>
        <w:rPr>
          <w:rFonts w:hint="eastAsia" w:ascii="宋体" w:hAnsi="宋体" w:eastAsia="宋体" w:cs="宋体"/>
          <w:color w:val="auto"/>
          <w:sz w:val="24"/>
          <w:highlight w:val="none"/>
          <w:lang w:eastAsia="zh-CN"/>
        </w:rPr>
        <w:t>分之三向甲方支付违约金。逾期支付</w:t>
      </w:r>
      <w:r>
        <w:rPr>
          <w:rFonts w:hint="eastAsia" w:ascii="宋体" w:hAnsi="宋体" w:eastAsia="宋体" w:cs="宋体"/>
          <w:color w:val="auto"/>
          <w:sz w:val="24"/>
          <w:highlight w:val="none"/>
          <w:lang w:val="en-US" w:eastAsia="zh-CN"/>
        </w:rPr>
        <w:t>租金</w:t>
      </w:r>
      <w:r>
        <w:rPr>
          <w:rFonts w:hint="eastAsia" w:ascii="宋体" w:hAnsi="宋体" w:eastAsia="宋体" w:cs="宋体"/>
          <w:color w:val="auto"/>
          <w:sz w:val="24"/>
          <w:highlight w:val="none"/>
          <w:lang w:eastAsia="zh-CN"/>
        </w:rPr>
        <w:t>等应付费用达到</w:t>
      </w:r>
      <w:r>
        <w:rPr>
          <w:rFonts w:hint="eastAsia" w:ascii="宋体" w:hAnsi="宋体" w:eastAsia="宋体" w:cs="宋体"/>
          <w:color w:val="auto"/>
          <w:sz w:val="24"/>
          <w:highlight w:val="none"/>
          <w:lang w:val="en-US" w:eastAsia="zh-CN"/>
        </w:rPr>
        <w:t>60</w:t>
      </w:r>
      <w:r>
        <w:rPr>
          <w:rFonts w:hint="eastAsia" w:ascii="宋体" w:hAnsi="宋体" w:eastAsia="宋体" w:cs="宋体"/>
          <w:color w:val="auto"/>
          <w:sz w:val="24"/>
          <w:highlight w:val="none"/>
          <w:lang w:eastAsia="zh-CN"/>
        </w:rPr>
        <w:t>日的，甲方有权</w:t>
      </w:r>
      <w:r>
        <w:rPr>
          <w:rFonts w:hint="eastAsia" w:ascii="宋体" w:hAnsi="宋体" w:eastAsia="宋体" w:cs="宋体"/>
          <w:color w:val="auto"/>
          <w:sz w:val="24"/>
          <w:highlight w:val="none"/>
          <w:lang w:val="en-US" w:eastAsia="zh-CN"/>
        </w:rPr>
        <w:t>直接向园区内的租户收取占用费</w:t>
      </w:r>
      <w:r>
        <w:rPr>
          <w:rFonts w:hint="eastAsia" w:ascii="宋体" w:hAnsi="宋体" w:eastAsia="宋体" w:cs="宋体"/>
          <w:color w:val="auto"/>
          <w:sz w:val="24"/>
          <w:highlight w:val="none"/>
          <w:lang w:eastAsia="zh-CN"/>
        </w:rPr>
        <w:t xml:space="preserve">而不必承担任何赔偿责任，且乙方应自行承担因此发生的一切损失和费用。 </w:t>
      </w:r>
    </w:p>
    <w:p w14:paraId="2FF86AAB">
      <w:pPr>
        <w:pStyle w:val="130"/>
        <w:spacing w:before="246" w:beforeLines="79" w:after="14"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甲方有权就乙方支付的款项优先抵扣因逾期产生的违约金后再用作支付租金、保证金等款项。</w:t>
      </w:r>
    </w:p>
    <w:p w14:paraId="5297F937">
      <w:pPr>
        <w:pStyle w:val="130"/>
        <w:spacing w:before="246" w:beforeLines="79" w:after="0" w:afterLines="0" w:line="360" w:lineRule="auto"/>
        <w:ind w:firstLine="480" w:firstLineChars="200"/>
        <w:rPr>
          <w:rFonts w:hint="eastAsia" w:ascii="宋体" w:hAnsi="宋体" w:eastAsia="宋体" w:cs="宋体"/>
          <w:bCs w:val="0"/>
          <w:color w:val="auto"/>
          <w:sz w:val="24"/>
          <w:highlight w:val="none"/>
          <w:lang w:val="en-US" w:eastAsia="zh-CN"/>
        </w:rPr>
      </w:pPr>
      <w:r>
        <w:rPr>
          <w:rFonts w:hint="eastAsia" w:ascii="宋体" w:hAnsi="宋体" w:eastAsia="宋体" w:cs="宋体"/>
          <w:color w:val="auto"/>
          <w:sz w:val="24"/>
          <w:highlight w:val="none"/>
          <w:lang w:eastAsia="zh-CN"/>
        </w:rPr>
        <w:t>甲方因向乙方催讨租金或其他费用而引起的损失，及甲方因行使本合同项下其他任何权利而引起的所有费用、开支，包括但不限于律师费、诉讼费、公证费、装修清理费、围蔽费等，均由乙方承担。</w:t>
      </w:r>
    </w:p>
    <w:p w14:paraId="33ACB09B">
      <w:pPr>
        <w:pStyle w:val="44"/>
        <w:numPr>
          <w:ilvl w:val="0"/>
          <w:numId w:val="0"/>
        </w:numPr>
        <w:spacing w:before="315" w:beforeLines="100" w:after="312" w:afterLines="0" w:line="360" w:lineRule="auto"/>
        <w:ind w:left="0" w:leftChars="0" w:firstLine="0" w:firstLineChars="0"/>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lang w:val="en-US" w:eastAsia="zh-CN"/>
        </w:rPr>
        <w:t>七、</w:t>
      </w:r>
      <w:r>
        <w:rPr>
          <w:rFonts w:hint="eastAsia" w:ascii="黑体" w:hAnsi="黑体" w:eastAsia="黑体" w:cs="黑体"/>
          <w:b w:val="0"/>
          <w:bCs/>
          <w:color w:val="auto"/>
          <w:sz w:val="24"/>
          <w:highlight w:val="none"/>
        </w:rPr>
        <w:t>园区运营服务内容</w:t>
      </w:r>
    </w:p>
    <w:p w14:paraId="753EF3A5">
      <w:pPr>
        <w:spacing w:beforeLines="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1、产业规划与定位</w:t>
      </w:r>
    </w:p>
    <w:p w14:paraId="0943DB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根据番禺区发展战略规划及当前经济发展形势，乙方需要规划产业园区发展方向，明确园区引入产业的定位，规划园区引入产业的类别。</w:t>
      </w:r>
    </w:p>
    <w:p w14:paraId="33C90E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通过招商引进的所有</w:t>
      </w:r>
      <w:r>
        <w:rPr>
          <w:rFonts w:hint="eastAsia" w:ascii="宋体" w:hAnsi="宋体" w:eastAsia="宋体" w:cs="宋体"/>
          <w:color w:val="auto"/>
          <w:sz w:val="24"/>
          <w:highlight w:val="none"/>
          <w:lang w:eastAsia="zh-CN"/>
        </w:rPr>
        <w:t>入驻企业，需优先为专精特新及高新技术企业，其主营业务必须符合广州市番禺区国民经济和社会发展规划。</w:t>
      </w:r>
      <w:r>
        <w:rPr>
          <w:rFonts w:hint="eastAsia" w:ascii="宋体" w:hAnsi="宋体" w:eastAsia="宋体" w:cs="宋体"/>
          <w:color w:val="auto"/>
          <w:sz w:val="24"/>
          <w:highlight w:val="none"/>
        </w:rPr>
        <w:t>若发现入驻企业不符合</w:t>
      </w:r>
      <w:r>
        <w:rPr>
          <w:rFonts w:hint="eastAsia" w:ascii="宋体" w:hAnsi="宋体" w:eastAsia="宋体" w:cs="宋体"/>
          <w:color w:val="auto"/>
          <w:sz w:val="24"/>
          <w:highlight w:val="none"/>
          <w:lang w:val="en-US" w:eastAsia="zh-CN"/>
        </w:rPr>
        <w:t>前述要求的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有权向</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出具书面整改通知，要求其在</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个工作日内完成该入驻企业的清退。逾期未整改的，每逾期一日，</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需按当期月租金的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万分之五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直至整改完成止</w:t>
      </w:r>
      <w:r>
        <w:rPr>
          <w:rFonts w:hint="eastAsia" w:ascii="宋体" w:hAnsi="宋体" w:eastAsia="宋体" w:cs="宋体"/>
          <w:color w:val="auto"/>
          <w:sz w:val="24"/>
          <w:highlight w:val="none"/>
        </w:rPr>
        <w:t xml:space="preserve">；逾期超过 </w:t>
      </w: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 xml:space="preserve"> 日的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有权单方解除合同。</w:t>
      </w:r>
    </w:p>
    <w:p w14:paraId="19B716D5">
      <w:pPr>
        <w:spacing w:line="360" w:lineRule="auto"/>
        <w:ind w:firstLine="480" w:firstLineChars="200"/>
        <w:rPr>
          <w:rFonts w:hint="eastAsia"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、品牌营销宣传</w:t>
      </w:r>
    </w:p>
    <w:p w14:paraId="79EB63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根据园区引入产业定位，策划产业园品牌推广思路，策划《品牌定位与发展战略规划》，为园区发展提供推广与宣传方向，并按方案执行。</w:t>
      </w:r>
    </w:p>
    <w:p w14:paraId="7139116B">
      <w:pPr>
        <w:spacing w:line="360" w:lineRule="auto"/>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r>
        <w:rPr>
          <w:rFonts w:ascii="宋体" w:hAnsi="宋体" w:eastAsia="宋体" w:cs="宋体"/>
          <w:bCs/>
          <w:color w:val="auto"/>
          <w:sz w:val="24"/>
          <w:highlight w:val="none"/>
        </w:rPr>
        <w:t xml:space="preserve"> 3</w:t>
      </w:r>
      <w:r>
        <w:rPr>
          <w:rFonts w:hint="eastAsia" w:ascii="宋体" w:hAnsi="宋体" w:eastAsia="宋体" w:cs="宋体"/>
          <w:bCs/>
          <w:color w:val="auto"/>
          <w:sz w:val="24"/>
          <w:highlight w:val="none"/>
        </w:rPr>
        <w:t>、产业招商推广</w:t>
      </w:r>
    </w:p>
    <w:p w14:paraId="5527CE6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围绕产业园区定位及产业规划，乙方需要制定《园区招商推广方案》，同时结合乙方优势，整合国内外相关产业资源，</w:t>
      </w:r>
      <w:r>
        <w:rPr>
          <w:rFonts w:hint="eastAsia" w:ascii="宋体" w:hAnsi="宋体" w:eastAsia="宋体" w:cs="宋体"/>
          <w:bCs/>
          <w:color w:val="auto"/>
          <w:sz w:val="24"/>
          <w:highlight w:val="none"/>
        </w:rPr>
        <w:t>自行策划并</w:t>
      </w:r>
      <w:r>
        <w:rPr>
          <w:rFonts w:hint="eastAsia" w:ascii="宋体" w:hAnsi="宋体" w:eastAsia="宋体" w:cs="宋体"/>
          <w:color w:val="auto"/>
          <w:sz w:val="24"/>
          <w:highlight w:val="none"/>
        </w:rPr>
        <w:t>组织入驻企业招商活动</w:t>
      </w:r>
      <w:r>
        <w:rPr>
          <w:rFonts w:hint="eastAsia" w:ascii="宋体" w:hAnsi="宋体" w:eastAsia="宋体" w:cs="宋体"/>
          <w:color w:val="auto"/>
          <w:sz w:val="24"/>
          <w:highlight w:val="none"/>
          <w:lang w:eastAsia="zh-CN"/>
        </w:rPr>
        <w:t>。</w:t>
      </w:r>
    </w:p>
    <w:p w14:paraId="451A84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4、入驻企业管理</w:t>
      </w:r>
    </w:p>
    <w:p w14:paraId="642CA1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乙方根据园区产业类别规划，引入具有发展潜力的实体企业，实现新形式的产业上楼，推进新型工业化，运营新智能产业园。</w:t>
      </w:r>
    </w:p>
    <w:p w14:paraId="53EEE8CC">
      <w:pPr>
        <w:wordWrap w:val="0"/>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5、园区租户服务</w:t>
      </w:r>
    </w:p>
    <w:p w14:paraId="4F5032FF">
      <w:pPr>
        <w:wordWrap w:val="0"/>
        <w:spacing w:line="500" w:lineRule="exact"/>
        <w:ind w:firstLine="480" w:firstLineChars="200"/>
        <w:rPr>
          <w:rFonts w:ascii="宋体" w:hAnsi="宋体" w:eastAsia="宋体" w:cs="宋体"/>
          <w:bCs/>
          <w:color w:val="auto"/>
          <w:sz w:val="24"/>
          <w:highlight w:val="none"/>
        </w:rPr>
      </w:pPr>
      <w:r>
        <w:rPr>
          <w:rFonts w:ascii="宋体" w:hAnsi="宋体" w:eastAsia="宋体" w:cs="宋体"/>
          <w:bCs/>
          <w:color w:val="auto"/>
          <w:sz w:val="24"/>
          <w:highlight w:val="none"/>
        </w:rPr>
        <w:t>乙方针</w:t>
      </w:r>
      <w:r>
        <w:rPr>
          <w:rFonts w:hint="eastAsia" w:ascii="宋体" w:hAnsi="宋体" w:eastAsia="宋体" w:cs="宋体"/>
          <w:bCs/>
          <w:color w:val="auto"/>
          <w:sz w:val="24"/>
          <w:highlight w:val="none"/>
        </w:rPr>
        <w:t>对入园企业，围绕地下</w:t>
      </w:r>
      <w:r>
        <w:rPr>
          <w:rFonts w:ascii="宋体" w:hAnsi="宋体" w:eastAsia="宋体" w:cs="宋体"/>
          <w:bCs/>
          <w:color w:val="auto"/>
          <w:sz w:val="24"/>
          <w:highlight w:val="none"/>
        </w:rPr>
        <w:t>停车场、园区空地等</w:t>
      </w:r>
      <w:r>
        <w:rPr>
          <w:rFonts w:hint="eastAsia" w:ascii="宋体" w:hAnsi="宋体" w:eastAsia="宋体" w:cs="宋体"/>
          <w:bCs/>
          <w:color w:val="auto"/>
          <w:sz w:val="24"/>
          <w:highlight w:val="none"/>
        </w:rPr>
        <w:t>有效空间</w:t>
      </w:r>
      <w:r>
        <w:rPr>
          <w:rFonts w:ascii="宋体" w:hAnsi="宋体" w:eastAsia="宋体" w:cs="宋体"/>
          <w:bCs/>
          <w:color w:val="auto"/>
          <w:sz w:val="24"/>
          <w:highlight w:val="none"/>
        </w:rPr>
        <w:t>，积极拓展园区增值服务</w:t>
      </w:r>
      <w:r>
        <w:rPr>
          <w:rFonts w:hint="eastAsia" w:ascii="宋体" w:hAnsi="宋体" w:eastAsia="宋体" w:cs="宋体"/>
          <w:bCs/>
          <w:color w:val="auto"/>
          <w:sz w:val="24"/>
          <w:highlight w:val="none"/>
        </w:rPr>
        <w:t>，为入驻企业提供各项便利。</w:t>
      </w:r>
    </w:p>
    <w:p w14:paraId="4B1E9A0A">
      <w:pPr>
        <w:wordWrap w:val="0"/>
        <w:spacing w:line="500" w:lineRule="exact"/>
        <w:ind w:firstLine="0"/>
        <w:rPr>
          <w:rFonts w:hint="eastAsia" w:ascii="黑体" w:hAnsi="黑体" w:eastAsia="黑体" w:cs="黑体"/>
          <w:b w:val="0"/>
          <w:bCs/>
          <w:color w:val="auto"/>
          <w:sz w:val="24"/>
          <w:highlight w:val="none"/>
        </w:rPr>
      </w:pPr>
      <w:r>
        <w:rPr>
          <w:rFonts w:hint="eastAsia" w:ascii="黑体" w:hAnsi="黑体" w:eastAsia="黑体" w:cs="黑体"/>
          <w:b w:val="0"/>
          <w:bCs/>
          <w:color w:val="auto"/>
          <w:sz w:val="24"/>
          <w:highlight w:val="none"/>
          <w:lang w:val="en-US" w:eastAsia="zh-CN"/>
        </w:rPr>
        <w:t>八</w:t>
      </w:r>
      <w:r>
        <w:rPr>
          <w:rFonts w:hint="eastAsia" w:ascii="黑体" w:hAnsi="黑体" w:eastAsia="黑体" w:cs="黑体"/>
          <w:b w:val="0"/>
          <w:bCs/>
          <w:color w:val="auto"/>
          <w:sz w:val="24"/>
          <w:highlight w:val="none"/>
        </w:rPr>
        <w:t>、园区管理服务内容</w:t>
      </w:r>
    </w:p>
    <w:p w14:paraId="1DA8AC61">
      <w:pPr>
        <w:wordWrap w:val="0"/>
        <w:spacing w:line="50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Segoe UI Historic" w:hAnsi="Segoe UI Historic" w:eastAsia="宋体" w:cs="Segoe UI Historic"/>
          <w:color w:val="auto"/>
          <w:kern w:val="2"/>
          <w:sz w:val="24"/>
          <w:szCs w:val="22"/>
          <w:highlight w:val="none"/>
          <w:lang w:val="en-US" w:eastAsia="zh-CN" w:bidi="ar-SA"/>
        </w:rPr>
        <w:t>完善园区经营</w:t>
      </w:r>
      <w:r>
        <w:rPr>
          <w:rFonts w:hint="eastAsia" w:ascii="宋体" w:hAnsi="宋体" w:eastAsia="宋体" w:cs="宋体"/>
          <w:color w:val="auto"/>
          <w:kern w:val="2"/>
          <w:sz w:val="24"/>
          <w:szCs w:val="22"/>
          <w:highlight w:val="none"/>
          <w:lang w:val="en-US" w:eastAsia="zh-CN" w:bidi="ar-SA"/>
        </w:rPr>
        <w:t>管理规章制度及园区物业管理机制，明确资金管理制度，建立标准化、节约化的产业园区经营管理体系。并对园区提供长效管养服务，包括：</w:t>
      </w:r>
    </w:p>
    <w:p w14:paraId="248BF2E5">
      <w:pPr>
        <w:wordWrap w:val="0"/>
        <w:spacing w:line="360" w:lineRule="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1、制订园区发展计划及管理制度，组织实施；管理园区相关工程图纸、档案与竣工验收资料等。负责园区共用区域日常维修、养护和管理及园区共用设施设备日常维修养护、运行和管理，</w:t>
      </w:r>
    </w:p>
    <w:p w14:paraId="79D34902">
      <w:pPr>
        <w:pStyle w:val="40"/>
        <w:shd w:val="clear" w:color="auto" w:fill="FFFFFF"/>
        <w:spacing w:before="0" w:beforeAutospacing="0" w:after="0" w:afterAutospacing="0" w:line="360" w:lineRule="auto"/>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2、按照法律法规和有关约定对园区进行装饰装修。对园区入驻企业及域内违反有关治安、环保、物业装饰装修和使用等方面法律、法规、规章的行为，应当及时告知、建议、劝阻，并向有关部门报告。</w:t>
      </w:r>
    </w:p>
    <w:p w14:paraId="2A80E322">
      <w:pPr>
        <w:pStyle w:val="155"/>
        <w:spacing w:before="0" w:after="0" w:line="360" w:lineRule="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3、负责园区公共区域消防通道、空地、绿地、景观养护及其清洁卫生维护。 该园区内一切消防设施维护费用由乙方负责，乙方应该确保园区内的消防设施和设备符合国家的消防要求，具有国家消防部门发出的消防验收合格证或准予使用的文件。</w:t>
      </w:r>
    </w:p>
    <w:p w14:paraId="3159ADDC">
      <w:pPr>
        <w:pStyle w:val="155"/>
        <w:spacing w:after="0"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甲方协助乙方办理装修消防系统报批手续，有关手续及工程费用由乙方负责。该园区出现的消防责任由乙方负责，如甲方被要求先行承担因消防问题所产生的赔偿、补偿责任，甲方有权向乙方全额追偿。</w:t>
      </w:r>
    </w:p>
    <w:p w14:paraId="6633E4AD">
      <w:pPr>
        <w:pStyle w:val="40"/>
        <w:shd w:val="clear" w:color="auto" w:fill="FFFFFF"/>
        <w:spacing w:before="0" w:beforeAutospacing="0" w:after="0" w:afterAutospacing="0" w:line="500" w:lineRule="exact"/>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4、负责园区公共区域安保、维修、绿化、垃圾收集与处理等日常管理工作。</w:t>
      </w:r>
    </w:p>
    <w:p w14:paraId="03B8D5F6">
      <w:pPr>
        <w:pStyle w:val="40"/>
        <w:shd w:val="clear" w:color="auto" w:fill="FFFFFF"/>
        <w:spacing w:before="0" w:beforeAutospacing="0" w:after="0" w:afterAutospacing="0" w:line="500" w:lineRule="exact"/>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5、协助维护</w:t>
      </w:r>
      <w:r>
        <w:rPr>
          <w:rFonts w:hint="eastAsia" w:ascii="宋体" w:hAnsi="宋体" w:eastAsia="宋体" w:cs="宋体"/>
          <w:color w:val="auto"/>
          <w:kern w:val="2"/>
          <w:sz w:val="24"/>
          <w:szCs w:val="22"/>
          <w:highlight w:val="none"/>
          <w:lang w:val="en-US" w:bidi="ar-SA"/>
        </w:rPr>
        <w:t>公共</w:t>
      </w:r>
      <w:r>
        <w:rPr>
          <w:rFonts w:hint="eastAsia" w:ascii="宋体" w:hAnsi="宋体" w:eastAsia="宋体" w:cs="宋体"/>
          <w:color w:val="auto"/>
          <w:kern w:val="2"/>
          <w:sz w:val="24"/>
          <w:szCs w:val="22"/>
          <w:highlight w:val="none"/>
          <w:lang w:val="en-US" w:eastAsia="zh-CN" w:bidi="ar-SA"/>
        </w:rPr>
        <w:t>秩序，协助做好安全防范工作。发生安全事故，及时向有关部门报告，采取相应措施，协助做好救助工作。</w:t>
      </w:r>
    </w:p>
    <w:p w14:paraId="2F0A112B">
      <w:pPr>
        <w:pStyle w:val="40"/>
        <w:shd w:val="clear" w:color="auto" w:fill="FFFFFF"/>
        <w:spacing w:before="0" w:beforeAutospacing="0" w:after="0" w:afterAutospacing="0" w:line="500" w:lineRule="exact"/>
        <w:jc w:val="both"/>
        <w:rPr>
          <w:rFonts w:hint="eastAsia" w:ascii="Segoe UI Historic" w:hAnsi="Segoe UI Historic" w:eastAsia="宋体" w:cs="Segoe UI Historic"/>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6、做好车辆停放管理，为园区入驻企业提供工作生活</w:t>
      </w:r>
      <w:r>
        <w:rPr>
          <w:rFonts w:hint="eastAsia" w:ascii="Segoe UI Historic" w:hAnsi="Segoe UI Historic" w:eastAsia="宋体" w:cs="Segoe UI Historic"/>
          <w:color w:val="auto"/>
          <w:kern w:val="2"/>
          <w:sz w:val="24"/>
          <w:szCs w:val="22"/>
          <w:highlight w:val="none"/>
          <w:lang w:val="en-US" w:eastAsia="zh-CN" w:bidi="ar-SA"/>
        </w:rPr>
        <w:t>相关服务。</w:t>
      </w:r>
    </w:p>
    <w:p w14:paraId="254551E2">
      <w:pPr>
        <w:pStyle w:val="16"/>
        <w:rPr>
          <w:rFonts w:hint="eastAsia"/>
          <w:color w:val="auto"/>
          <w:highlight w:val="none"/>
          <w:lang w:val="en-US" w:eastAsia="zh-CN"/>
        </w:rPr>
      </w:pPr>
      <w:bookmarkStart w:id="332" w:name="bookmark35"/>
      <w:bookmarkEnd w:id="332"/>
      <w:bookmarkStart w:id="333" w:name="bookmark34"/>
      <w:bookmarkEnd w:id="333"/>
    </w:p>
    <w:p w14:paraId="711C51D9">
      <w:pPr>
        <w:pStyle w:val="155"/>
        <w:spacing w:before="246" w:beforeLines="79" w:after="14" w:line="360" w:lineRule="auto"/>
        <w:ind w:firstLine="0" w:firstLineChars="0"/>
        <w:outlineLvl w:val="0"/>
        <w:rPr>
          <w:rFonts w:hint="eastAsia" w:ascii="黑体" w:hAnsi="黑体" w:eastAsia="黑体" w:cs="黑体"/>
          <w:b w:val="0"/>
          <w:bCs w:val="0"/>
          <w:color w:val="auto"/>
          <w:sz w:val="24"/>
          <w:szCs w:val="22"/>
          <w:highlight w:val="none"/>
          <w:lang w:val="en-US" w:eastAsia="zh-CN" w:bidi="ar-SA"/>
        </w:rPr>
      </w:pPr>
      <w:bookmarkStart w:id="334" w:name="_Toc19961"/>
      <w:bookmarkStart w:id="335" w:name="_Toc11784"/>
      <w:bookmarkStart w:id="336" w:name="_Toc8431"/>
      <w:r>
        <w:rPr>
          <w:rFonts w:hint="eastAsia" w:ascii="黑体" w:hAnsi="黑体" w:eastAsia="黑体" w:cs="黑体"/>
          <w:b w:val="0"/>
          <w:bCs w:val="0"/>
          <w:color w:val="auto"/>
          <w:sz w:val="24"/>
          <w:szCs w:val="22"/>
          <w:highlight w:val="none"/>
          <w:lang w:val="en-US" w:eastAsia="zh-CN" w:bidi="ar-SA"/>
        </w:rPr>
        <w:t>九、园区装修</w:t>
      </w:r>
      <w:bookmarkEnd w:id="334"/>
      <w:bookmarkEnd w:id="335"/>
      <w:bookmarkEnd w:id="336"/>
    </w:p>
    <w:p w14:paraId="0782EDB6">
      <w:pPr>
        <w:pStyle w:val="155"/>
        <w:tabs>
          <w:tab w:val="left" w:pos="265"/>
        </w:tabs>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1、乙方如需对园区进行装修、分隔、修建或改建，需要提前60天书面向甲方申请，在得到甲方书面同意后方可执行，装修期间仍按合同约定正常计算</w:t>
      </w:r>
      <w:r>
        <w:rPr>
          <w:rFonts w:hint="eastAsia" w:cs="宋体"/>
          <w:color w:val="auto"/>
          <w:sz w:val="24"/>
          <w:szCs w:val="22"/>
          <w:highlight w:val="none"/>
          <w:lang w:val="en-US" w:eastAsia="zh-CN" w:bidi="ar-SA"/>
        </w:rPr>
        <w:t>租金</w:t>
      </w:r>
      <w:r>
        <w:rPr>
          <w:rFonts w:hint="eastAsia" w:ascii="宋体" w:hAnsi="宋体" w:eastAsia="宋体" w:cs="宋体"/>
          <w:color w:val="auto"/>
          <w:sz w:val="24"/>
          <w:szCs w:val="22"/>
          <w:highlight w:val="none"/>
          <w:lang w:val="en-US" w:eastAsia="zh-CN" w:bidi="ar-SA"/>
        </w:rPr>
        <w:t>。</w:t>
      </w:r>
    </w:p>
    <w:p w14:paraId="4E5D9773">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2、园区内之建筑、装修及有关机电工程，所有室内设计图、平面间隔、机械及电力需求，以及各装修物料之挑选，应符合国家相关产品质量安全规范，获得政府有关部门必要的批准或许可证。</w:t>
      </w:r>
    </w:p>
    <w:p w14:paraId="092315D9">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3、乙方应保证园区内部装修、分隔、修建、安装设备或改建，不得影响园区建筑物的结构安全，不得破坏原建筑结构、外观和使用功能，不得损毁公共设施、设备。</w:t>
      </w:r>
    </w:p>
    <w:p w14:paraId="0DAFE8DB">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4、乙方就装修工程须按法律法规规定的手续向政府有关部门报批，并支付相关费用，且乙方须独自承担因政府有关部门拒绝、修改乙方装修工程申请文件或因此而引起的延迟所造成的损失。</w:t>
      </w:r>
    </w:p>
    <w:p w14:paraId="5E12390D">
      <w:pPr>
        <w:pStyle w:val="155"/>
        <w:tabs>
          <w:tab w:val="left" w:pos="627"/>
        </w:tabs>
        <w:spacing w:before="246" w:beforeLines="79" w:after="14" w:line="360" w:lineRule="auto"/>
        <w:rPr>
          <w:rFonts w:hint="eastAsia" w:ascii="宋体" w:hAnsi="宋体" w:eastAsia="宋体" w:cs="宋体"/>
          <w:color w:val="auto"/>
          <w:sz w:val="24"/>
          <w:szCs w:val="22"/>
          <w:highlight w:val="none"/>
          <w:lang w:val="en-US" w:eastAsia="zh-CN" w:bidi="ar-SA"/>
        </w:rPr>
      </w:pPr>
      <w:bookmarkStart w:id="337" w:name="bookmark24"/>
      <w:bookmarkEnd w:id="337"/>
      <w:r>
        <w:rPr>
          <w:rFonts w:hint="eastAsia" w:ascii="宋体" w:hAnsi="宋体" w:eastAsia="宋体" w:cs="宋体"/>
          <w:color w:val="auto"/>
          <w:sz w:val="24"/>
          <w:szCs w:val="22"/>
          <w:highlight w:val="none"/>
          <w:lang w:val="en-US" w:eastAsia="zh-CN" w:bidi="ar-SA"/>
        </w:rPr>
        <w:t>5、乙方有权自行聘请符合资质的施工单位根据本合同的有关规定对园区进行装修（包括但不限装饰工程、机电系统工程、消防系统工程等），并承担由此而引起的一切费用；如相关工程须经政府相关部门前置审批的，乙方应将审批材料、施工方案、图纸向甲方书面备案后方能进行施工；施工人员必须持有国家许可的技术资格证方能上岗作业，乙方对其施工人员或其他的指派人员的行为，承担连带责任。</w:t>
      </w:r>
    </w:p>
    <w:p w14:paraId="0742795F">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6、甲方有权就乙方对园区的装修、分隔、修建、安装设备或改建行为进行管理，包括对乙方施工人员的进出、材料运输、施工时间、施工安全等事宜进行合理管理，以保障园区整体的运作安全及顺畅。</w:t>
      </w:r>
    </w:p>
    <w:p w14:paraId="187C3D4E">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7、在合同期内乙方应按照政府有关部门的要求拆除园区内任何乙方建造的不合规格的结构物、建筑物、分隔物及其他建造物。无论该等结构物、建筑物、分隔物及其他建造物建立时是否得到甲方的同意，乙方应自行承担因拆除所产生的一切费用，甲方对乙方因此蒙受的损失概不负责。</w:t>
      </w:r>
    </w:p>
    <w:p w14:paraId="7DFC27BC">
      <w:pPr>
        <w:pStyle w:val="155"/>
        <w:tabs>
          <w:tab w:val="left" w:pos="260"/>
        </w:tabs>
        <w:spacing w:before="246" w:beforeLines="79" w:after="14" w:line="360" w:lineRule="auto"/>
        <w:rPr>
          <w:rFonts w:hint="eastAsia" w:ascii="宋体" w:hAnsi="宋体" w:eastAsia="宋体" w:cs="宋体"/>
          <w:color w:val="auto"/>
          <w:sz w:val="24"/>
          <w:szCs w:val="22"/>
          <w:highlight w:val="none"/>
          <w:lang w:val="en-US" w:eastAsia="zh-CN" w:bidi="ar-SA"/>
        </w:rPr>
      </w:pPr>
      <w:bookmarkStart w:id="338" w:name="bookmark25"/>
      <w:bookmarkEnd w:id="338"/>
      <w:r>
        <w:rPr>
          <w:rFonts w:hint="eastAsia" w:ascii="宋体" w:hAnsi="宋体" w:eastAsia="宋体" w:cs="宋体"/>
          <w:color w:val="auto"/>
          <w:sz w:val="24"/>
          <w:szCs w:val="22"/>
          <w:highlight w:val="none"/>
          <w:lang w:val="en-US" w:eastAsia="zh-CN" w:bidi="ar-SA"/>
        </w:rPr>
        <w:t>8、合同期限内，甲方确因合理原因而需对园区进行改建、扩建或装修的，应提前60天知会乙方并经得乙方同意，并报请政府有关部门批准后可进行。但甲方应该尽量减少对乙方的影响。</w:t>
      </w:r>
    </w:p>
    <w:p w14:paraId="7BA1EFEE">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9、乙方装修过程中如园区的公用设施、设备或第三人财产、人身造成损害的，乙方应负责赔偿一切损失。</w:t>
      </w:r>
    </w:p>
    <w:p w14:paraId="5213A764">
      <w:pPr>
        <w:numPr>
          <w:ilvl w:val="0"/>
          <w:numId w:val="0"/>
        </w:numPr>
        <w:spacing w:afterLines="0" w:line="360" w:lineRule="auto"/>
        <w:rPr>
          <w:rFonts w:hint="eastAsia" w:ascii="Segoe UI Historic" w:hAnsi="Segoe UI Historic" w:eastAsia="宋体" w:cs="Segoe UI Historic"/>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10、未经甲方书面同意，乙方不得更改甲方铺设于园区内的电线线路，不得在线路中装设固定间格或竖立物，不得移动线路。乙方经过甲方同意而安装的线路辅助装置，在租赁合同期满，经甲方同意后可拆走</w:t>
      </w:r>
      <w:r>
        <w:rPr>
          <w:rFonts w:hint="eastAsia" w:ascii="Segoe UI Historic" w:hAnsi="Segoe UI Historic" w:eastAsia="宋体" w:cs="Segoe UI Historic"/>
          <w:color w:val="auto"/>
          <w:sz w:val="24"/>
          <w:szCs w:val="22"/>
          <w:highlight w:val="none"/>
          <w:lang w:val="en-US" w:eastAsia="zh-CN" w:bidi="ar-SA"/>
        </w:rPr>
        <w:t>，但必须恢复线路原状。</w:t>
      </w:r>
    </w:p>
    <w:p w14:paraId="4843C4B1">
      <w:pPr>
        <w:numPr>
          <w:ilvl w:val="0"/>
          <w:numId w:val="0"/>
        </w:numPr>
        <w:shd w:val="clear" w:color="auto" w:fill="FFFFFF"/>
        <w:spacing w:before="315" w:beforeLines="100" w:beforeAutospacing="0" w:after="315" w:afterLines="100" w:afterAutospacing="0" w:line="360" w:lineRule="auto"/>
        <w:ind w:left="0" w:leftChars="0" w:firstLine="0" w:firstLineChars="0"/>
        <w:rPr>
          <w:rFonts w:hint="eastAsia" w:ascii="黑体" w:hAnsi="黑体" w:eastAsia="黑体" w:cs="黑体"/>
          <w:b w:val="0"/>
          <w:bCs w:val="0"/>
          <w:color w:val="auto"/>
          <w:sz w:val="24"/>
          <w:szCs w:val="22"/>
          <w:highlight w:val="none"/>
          <w:lang w:val="en-US" w:eastAsia="zh-CN"/>
        </w:rPr>
      </w:pPr>
      <w:r>
        <w:rPr>
          <w:rFonts w:hint="eastAsia" w:ascii="黑体" w:hAnsi="黑体" w:eastAsia="黑体" w:cs="黑体"/>
          <w:b w:val="0"/>
          <w:bCs w:val="0"/>
          <w:color w:val="auto"/>
          <w:sz w:val="24"/>
          <w:szCs w:val="22"/>
          <w:highlight w:val="none"/>
          <w:lang w:val="en-US" w:eastAsia="zh-CN"/>
        </w:rPr>
        <w:t>十、园区的修缮和管理约定</w:t>
      </w:r>
    </w:p>
    <w:p w14:paraId="0C41B3F1">
      <w:pPr>
        <w:pStyle w:val="155"/>
        <w:spacing w:beforeLines="0" w:beforeAutospacing="0"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1、乙方在合同期限内对园区的承担维修保养责任，</w:t>
      </w:r>
      <w:r>
        <w:rPr>
          <w:rFonts w:hint="eastAsia" w:ascii="宋体" w:hAnsi="宋体" w:eastAsia="宋体" w:cs="宋体"/>
          <w:bCs w:val="0"/>
          <w:color w:val="auto"/>
          <w:sz w:val="24"/>
          <w:szCs w:val="22"/>
          <w:highlight w:val="none"/>
          <w:lang w:val="en-US" w:eastAsia="zh-CN" w:bidi="ar-SA"/>
        </w:rPr>
        <w:t>保持园区的卫生清洁，</w:t>
      </w:r>
      <w:r>
        <w:rPr>
          <w:rFonts w:hint="eastAsia" w:ascii="宋体" w:hAnsi="宋体" w:eastAsia="宋体" w:cs="宋体"/>
          <w:color w:val="auto"/>
          <w:sz w:val="24"/>
          <w:szCs w:val="22"/>
          <w:highlight w:val="none"/>
          <w:lang w:val="en-US" w:eastAsia="zh-CN" w:bidi="ar-SA"/>
        </w:rPr>
        <w:t>乙方的修缮工作应当遵守国家的相关管理及作业规定。</w:t>
      </w:r>
    </w:p>
    <w:p w14:paraId="41B80D3C">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2、园区内建构筑物的主体结构、内部设施设备的维修保养及更换义务均由乙方承担。在园区使用过程中，园区及内部设施出现或发生妨碍安全、正常使用的损坏或故障时，乙方应及时自行维护、修缮，并采取有效措施防止损失扩大，甲方不因就该园区及其相关设施设备和能源供应系统进行维修而向乙方作出任何形式的赔偿或补偿。</w:t>
      </w:r>
    </w:p>
    <w:p w14:paraId="41F67BB3">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3、合同期内，乙方及乙方租户应正常使用并爱护园区内部的各项设施，包括但不限于地板、墙面、门窗、电气设施、燃气设施、给排水设施、消防设施、线缆和管道等，并确保其处于正常的使用状态，承担相应维护、修缮义务。</w:t>
      </w:r>
    </w:p>
    <w:p w14:paraId="2EF92D59">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4、因乙方或乙方租户等使用不当或不合理使用，致使园区及其内部的设施出现损坏或发生故障，乙方应负责及时维修或赔偿。乙方拒不维修或赔偿的，甲方可书面通知后代为维修，维修费用及由此产生的所有费用由乙方承担，甲方仅需提供相关费用的发票即可作为向乙方主张费用的依据。</w:t>
      </w:r>
    </w:p>
    <w:p w14:paraId="3E06160C">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5、乙方应尽力确保园区主要供水管道以及动力电缆处于正常使用状态。如乙方发现上述隐蔽工程存在安全隐患或损坏，应及时进行检修并釆取有效措施防止损失的产生及扩大。</w:t>
      </w:r>
    </w:p>
    <w:p w14:paraId="149F5304">
      <w:pPr>
        <w:pStyle w:val="155"/>
        <w:tabs>
          <w:tab w:val="left" w:pos="265"/>
        </w:tabs>
        <w:spacing w:before="246" w:beforeLines="79" w:after="14" w:line="360" w:lineRule="auto"/>
        <w:rPr>
          <w:rFonts w:hint="eastAsia" w:ascii="宋体" w:hAnsi="宋体" w:eastAsia="宋体" w:cs="宋体"/>
          <w:color w:val="auto"/>
          <w:sz w:val="24"/>
          <w:szCs w:val="22"/>
          <w:highlight w:val="none"/>
          <w:lang w:val="en-US" w:eastAsia="zh-CN" w:bidi="ar-SA"/>
        </w:rPr>
      </w:pPr>
      <w:bookmarkStart w:id="339" w:name="bookmark27"/>
      <w:bookmarkEnd w:id="339"/>
      <w:r>
        <w:rPr>
          <w:rFonts w:hint="eastAsia" w:ascii="宋体" w:hAnsi="宋体" w:eastAsia="宋体" w:cs="宋体"/>
          <w:color w:val="auto"/>
          <w:sz w:val="24"/>
          <w:szCs w:val="22"/>
          <w:highlight w:val="none"/>
          <w:lang w:val="en-US" w:eastAsia="zh-CN" w:bidi="ar-SA"/>
        </w:rPr>
        <w:t>6、乙方应自行尽最大努力保证园区内的监控、电梯、消防/火警监测系统及其他各种设施处于良好的正常工作状态，并承担日常维护、修缮及保养的义务。</w:t>
      </w:r>
    </w:p>
    <w:p w14:paraId="63FB00D9">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7、甲方有权视察该园区内各项建构筑物、设施设备的维修状态，检查电气、燃气、给排水等设备的运作情况，如发现问题，乙方应及时进行必要的修缮和保养工作；或甲方有权在通知乙方后聘请第三方公司进场维修或更换，有关费用由乙方承担，甲方仅需提供相关费用的发票即可作为向乙方主张费用的依据。</w:t>
      </w:r>
    </w:p>
    <w:p w14:paraId="4FA9C9EE">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8、乙方对下列行为和事件引起的损失和损害，必须进行赔偿。该等赔偿包括但不限于任何修理、维修费用，以及任何其他人因下述情形向甲方索赔或主张其权益而导致甲方支出的任何款项，和甲方因向乙方索赔所发生的一切开支和费用（包括但不限于诉讼费、律师费、保全费以及公证费等）：</w:t>
      </w:r>
    </w:p>
    <w:p w14:paraId="192207BA">
      <w:pPr>
        <w:pStyle w:val="155"/>
        <w:tabs>
          <w:tab w:val="left" w:pos="728"/>
        </w:tabs>
        <w:spacing w:before="246" w:beforeLines="79" w:after="14" w:line="360" w:lineRule="auto"/>
        <w:ind w:firstLine="0" w:firstLineChars="0"/>
        <w:rPr>
          <w:rFonts w:hint="eastAsia" w:ascii="宋体" w:hAnsi="宋体" w:eastAsia="宋体" w:cs="宋体"/>
          <w:color w:val="auto"/>
          <w:sz w:val="24"/>
          <w:szCs w:val="22"/>
          <w:highlight w:val="none"/>
          <w:lang w:val="en-US" w:eastAsia="zh-CN" w:bidi="ar-SA"/>
        </w:rPr>
      </w:pPr>
      <w:bookmarkStart w:id="340" w:name="bookmark31"/>
      <w:bookmarkEnd w:id="340"/>
      <w:r>
        <w:rPr>
          <w:rFonts w:hint="eastAsia" w:ascii="宋体" w:hAnsi="宋体" w:eastAsia="宋体" w:cs="宋体"/>
          <w:color w:val="auto"/>
          <w:sz w:val="24"/>
          <w:szCs w:val="22"/>
          <w:highlight w:val="none"/>
          <w:lang w:val="en-US" w:eastAsia="zh-CN" w:bidi="ar-SA"/>
        </w:rPr>
        <w:t>（1）园区内任何电力装置、电力设备、电线、电器等的故障、失修、危险而导致甲方及任何其他人或任何物品的损害；</w:t>
      </w:r>
    </w:p>
    <w:p w14:paraId="553BEB99">
      <w:pPr>
        <w:pStyle w:val="155"/>
        <w:tabs>
          <w:tab w:val="left" w:pos="728"/>
        </w:tabs>
        <w:spacing w:before="246" w:beforeLines="79" w:after="14" w:line="360" w:lineRule="auto"/>
        <w:ind w:firstLine="0" w:firstLineChars="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（2）因乙方原因而导致园区水管通道、厕所、器具堵塞、损坏或停止运作而造成甲方及任何其他人或任何物品的损失；</w:t>
      </w:r>
    </w:p>
    <w:p w14:paraId="1F974680">
      <w:pPr>
        <w:pStyle w:val="155"/>
        <w:tabs>
          <w:tab w:val="left" w:pos="728"/>
        </w:tabs>
        <w:spacing w:before="246" w:beforeLines="79" w:after="14" w:line="360" w:lineRule="auto"/>
        <w:ind w:firstLine="0" w:firstLineChars="0"/>
        <w:rPr>
          <w:rFonts w:ascii="Segoe UI Historic" w:hAnsi="Segoe UI Historic" w:eastAsia="宋体" w:cs="Segoe UI Historic"/>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（3）因乙方原因而导致火、烟雾、气味、烟尘在园区内扩散，或任何来源的水在园区或</w:t>
      </w:r>
      <w:r>
        <w:rPr>
          <w:rFonts w:hint="eastAsia" w:ascii="Segoe UI Historic" w:hAnsi="Segoe UI Historic" w:eastAsia="宋体" w:cs="Segoe UI Historic"/>
          <w:color w:val="auto"/>
          <w:sz w:val="24"/>
          <w:szCs w:val="22"/>
          <w:highlight w:val="none"/>
          <w:lang w:val="en-US" w:eastAsia="zh-CN" w:bidi="ar-SA"/>
        </w:rPr>
        <w:t>其任何部分泄漏或满溢而造成甲方及任何其他人或任何物品的损害。</w:t>
      </w:r>
    </w:p>
    <w:p w14:paraId="45D05FD6">
      <w:pPr>
        <w:pStyle w:val="40"/>
        <w:shd w:val="clear" w:color="auto" w:fill="FFFFFF"/>
        <w:spacing w:before="0" w:beforeAutospacing="0" w:after="0" w:afterAutospacing="0" w:line="360" w:lineRule="auto"/>
        <w:ind w:firstLine="0" w:firstLineChars="0"/>
        <w:rPr>
          <w:rFonts w:hint="default" w:eastAsia="宋体" w:cs="宋体"/>
          <w:bCs/>
          <w:color w:val="auto"/>
          <w:highlight w:val="none"/>
          <w:lang w:val="en-US" w:eastAsia="zh-CN"/>
        </w:rPr>
      </w:pPr>
    </w:p>
    <w:p w14:paraId="3CC9CC87">
      <w:pPr>
        <w:widowControl/>
        <w:shd w:val="clear" w:color="auto" w:fill="FDFDFE"/>
        <w:spacing w:after="315" w:afterLines="100"/>
        <w:ind w:left="0" w:leftChars="0" w:firstLine="0" w:firstLineChars="0"/>
        <w:jc w:val="left"/>
        <w:rPr>
          <w:rFonts w:hint="eastAsia" w:ascii="黑体" w:hAnsi="黑体" w:eastAsia="黑体" w:cs="黑体"/>
          <w:color w:val="auto"/>
          <w:kern w:val="0"/>
          <w:sz w:val="23"/>
          <w:szCs w:val="23"/>
          <w:highlight w:val="none"/>
        </w:rPr>
      </w:pPr>
      <w:r>
        <w:rPr>
          <w:rFonts w:hint="eastAsia" w:ascii="黑体" w:hAnsi="黑体" w:eastAsia="黑体" w:cs="黑体"/>
          <w:b w:val="0"/>
          <w:bCs w:val="0"/>
          <w:color w:val="auto"/>
          <w:kern w:val="0"/>
          <w:sz w:val="23"/>
          <w:szCs w:val="23"/>
          <w:highlight w:val="none"/>
          <w:lang w:val="en-US" w:eastAsia="zh-CN"/>
        </w:rPr>
        <w:t>十一</w:t>
      </w:r>
      <w:r>
        <w:rPr>
          <w:rFonts w:hint="eastAsia" w:ascii="黑体" w:hAnsi="黑体" w:eastAsia="黑体" w:cs="黑体"/>
          <w:b w:val="0"/>
          <w:bCs w:val="0"/>
          <w:color w:val="auto"/>
          <w:kern w:val="0"/>
          <w:sz w:val="23"/>
          <w:szCs w:val="23"/>
          <w:highlight w:val="none"/>
        </w:rPr>
        <w:t>、甲方的权利与义务</w:t>
      </w:r>
    </w:p>
    <w:p w14:paraId="7427BFFA">
      <w:pPr>
        <w:pStyle w:val="40"/>
        <w:shd w:val="clear" w:color="auto" w:fill="FFFFFF"/>
        <w:spacing w:before="0" w:beforeLines="0" w:beforeAutospacing="0" w:after="0" w:afterAutospacing="0" w:line="360" w:lineRule="auto"/>
        <w:ind w:firstLine="360" w:firstLineChars="15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1、甲方有权对乙方的经营活动进行监督，如发现乙方存在违法、违规行为，甲方有权制止并要求乙方立即改正。</w:t>
      </w:r>
    </w:p>
    <w:p w14:paraId="6F847BDC">
      <w:pPr>
        <w:pStyle w:val="40"/>
        <w:shd w:val="clear" w:color="auto" w:fill="FFFFFF"/>
        <w:spacing w:before="0" w:beforeAutospacing="0" w:after="0" w:afterAutospacing="0" w:line="360" w:lineRule="auto"/>
        <w:ind w:firstLine="360" w:firstLineChars="15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bidi="ar-SA"/>
        </w:rPr>
        <w:t>2、</w:t>
      </w:r>
      <w:r>
        <w:rPr>
          <w:rFonts w:hint="eastAsia" w:ascii="宋体" w:hAnsi="宋体" w:eastAsia="宋体" w:cs="宋体"/>
          <w:color w:val="auto"/>
          <w:kern w:val="2"/>
          <w:sz w:val="24"/>
          <w:szCs w:val="22"/>
          <w:highlight w:val="none"/>
          <w:lang w:val="en-US" w:eastAsia="zh-CN" w:bidi="ar-SA"/>
        </w:rPr>
        <w:t>甲方有权</w:t>
      </w:r>
      <w:r>
        <w:rPr>
          <w:rFonts w:hint="eastAsia" w:eastAsia="宋体" w:cs="宋体"/>
          <w:color w:val="auto"/>
          <w:kern w:val="2"/>
          <w:sz w:val="24"/>
          <w:szCs w:val="22"/>
          <w:highlight w:val="none"/>
          <w:lang w:val="en-US" w:eastAsia="zh-CN" w:bidi="ar-SA"/>
        </w:rPr>
        <w:t>要求</w:t>
      </w:r>
      <w:r>
        <w:rPr>
          <w:rFonts w:hint="eastAsia" w:ascii="宋体" w:hAnsi="宋体" w:eastAsia="宋体" w:cs="宋体"/>
          <w:color w:val="auto"/>
          <w:kern w:val="2"/>
          <w:sz w:val="24"/>
          <w:szCs w:val="22"/>
          <w:highlight w:val="none"/>
          <w:lang w:val="en-US" w:eastAsia="zh-CN" w:bidi="ar-SA"/>
        </w:rPr>
        <w:t>乙方按时缴纳</w:t>
      </w:r>
      <w:r>
        <w:rPr>
          <w:rFonts w:hint="eastAsia" w:eastAsia="宋体" w:cs="宋体"/>
          <w:color w:val="auto"/>
          <w:kern w:val="2"/>
          <w:sz w:val="24"/>
          <w:szCs w:val="22"/>
          <w:highlight w:val="none"/>
          <w:lang w:val="en-US" w:eastAsia="zh-CN" w:bidi="ar-SA"/>
        </w:rPr>
        <w:t>租金、垃圾清运费用等费用</w:t>
      </w:r>
      <w:r>
        <w:rPr>
          <w:rFonts w:hint="eastAsia" w:ascii="宋体" w:hAnsi="宋体" w:eastAsia="宋体" w:cs="宋体"/>
          <w:color w:val="auto"/>
          <w:kern w:val="2"/>
          <w:sz w:val="24"/>
          <w:szCs w:val="22"/>
          <w:highlight w:val="none"/>
          <w:lang w:val="en-US" w:eastAsia="zh-CN" w:bidi="ar-SA"/>
        </w:rPr>
        <w:t>。</w:t>
      </w:r>
    </w:p>
    <w:p w14:paraId="241F919D">
      <w:pPr>
        <w:pStyle w:val="40"/>
        <w:shd w:val="clear" w:color="auto" w:fill="FFFFFF"/>
        <w:spacing w:before="0" w:beforeAutospacing="0" w:after="0" w:afterAutospacing="0" w:line="360" w:lineRule="auto"/>
        <w:ind w:firstLine="360" w:firstLineChars="15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3、乙方在经营管理中如需向政府部门提交手续或办理相关事务，甲方应予以协助并支持。</w:t>
      </w:r>
    </w:p>
    <w:p w14:paraId="08EDA38B">
      <w:pPr>
        <w:pStyle w:val="40"/>
        <w:shd w:val="clear" w:color="auto" w:fill="FFFFFF"/>
        <w:spacing w:before="0" w:beforeAutospacing="0" w:after="0" w:afterLines="0" w:afterAutospacing="0" w:line="360" w:lineRule="auto"/>
        <w:ind w:firstLine="360" w:firstLineChars="150"/>
        <w:jc w:val="both"/>
        <w:rPr>
          <w:rFonts w:hint="eastAsia" w:ascii="Segoe UI Historic" w:hAnsi="Segoe UI Historic" w:eastAsia="宋体" w:cs="Segoe UI Historic"/>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4、</w:t>
      </w:r>
      <w:r>
        <w:rPr>
          <w:rFonts w:hint="eastAsia" w:ascii="Segoe UI Historic" w:hAnsi="Segoe UI Historic" w:eastAsia="宋体" w:cs="Segoe UI Historic"/>
          <w:color w:val="auto"/>
          <w:kern w:val="2"/>
          <w:sz w:val="24"/>
          <w:szCs w:val="22"/>
          <w:highlight w:val="none"/>
          <w:lang w:val="en-US" w:eastAsia="zh-CN" w:bidi="ar-SA"/>
        </w:rPr>
        <w:t>在乙方负责组织招商活动吸引企业入驻时，甲方应予配合及支持。</w:t>
      </w:r>
    </w:p>
    <w:p w14:paraId="06C00F24">
      <w:pPr>
        <w:widowControl/>
        <w:shd w:val="clear" w:color="auto" w:fill="FDFDFE"/>
        <w:spacing w:before="315" w:beforeLines="100" w:after="315" w:afterLines="100" w:line="360" w:lineRule="auto"/>
        <w:ind w:left="0" w:leftChars="0" w:firstLine="0" w:firstLineChars="0"/>
        <w:jc w:val="left"/>
        <w:rPr>
          <w:rFonts w:hint="eastAsia" w:ascii="黑体" w:hAnsi="黑体" w:eastAsia="黑体" w:cs="黑体"/>
          <w:color w:val="auto"/>
          <w:kern w:val="0"/>
          <w:sz w:val="23"/>
          <w:szCs w:val="23"/>
          <w:highlight w:val="none"/>
        </w:rPr>
      </w:pPr>
      <w:r>
        <w:rPr>
          <w:rFonts w:hint="eastAsia" w:ascii="黑体" w:hAnsi="黑体" w:eastAsia="黑体" w:cs="黑体"/>
          <w:b w:val="0"/>
          <w:bCs w:val="0"/>
          <w:color w:val="auto"/>
          <w:kern w:val="0"/>
          <w:sz w:val="23"/>
          <w:szCs w:val="23"/>
          <w:highlight w:val="none"/>
          <w:lang w:val="en-US" w:eastAsia="zh-CN"/>
        </w:rPr>
        <w:t>十二</w:t>
      </w:r>
      <w:r>
        <w:rPr>
          <w:rFonts w:hint="eastAsia" w:ascii="黑体" w:hAnsi="黑体" w:eastAsia="黑体" w:cs="黑体"/>
          <w:b w:val="0"/>
          <w:bCs w:val="0"/>
          <w:color w:val="auto"/>
          <w:kern w:val="0"/>
          <w:sz w:val="23"/>
          <w:szCs w:val="23"/>
          <w:highlight w:val="none"/>
        </w:rPr>
        <w:t>、乙方的权利与义务</w:t>
      </w:r>
    </w:p>
    <w:p w14:paraId="6C26DB04">
      <w:pPr>
        <w:pStyle w:val="40"/>
        <w:shd w:val="clear" w:color="auto" w:fill="FFFFFF"/>
        <w:spacing w:before="0" w:beforeLines="0" w:beforeAutospacing="0" w:after="0" w:afterAutospacing="0" w:line="360" w:lineRule="auto"/>
        <w:ind w:firstLine="360" w:firstLineChars="150"/>
        <w:jc w:val="both"/>
        <w:rPr>
          <w:rFonts w:hint="eastAsia" w:ascii="宋体" w:hAnsi="宋体" w:eastAsia="宋体" w:cs="宋体"/>
          <w:color w:val="auto"/>
          <w:kern w:val="2"/>
          <w:sz w:val="24"/>
          <w:szCs w:val="22"/>
          <w:highlight w:val="none"/>
          <w:lang w:val="en-US" w:bidi="ar-SA"/>
        </w:rPr>
      </w:pPr>
      <w:r>
        <w:rPr>
          <w:rFonts w:hint="eastAsia" w:ascii="宋体" w:hAnsi="宋体" w:eastAsia="宋体" w:cs="宋体"/>
          <w:color w:val="auto"/>
          <w:kern w:val="2"/>
          <w:sz w:val="24"/>
          <w:szCs w:val="22"/>
          <w:highlight w:val="none"/>
          <w:lang w:val="en-US" w:bidi="ar-SA"/>
        </w:rPr>
        <w:t>1、乙方</w:t>
      </w:r>
      <w:r>
        <w:rPr>
          <w:rFonts w:hint="eastAsia" w:ascii="宋体" w:hAnsi="宋体" w:eastAsia="宋体" w:cs="宋体"/>
          <w:color w:val="auto"/>
          <w:kern w:val="2"/>
          <w:sz w:val="24"/>
          <w:szCs w:val="22"/>
          <w:highlight w:val="none"/>
          <w:lang w:val="en-US" w:eastAsia="zh-CN" w:bidi="ar-SA"/>
        </w:rPr>
        <w:t>有权</w:t>
      </w:r>
      <w:r>
        <w:rPr>
          <w:rFonts w:hint="eastAsia" w:ascii="宋体" w:hAnsi="宋体" w:eastAsia="宋体" w:cs="宋体"/>
          <w:color w:val="auto"/>
          <w:kern w:val="2"/>
          <w:sz w:val="24"/>
          <w:szCs w:val="22"/>
          <w:highlight w:val="none"/>
          <w:lang w:val="en-US" w:bidi="ar-SA"/>
        </w:rPr>
        <w:t>成立园区管理委员会，引导</w:t>
      </w:r>
      <w:r>
        <w:rPr>
          <w:rFonts w:hint="eastAsia" w:ascii="宋体" w:hAnsi="宋体" w:eastAsia="宋体" w:cs="宋体"/>
          <w:color w:val="auto"/>
          <w:kern w:val="2"/>
          <w:sz w:val="24"/>
          <w:szCs w:val="22"/>
          <w:highlight w:val="none"/>
          <w:lang w:val="en-US" w:eastAsia="zh-CN" w:bidi="ar-SA"/>
        </w:rPr>
        <w:t>并管理</w:t>
      </w:r>
      <w:r>
        <w:rPr>
          <w:rFonts w:hint="eastAsia" w:ascii="宋体" w:hAnsi="宋体" w:eastAsia="宋体" w:cs="宋体"/>
          <w:color w:val="auto"/>
          <w:kern w:val="2"/>
          <w:sz w:val="24"/>
          <w:szCs w:val="22"/>
          <w:highlight w:val="none"/>
          <w:lang w:val="en-US" w:bidi="ar-SA"/>
        </w:rPr>
        <w:t>园区入驻企业。</w:t>
      </w:r>
    </w:p>
    <w:p w14:paraId="7A2ABFAB">
      <w:pPr>
        <w:pStyle w:val="40"/>
        <w:shd w:val="clear" w:color="auto" w:fill="FFFFFF"/>
        <w:spacing w:before="0" w:beforeAutospacing="0" w:after="0" w:afterAutospacing="0" w:line="360" w:lineRule="auto"/>
        <w:ind w:firstLine="360" w:firstLineChars="150"/>
        <w:jc w:val="both"/>
        <w:rPr>
          <w:rFonts w:hint="eastAsia" w:ascii="宋体" w:hAnsi="宋体" w:eastAsia="宋体" w:cs="宋体"/>
          <w:color w:val="auto"/>
          <w:kern w:val="2"/>
          <w:sz w:val="24"/>
          <w:szCs w:val="22"/>
          <w:highlight w:val="none"/>
          <w:lang w:val="en-US" w:bidi="ar-SA"/>
        </w:rPr>
      </w:pPr>
      <w:r>
        <w:rPr>
          <w:rFonts w:hint="eastAsia" w:ascii="宋体" w:hAnsi="宋体" w:eastAsia="宋体" w:cs="宋体"/>
          <w:color w:val="auto"/>
          <w:kern w:val="2"/>
          <w:sz w:val="24"/>
          <w:szCs w:val="22"/>
          <w:highlight w:val="none"/>
          <w:lang w:val="en-US" w:bidi="ar-SA"/>
        </w:rPr>
        <w:t>2、乙方有权在</w:t>
      </w:r>
      <w:r>
        <w:rPr>
          <w:rFonts w:hint="eastAsia" w:ascii="宋体" w:hAnsi="宋体" w:eastAsia="宋体" w:cs="宋体"/>
          <w:color w:val="auto"/>
          <w:kern w:val="2"/>
          <w:sz w:val="24"/>
          <w:szCs w:val="22"/>
          <w:highlight w:val="none"/>
          <w:lang w:val="en-US" w:eastAsia="zh-CN" w:bidi="ar-SA"/>
        </w:rPr>
        <w:t>运营</w:t>
      </w:r>
      <w:r>
        <w:rPr>
          <w:rFonts w:hint="eastAsia" w:ascii="宋体" w:hAnsi="宋体" w:eastAsia="宋体" w:cs="宋体"/>
          <w:color w:val="auto"/>
          <w:kern w:val="2"/>
          <w:sz w:val="24"/>
          <w:szCs w:val="22"/>
          <w:highlight w:val="none"/>
          <w:lang w:val="en-US" w:bidi="ar-SA"/>
        </w:rPr>
        <w:t>期内对</w:t>
      </w:r>
      <w:r>
        <w:rPr>
          <w:rFonts w:hint="eastAsia" w:ascii="宋体" w:hAnsi="宋体" w:eastAsia="宋体" w:cs="宋体"/>
          <w:color w:val="auto"/>
          <w:kern w:val="2"/>
          <w:sz w:val="24"/>
          <w:szCs w:val="22"/>
          <w:highlight w:val="none"/>
          <w:lang w:val="en-US" w:eastAsia="zh-CN" w:bidi="ar-SA"/>
        </w:rPr>
        <w:t>产业</w:t>
      </w:r>
      <w:r>
        <w:rPr>
          <w:rFonts w:hint="eastAsia" w:ascii="宋体" w:hAnsi="宋体" w:eastAsia="宋体" w:cs="宋体"/>
          <w:color w:val="auto"/>
          <w:kern w:val="2"/>
          <w:sz w:val="24"/>
          <w:szCs w:val="22"/>
          <w:highlight w:val="none"/>
          <w:lang w:val="en-US" w:bidi="ar-SA"/>
        </w:rPr>
        <w:t>园区进行独立经营</w:t>
      </w:r>
      <w:r>
        <w:rPr>
          <w:rFonts w:hint="eastAsia" w:ascii="宋体" w:hAnsi="宋体" w:eastAsia="宋体" w:cs="宋体"/>
          <w:color w:val="auto"/>
          <w:kern w:val="2"/>
          <w:sz w:val="24"/>
          <w:szCs w:val="22"/>
          <w:highlight w:val="none"/>
          <w:lang w:val="en-US" w:eastAsia="zh-CN" w:bidi="ar-SA"/>
        </w:rPr>
        <w:t>。与引入的商户、企业所签订的合同应在签订后3日内提交给甲方备案，引入的商户、企业</w:t>
      </w:r>
      <w:r>
        <w:rPr>
          <w:rFonts w:hint="eastAsia" w:ascii="宋体" w:hAnsi="宋体" w:eastAsia="宋体" w:cs="宋体"/>
          <w:color w:val="auto"/>
          <w:kern w:val="2"/>
          <w:sz w:val="24"/>
          <w:szCs w:val="22"/>
          <w:highlight w:val="none"/>
          <w:lang w:val="en-US" w:bidi="ar-SA"/>
        </w:rPr>
        <w:t>不得改变</w:t>
      </w:r>
      <w:r>
        <w:rPr>
          <w:rFonts w:hint="eastAsia" w:ascii="宋体" w:hAnsi="宋体" w:eastAsia="宋体" w:cs="宋体"/>
          <w:color w:val="auto"/>
          <w:kern w:val="2"/>
          <w:sz w:val="24"/>
          <w:szCs w:val="22"/>
          <w:highlight w:val="none"/>
          <w:lang w:val="en-US" w:eastAsia="zh-CN" w:bidi="ar-SA"/>
        </w:rPr>
        <w:t>本合同所约定的园区</w:t>
      </w:r>
      <w:r>
        <w:rPr>
          <w:rFonts w:hint="eastAsia" w:ascii="宋体" w:hAnsi="宋体" w:eastAsia="宋体" w:cs="宋体"/>
          <w:color w:val="auto"/>
          <w:kern w:val="2"/>
          <w:sz w:val="24"/>
          <w:szCs w:val="22"/>
          <w:highlight w:val="none"/>
          <w:lang w:val="en-US" w:bidi="ar-SA"/>
        </w:rPr>
        <w:t>用途。</w:t>
      </w:r>
    </w:p>
    <w:p w14:paraId="06BCA6AF">
      <w:pPr>
        <w:pStyle w:val="40"/>
        <w:shd w:val="clear" w:color="auto" w:fill="FFFFFF"/>
        <w:spacing w:before="0" w:beforeAutospacing="0" w:after="0" w:afterAutospacing="0" w:line="360" w:lineRule="auto"/>
        <w:ind w:firstLine="360" w:firstLineChars="150"/>
        <w:jc w:val="both"/>
        <w:rPr>
          <w:rFonts w:hint="eastAsia" w:ascii="宋体" w:hAnsi="宋体" w:eastAsia="宋体" w:cs="宋体"/>
          <w:color w:val="auto"/>
          <w:kern w:val="2"/>
          <w:sz w:val="24"/>
          <w:szCs w:val="22"/>
          <w:highlight w:val="none"/>
          <w:lang w:val="en-US" w:bidi="ar-SA"/>
        </w:rPr>
      </w:pPr>
      <w:r>
        <w:rPr>
          <w:rFonts w:hint="eastAsia" w:ascii="宋体" w:hAnsi="宋体" w:eastAsia="宋体" w:cs="宋体"/>
          <w:color w:val="auto"/>
          <w:kern w:val="2"/>
          <w:sz w:val="24"/>
          <w:szCs w:val="22"/>
          <w:highlight w:val="none"/>
          <w:lang w:val="en-US" w:bidi="ar-SA"/>
        </w:rPr>
        <w:t>3、乙方应按时支付</w:t>
      </w:r>
      <w:r>
        <w:rPr>
          <w:rFonts w:hint="eastAsia" w:eastAsia="宋体" w:cs="宋体"/>
          <w:color w:val="auto"/>
          <w:kern w:val="2"/>
          <w:sz w:val="24"/>
          <w:szCs w:val="22"/>
          <w:highlight w:val="none"/>
          <w:lang w:val="en-US" w:eastAsia="zh-CN" w:bidi="ar-SA"/>
        </w:rPr>
        <w:t>租金、垃圾清运费用等费用</w:t>
      </w:r>
      <w:r>
        <w:rPr>
          <w:rFonts w:hint="eastAsia" w:ascii="宋体" w:hAnsi="宋体" w:eastAsia="宋体" w:cs="宋体"/>
          <w:color w:val="auto"/>
          <w:kern w:val="2"/>
          <w:sz w:val="24"/>
          <w:szCs w:val="22"/>
          <w:highlight w:val="none"/>
          <w:lang w:val="en-US" w:bidi="ar-SA"/>
        </w:rPr>
        <w:t>。</w:t>
      </w:r>
    </w:p>
    <w:p w14:paraId="1C557F72">
      <w:pPr>
        <w:pStyle w:val="40"/>
        <w:shd w:val="clear" w:color="auto" w:fill="FFFFFF"/>
        <w:spacing w:before="0" w:beforeAutospacing="0" w:after="0" w:afterAutospacing="0" w:line="360" w:lineRule="auto"/>
        <w:ind w:firstLine="360" w:firstLineChars="150"/>
        <w:jc w:val="both"/>
        <w:rPr>
          <w:rFonts w:hint="eastAsia" w:ascii="Segoe UI Historic" w:hAnsi="Segoe UI Historic" w:eastAsia="宋体" w:cs="Segoe UI Historic"/>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bidi="ar-SA"/>
        </w:rPr>
        <w:t>4、</w:t>
      </w:r>
      <w:r>
        <w:rPr>
          <w:rFonts w:hint="eastAsia" w:ascii="宋体" w:hAnsi="宋体" w:eastAsia="宋体" w:cs="宋体"/>
          <w:color w:val="auto"/>
          <w:kern w:val="2"/>
          <w:sz w:val="24"/>
          <w:szCs w:val="22"/>
          <w:highlight w:val="none"/>
          <w:lang w:val="en-US" w:eastAsia="zh-CN" w:bidi="ar-SA"/>
        </w:rPr>
        <w:t>乙方应按合同约定内容做好园区运营服务、管理服务，并为园区入驻企业提供良好的物业</w:t>
      </w:r>
      <w:r>
        <w:rPr>
          <w:rFonts w:hint="eastAsia" w:ascii="Segoe UI Historic" w:hAnsi="Segoe UI Historic" w:eastAsia="宋体" w:cs="Segoe UI Historic"/>
          <w:color w:val="auto"/>
          <w:kern w:val="2"/>
          <w:sz w:val="24"/>
          <w:szCs w:val="22"/>
          <w:highlight w:val="none"/>
          <w:lang w:val="en-US" w:eastAsia="zh-CN" w:bidi="ar-SA"/>
        </w:rPr>
        <w:t>管理服务。</w:t>
      </w:r>
    </w:p>
    <w:p w14:paraId="14718755">
      <w:pPr>
        <w:pStyle w:val="40"/>
        <w:shd w:val="clear" w:color="auto" w:fill="FFFFFF"/>
        <w:spacing w:before="0" w:beforeAutospacing="0" w:after="0" w:afterAutospacing="0" w:line="360" w:lineRule="auto"/>
        <w:ind w:firstLine="360" w:firstLineChars="150"/>
        <w:jc w:val="both"/>
        <w:rPr>
          <w:rFonts w:hint="eastAsia" w:ascii="宋体" w:hAnsi="宋体" w:eastAsia="宋体" w:cs="宋体"/>
          <w:color w:val="auto"/>
          <w:kern w:val="2"/>
          <w:sz w:val="24"/>
          <w:szCs w:val="22"/>
          <w:highlight w:val="none"/>
          <w:lang w:val="en-US" w:bidi="ar-SA"/>
        </w:rPr>
      </w:pPr>
      <w:r>
        <w:rPr>
          <w:rFonts w:hint="eastAsia" w:ascii="宋体" w:hAnsi="宋体" w:eastAsia="宋体" w:cs="宋体"/>
          <w:color w:val="auto"/>
          <w:kern w:val="2"/>
          <w:sz w:val="24"/>
          <w:szCs w:val="22"/>
          <w:highlight w:val="none"/>
          <w:lang w:val="en-US" w:bidi="ar-SA"/>
        </w:rPr>
        <w:t>5、乙方应妥善使用和维护工业园区内的设施设备，如有损坏或丢失，应负责修复或赔偿。</w:t>
      </w:r>
    </w:p>
    <w:p w14:paraId="709D0B0B">
      <w:pPr>
        <w:pStyle w:val="40"/>
        <w:shd w:val="clear" w:color="auto" w:fill="FFFFFF"/>
        <w:spacing w:before="0" w:beforeAutospacing="0" w:after="0" w:afterAutospacing="0" w:line="360" w:lineRule="auto"/>
        <w:ind w:firstLine="360" w:firstLineChars="150"/>
        <w:jc w:val="both"/>
        <w:rPr>
          <w:rFonts w:hint="eastAsia" w:ascii="宋体" w:hAnsi="宋体" w:eastAsia="宋体" w:cs="宋体"/>
          <w:color w:val="auto"/>
          <w:kern w:val="2"/>
          <w:sz w:val="24"/>
          <w:szCs w:val="22"/>
          <w:highlight w:val="none"/>
          <w:lang w:val="en-US" w:bidi="ar-SA"/>
        </w:rPr>
      </w:pPr>
      <w:r>
        <w:rPr>
          <w:rFonts w:hint="eastAsia" w:ascii="宋体" w:hAnsi="宋体" w:eastAsia="宋体" w:cs="宋体"/>
          <w:color w:val="auto"/>
          <w:kern w:val="2"/>
          <w:sz w:val="24"/>
          <w:szCs w:val="22"/>
          <w:highlight w:val="none"/>
          <w:lang w:val="en-US" w:bidi="ar-SA"/>
        </w:rPr>
        <w:t>6、乙方应遵守国家法律法规及当地村规民约，保证经营活动的合法性。</w:t>
      </w:r>
    </w:p>
    <w:p w14:paraId="787913DB">
      <w:pPr>
        <w:pStyle w:val="40"/>
        <w:shd w:val="clear" w:color="auto" w:fill="FFFFFF"/>
        <w:spacing w:before="0" w:beforeAutospacing="0" w:after="0" w:afterAutospacing="0" w:line="360" w:lineRule="auto"/>
        <w:ind w:firstLine="360" w:firstLineChars="15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bidi="ar-SA"/>
        </w:rPr>
        <w:t>7、</w:t>
      </w:r>
      <w:r>
        <w:rPr>
          <w:rFonts w:hint="eastAsia" w:ascii="宋体" w:hAnsi="宋体" w:eastAsia="宋体" w:cs="宋体"/>
          <w:color w:val="auto"/>
          <w:kern w:val="2"/>
          <w:sz w:val="24"/>
          <w:szCs w:val="22"/>
          <w:highlight w:val="none"/>
          <w:lang w:val="en-US" w:eastAsia="zh-CN" w:bidi="ar-SA"/>
        </w:rPr>
        <w:t>乙方负责对接上级政府代为办理园区涉及商业、环境保护治理、消防、公共提升等合规手续或相关备案工作，甲方应予以协助。</w:t>
      </w:r>
    </w:p>
    <w:p w14:paraId="27C8A8B3">
      <w:pPr>
        <w:pStyle w:val="40"/>
        <w:shd w:val="clear" w:color="auto" w:fill="FFFFFF"/>
        <w:spacing w:before="0" w:beforeAutospacing="0" w:after="0" w:afterAutospacing="0" w:line="360" w:lineRule="auto"/>
        <w:ind w:firstLine="360" w:firstLineChars="15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8、双方结束合作，如因乙方原因导致产业园设施设备有损坏或丢失，乙方应负责修复或赔偿。</w:t>
      </w:r>
    </w:p>
    <w:p w14:paraId="78872F4C">
      <w:pPr>
        <w:pStyle w:val="40"/>
        <w:shd w:val="clear" w:color="auto" w:fill="FFFFFF"/>
        <w:spacing w:before="0" w:beforeAutospacing="0" w:after="0" w:afterAutospacing="0" w:line="360" w:lineRule="auto"/>
        <w:ind w:firstLine="360" w:firstLineChars="150"/>
        <w:jc w:val="both"/>
        <w:rPr>
          <w:rFonts w:hint="eastAsia" w:ascii="Segoe UI Historic" w:hAnsi="Segoe UI Historic" w:eastAsia="宋体" w:cs="Segoe UI Historic"/>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9、乙方在</w:t>
      </w:r>
      <w:r>
        <w:rPr>
          <w:rFonts w:hint="eastAsia" w:ascii="Segoe UI Historic" w:hAnsi="Segoe UI Historic" w:eastAsia="宋体" w:cs="Segoe UI Historic"/>
          <w:color w:val="auto"/>
          <w:kern w:val="2"/>
          <w:sz w:val="24"/>
          <w:szCs w:val="22"/>
          <w:highlight w:val="none"/>
          <w:lang w:val="en-US" w:eastAsia="zh-CN" w:bidi="ar-SA"/>
        </w:rPr>
        <w:t>正常运营的情况下，甲方不能干预乙方所有的运营管理工作，如因甲方干预乙方的运营所造成的一切损失，由甲方承担。</w:t>
      </w:r>
    </w:p>
    <w:p w14:paraId="2AD751B1">
      <w:pPr>
        <w:pStyle w:val="40"/>
        <w:shd w:val="clear" w:color="auto" w:fill="FFFFFF"/>
        <w:spacing w:before="0" w:beforeAutospacing="0" w:after="0" w:afterAutospacing="0" w:line="360" w:lineRule="auto"/>
        <w:ind w:firstLine="360" w:firstLineChars="150"/>
        <w:jc w:val="both"/>
        <w:rPr>
          <w:rFonts w:hint="default" w:ascii="Segoe UI Historic" w:hAnsi="Segoe UI Historic" w:eastAsia="宋体" w:cs="Segoe UI Historic"/>
          <w:color w:val="auto"/>
          <w:kern w:val="2"/>
          <w:sz w:val="24"/>
          <w:szCs w:val="22"/>
          <w:highlight w:val="none"/>
          <w:lang w:val="en-US" w:eastAsia="zh-CN" w:bidi="ar-SA"/>
        </w:rPr>
      </w:pPr>
      <w:r>
        <w:rPr>
          <w:rFonts w:hint="default" w:ascii="Segoe UI Historic" w:hAnsi="Segoe UI Historic" w:eastAsia="宋体" w:cs="Segoe UI Historic"/>
          <w:color w:val="auto"/>
          <w:kern w:val="2"/>
          <w:sz w:val="24"/>
          <w:szCs w:val="22"/>
          <w:highlight w:val="none"/>
          <w:lang w:val="en-US" w:eastAsia="zh-CN" w:bidi="ar-SA"/>
        </w:rPr>
        <w:t>10、乙方有权在租赁期内将租赁物部分或全部转租予第三方（下称“分租户”），但</w:t>
      </w:r>
      <w:r>
        <w:rPr>
          <w:rFonts w:hint="eastAsia" w:ascii="Segoe UI Historic" w:hAnsi="Segoe UI Historic" w:eastAsia="宋体" w:cs="Segoe UI Historic"/>
          <w:color w:val="auto"/>
          <w:kern w:val="2"/>
          <w:sz w:val="24"/>
          <w:szCs w:val="22"/>
          <w:highlight w:val="none"/>
          <w:lang w:val="en-US" w:eastAsia="zh-CN" w:bidi="ar-SA"/>
        </w:rPr>
        <w:t>转租年限不得超过乙方与甲方合同的剩余年限。</w:t>
      </w:r>
    </w:p>
    <w:p w14:paraId="7FB77E7B">
      <w:pPr>
        <w:pStyle w:val="40"/>
        <w:shd w:val="clear" w:color="auto" w:fill="FFFFFF"/>
        <w:spacing w:line="360" w:lineRule="auto"/>
        <w:ind w:firstLine="360" w:firstLineChars="150"/>
        <w:jc w:val="both"/>
        <w:rPr>
          <w:rFonts w:hint="eastAsia" w:ascii="黑体" w:hAnsi="黑体" w:eastAsia="黑体" w:cs="黑体"/>
          <w:b w:val="0"/>
          <w:bCs w:val="0"/>
          <w:color w:val="auto"/>
          <w:kern w:val="2"/>
          <w:sz w:val="24"/>
          <w:szCs w:val="22"/>
          <w:highlight w:val="none"/>
          <w:lang w:val="en-US" w:eastAsia="zh-CN"/>
        </w:rPr>
      </w:pPr>
      <w:r>
        <w:rPr>
          <w:rFonts w:hint="eastAsia" w:ascii="黑体" w:hAnsi="黑体" w:eastAsia="黑体" w:cs="黑体"/>
          <w:b w:val="0"/>
          <w:bCs w:val="0"/>
          <w:color w:val="auto"/>
          <w:kern w:val="2"/>
          <w:sz w:val="24"/>
          <w:szCs w:val="22"/>
          <w:highlight w:val="none"/>
          <w:lang w:val="en-US" w:eastAsia="zh-CN"/>
        </w:rPr>
        <w:t>十三、园区的交还</w:t>
      </w:r>
    </w:p>
    <w:p w14:paraId="696F798D">
      <w:pPr>
        <w:pStyle w:val="40"/>
        <w:shd w:val="clear" w:color="auto" w:fill="FFFFFF"/>
        <w:spacing w:before="0" w:after="0" w:line="360" w:lineRule="auto"/>
        <w:ind w:firstLine="360" w:firstLineChars="15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1、运营期届满或甲乙双方依据本合同或法律、法规的规定单方面解除合同，或因不可抗力或意外事件等其他原因致使本合同提前终止的，则乙方应当在合同提前解除或终止之日30日内向甲方交还园区。</w:t>
      </w:r>
    </w:p>
    <w:p w14:paraId="2F5563DC">
      <w:pPr>
        <w:pStyle w:val="40"/>
        <w:shd w:val="clear" w:color="auto" w:fill="FFFFFF"/>
        <w:spacing w:line="360" w:lineRule="auto"/>
        <w:ind w:firstLine="360" w:firstLineChars="15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2、合同结束（不论基于何种原因），甲方有权选择要求乙方按下述任一方式交还园区。如因乙方原因导致园区或园区内的附属设施/设备遭到破坏，乙方应当赔偿甲方由此导致的损失。</w:t>
      </w:r>
    </w:p>
    <w:p w14:paraId="33F40E97">
      <w:pPr>
        <w:pStyle w:val="155"/>
        <w:spacing w:beforeAutospacing="0" w:after="14" w:line="360" w:lineRule="auto"/>
        <w:ind w:firstLine="480" w:firstLineChars="20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1）乙方及乙方租户自费将园区内所有自行添设的动产附属设施/设备搬离园区，并同意园区内之装修、加建部分及所有附属设施/设备（包括电梯、空调等）属甲方所有，甲方无须向乙方及乙方租户给予补偿（包括装修补偿）；</w:t>
      </w:r>
    </w:p>
    <w:p w14:paraId="3ED1F703">
      <w:pPr>
        <w:pStyle w:val="155"/>
        <w:spacing w:before="246" w:beforeLines="79" w:after="14" w:line="360" w:lineRule="auto"/>
        <w:ind w:firstLine="480" w:firstLineChars="200"/>
        <w:rPr>
          <w:rFonts w:hint="eastAsia" w:ascii="Segoe UI Historic" w:hAnsi="Segoe UI Historic" w:eastAsia="宋体" w:cs="Segoe UI Historic"/>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（2）乙方及乙</w:t>
      </w:r>
      <w:r>
        <w:rPr>
          <w:rFonts w:hint="eastAsia" w:ascii="Segoe UI Historic" w:hAnsi="Segoe UI Historic" w:eastAsia="宋体" w:cs="Segoe UI Historic"/>
          <w:color w:val="auto"/>
          <w:sz w:val="24"/>
          <w:szCs w:val="22"/>
          <w:highlight w:val="none"/>
          <w:lang w:val="en-US" w:eastAsia="zh-CN" w:bidi="ar-SA"/>
        </w:rPr>
        <w:t>方租户自费将园区内的所有物品搬离园区，并负责拆除物业之装修，将园区恢复至开始营运时的状态（正常使用导致的自然磨损除外），且甲方不对乙方及乙方租户作任何补偿（包括装修补偿）；</w:t>
      </w:r>
    </w:p>
    <w:p w14:paraId="348C79EC">
      <w:pPr>
        <w:pStyle w:val="155"/>
        <w:spacing w:before="246" w:beforeLines="79" w:beforeAutospacing="0" w:afterAutospacing="0"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如果园区交还时之状况不符合本合同约定的，甲方有权要求乙方釆取一切措施或自行釆取措施，使得园区之状况符合本合同约定，由此而产生的一切费用和开支包括但不限于公证费、律师费、装修清理费、围蔽费、人工费等由乙方负担。</w:t>
      </w:r>
    </w:p>
    <w:p w14:paraId="7847E57D">
      <w:pPr>
        <w:pStyle w:val="155"/>
        <w:spacing w:before="246" w:beforeLines="79"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甲方因委托第三方进场搬离乙方或</w:t>
      </w:r>
      <w:r>
        <w:rPr>
          <w:rFonts w:hint="eastAsia" w:ascii="宋体" w:hAnsi="宋体" w:eastAsia="宋体" w:cs="宋体"/>
          <w:color w:val="auto"/>
          <w:sz w:val="24"/>
          <w:szCs w:val="22"/>
          <w:highlight w:val="none"/>
          <w:lang w:val="en-US" w:eastAsia="zh-CN" w:bidi="ar-SA"/>
        </w:rPr>
        <w:t>园区内租户</w:t>
      </w:r>
      <w:r>
        <w:rPr>
          <w:rFonts w:hint="eastAsia" w:ascii="宋体" w:hAnsi="宋体" w:eastAsia="宋体" w:cs="宋体"/>
          <w:color w:val="auto"/>
          <w:kern w:val="2"/>
          <w:sz w:val="24"/>
          <w:szCs w:val="22"/>
          <w:highlight w:val="none"/>
          <w:lang w:val="en-US" w:eastAsia="zh-CN" w:bidi="ar-SA"/>
        </w:rPr>
        <w:t>物品、拆除装修等所产生的费用均由乙方承担，甲方仅需将第三方提供的发票复印件（发票付款方名称为甲方）提供给乙方作为支付凭证，乙方应在甲方提供支付凭证后15个工作日内支付；乙方承担相应费用后，仍不免除其对甲方损害赔偿责任。</w:t>
      </w:r>
    </w:p>
    <w:p w14:paraId="74655E57">
      <w:pPr>
        <w:pStyle w:val="155"/>
        <w:numPr>
          <w:ilvl w:val="0"/>
          <w:numId w:val="32"/>
        </w:numPr>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乙方未在合同提前解除或终止之日30日内依约向甲方</w:t>
      </w:r>
      <w:r>
        <w:rPr>
          <w:rFonts w:hint="eastAsia" w:ascii="宋体" w:hAnsi="宋体" w:eastAsia="宋体" w:cs="宋体"/>
          <w:b w:val="0"/>
          <w:bCs w:val="0"/>
          <w:color w:val="auto"/>
          <w:sz w:val="24"/>
          <w:szCs w:val="22"/>
          <w:highlight w:val="none"/>
          <w:lang w:val="en-US" w:eastAsia="zh-CN" w:bidi="ar-SA"/>
        </w:rPr>
        <w:t>交还</w:t>
      </w:r>
      <w:r>
        <w:rPr>
          <w:rFonts w:hint="eastAsia" w:ascii="宋体" w:hAnsi="宋体" w:eastAsia="宋体" w:cs="宋体"/>
          <w:b w:val="0"/>
          <w:bCs w:val="0"/>
          <w:color w:val="auto"/>
          <w:kern w:val="0"/>
          <w:sz w:val="23"/>
          <w:szCs w:val="23"/>
          <w:highlight w:val="none"/>
          <w:lang w:val="en-US" w:eastAsia="zh-CN"/>
        </w:rPr>
        <w:t>园区</w:t>
      </w:r>
      <w:r>
        <w:rPr>
          <w:rFonts w:hint="eastAsia" w:ascii="宋体" w:hAnsi="宋体" w:cs="宋体"/>
          <w:b w:val="0"/>
          <w:bCs w:val="0"/>
          <w:color w:val="auto"/>
          <w:kern w:val="0"/>
          <w:sz w:val="23"/>
          <w:szCs w:val="23"/>
          <w:highlight w:val="none"/>
          <w:lang w:val="en-US" w:eastAsia="zh-CN"/>
        </w:rPr>
        <w:t>的</w:t>
      </w:r>
      <w:r>
        <w:rPr>
          <w:rFonts w:hint="eastAsia" w:ascii="宋体" w:hAnsi="宋体" w:eastAsia="宋体" w:cs="宋体"/>
          <w:color w:val="auto"/>
          <w:sz w:val="24"/>
          <w:szCs w:val="22"/>
          <w:highlight w:val="none"/>
          <w:lang w:val="en-US" w:eastAsia="zh-CN" w:bidi="ar-SA"/>
        </w:rPr>
        <w:t>，园区之装修、所有附属设施/设备及货物等未搬离园区的物品，均视为乙方放弃了所有权及一切权利，甲方有权自行予以处置（包括作为无主物或垃圾予以处理等），而无需给予乙方任何补偿</w:t>
      </w:r>
      <w:r>
        <w:rPr>
          <w:rFonts w:hint="eastAsia" w:cs="宋体"/>
          <w:color w:val="auto"/>
          <w:sz w:val="24"/>
          <w:szCs w:val="22"/>
          <w:highlight w:val="none"/>
          <w:lang w:val="en-US" w:eastAsia="zh-CN" w:bidi="ar-SA"/>
        </w:rPr>
        <w:t>。</w:t>
      </w:r>
    </w:p>
    <w:p w14:paraId="37E62956">
      <w:pPr>
        <w:pStyle w:val="155"/>
        <w:numPr>
          <w:ilvl w:val="0"/>
          <w:numId w:val="0"/>
        </w:numPr>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5、乙方逾期交还物业的处理：</w:t>
      </w:r>
    </w:p>
    <w:p w14:paraId="62CE3962">
      <w:pPr>
        <w:pStyle w:val="155"/>
        <w:spacing w:before="246" w:beforeLines="79" w:after="14" w:line="360" w:lineRule="auto"/>
        <w:ind w:firstLine="480" w:firstLineChars="20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（1）自交还期届满之日的次日起，甲方有权采取停止水、电等能源供应、禁止人员进入园区、阻止乙方继续开业经营等强制措施。</w:t>
      </w:r>
    </w:p>
    <w:p w14:paraId="17533EBD">
      <w:pPr>
        <w:pStyle w:val="155"/>
        <w:spacing w:before="246" w:beforeLines="79" w:after="14" w:line="360" w:lineRule="auto"/>
        <w:ind w:firstLine="480" w:firstLineChars="200"/>
        <w:rPr>
          <w:rFonts w:hint="default" w:ascii="SMAKIQ+å®ä½" w:hAnsi="SMAKIQ+å®ä½" w:eastAsia="宋体" w:cs="SMAKIQ+å®ä½"/>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（2）无论任何原因，交还期满后乙方仍未能按约定交还园区的，则自交还期届满之日的次日起，每逾期一日，乙方应当按照合同</w:t>
      </w:r>
      <w:r>
        <w:rPr>
          <w:rFonts w:hint="eastAsia" w:cs="宋体"/>
          <w:color w:val="auto"/>
          <w:sz w:val="24"/>
          <w:szCs w:val="22"/>
          <w:highlight w:val="none"/>
          <w:lang w:val="en-US" w:eastAsia="zh-CN" w:bidi="ar-SA"/>
        </w:rPr>
        <w:t>上月租金同等缴纳逾期金额</w:t>
      </w:r>
      <w:r>
        <w:rPr>
          <w:rFonts w:hint="eastAsia" w:ascii="宋体" w:hAnsi="宋体" w:eastAsia="宋体" w:cs="宋体"/>
          <w:color w:val="auto"/>
          <w:sz w:val="24"/>
          <w:szCs w:val="22"/>
          <w:highlight w:val="none"/>
          <w:lang w:val="en-US" w:eastAsia="zh-CN" w:bidi="ar-SA"/>
        </w:rPr>
        <w:t>。</w:t>
      </w:r>
    </w:p>
    <w:p w14:paraId="654D09C1">
      <w:pPr>
        <w:pStyle w:val="155"/>
        <w:spacing w:beforeAutospacing="0" w:after="14" w:line="360" w:lineRule="auto"/>
        <w:ind w:firstLine="480" w:firstLineChars="200"/>
        <w:rPr>
          <w:rFonts w:hint="eastAsia" w:ascii="SMAKIQ+å®ä½" w:hAnsi="SMAKIQ+å®ä½" w:eastAsia="宋体" w:cs="SMAKIQ+å®ä½"/>
          <w:color w:val="auto"/>
          <w:sz w:val="24"/>
          <w:szCs w:val="22"/>
          <w:highlight w:val="none"/>
          <w:lang w:val="en-US" w:eastAsia="zh-CN" w:bidi="ar-SA"/>
        </w:rPr>
      </w:pPr>
      <w:r>
        <w:rPr>
          <w:rFonts w:hint="eastAsia" w:ascii="SMAKIQ+å®ä½" w:hAnsi="SMAKIQ+å®ä½" w:eastAsia="宋体" w:cs="SMAKIQ+å®ä½"/>
          <w:color w:val="auto"/>
          <w:sz w:val="24"/>
          <w:szCs w:val="22"/>
          <w:highlight w:val="none"/>
          <w:lang w:val="en-US" w:eastAsia="zh-CN" w:bidi="ar-SA"/>
        </w:rPr>
        <w:t>若交还期满后乙方仍未能按约定交还园区且甲方已与下一任租户签订合同，但因乙方原因导致无法交付的，甲方需向第三方承担的违约金、中介费以及造成甲方其他损失的，均应由乙方负责赔偿。</w:t>
      </w:r>
    </w:p>
    <w:p w14:paraId="074E2D96">
      <w:pPr>
        <w:pStyle w:val="155"/>
        <w:spacing w:beforeAutospacing="0"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6、</w:t>
      </w:r>
      <w:r>
        <w:rPr>
          <w:rFonts w:hint="eastAsia" w:ascii="SMAKIQ+å®ä½" w:hAnsi="SMAKIQ+å®ä½" w:eastAsia="宋体" w:cs="SMAKIQ+å®ä½"/>
          <w:color w:val="auto"/>
          <w:sz w:val="24"/>
          <w:szCs w:val="22"/>
          <w:highlight w:val="none"/>
          <w:lang w:val="en-US" w:eastAsia="zh-CN" w:bidi="ar-SA"/>
        </w:rPr>
        <w:t>乙方撤场时须对园区进行围蔽，尽最大努力减少撤场对附近村民的影响。乙方应在搬离场</w:t>
      </w:r>
      <w:r>
        <w:rPr>
          <w:rFonts w:hint="eastAsia" w:ascii="宋体" w:hAnsi="宋体" w:eastAsia="宋体" w:cs="宋体"/>
          <w:color w:val="auto"/>
          <w:sz w:val="24"/>
          <w:szCs w:val="22"/>
          <w:highlight w:val="none"/>
          <w:lang w:val="en-US" w:eastAsia="zh-CN" w:bidi="ar-SA"/>
        </w:rPr>
        <w:t>地15日前通知甲方，经甲方同意后方能开始撤场作业；未通知甲方或未经甲方同意，甲方有权阻止乙方转移园区内财产等强制措施，相关责任由乙方自行承担。</w:t>
      </w:r>
    </w:p>
    <w:p w14:paraId="74C852BC">
      <w:pPr>
        <w:pStyle w:val="155"/>
        <w:spacing w:before="246" w:beforeLines="79" w:after="14" w:line="360" w:lineRule="auto"/>
        <w:rPr>
          <w:rFonts w:hint="eastAsia" w:ascii="SMAKIQ+å®ä½" w:hAnsi="SMAKIQ+å®ä½" w:eastAsia="宋体" w:cs="SMAKIQ+å®ä½"/>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7、除前述约定外，乙方应于运营期届满或本合同因任何原因终止之日起90</w:t>
      </w:r>
      <w:r>
        <w:rPr>
          <w:rFonts w:hint="eastAsia" w:ascii="SMAKIQ+å®ä½" w:hAnsi="SMAKIQ+å®ä½" w:eastAsia="宋体" w:cs="SMAKIQ+å®ä½"/>
          <w:color w:val="auto"/>
          <w:sz w:val="24"/>
          <w:szCs w:val="22"/>
          <w:highlight w:val="none"/>
          <w:lang w:val="en-US" w:eastAsia="zh-CN" w:bidi="ar-SA"/>
        </w:rPr>
        <w:t>日内，办妥以园区为注册地址或营业地址进行工商登记的注销或变更手续。如未在上述期限内办妥有关手续，甲方有权拒绝退还运营期阶段的物业运营管理合同保证金，直至相关手续办理完毕之日止。若甲方行使权利单方注销的，由此造成的损失由乙方承担。</w:t>
      </w:r>
    </w:p>
    <w:p w14:paraId="76854A8B">
      <w:pPr>
        <w:pStyle w:val="155"/>
        <w:spacing w:before="246" w:beforeLines="79" w:after="14" w:line="360" w:lineRule="auto"/>
        <w:rPr>
          <w:rFonts w:ascii="Segoe UI Historic" w:hAnsi="Segoe UI Historic" w:eastAsia="宋体" w:cs="Segoe UI Historic"/>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8、</w:t>
      </w:r>
      <w:r>
        <w:rPr>
          <w:rFonts w:hint="eastAsia" w:ascii="SMAKIQ+å®ä½" w:hAnsi="SMAKIQ+å®ä½" w:eastAsia="宋体" w:cs="SMAKIQ+å®ä½"/>
          <w:color w:val="auto"/>
          <w:sz w:val="24"/>
          <w:szCs w:val="22"/>
          <w:highlight w:val="none"/>
          <w:lang w:val="en-US" w:eastAsia="zh-CN" w:bidi="ar-SA"/>
        </w:rPr>
        <w:t>如果乙方未依照甲方认可的方式交还园区的，则乙方同意甲方可釆取公证机关公证/律师事务所见证/ 其他方式收回物业</w:t>
      </w:r>
      <w:r>
        <w:rPr>
          <w:rFonts w:hint="eastAsia" w:ascii="Segoe UI Historic" w:hAnsi="Segoe UI Historic" w:eastAsia="宋体" w:cs="Segoe UI Historic"/>
          <w:color w:val="auto"/>
          <w:sz w:val="24"/>
          <w:szCs w:val="22"/>
          <w:highlight w:val="none"/>
          <w:lang w:val="en-US" w:eastAsia="zh-CN" w:bidi="ar-SA"/>
        </w:rPr>
        <w:t>，因此而产生的费用包括但不限于公证费、律师费、装修清理费、围蔽费、人工费等均由乙方负担。</w:t>
      </w:r>
    </w:p>
    <w:p w14:paraId="30508A2E">
      <w:pPr>
        <w:pStyle w:val="155"/>
        <w:spacing w:before="246" w:beforeLines="79" w:after="14" w:line="360" w:lineRule="auto"/>
        <w:ind w:firstLine="480" w:firstLineChars="200"/>
        <w:outlineLvl w:val="0"/>
        <w:rPr>
          <w:rFonts w:ascii="黑体" w:hAnsi="黑体" w:eastAsia="黑体" w:cs="黑体"/>
          <w:color w:val="auto"/>
          <w:sz w:val="24"/>
          <w:szCs w:val="22"/>
          <w:highlight w:val="none"/>
          <w:lang w:val="en-US" w:eastAsia="zh-CN" w:bidi="ar-SA"/>
        </w:rPr>
      </w:pPr>
      <w:bookmarkStart w:id="341" w:name="_Toc26344"/>
      <w:bookmarkStart w:id="342" w:name="_Toc16080"/>
      <w:bookmarkStart w:id="343" w:name="_Toc5795"/>
      <w:r>
        <w:rPr>
          <w:rFonts w:hint="eastAsia" w:ascii="黑体" w:hAnsi="黑体" w:eastAsia="黑体" w:cs="黑体"/>
          <w:color w:val="auto"/>
          <w:sz w:val="24"/>
          <w:szCs w:val="22"/>
          <w:highlight w:val="none"/>
          <w:lang w:val="en-US" w:eastAsia="zh-CN" w:bidi="ar-SA"/>
        </w:rPr>
        <w:t>十四、双方承诺和保证</w:t>
      </w:r>
      <w:bookmarkEnd w:id="341"/>
      <w:bookmarkEnd w:id="342"/>
      <w:bookmarkEnd w:id="343"/>
    </w:p>
    <w:p w14:paraId="041A4D87">
      <w:pPr>
        <w:pStyle w:val="155"/>
        <w:tabs>
          <w:tab w:val="left" w:pos="346"/>
        </w:tabs>
        <w:spacing w:before="246" w:beforeLines="79" w:after="14" w:line="360" w:lineRule="auto"/>
        <w:rPr>
          <w:rFonts w:hint="eastAsia" w:ascii="宋体" w:hAnsi="宋体" w:eastAsia="宋体" w:cs="宋体"/>
          <w:color w:val="auto"/>
          <w:sz w:val="24"/>
          <w:szCs w:val="22"/>
          <w:highlight w:val="none"/>
          <w:lang w:val="en-US" w:eastAsia="zh-CN" w:bidi="ar-SA"/>
        </w:rPr>
      </w:pPr>
      <w:bookmarkStart w:id="344" w:name="bookmark38"/>
      <w:bookmarkEnd w:id="344"/>
      <w:r>
        <w:rPr>
          <w:rFonts w:hint="eastAsia" w:ascii="宋体" w:hAnsi="宋体" w:eastAsia="宋体" w:cs="宋体"/>
          <w:color w:val="auto"/>
          <w:sz w:val="24"/>
          <w:szCs w:val="22"/>
          <w:highlight w:val="none"/>
          <w:lang w:val="en-US" w:eastAsia="zh-CN" w:bidi="ar-SA"/>
        </w:rPr>
        <w:t>1、甲乙双方声明、承诺如下：有权签署本合同并有能力履行其于本合同顼下的义务；将签署一切必须的文件并采取一切所需的行动以使本合同规定的条款顺利履行。</w:t>
      </w:r>
    </w:p>
    <w:p w14:paraId="4D439BC7">
      <w:pPr>
        <w:pStyle w:val="155"/>
        <w:tabs>
          <w:tab w:val="left" w:pos="351"/>
        </w:tabs>
        <w:spacing w:before="246" w:beforeLines="79" w:after="14" w:line="360" w:lineRule="auto"/>
        <w:rPr>
          <w:rFonts w:hint="eastAsia" w:ascii="宋体" w:hAnsi="宋体" w:eastAsia="宋体" w:cs="宋体"/>
          <w:color w:val="auto"/>
          <w:sz w:val="24"/>
          <w:szCs w:val="22"/>
          <w:highlight w:val="none"/>
          <w:lang w:val="en-US" w:eastAsia="zh-CN" w:bidi="ar-SA"/>
        </w:rPr>
      </w:pPr>
      <w:bookmarkStart w:id="345" w:name="bookmark39"/>
      <w:bookmarkEnd w:id="345"/>
      <w:r>
        <w:rPr>
          <w:rFonts w:hint="eastAsia" w:ascii="宋体" w:hAnsi="宋体" w:eastAsia="宋体" w:cs="宋体"/>
          <w:color w:val="auto"/>
          <w:sz w:val="24"/>
          <w:szCs w:val="22"/>
          <w:highlight w:val="none"/>
          <w:lang w:val="en-US" w:eastAsia="zh-CN" w:bidi="ar-SA"/>
        </w:rPr>
        <w:t>2、除本合同另有规定外，本合同的签署及履行不会导致违反、取消或终止任何协议、承诺或其它正式文件的任何条款和条件，或构成任何协议、承诺或者其它正式文件下的违约事项，亦不会违反任何法院的判决、裁定，或任何管理机关、政府组织的规定、决定。</w:t>
      </w:r>
    </w:p>
    <w:p w14:paraId="028241D8">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3、甲方声明、承诺如下：</w:t>
      </w:r>
    </w:p>
    <w:p w14:paraId="07DC365F">
      <w:pPr>
        <w:pStyle w:val="155"/>
        <w:tabs>
          <w:tab w:val="left" w:pos="786"/>
        </w:tabs>
        <w:spacing w:before="246" w:beforeLines="79" w:after="14" w:line="360" w:lineRule="auto"/>
        <w:ind w:firstLine="480" w:firstLineChars="200"/>
        <w:rPr>
          <w:rFonts w:hint="eastAsia" w:ascii="宋体" w:hAnsi="宋体" w:eastAsia="宋体" w:cs="宋体"/>
          <w:color w:val="auto"/>
          <w:sz w:val="24"/>
          <w:szCs w:val="22"/>
          <w:highlight w:val="none"/>
          <w:lang w:val="en-US" w:eastAsia="zh-CN" w:bidi="ar-SA"/>
        </w:rPr>
      </w:pPr>
      <w:bookmarkStart w:id="346" w:name="bookmark40"/>
      <w:bookmarkEnd w:id="346"/>
      <w:r>
        <w:rPr>
          <w:rFonts w:hint="eastAsia" w:ascii="宋体" w:hAnsi="宋体" w:eastAsia="宋体" w:cs="宋体"/>
          <w:color w:val="auto"/>
          <w:sz w:val="24"/>
          <w:szCs w:val="22"/>
          <w:highlight w:val="none"/>
          <w:lang w:val="en-US" w:eastAsia="zh-CN" w:bidi="ar-SA"/>
        </w:rPr>
        <w:t>（1）在乙方按照本合同规定交纳</w:t>
      </w:r>
      <w:r>
        <w:rPr>
          <w:rFonts w:hint="eastAsia" w:cs="宋体"/>
          <w:color w:val="auto"/>
          <w:sz w:val="24"/>
          <w:szCs w:val="22"/>
          <w:highlight w:val="none"/>
          <w:lang w:val="en-US" w:eastAsia="zh-CN" w:bidi="ar-SA"/>
        </w:rPr>
        <w:t>租金</w:t>
      </w:r>
      <w:r>
        <w:rPr>
          <w:rFonts w:hint="eastAsia" w:ascii="宋体" w:hAnsi="宋体" w:eastAsia="宋体" w:cs="宋体"/>
          <w:color w:val="auto"/>
          <w:sz w:val="24"/>
          <w:szCs w:val="22"/>
          <w:highlight w:val="none"/>
          <w:lang w:val="en-US" w:eastAsia="zh-CN" w:bidi="ar-SA"/>
        </w:rPr>
        <w:t>等费用及遵守和履行所有本合同项下的承诺、规定的前提下，乙方有权在运营期内合法使用园区，而不受到甲方或其他第三方不合法的干扰。</w:t>
      </w:r>
    </w:p>
    <w:p w14:paraId="15EFC031">
      <w:pPr>
        <w:pStyle w:val="155"/>
        <w:tabs>
          <w:tab w:val="left" w:pos="776"/>
        </w:tabs>
        <w:spacing w:before="246" w:beforeLines="79" w:after="14" w:line="360" w:lineRule="auto"/>
        <w:ind w:firstLine="480" w:firstLineChars="200"/>
        <w:rPr>
          <w:rFonts w:hint="eastAsia" w:ascii="宋体" w:hAnsi="宋体" w:eastAsia="宋体" w:cs="宋体"/>
          <w:color w:val="auto"/>
          <w:sz w:val="24"/>
          <w:szCs w:val="22"/>
          <w:highlight w:val="none"/>
          <w:lang w:val="en-US" w:eastAsia="zh-CN" w:bidi="ar-SA"/>
        </w:rPr>
      </w:pPr>
      <w:bookmarkStart w:id="347" w:name="bookmark41"/>
      <w:bookmarkEnd w:id="347"/>
      <w:bookmarkStart w:id="348" w:name="bookmark42"/>
      <w:bookmarkEnd w:id="348"/>
      <w:r>
        <w:rPr>
          <w:rFonts w:hint="eastAsia" w:ascii="宋体" w:hAnsi="宋体" w:eastAsia="宋体" w:cs="宋体"/>
          <w:color w:val="auto"/>
          <w:sz w:val="24"/>
          <w:szCs w:val="22"/>
          <w:highlight w:val="none"/>
          <w:lang w:val="en-US" w:eastAsia="zh-CN" w:bidi="ar-SA"/>
        </w:rPr>
        <w:t>（2）甲方将尽最大努力及釆取一切合理的措施保障乙方合法经营活动的顺利进行。</w:t>
      </w:r>
    </w:p>
    <w:p w14:paraId="69458FD9">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4、乙方声明、承诺如下：</w:t>
      </w:r>
    </w:p>
    <w:p w14:paraId="5634D71F">
      <w:pPr>
        <w:pStyle w:val="155"/>
        <w:tabs>
          <w:tab w:val="left" w:pos="791"/>
        </w:tabs>
        <w:spacing w:before="246" w:beforeLines="79" w:after="14" w:line="360" w:lineRule="auto"/>
        <w:ind w:firstLine="480" w:firstLineChars="200"/>
        <w:rPr>
          <w:rFonts w:hint="eastAsia" w:ascii="宋体" w:hAnsi="宋体" w:cs="宋体"/>
          <w:color w:val="auto"/>
          <w:sz w:val="24"/>
          <w:szCs w:val="22"/>
          <w:highlight w:val="none"/>
          <w:lang w:val="en-US" w:eastAsia="zh-CN" w:bidi="ar-SA"/>
        </w:rPr>
      </w:pPr>
      <w:bookmarkStart w:id="349" w:name="bookmark43"/>
      <w:bookmarkEnd w:id="349"/>
      <w:r>
        <w:rPr>
          <w:rFonts w:hint="eastAsia" w:ascii="宋体" w:hAnsi="宋体" w:eastAsia="宋体" w:cs="宋体"/>
          <w:color w:val="auto"/>
          <w:sz w:val="24"/>
          <w:szCs w:val="22"/>
          <w:highlight w:val="none"/>
          <w:lang w:val="en-US" w:eastAsia="zh-CN" w:bidi="ar-SA"/>
        </w:rPr>
        <w:t>（1）乙方</w:t>
      </w:r>
      <w:r>
        <w:rPr>
          <w:rFonts w:hint="eastAsia" w:ascii="宋体" w:hAnsi="宋体" w:cs="宋体"/>
          <w:color w:val="auto"/>
          <w:sz w:val="24"/>
          <w:szCs w:val="22"/>
          <w:highlight w:val="none"/>
          <w:lang w:val="en-US" w:eastAsia="zh-CN" w:bidi="ar-SA"/>
        </w:rPr>
        <w:t>在签订本合同之后的30日内应将注册地址迁移至甲方村域范围内并承诺合同期内注册地址一直连续在甲方村域范围内。</w:t>
      </w:r>
    </w:p>
    <w:p w14:paraId="59014E45">
      <w:pPr>
        <w:pStyle w:val="155"/>
        <w:tabs>
          <w:tab w:val="left" w:pos="791"/>
        </w:tabs>
        <w:spacing w:before="246" w:beforeLines="79" w:after="14" w:line="360" w:lineRule="auto"/>
        <w:ind w:firstLine="480" w:firstLineChars="200"/>
        <w:rPr>
          <w:rFonts w:hint="eastAsia" w:ascii="宋体" w:hAnsi="宋体" w:eastAsia="宋体" w:cs="宋体"/>
          <w:color w:val="auto"/>
          <w:sz w:val="24"/>
          <w:szCs w:val="22"/>
          <w:highlight w:val="none"/>
          <w:lang w:val="en-US" w:eastAsia="zh-CN" w:bidi="ar-SA"/>
        </w:rPr>
      </w:pPr>
      <w:r>
        <w:rPr>
          <w:rFonts w:hint="eastAsia" w:ascii="宋体" w:hAnsi="宋体" w:cs="宋体"/>
          <w:color w:val="auto"/>
          <w:sz w:val="24"/>
          <w:szCs w:val="22"/>
          <w:highlight w:val="none"/>
          <w:lang w:val="en-US" w:eastAsia="zh-CN" w:bidi="ar-SA"/>
        </w:rPr>
        <w:t>（2）</w:t>
      </w:r>
      <w:r>
        <w:rPr>
          <w:rFonts w:hint="eastAsia" w:ascii="宋体" w:hAnsi="宋体" w:eastAsia="宋体" w:cs="宋体"/>
          <w:color w:val="auto"/>
          <w:sz w:val="24"/>
          <w:szCs w:val="22"/>
          <w:highlight w:val="none"/>
          <w:lang w:val="en-US" w:eastAsia="zh-CN" w:bidi="ar-SA"/>
        </w:rPr>
        <w:t>将尽最大努力及釆取合法、合理的方式进行经营活动，对园区内的财物和人员的管理和安全负全责，全力维护本项目的商誉和信誉。</w:t>
      </w:r>
    </w:p>
    <w:p w14:paraId="3CF055AA">
      <w:pPr>
        <w:pStyle w:val="155"/>
        <w:tabs>
          <w:tab w:val="left" w:pos="786"/>
        </w:tabs>
        <w:spacing w:before="246" w:beforeLines="79" w:after="14" w:line="360" w:lineRule="auto"/>
        <w:ind w:firstLine="480" w:firstLineChars="200"/>
        <w:rPr>
          <w:rFonts w:hint="eastAsia" w:ascii="宋体" w:hAnsi="宋体" w:eastAsia="宋体" w:cs="宋体"/>
          <w:color w:val="auto"/>
          <w:sz w:val="24"/>
          <w:szCs w:val="22"/>
          <w:highlight w:val="none"/>
          <w:lang w:val="en-US" w:eastAsia="zh-CN" w:bidi="ar-SA"/>
        </w:rPr>
      </w:pPr>
      <w:bookmarkStart w:id="350" w:name="bookmark44"/>
      <w:bookmarkEnd w:id="350"/>
      <w:r>
        <w:rPr>
          <w:rFonts w:hint="eastAsia" w:ascii="宋体" w:hAnsi="宋体" w:eastAsia="宋体" w:cs="宋体"/>
          <w:color w:val="auto"/>
          <w:sz w:val="24"/>
          <w:szCs w:val="22"/>
          <w:highlight w:val="none"/>
          <w:lang w:val="en-US" w:eastAsia="zh-CN" w:bidi="ar-SA"/>
        </w:rPr>
        <w:t>（</w:t>
      </w:r>
      <w:r>
        <w:rPr>
          <w:rFonts w:hint="eastAsia" w:ascii="宋体" w:hAnsi="宋体" w:cs="宋体"/>
          <w:color w:val="auto"/>
          <w:sz w:val="24"/>
          <w:szCs w:val="22"/>
          <w:highlight w:val="none"/>
          <w:lang w:val="en-US" w:eastAsia="zh-CN" w:bidi="ar-SA"/>
        </w:rPr>
        <w:t>3</w:t>
      </w:r>
      <w:r>
        <w:rPr>
          <w:rFonts w:hint="eastAsia" w:ascii="宋体" w:hAnsi="宋体" w:eastAsia="宋体" w:cs="宋体"/>
          <w:color w:val="auto"/>
          <w:sz w:val="24"/>
          <w:szCs w:val="22"/>
          <w:highlight w:val="none"/>
          <w:lang w:val="en-US" w:eastAsia="zh-CN" w:bidi="ar-SA"/>
        </w:rPr>
        <w:t>）若收到政府有关部门就园区发出的任何通知或法院送达的传票，在48小时内以书面方式通知甲方。</w:t>
      </w:r>
    </w:p>
    <w:p w14:paraId="2ADE586E">
      <w:pPr>
        <w:pStyle w:val="155"/>
        <w:tabs>
          <w:tab w:val="left" w:pos="791"/>
        </w:tabs>
        <w:spacing w:before="246" w:beforeLines="79" w:after="14" w:line="360" w:lineRule="auto"/>
        <w:ind w:firstLine="480" w:firstLineChars="200"/>
        <w:rPr>
          <w:rFonts w:hint="eastAsia" w:ascii="宋体" w:hAnsi="宋体" w:eastAsia="宋体" w:cs="宋体"/>
          <w:color w:val="auto"/>
          <w:sz w:val="24"/>
          <w:szCs w:val="22"/>
          <w:highlight w:val="none"/>
          <w:lang w:val="en-US" w:eastAsia="zh-CN" w:bidi="ar-SA"/>
        </w:rPr>
      </w:pPr>
      <w:bookmarkStart w:id="351" w:name="bookmark45"/>
      <w:bookmarkEnd w:id="351"/>
      <w:r>
        <w:rPr>
          <w:rFonts w:hint="eastAsia" w:ascii="宋体" w:hAnsi="宋体" w:eastAsia="宋体" w:cs="宋体"/>
          <w:color w:val="auto"/>
          <w:sz w:val="24"/>
          <w:szCs w:val="22"/>
          <w:highlight w:val="none"/>
          <w:lang w:val="en-US" w:eastAsia="zh-CN" w:bidi="ar-SA"/>
        </w:rPr>
        <w:t>（</w:t>
      </w:r>
      <w:r>
        <w:rPr>
          <w:rFonts w:hint="eastAsia" w:ascii="宋体" w:hAnsi="宋体" w:cs="宋体"/>
          <w:color w:val="auto"/>
          <w:sz w:val="24"/>
          <w:szCs w:val="22"/>
          <w:highlight w:val="none"/>
          <w:lang w:val="en-US" w:eastAsia="zh-CN" w:bidi="ar-SA"/>
        </w:rPr>
        <w:t>4</w:t>
      </w:r>
      <w:r>
        <w:rPr>
          <w:rFonts w:hint="eastAsia" w:ascii="宋体" w:hAnsi="宋体" w:eastAsia="宋体" w:cs="宋体"/>
          <w:color w:val="auto"/>
          <w:sz w:val="24"/>
          <w:szCs w:val="22"/>
          <w:highlight w:val="none"/>
          <w:lang w:val="en-US" w:eastAsia="zh-CN" w:bidi="ar-SA"/>
        </w:rPr>
        <w:t>）乙方不得以甲方名义从事经营活动。乙方在园区内从事经营活动时，应当遵守中国包括环境保护、卫生、防疫、文化、治安、消防管理在内的各项法律规定，自行负责园区内物品的安全保卫工作，并承担因此而产生的一切费用支出和责任。</w:t>
      </w:r>
    </w:p>
    <w:p w14:paraId="466483DC">
      <w:pPr>
        <w:pStyle w:val="155"/>
        <w:tabs>
          <w:tab w:val="left" w:pos="791"/>
        </w:tabs>
        <w:spacing w:before="246" w:beforeLines="79" w:after="14" w:line="360" w:lineRule="auto"/>
        <w:ind w:firstLine="480" w:firstLineChars="200"/>
        <w:rPr>
          <w:rFonts w:hint="eastAsia" w:ascii="宋体" w:hAnsi="宋体" w:eastAsia="宋体" w:cs="宋体"/>
          <w:color w:val="auto"/>
          <w:sz w:val="24"/>
          <w:szCs w:val="22"/>
          <w:highlight w:val="none"/>
          <w:lang w:val="en-US" w:eastAsia="zh-CN" w:bidi="ar-SA"/>
        </w:rPr>
      </w:pPr>
      <w:bookmarkStart w:id="352" w:name="bookmark46"/>
      <w:bookmarkEnd w:id="352"/>
      <w:r>
        <w:rPr>
          <w:rFonts w:hint="eastAsia" w:ascii="宋体" w:hAnsi="宋体" w:eastAsia="宋体" w:cs="宋体"/>
          <w:color w:val="auto"/>
          <w:sz w:val="24"/>
          <w:szCs w:val="22"/>
          <w:highlight w:val="none"/>
          <w:lang w:val="en-US" w:eastAsia="zh-CN" w:bidi="ar-SA"/>
        </w:rPr>
        <w:t>（</w:t>
      </w:r>
      <w:r>
        <w:rPr>
          <w:rFonts w:hint="eastAsia" w:ascii="宋体" w:hAnsi="宋体" w:cs="宋体"/>
          <w:color w:val="auto"/>
          <w:sz w:val="24"/>
          <w:szCs w:val="22"/>
          <w:highlight w:val="none"/>
          <w:lang w:val="en-US" w:eastAsia="zh-CN" w:bidi="ar-SA"/>
        </w:rPr>
        <w:t>5</w:t>
      </w:r>
      <w:r>
        <w:rPr>
          <w:rFonts w:hint="eastAsia" w:ascii="宋体" w:hAnsi="宋体" w:eastAsia="宋体" w:cs="宋体"/>
          <w:color w:val="auto"/>
          <w:sz w:val="24"/>
          <w:szCs w:val="22"/>
          <w:highlight w:val="none"/>
          <w:lang w:val="en-US" w:eastAsia="zh-CN" w:bidi="ar-SA"/>
        </w:rPr>
        <w:t>）乙方保证不从事任何可能阻碍、影响相邻区域内甲方或其他业主、承租人合法权利的行为或其他不合理的干涉、扰乱甲方或其他业主、承租人正常经营的行为。</w:t>
      </w:r>
    </w:p>
    <w:p w14:paraId="32BF27CB">
      <w:pPr>
        <w:pStyle w:val="155"/>
        <w:spacing w:before="246" w:beforeLines="79" w:after="14" w:line="360" w:lineRule="auto"/>
        <w:ind w:firstLine="480" w:firstLineChars="200"/>
        <w:outlineLvl w:val="0"/>
        <w:rPr>
          <w:rFonts w:ascii="黑体" w:hAnsi="黑体" w:eastAsia="黑体" w:cs="黑体"/>
          <w:color w:val="auto"/>
          <w:sz w:val="24"/>
          <w:szCs w:val="22"/>
          <w:highlight w:val="none"/>
          <w:lang w:val="en-US" w:eastAsia="zh-CN" w:bidi="ar-SA"/>
        </w:rPr>
      </w:pPr>
      <w:bookmarkStart w:id="353" w:name="bookmark47"/>
      <w:bookmarkEnd w:id="353"/>
      <w:bookmarkStart w:id="354" w:name="_Toc19213"/>
      <w:bookmarkStart w:id="355" w:name="_Toc31891"/>
      <w:bookmarkStart w:id="356" w:name="_Toc10402"/>
      <w:r>
        <w:rPr>
          <w:rFonts w:hint="eastAsia" w:ascii="黑体" w:hAnsi="黑体" w:eastAsia="黑体" w:cs="黑体"/>
          <w:color w:val="auto"/>
          <w:sz w:val="24"/>
          <w:szCs w:val="22"/>
          <w:highlight w:val="none"/>
          <w:lang w:val="en-US" w:eastAsia="zh-CN" w:bidi="ar-SA"/>
        </w:rPr>
        <w:t>十五、违约责任及合同解除、终止</w:t>
      </w:r>
      <w:bookmarkEnd w:id="354"/>
      <w:bookmarkEnd w:id="355"/>
      <w:bookmarkEnd w:id="356"/>
    </w:p>
    <w:p w14:paraId="1DF7772E">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1、本合同签署后，甲乙双方均应严格遵守本合同约定，否则，将被视为违约并应承担违约赔偿责任。</w:t>
      </w:r>
      <w:bookmarkStart w:id="357" w:name="bookmark48"/>
      <w:bookmarkEnd w:id="357"/>
    </w:p>
    <w:p w14:paraId="021F0058">
      <w:pPr>
        <w:pStyle w:val="155"/>
        <w:spacing w:before="246" w:beforeLines="79" w:after="14"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2、如乙方违反本合同的约定，甲方有权通知乙方改正</w:t>
      </w:r>
      <w:r>
        <w:rPr>
          <w:rFonts w:hint="eastAsia" w:cs="宋体"/>
          <w:color w:val="auto"/>
          <w:sz w:val="24"/>
          <w:szCs w:val="22"/>
          <w:highlight w:val="none"/>
          <w:lang w:val="en-US" w:eastAsia="zh-CN" w:bidi="ar-SA"/>
        </w:rPr>
        <w:t>，乙方未在甲方要求的合理期限内改正的，每次甲方有权向乙方收取3000元的违约金</w:t>
      </w:r>
      <w:r>
        <w:rPr>
          <w:rFonts w:hint="eastAsia" w:ascii="宋体" w:hAnsi="宋体" w:eastAsia="宋体" w:cs="宋体"/>
          <w:color w:val="auto"/>
          <w:sz w:val="24"/>
          <w:szCs w:val="22"/>
          <w:highlight w:val="none"/>
          <w:lang w:val="en-US" w:eastAsia="zh-CN" w:bidi="ar-SA"/>
        </w:rPr>
        <w:t>。自甲方发出通知之日起超过45天，乙方仍未改正的，则甲方有权对园区釆取停止能源（水、电、气）供应或采取其他措施而不必承担任何赔（补）偿责任，且乙方应自行承担因此发生的一切损失和费用。</w:t>
      </w:r>
    </w:p>
    <w:p w14:paraId="19ABF376">
      <w:pPr>
        <w:pStyle w:val="155"/>
        <w:tabs>
          <w:tab w:val="left" w:pos="396"/>
        </w:tabs>
        <w:spacing w:before="246" w:beforeLines="79" w:after="14" w:line="360" w:lineRule="auto"/>
        <w:rPr>
          <w:rFonts w:hint="eastAsia" w:ascii="宋体" w:hAnsi="宋体" w:eastAsia="宋体" w:cs="宋体"/>
          <w:color w:val="auto"/>
          <w:sz w:val="24"/>
          <w:szCs w:val="22"/>
          <w:highlight w:val="none"/>
          <w:lang w:val="en-US" w:eastAsia="zh-CN" w:bidi="ar-SA"/>
        </w:rPr>
      </w:pPr>
      <w:bookmarkStart w:id="358" w:name="bookmark49"/>
      <w:bookmarkEnd w:id="358"/>
      <w:r>
        <w:rPr>
          <w:rFonts w:hint="eastAsia" w:ascii="宋体" w:hAnsi="宋体" w:eastAsia="宋体" w:cs="宋体"/>
          <w:color w:val="auto"/>
          <w:sz w:val="24"/>
          <w:szCs w:val="22"/>
          <w:highlight w:val="none"/>
          <w:lang w:val="en-US" w:eastAsia="zh-CN" w:bidi="ar-SA"/>
        </w:rPr>
        <w:t>3、除本合同另有约定外，如发生以下任何情形之一，均视为乙方根本违约，甲方有权提前解除合同，没收物业运营管理合同保证金（500万元）</w:t>
      </w:r>
      <w:r>
        <w:rPr>
          <w:rFonts w:hint="eastAsia" w:cs="宋体"/>
          <w:color w:val="auto"/>
          <w:sz w:val="24"/>
          <w:szCs w:val="22"/>
          <w:highlight w:val="none"/>
          <w:lang w:val="en-US" w:eastAsia="zh-CN" w:bidi="ar-SA"/>
        </w:rPr>
        <w:t>。甲方有权提前收回园区并在政府指定的交易平台上重新招租，乙方无权提出异议。</w:t>
      </w:r>
      <w:r>
        <w:rPr>
          <w:rFonts w:hint="eastAsia" w:ascii="宋体" w:hAnsi="宋体" w:cs="宋体"/>
          <w:color w:val="auto"/>
          <w:sz w:val="24"/>
          <w:szCs w:val="22"/>
          <w:highlight w:val="none"/>
          <w:lang w:val="en-US" w:eastAsia="zh-CN" w:bidi="ar-SA"/>
        </w:rPr>
        <w:t>因乙方违约导致合同解除的，乙方还应向甲方支付自合同解除至园区产生新的运营方期间的</w:t>
      </w:r>
      <w:r>
        <w:rPr>
          <w:rFonts w:hint="eastAsia" w:cs="宋体"/>
          <w:color w:val="auto"/>
          <w:sz w:val="24"/>
          <w:szCs w:val="22"/>
          <w:highlight w:val="none"/>
          <w:lang w:val="en-US" w:eastAsia="zh-CN" w:bidi="ar-SA"/>
        </w:rPr>
        <w:t>租金</w:t>
      </w:r>
      <w:r>
        <w:rPr>
          <w:rFonts w:hint="eastAsia" w:ascii="宋体" w:hAnsi="宋体" w:eastAsia="宋体" w:cs="宋体"/>
          <w:color w:val="auto"/>
          <w:sz w:val="24"/>
          <w:szCs w:val="22"/>
          <w:highlight w:val="none"/>
          <w:lang w:val="en-US" w:eastAsia="zh-CN" w:bidi="ar-SA"/>
        </w:rPr>
        <w:t>：</w:t>
      </w:r>
    </w:p>
    <w:p w14:paraId="02A1D6C9">
      <w:pPr>
        <w:pStyle w:val="155"/>
        <w:tabs>
          <w:tab w:val="left" w:pos="771"/>
        </w:tabs>
        <w:spacing w:before="246" w:beforeLines="79" w:after="14" w:line="360" w:lineRule="auto"/>
        <w:ind w:firstLine="480" w:firstLineChars="200"/>
        <w:rPr>
          <w:rFonts w:hint="eastAsia" w:ascii="宋体" w:hAnsi="宋体" w:eastAsia="宋体" w:cs="宋体"/>
          <w:color w:val="auto"/>
          <w:sz w:val="24"/>
          <w:szCs w:val="22"/>
          <w:highlight w:val="none"/>
          <w:lang w:val="en-US" w:eastAsia="zh-CN" w:bidi="ar-SA"/>
        </w:rPr>
      </w:pPr>
      <w:bookmarkStart w:id="359" w:name="bookmark50"/>
      <w:bookmarkEnd w:id="359"/>
      <w:r>
        <w:rPr>
          <w:rFonts w:hint="eastAsia" w:ascii="宋体" w:hAnsi="宋体" w:eastAsia="宋体" w:cs="宋体"/>
          <w:color w:val="auto"/>
          <w:sz w:val="24"/>
          <w:szCs w:val="22"/>
          <w:highlight w:val="none"/>
          <w:lang w:val="en-US" w:eastAsia="zh-CN" w:bidi="ar-SA"/>
        </w:rPr>
        <w:t>（1）发生本合同约定的甲方有权提前解除合同的情形；</w:t>
      </w:r>
    </w:p>
    <w:p w14:paraId="076D480C">
      <w:pPr>
        <w:pStyle w:val="155"/>
        <w:tabs>
          <w:tab w:val="left" w:pos="771"/>
        </w:tabs>
        <w:spacing w:before="246" w:beforeLines="79" w:after="14" w:line="360" w:lineRule="auto"/>
        <w:ind w:firstLine="480" w:firstLineChars="20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（2）乙方逾期超过</w:t>
      </w:r>
      <w:r>
        <w:rPr>
          <w:rFonts w:hint="eastAsia" w:ascii="宋体" w:hAnsi="宋体" w:cs="宋体"/>
          <w:color w:val="auto"/>
          <w:sz w:val="24"/>
          <w:szCs w:val="22"/>
          <w:highlight w:val="none"/>
          <w:lang w:val="en-US" w:eastAsia="zh-CN" w:bidi="ar-SA"/>
        </w:rPr>
        <w:t>60</w:t>
      </w:r>
      <w:r>
        <w:rPr>
          <w:rFonts w:hint="eastAsia" w:ascii="宋体" w:hAnsi="宋体" w:eastAsia="宋体" w:cs="宋体"/>
          <w:color w:val="auto"/>
          <w:sz w:val="24"/>
          <w:szCs w:val="22"/>
          <w:highlight w:val="none"/>
          <w:lang w:val="en-US" w:eastAsia="zh-CN" w:bidi="ar-SA"/>
        </w:rPr>
        <w:t>天未能支付、不支付或者迟延支付</w:t>
      </w:r>
      <w:r>
        <w:rPr>
          <w:rFonts w:hint="eastAsia" w:cs="宋体"/>
          <w:color w:val="auto"/>
          <w:sz w:val="24"/>
          <w:szCs w:val="22"/>
          <w:highlight w:val="none"/>
          <w:lang w:val="en-US" w:eastAsia="zh-CN" w:bidi="ar-SA"/>
        </w:rPr>
        <w:t>租金</w:t>
      </w:r>
      <w:r>
        <w:rPr>
          <w:rFonts w:hint="eastAsia" w:ascii="宋体" w:hAnsi="宋体" w:eastAsia="宋体" w:cs="宋体"/>
          <w:color w:val="auto"/>
          <w:sz w:val="24"/>
          <w:szCs w:val="22"/>
          <w:highlight w:val="none"/>
          <w:lang w:val="en-US" w:eastAsia="zh-CN" w:bidi="ar-SA"/>
        </w:rPr>
        <w:t>或其他任何应付给甲</w:t>
      </w:r>
      <w:r>
        <w:rPr>
          <w:rFonts w:hint="eastAsia" w:ascii="宋体" w:hAnsi="宋体" w:eastAsia="宋体" w:cs="宋体"/>
          <w:color w:val="auto"/>
          <w:sz w:val="24"/>
          <w:szCs w:val="22"/>
          <w:highlight w:val="none"/>
          <w:lang w:val="zh-CN" w:eastAsia="zh-CN" w:bidi="ar-SA"/>
        </w:rPr>
        <w:t>方</w:t>
      </w:r>
      <w:r>
        <w:rPr>
          <w:rFonts w:hint="eastAsia" w:ascii="宋体" w:hAnsi="宋体" w:eastAsia="宋体" w:cs="宋体"/>
          <w:color w:val="auto"/>
          <w:sz w:val="24"/>
          <w:szCs w:val="22"/>
          <w:highlight w:val="none"/>
          <w:lang w:val="en-US" w:eastAsia="zh-CN" w:bidi="ar-SA"/>
        </w:rPr>
        <w:t>的费用（包括但不限于各项预付费用、保证金和违约金等）；</w:t>
      </w:r>
    </w:p>
    <w:p w14:paraId="1DB2D58A">
      <w:pPr>
        <w:pStyle w:val="155"/>
        <w:tabs>
          <w:tab w:val="left" w:pos="816"/>
        </w:tabs>
        <w:spacing w:before="246" w:beforeLines="79" w:after="14" w:line="360" w:lineRule="auto"/>
        <w:ind w:firstLine="480" w:firstLineChars="200"/>
        <w:rPr>
          <w:rFonts w:hint="eastAsia" w:ascii="宋体" w:hAnsi="宋体" w:eastAsia="宋体" w:cs="宋体"/>
          <w:color w:val="auto"/>
          <w:sz w:val="24"/>
          <w:szCs w:val="22"/>
          <w:highlight w:val="none"/>
          <w:lang w:val="en-US" w:eastAsia="zh-CN" w:bidi="ar-SA"/>
        </w:rPr>
      </w:pPr>
      <w:bookmarkStart w:id="360" w:name="bookmark51"/>
      <w:bookmarkEnd w:id="360"/>
      <w:r>
        <w:rPr>
          <w:rFonts w:hint="eastAsia" w:ascii="宋体" w:hAnsi="宋体" w:eastAsia="宋体" w:cs="宋体"/>
          <w:color w:val="auto"/>
          <w:sz w:val="24"/>
          <w:szCs w:val="22"/>
          <w:highlight w:val="none"/>
          <w:lang w:val="en-US" w:eastAsia="zh-CN" w:bidi="ar-SA"/>
        </w:rPr>
        <w:t>（3）因乙方破产、正处于破产的过程、被宣布破产或被申请破产、或者乙方被申请进行清算或被查封；</w:t>
      </w:r>
    </w:p>
    <w:p w14:paraId="5E2B1B43">
      <w:pPr>
        <w:pStyle w:val="155"/>
        <w:tabs>
          <w:tab w:val="left" w:pos="816"/>
        </w:tabs>
        <w:spacing w:before="246" w:beforeLines="79" w:after="14" w:line="360" w:lineRule="auto"/>
        <w:ind w:left="482" w:leftChars="200" w:hanging="62"/>
        <w:rPr>
          <w:rFonts w:hint="eastAsia" w:ascii="宋体" w:hAnsi="宋体" w:eastAsia="宋体" w:cs="宋体"/>
          <w:color w:val="auto"/>
          <w:sz w:val="24"/>
          <w:szCs w:val="22"/>
          <w:highlight w:val="none"/>
          <w:lang w:val="en-US" w:eastAsia="zh-CN" w:bidi="ar-SA"/>
        </w:rPr>
      </w:pPr>
      <w:bookmarkStart w:id="361" w:name="bookmark52"/>
      <w:bookmarkEnd w:id="361"/>
      <w:r>
        <w:rPr>
          <w:rFonts w:hint="eastAsia" w:ascii="宋体" w:hAnsi="宋体" w:eastAsia="宋体" w:cs="宋体"/>
          <w:color w:val="auto"/>
          <w:sz w:val="24"/>
          <w:szCs w:val="22"/>
          <w:highlight w:val="none"/>
          <w:lang w:val="en-US" w:eastAsia="zh-CN" w:bidi="ar-SA"/>
        </w:rPr>
        <w:t>（4）乙方未经甲方书面同意，擅自变更装修设计文件或擅自拆改园区；</w:t>
      </w:r>
    </w:p>
    <w:p w14:paraId="4BAD776D">
      <w:pPr>
        <w:pStyle w:val="155"/>
        <w:tabs>
          <w:tab w:val="left" w:pos="781"/>
        </w:tabs>
        <w:spacing w:before="246" w:beforeLines="79" w:after="14" w:line="360" w:lineRule="auto"/>
        <w:ind w:firstLine="480" w:firstLineChars="200"/>
        <w:rPr>
          <w:rFonts w:hint="eastAsia" w:ascii="宋体" w:hAnsi="宋体" w:eastAsia="宋体" w:cs="宋体"/>
          <w:color w:val="auto"/>
          <w:sz w:val="24"/>
          <w:szCs w:val="22"/>
          <w:highlight w:val="none"/>
          <w:lang w:val="en-US" w:eastAsia="zh-CN" w:bidi="ar-SA"/>
        </w:rPr>
      </w:pPr>
      <w:bookmarkStart w:id="362" w:name="bookmark53"/>
      <w:bookmarkEnd w:id="362"/>
      <w:r>
        <w:rPr>
          <w:rFonts w:hint="eastAsia" w:ascii="宋体" w:hAnsi="宋体" w:eastAsia="宋体" w:cs="宋体"/>
          <w:color w:val="auto"/>
          <w:sz w:val="24"/>
          <w:szCs w:val="22"/>
          <w:highlight w:val="none"/>
          <w:lang w:val="en-US" w:eastAsia="zh-CN" w:bidi="ar-SA"/>
        </w:rPr>
        <w:t>（5）乙方未经甲方书面同意擅自转让、转借、转租、承包、合作或者以其他方式将园区全部的控制权转让给第三方；</w:t>
      </w:r>
    </w:p>
    <w:p w14:paraId="74637028">
      <w:pPr>
        <w:pStyle w:val="155"/>
        <w:tabs>
          <w:tab w:val="left" w:pos="781"/>
        </w:tabs>
        <w:spacing w:before="246" w:beforeLines="79" w:after="14" w:line="360" w:lineRule="auto"/>
        <w:ind w:firstLine="480" w:firstLineChars="20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（6）如乙方未能履行或拒绝履行本合同的其他条款，且乙方未在甲方</w:t>
      </w:r>
      <w:r>
        <w:rPr>
          <w:rFonts w:hint="default" w:ascii="宋体" w:hAnsi="宋体" w:eastAsia="宋体" w:cs="宋体"/>
          <w:color w:val="auto"/>
          <w:sz w:val="24"/>
          <w:szCs w:val="22"/>
          <w:highlight w:val="none"/>
          <w:lang w:val="en-US" w:eastAsia="zh-CN" w:bidi="ar-SA"/>
        </w:rPr>
        <w:t>发出通知之日起10日内纠正</w:t>
      </w:r>
      <w:r>
        <w:rPr>
          <w:rFonts w:hint="eastAsia" w:ascii="宋体" w:hAnsi="宋体" w:eastAsia="宋体" w:cs="宋体"/>
          <w:color w:val="auto"/>
          <w:sz w:val="24"/>
          <w:szCs w:val="22"/>
          <w:highlight w:val="none"/>
          <w:lang w:val="en-US" w:eastAsia="zh-CN" w:bidi="ar-SA"/>
        </w:rPr>
        <w:t>的。</w:t>
      </w:r>
    </w:p>
    <w:p w14:paraId="5A7E1DA8">
      <w:pPr>
        <w:pStyle w:val="155"/>
        <w:tabs>
          <w:tab w:val="left" w:pos="753"/>
        </w:tabs>
        <w:spacing w:before="246" w:beforeLines="79" w:afterAutospacing="0" w:line="360" w:lineRule="auto"/>
        <w:ind w:firstLine="480" w:firstLineChars="20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（7）乙方未按法律、法规或行政管理部门要求申请申请并取得有关证照、许可证等。</w:t>
      </w:r>
    </w:p>
    <w:p w14:paraId="446735D8">
      <w:pPr>
        <w:pStyle w:val="155"/>
        <w:tabs>
          <w:tab w:val="left" w:pos="753"/>
        </w:tabs>
        <w:spacing w:before="246" w:beforeLines="79" w:afterAutospacing="0" w:line="360" w:lineRule="auto"/>
        <w:ind w:firstLine="480" w:firstLineChars="200"/>
        <w:rPr>
          <w:rFonts w:hint="eastAsia" w:ascii="宋体" w:hAnsi="宋体" w:eastAsia="宋体" w:cs="宋体"/>
          <w:color w:val="auto"/>
          <w:sz w:val="24"/>
          <w:szCs w:val="22"/>
          <w:highlight w:val="none"/>
          <w:lang w:val="en-US" w:eastAsia="zh-CN" w:bidi="ar-SA"/>
        </w:rPr>
      </w:pPr>
      <w:r>
        <w:rPr>
          <w:rFonts w:hint="eastAsia" w:ascii="宋体" w:hAnsi="宋体" w:cs="宋体"/>
          <w:color w:val="auto"/>
          <w:sz w:val="24"/>
          <w:szCs w:val="22"/>
          <w:highlight w:val="none"/>
          <w:lang w:val="en-US" w:eastAsia="zh-CN" w:bidi="ar-SA"/>
        </w:rPr>
        <w:t>（8）乙方无故提前解除本合同。</w:t>
      </w:r>
    </w:p>
    <w:p w14:paraId="04FB3482">
      <w:pPr>
        <w:pStyle w:val="155"/>
        <w:tabs>
          <w:tab w:val="left" w:pos="753"/>
        </w:tabs>
        <w:spacing w:beforeAutospacing="0" w:afterAutospacing="0" w:line="360" w:lineRule="auto"/>
        <w:ind w:left="0" w:leftChars="0" w:firstLine="0" w:firstLineChars="0"/>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4、运营期开始后因甲方原因违约而提前解除合同的，应退还物业运营管理合同保证金及预交租金，并按第三方评估公司评估认定的残值赔偿乙方的装饰装修的损失。</w:t>
      </w:r>
    </w:p>
    <w:p w14:paraId="4FE70200">
      <w:pPr>
        <w:pStyle w:val="155"/>
        <w:spacing w:beforeAutospacing="0"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5、如有前款违约情形发生，本合同于甲方送达解除合同的通知之日起终止，且甲方有权没收乙方所支付全部物业运营管理合同保证金，如甲方损失超过保证金，甲方有权就超过损失部分继续追偿并要求乙方按本合同的约定交还园区。</w:t>
      </w:r>
    </w:p>
    <w:p w14:paraId="5FE77731">
      <w:pPr>
        <w:pStyle w:val="155"/>
        <w:spacing w:before="246" w:beforeLines="79" w:line="360" w:lineRule="auto"/>
        <w:rPr>
          <w:rFonts w:ascii="Segoe UI Historic" w:hAnsi="Segoe UI Historic" w:eastAsia="宋体" w:cs="Segoe UI Historic"/>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6、双方因行使本</w:t>
      </w:r>
      <w:r>
        <w:rPr>
          <w:rFonts w:hint="eastAsia" w:ascii="Segoe UI Historic" w:hAnsi="Segoe UI Historic" w:eastAsia="宋体" w:cs="Segoe UI Historic"/>
          <w:color w:val="auto"/>
          <w:sz w:val="24"/>
          <w:szCs w:val="22"/>
          <w:highlight w:val="none"/>
          <w:lang w:val="en-US" w:eastAsia="zh-CN" w:bidi="ar-SA"/>
        </w:rPr>
        <w:t>合同顼下其他任何权利而引起的所有费用、开支包括但不限于律师费、诉讼费、公证费等，均由败诉方承担。</w:t>
      </w:r>
    </w:p>
    <w:p w14:paraId="790E5C9F">
      <w:pPr>
        <w:pStyle w:val="155"/>
        <w:spacing w:before="246" w:beforeLines="79" w:line="360" w:lineRule="auto"/>
        <w:ind w:firstLine="480" w:firstLineChars="200"/>
        <w:outlineLvl w:val="0"/>
        <w:rPr>
          <w:rFonts w:ascii="黑体" w:hAnsi="黑体" w:eastAsia="黑体" w:cs="黑体"/>
          <w:color w:val="auto"/>
          <w:sz w:val="24"/>
          <w:szCs w:val="22"/>
          <w:highlight w:val="none"/>
          <w:lang w:val="en-US" w:eastAsia="zh-CN" w:bidi="ar-SA"/>
        </w:rPr>
      </w:pPr>
      <w:bookmarkStart w:id="363" w:name="_Toc23424"/>
      <w:bookmarkStart w:id="364" w:name="_Toc25845"/>
      <w:bookmarkStart w:id="365" w:name="_Toc27619"/>
      <w:r>
        <w:rPr>
          <w:rFonts w:hint="eastAsia" w:ascii="黑体" w:hAnsi="黑体" w:eastAsia="黑体" w:cs="黑体"/>
          <w:color w:val="auto"/>
          <w:sz w:val="24"/>
          <w:szCs w:val="22"/>
          <w:highlight w:val="none"/>
          <w:lang w:val="en-US" w:eastAsia="zh-CN" w:bidi="ar-SA"/>
        </w:rPr>
        <w:t>十六、 不可抗力</w:t>
      </w:r>
      <w:bookmarkEnd w:id="363"/>
      <w:bookmarkEnd w:id="364"/>
      <w:bookmarkEnd w:id="365"/>
    </w:p>
    <w:p w14:paraId="2B6E7507">
      <w:pPr>
        <w:pStyle w:val="155"/>
        <w:spacing w:before="246" w:beforeLines="79"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1、“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14:paraId="0F0B8C52">
      <w:pPr>
        <w:pStyle w:val="155"/>
        <w:spacing w:before="246" w:beforeLines="79"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2、如发生不可抗力事件，遭受该事件的一方应立即用可能的最快捷的方式通知对方该事件的性质、发生日期、 预计持续时间等有关的细节，以及该事件阻碍通知方履行其于本合同项下义务的程度。</w:t>
      </w:r>
    </w:p>
    <w:p w14:paraId="3CEDBEFB">
      <w:pPr>
        <w:pStyle w:val="155"/>
        <w:spacing w:before="246" w:beforeLines="79"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3、在不可抗力事件持续期间，遭受不可抗力事件的一方应定期及时地告知对方不可抗力事件的现状，如不可抗力事件结束，应立即以书面形式通知对方。</w:t>
      </w:r>
    </w:p>
    <w:p w14:paraId="1FF2AF8E">
      <w:pPr>
        <w:pStyle w:val="155"/>
        <w:spacing w:before="246" w:beforeLines="79"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4、遭受不可抗力事件的一方可暂行中止履行本合同项下的义务直至不可抗力事件的影响消除为止，但应尽最大努力克服该事件，减轻其负面的影响。如该不可抗力自另一方收到通知后，持续超过三十天或导致本合同无法继续履行的，则任何一方均可解除本合同而无须向另一方承担任何责任。</w:t>
      </w:r>
    </w:p>
    <w:p w14:paraId="149576BF">
      <w:pPr>
        <w:pStyle w:val="155"/>
        <w:spacing w:before="246" w:beforeLines="79"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5、遭受不可抗力的一方应当向对方提供事件发生地区的公证机构（或其他适当机构）出具的证实不可抗力事件的合法证明，如其不能提供该等证明，对方可根据本合同的规定要求其承担违约责任。</w:t>
      </w:r>
    </w:p>
    <w:p w14:paraId="41C8DF7E">
      <w:pPr>
        <w:pStyle w:val="155"/>
        <w:spacing w:before="246" w:beforeLines="79" w:afterLines="0"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6、如遇不可抗力致使本合同不能履行或不能完全履行时，双方互不追究责任，并应妥善进行协商、变更或解除合同。</w:t>
      </w:r>
    </w:p>
    <w:p w14:paraId="3E0CB139">
      <w:pPr>
        <w:pStyle w:val="43"/>
        <w:spacing w:before="315" w:beforeLines="100" w:after="312" w:afterLines="0"/>
        <w:ind w:firstLine="480" w:firstLineChars="200"/>
        <w:rPr>
          <w:rFonts w:hint="eastAsia" w:ascii="黑体" w:hAnsi="黑体" w:eastAsia="黑体" w:cs="黑体"/>
          <w:b w:val="0"/>
          <w:bCs w:val="0"/>
          <w:color w:val="auto"/>
          <w:sz w:val="24"/>
          <w:highlight w:val="none"/>
          <w:lang w:val="en-US" w:eastAsia="zh-CN"/>
        </w:rPr>
      </w:pPr>
      <w:bookmarkStart w:id="366" w:name="_Toc24895"/>
      <w:r>
        <w:rPr>
          <w:rFonts w:hint="eastAsia" w:ascii="黑体" w:hAnsi="黑体" w:eastAsia="黑体" w:cs="黑体"/>
          <w:b w:val="0"/>
          <w:bCs w:val="0"/>
          <w:color w:val="auto"/>
          <w:kern w:val="2"/>
          <w:sz w:val="24"/>
          <w:szCs w:val="24"/>
          <w:highlight w:val="none"/>
          <w:lang w:val="en-US" w:eastAsia="zh-CN" w:bidi="ar-SA"/>
        </w:rPr>
        <w:t>十七  征收、征用、城市更新等</w:t>
      </w:r>
    </w:p>
    <w:p w14:paraId="588CD568">
      <w:pPr>
        <w:pStyle w:val="156"/>
        <w:widowControl/>
        <w:spacing w:beforeLines="0"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运营</w:t>
      </w:r>
      <w:r>
        <w:rPr>
          <w:rFonts w:hint="eastAsia" w:ascii="宋体" w:hAnsi="宋体" w:cs="宋体"/>
          <w:color w:val="auto"/>
          <w:sz w:val="24"/>
          <w:highlight w:val="none"/>
          <w:lang w:eastAsia="zh-CN"/>
        </w:rPr>
        <w:t>期限内，政府为公共利益需要</w:t>
      </w:r>
      <w:r>
        <w:rPr>
          <w:rFonts w:hint="eastAsia" w:ascii="宋体" w:hAnsi="宋体" w:cs="宋体"/>
          <w:color w:val="auto"/>
          <w:sz w:val="24"/>
          <w:highlight w:val="none"/>
          <w:lang w:val="en-US" w:eastAsia="zh-CN"/>
        </w:rPr>
        <w:t>等</w:t>
      </w:r>
      <w:r>
        <w:rPr>
          <w:rFonts w:hint="eastAsia" w:ascii="宋体" w:hAnsi="宋体" w:cs="宋体"/>
          <w:color w:val="auto"/>
          <w:sz w:val="24"/>
          <w:highlight w:val="none"/>
          <w:lang w:eastAsia="zh-CN"/>
        </w:rPr>
        <w:t>依法征收、征用、收回本合同项下用地，甲方在接到征收（用）文件或者批准收回文件后10个工作日内通知乙方，本合同自国家或政府部门作出征收（用）文件或者批准收回文件之日自然终止，不视为任一方违约。双方按实际情况办理</w:t>
      </w:r>
      <w:r>
        <w:rPr>
          <w:rFonts w:hint="eastAsia" w:ascii="宋体" w:hAnsi="宋体" w:cs="宋体"/>
          <w:bCs w:val="0"/>
          <w:color w:val="auto"/>
          <w:sz w:val="24"/>
          <w:highlight w:val="none"/>
          <w:lang w:val="en-US" w:eastAsia="zh-CN"/>
        </w:rPr>
        <w:t>租金</w:t>
      </w:r>
      <w:r>
        <w:rPr>
          <w:rFonts w:hint="eastAsia" w:ascii="宋体" w:hAnsi="宋体" w:cs="宋体"/>
          <w:color w:val="auto"/>
          <w:sz w:val="24"/>
          <w:highlight w:val="none"/>
          <w:lang w:eastAsia="zh-CN"/>
        </w:rPr>
        <w:t>结算手续，</w:t>
      </w:r>
      <w:r>
        <w:rPr>
          <w:rFonts w:hint="eastAsia" w:ascii="宋体" w:hAnsi="宋体" w:cs="宋体"/>
          <w:bCs w:val="0"/>
          <w:color w:val="auto"/>
          <w:sz w:val="24"/>
          <w:highlight w:val="none"/>
          <w:lang w:val="en-US" w:eastAsia="zh-CN"/>
        </w:rPr>
        <w:t>租金</w:t>
      </w:r>
      <w:r>
        <w:rPr>
          <w:rFonts w:hint="eastAsia" w:ascii="宋体" w:hAnsi="宋体" w:cs="宋体"/>
          <w:color w:val="auto"/>
          <w:sz w:val="24"/>
          <w:highlight w:val="none"/>
          <w:lang w:eastAsia="zh-CN"/>
        </w:rPr>
        <w:t>计算至乙方实际搬离之日止，乙方须在收到甲方书面通知后依甲方指定时间或政府规定时间清理完毕</w:t>
      </w:r>
      <w:r>
        <w:rPr>
          <w:rFonts w:hint="eastAsia" w:ascii="宋体" w:hAnsi="宋体" w:cs="宋体"/>
          <w:color w:val="auto"/>
          <w:sz w:val="24"/>
          <w:highlight w:val="none"/>
          <w:lang w:val="en-US" w:eastAsia="zh-CN"/>
        </w:rPr>
        <w:t>园区内</w:t>
      </w:r>
      <w:r>
        <w:rPr>
          <w:rFonts w:hint="eastAsia" w:ascii="宋体" w:hAnsi="宋体" w:cs="宋体"/>
          <w:color w:val="auto"/>
          <w:sz w:val="24"/>
          <w:highlight w:val="none"/>
          <w:lang w:eastAsia="zh-CN"/>
        </w:rPr>
        <w:t>物品并搬离，结清应缴水电费、税费等费用，将所有物业交回甲方管业。</w:t>
      </w:r>
    </w:p>
    <w:p w14:paraId="1EC32B6E">
      <w:pPr>
        <w:pStyle w:val="156"/>
        <w:widowControl/>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上述征收、征用等产生的补偿中，土地的补偿款、安置费等归甲方所有；因甲方配合征收、征用工作，依据政策、法规获得的如“提前交地奖”、“经济扶持奖”等政策性、经济性奖励或补助归甲方所有。</w:t>
      </w:r>
    </w:p>
    <w:p w14:paraId="79C4B4DC">
      <w:pPr>
        <w:pStyle w:val="156"/>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征地所产生的</w:t>
      </w:r>
      <w:r>
        <w:rPr>
          <w:rFonts w:hint="default" w:ascii="宋体" w:hAnsi="宋体" w:cs="宋体"/>
          <w:color w:val="auto"/>
          <w:sz w:val="24"/>
          <w:highlight w:val="none"/>
          <w:lang w:val="en-US" w:eastAsia="zh-CN"/>
        </w:rPr>
        <w:t>地上建筑物、构筑物及附属设施补偿款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归甲方所有。</w:t>
      </w:r>
    </w:p>
    <w:p w14:paraId="2A343A3B">
      <w:pPr>
        <w:pStyle w:val="156"/>
        <w:widowControl/>
        <w:spacing w:line="360" w:lineRule="auto"/>
        <w:ind w:firstLine="480" w:firstLineChars="200"/>
        <w:jc w:val="left"/>
        <w:rPr>
          <w:rFonts w:hint="eastAsia" w:ascii="宋体" w:hAnsi="宋体" w:cs="宋体"/>
          <w:bCs w:val="0"/>
          <w:color w:val="auto"/>
          <w:kern w:val="2"/>
          <w:sz w:val="24"/>
          <w:szCs w:val="24"/>
          <w:highlight w:val="none"/>
          <w:lang w:val="en-US" w:eastAsia="zh-CN" w:bidi="ar-SA"/>
        </w:rPr>
      </w:pPr>
      <w:r>
        <w:rPr>
          <w:rFonts w:hint="eastAsia" w:ascii="宋体" w:hAnsi="宋体" w:cs="宋体"/>
          <w:color w:val="auto"/>
          <w:sz w:val="24"/>
          <w:highlight w:val="none"/>
          <w:lang w:eastAsia="zh-CN"/>
        </w:rPr>
        <w:t>征地所产生的</w:t>
      </w:r>
      <w:r>
        <w:rPr>
          <w:rFonts w:hint="eastAsia" w:ascii="宋体" w:hAnsi="宋体" w:eastAsia="宋体" w:cs="宋体"/>
          <w:bCs w:val="0"/>
          <w:color w:val="auto"/>
          <w:kern w:val="2"/>
          <w:sz w:val="24"/>
          <w:szCs w:val="24"/>
          <w:highlight w:val="none"/>
          <w:lang w:val="en-US" w:eastAsia="zh-CN" w:bidi="ar-SA"/>
        </w:rPr>
        <w:t>装饰装修补偿</w:t>
      </w:r>
      <w:r>
        <w:rPr>
          <w:rFonts w:hint="eastAsia" w:ascii="宋体" w:hAnsi="宋体" w:cs="宋体"/>
          <w:bCs w:val="0"/>
          <w:color w:val="auto"/>
          <w:kern w:val="2"/>
          <w:sz w:val="24"/>
          <w:szCs w:val="24"/>
          <w:highlight w:val="none"/>
          <w:lang w:val="en-US" w:eastAsia="zh-CN" w:bidi="ar-SA"/>
        </w:rPr>
        <w:t>由甲乙双方以20年（240个月）为期限按比列分摊分配，已使用期限部分的补偿款归甲方所有，未使用年限部分的补偿款归乙方所有。</w:t>
      </w:r>
    </w:p>
    <w:p w14:paraId="4B16BAD7">
      <w:pPr>
        <w:pStyle w:val="156"/>
        <w:widowControl/>
        <w:spacing w:line="360" w:lineRule="auto"/>
        <w:ind w:firstLine="480" w:firstLineChars="200"/>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归属甲方的</w:t>
      </w:r>
      <w:r>
        <w:rPr>
          <w:rFonts w:hint="eastAsia" w:ascii="宋体" w:hAnsi="宋体" w:cs="宋体"/>
          <w:color w:val="auto"/>
          <w:sz w:val="24"/>
          <w:highlight w:val="none"/>
          <w:lang w:val="en-US" w:eastAsia="zh-CN"/>
        </w:rPr>
        <w:t>装饰装修</w:t>
      </w:r>
      <w:r>
        <w:rPr>
          <w:rFonts w:hint="default" w:ascii="宋体" w:hAnsi="宋体" w:cs="宋体"/>
          <w:color w:val="auto"/>
          <w:sz w:val="24"/>
          <w:highlight w:val="none"/>
          <w:lang w:val="en-US" w:eastAsia="zh-CN"/>
        </w:rPr>
        <w:t>补偿款=补偿款总额*已使用月份数（从合同签订起算）/240</w:t>
      </w:r>
    </w:p>
    <w:p w14:paraId="1CFF5831">
      <w:pPr>
        <w:pStyle w:val="156"/>
        <w:widowControl/>
        <w:spacing w:line="360" w:lineRule="auto"/>
        <w:ind w:firstLine="480" w:firstLineChars="200"/>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归属乙方的</w:t>
      </w:r>
      <w:r>
        <w:rPr>
          <w:rFonts w:hint="eastAsia" w:ascii="宋体" w:hAnsi="宋体" w:cs="宋体"/>
          <w:color w:val="auto"/>
          <w:sz w:val="24"/>
          <w:highlight w:val="none"/>
          <w:lang w:val="en-US" w:eastAsia="zh-CN"/>
        </w:rPr>
        <w:t>装饰装修</w:t>
      </w:r>
      <w:r>
        <w:rPr>
          <w:rFonts w:hint="default" w:ascii="宋体" w:hAnsi="宋体" w:cs="宋体"/>
          <w:color w:val="auto"/>
          <w:sz w:val="24"/>
          <w:highlight w:val="none"/>
          <w:lang w:val="en-US" w:eastAsia="zh-CN"/>
        </w:rPr>
        <w:t>补偿款=补偿款总额*未使用月份数（从合同签订起算）/240</w:t>
      </w:r>
    </w:p>
    <w:p w14:paraId="74B7F619">
      <w:pPr>
        <w:spacing w:line="360" w:lineRule="auto"/>
        <w:ind w:firstLine="0" w:firstLineChars="0"/>
        <w:rPr>
          <w:rFonts w:hint="eastAsia" w:ascii="宋体" w:hAnsi="宋体" w:eastAsia="宋体" w:cs="宋体"/>
          <w:bCs w:val="0"/>
          <w:color w:val="auto"/>
          <w:kern w:val="2"/>
          <w:sz w:val="24"/>
          <w:szCs w:val="24"/>
          <w:highlight w:val="none"/>
          <w:lang w:val="en-US" w:eastAsia="zh-CN" w:bidi="ar-SA"/>
        </w:rPr>
      </w:pPr>
      <w:r>
        <w:rPr>
          <w:rFonts w:hint="eastAsia" w:ascii="宋体" w:hAnsi="宋体" w:cs="宋体"/>
          <w:color w:val="auto"/>
          <w:sz w:val="24"/>
          <w:highlight w:val="none"/>
          <w:lang w:val="en-US" w:eastAsia="zh-CN"/>
        </w:rPr>
        <w:t xml:space="preserve">    2、</w:t>
      </w:r>
      <w:r>
        <w:rPr>
          <w:rFonts w:hint="eastAsia" w:ascii="宋体" w:hAnsi="宋体" w:eastAsia="宋体" w:cs="宋体"/>
          <w:bCs w:val="0"/>
          <w:color w:val="auto"/>
          <w:kern w:val="2"/>
          <w:sz w:val="24"/>
          <w:szCs w:val="24"/>
          <w:highlight w:val="none"/>
          <w:lang w:val="en-US" w:eastAsia="zh-CN" w:bidi="ar-SA"/>
        </w:rPr>
        <w:t>自运营期起算之日15年内（含15年），因甲方自行开发建设、升级改造等需要须提前终止合同的（即合同终止之日距合同签订之日不足15年或刚好15年的），甲方有权提前6个月通知乙方终止合同收回租赁物，但甲方应将物业运营管理合同保证金无息退还给乙方，并向乙方补偿：</w:t>
      </w:r>
    </w:p>
    <w:p w14:paraId="31FB63AB">
      <w:pPr>
        <w:spacing w:line="360" w:lineRule="auto"/>
        <w:ind w:firstLine="0" w:firstLineChars="0"/>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①搬迁费，以发出书面通知时上一年乙方月平均利润分成为基数，按3个月计算；</w:t>
      </w:r>
    </w:p>
    <w:p w14:paraId="578EDAB7">
      <w:pPr>
        <w:spacing w:line="360" w:lineRule="auto"/>
        <w:ind w:firstLine="0" w:firstLineChars="0"/>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②装饰装修补偿费（包括乙方投入的入墙入地设施），甲、乙双方从广州市中级人民法院司法委托专业机构名册中共同摇珠选定评估机构，以该评估机构出具的装修价值评估结果为基础，按合同剩余年限折旧补偿，即装饰装修补偿补偿=装修价值评估结果÷20年×剩余年限；</w:t>
      </w:r>
    </w:p>
    <w:p w14:paraId="7ADDC7D8">
      <w:pPr>
        <w:spacing w:line="360" w:lineRule="auto"/>
        <w:ind w:firstLine="0" w:firstLineChars="0"/>
        <w:rPr>
          <w:rFonts w:hint="default"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③经营损失， 以发出书面通知时上一年乙方月平均利润分成为基数，按3个月计算</w:t>
      </w:r>
    </w:p>
    <w:p w14:paraId="1948EFEB">
      <w:pPr>
        <w:spacing w:line="360" w:lineRule="auto"/>
        <w:ind w:firstLine="0" w:firstLineChars="0"/>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除前述两项补偿外，乙方同意不向甲方主张其他任何补偿或赔偿，包括但不限于人员遣散费、临时安置费、可得利益损失。</w:t>
      </w:r>
    </w:p>
    <w:p w14:paraId="34518744">
      <w:pPr>
        <w:spacing w:line="360" w:lineRule="auto"/>
        <w:ind w:firstLine="480" w:firstLineChars="200"/>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3、自运营期起算之日起算满15年后，因甲方自行开发建设、升级改造等需要须提前终止合同的，甲方有权提前6个月通知乙方终止合同收回园区，但甲方应将物业运营管理合同保证金无息退还给乙方，并向乙方补偿：①搬迁费，以发出书面通知上一月乙方月租金，按3个月计算；除搬迁费补偿外，乙方同意不向甲方主张其他任何补偿或赔偿，包括但不限于装修费、经营损失、人员遣散费、临时安置费、可得利益损失。</w:t>
      </w:r>
    </w:p>
    <w:p w14:paraId="600C92DF">
      <w:pPr>
        <w:spacing w:line="360" w:lineRule="auto"/>
        <w:ind w:firstLine="480" w:firstLineChars="200"/>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自甲方提前终止合同的书面通知送达乙方之日（拒收视为已送达）起1个月内，乙方应当将园区交还甲方，租金据实结算至实际交还之日。</w:t>
      </w:r>
    </w:p>
    <w:p w14:paraId="1F566687">
      <w:pPr>
        <w:ind w:firstLine="480" w:firstLineChars="200"/>
        <w:rPr>
          <w:rFonts w:ascii="黑体" w:hAnsi="黑体" w:eastAsia="黑体" w:cs="黑体"/>
          <w:color w:val="auto"/>
          <w:sz w:val="24"/>
          <w:szCs w:val="22"/>
          <w:highlight w:val="none"/>
          <w:lang w:val="en-US" w:eastAsia="zh-CN" w:bidi="ar-SA"/>
        </w:rPr>
      </w:pPr>
      <w:r>
        <w:rPr>
          <w:rFonts w:hint="eastAsia" w:ascii="黑体" w:hAnsi="黑体" w:eastAsia="黑体" w:cs="黑体"/>
          <w:color w:val="auto"/>
          <w:sz w:val="24"/>
          <w:szCs w:val="22"/>
          <w:highlight w:val="none"/>
          <w:lang w:val="en-US" w:eastAsia="zh-CN" w:bidi="ar-SA"/>
        </w:rPr>
        <w:t>十八、 通知与送达</w:t>
      </w:r>
      <w:bookmarkEnd w:id="366"/>
    </w:p>
    <w:p w14:paraId="3916C23F">
      <w:pPr>
        <w:pStyle w:val="155"/>
        <w:spacing w:before="246" w:beforeLines="79" w:after="100" w:line="360" w:lineRule="auto"/>
        <w:rPr>
          <w:rFonts w:ascii="Segoe UI Historic" w:hAnsi="Segoe UI Historic" w:eastAsia="宋体" w:cs="Segoe UI Historic"/>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1、</w:t>
      </w:r>
      <w:r>
        <w:rPr>
          <w:rFonts w:hint="eastAsia" w:ascii="Segoe UI Historic" w:hAnsi="Segoe UI Historic" w:eastAsia="宋体" w:cs="Segoe UI Historic"/>
          <w:color w:val="auto"/>
          <w:sz w:val="24"/>
          <w:szCs w:val="22"/>
          <w:highlight w:val="none"/>
          <w:lang w:val="en-US" w:eastAsia="zh-CN" w:bidi="ar-SA"/>
        </w:rPr>
        <w:t>任何与本合同有关的由本合同双方当事人发出的任何文件、通知及其他通讯往来，如釆取书面形式，必须送达至下述地址或双方书面通知的其他地址。若一方变更地址、电话、电子邮件地址或联系人，应即时以书面形式通知对方，否则，合同中的地址、电话及电子邮件地址将被视为有效，任何一方按合同中的地址、电话或电子邮件发送的文件视为履行了传递文件的通知义务。如因合同中确定的地址错误或地址变更没有书面通知造成送达不能的，由有通知义务的一方自行承担一切损失和责任。</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2"/>
        <w:gridCol w:w="4263"/>
      </w:tblGrid>
      <w:tr w14:paraId="45C4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0" w:type="dxa"/>
          </w:tcPr>
          <w:p w14:paraId="4D515CC5">
            <w:pPr>
              <w:pStyle w:val="155"/>
              <w:keepNext w:val="0"/>
              <w:keepLines w:val="0"/>
              <w:suppressLineNumbers w:val="0"/>
              <w:spacing w:before="246" w:beforeLines="79" w:beforeAutospacing="0" w:after="100" w:afterAutospacing="0" w:line="360" w:lineRule="auto"/>
              <w:ind w:left="0" w:right="0"/>
              <w:rPr>
                <w:rFonts w:hint="default" w:ascii="Segoe UI Historic" w:hAnsi="Segoe UI Historic" w:eastAsia="宋体" w:cs="Segoe UI Historic"/>
                <w:color w:val="auto"/>
                <w:sz w:val="24"/>
                <w:szCs w:val="22"/>
                <w:highlight w:val="none"/>
                <w:lang w:val="en-US" w:eastAsia="zh-CN" w:bidi="ar-SA"/>
              </w:rPr>
            </w:pPr>
            <w:r>
              <w:rPr>
                <w:rFonts w:hint="eastAsia" w:ascii="Segoe UI Historic" w:hAnsi="Segoe UI Historic" w:eastAsia="宋体" w:cs="Segoe UI Historic"/>
                <w:color w:val="auto"/>
                <w:sz w:val="24"/>
                <w:szCs w:val="22"/>
                <w:highlight w:val="none"/>
                <w:lang w:val="en-US" w:eastAsia="zh-CN" w:bidi="ar-SA"/>
              </w:rPr>
              <w:t>甲方：</w:t>
            </w:r>
          </w:p>
        </w:tc>
        <w:tc>
          <w:tcPr>
            <w:tcW w:w="4491" w:type="dxa"/>
          </w:tcPr>
          <w:p w14:paraId="5D9474A2">
            <w:pPr>
              <w:pStyle w:val="155"/>
              <w:keepNext w:val="0"/>
              <w:keepLines w:val="0"/>
              <w:suppressLineNumbers w:val="0"/>
              <w:spacing w:before="246" w:beforeLines="79" w:beforeAutospacing="0" w:after="100" w:afterAutospacing="0" w:line="360" w:lineRule="auto"/>
              <w:ind w:left="0" w:right="0"/>
              <w:rPr>
                <w:rFonts w:hint="default" w:ascii="Segoe UI Historic" w:hAnsi="Segoe UI Historic" w:eastAsia="宋体" w:cs="Segoe UI Historic"/>
                <w:color w:val="auto"/>
                <w:sz w:val="24"/>
                <w:szCs w:val="22"/>
                <w:highlight w:val="none"/>
                <w:lang w:val="en-US" w:eastAsia="zh-CN" w:bidi="ar-SA"/>
              </w:rPr>
            </w:pPr>
            <w:r>
              <w:rPr>
                <w:rFonts w:hint="eastAsia" w:ascii="Segoe UI Historic" w:hAnsi="Segoe UI Historic" w:eastAsia="宋体" w:cs="Segoe UI Historic"/>
                <w:color w:val="auto"/>
                <w:sz w:val="24"/>
                <w:szCs w:val="22"/>
                <w:highlight w:val="none"/>
                <w:lang w:val="en-US" w:eastAsia="zh-CN" w:bidi="ar-SA"/>
              </w:rPr>
              <w:t>乙方：</w:t>
            </w:r>
          </w:p>
        </w:tc>
      </w:tr>
      <w:tr w14:paraId="6D6D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0" w:type="dxa"/>
          </w:tcPr>
          <w:p w14:paraId="16B9DF0F">
            <w:pPr>
              <w:pStyle w:val="155"/>
              <w:keepNext w:val="0"/>
              <w:keepLines w:val="0"/>
              <w:suppressLineNumbers w:val="0"/>
              <w:spacing w:before="246" w:beforeLines="79" w:beforeAutospacing="0" w:after="100" w:afterAutospacing="0" w:line="360" w:lineRule="auto"/>
              <w:ind w:left="0" w:right="0"/>
              <w:rPr>
                <w:rFonts w:hint="default" w:ascii="Segoe UI Historic" w:hAnsi="Segoe UI Historic" w:eastAsia="宋体" w:cs="Segoe UI Historic"/>
                <w:color w:val="auto"/>
                <w:sz w:val="24"/>
                <w:szCs w:val="22"/>
                <w:highlight w:val="none"/>
                <w:lang w:val="en-US" w:eastAsia="zh-CN" w:bidi="ar-SA"/>
              </w:rPr>
            </w:pPr>
            <w:r>
              <w:rPr>
                <w:rFonts w:hint="eastAsia" w:ascii="Segoe UI Historic" w:hAnsi="Segoe UI Historic" w:eastAsia="宋体" w:cs="Segoe UI Historic"/>
                <w:color w:val="auto"/>
                <w:sz w:val="24"/>
                <w:szCs w:val="22"/>
                <w:highlight w:val="none"/>
                <w:lang w:val="en-US" w:eastAsia="zh-CN" w:bidi="ar-SA"/>
              </w:rPr>
              <w:t>送达地址：</w:t>
            </w:r>
          </w:p>
        </w:tc>
        <w:tc>
          <w:tcPr>
            <w:tcW w:w="4491" w:type="dxa"/>
          </w:tcPr>
          <w:p w14:paraId="795FCF93">
            <w:pPr>
              <w:pStyle w:val="155"/>
              <w:keepNext w:val="0"/>
              <w:keepLines w:val="0"/>
              <w:suppressLineNumbers w:val="0"/>
              <w:spacing w:before="246" w:beforeLines="79" w:beforeAutospacing="0" w:after="100" w:afterAutospacing="0" w:line="360" w:lineRule="auto"/>
              <w:ind w:left="0" w:right="0"/>
              <w:rPr>
                <w:rFonts w:hint="default" w:ascii="Segoe UI Historic" w:hAnsi="Segoe UI Historic" w:eastAsia="宋体" w:cs="Segoe UI Historic"/>
                <w:color w:val="auto"/>
                <w:sz w:val="24"/>
                <w:szCs w:val="22"/>
                <w:highlight w:val="none"/>
                <w:lang w:val="en-US" w:eastAsia="zh-CN" w:bidi="ar-SA"/>
              </w:rPr>
            </w:pPr>
            <w:r>
              <w:rPr>
                <w:rFonts w:hint="eastAsia" w:ascii="Segoe UI Historic" w:hAnsi="Segoe UI Historic" w:eastAsia="宋体" w:cs="Segoe UI Historic"/>
                <w:color w:val="auto"/>
                <w:sz w:val="24"/>
                <w:szCs w:val="22"/>
                <w:highlight w:val="none"/>
                <w:lang w:val="en-US" w:eastAsia="zh-CN" w:bidi="ar-SA"/>
              </w:rPr>
              <w:t>送达地址：</w:t>
            </w:r>
          </w:p>
        </w:tc>
      </w:tr>
      <w:tr w14:paraId="2EA3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0" w:type="dxa"/>
          </w:tcPr>
          <w:p w14:paraId="65C2D1CC">
            <w:pPr>
              <w:pStyle w:val="155"/>
              <w:keepNext w:val="0"/>
              <w:keepLines w:val="0"/>
              <w:suppressLineNumbers w:val="0"/>
              <w:spacing w:before="246" w:beforeLines="79" w:beforeAutospacing="0" w:after="100" w:afterAutospacing="0" w:line="360" w:lineRule="auto"/>
              <w:ind w:left="0" w:right="0"/>
              <w:rPr>
                <w:rFonts w:hint="default" w:ascii="Segoe UI Historic" w:hAnsi="Segoe UI Historic" w:eastAsia="宋体" w:cs="Segoe UI Historic"/>
                <w:color w:val="auto"/>
                <w:sz w:val="24"/>
                <w:szCs w:val="22"/>
                <w:highlight w:val="none"/>
                <w:lang w:val="en-US" w:eastAsia="zh-CN" w:bidi="ar-SA"/>
              </w:rPr>
            </w:pPr>
            <w:r>
              <w:rPr>
                <w:rFonts w:hint="eastAsia" w:ascii="Segoe UI Historic" w:hAnsi="Segoe UI Historic" w:eastAsia="宋体" w:cs="Segoe UI Historic"/>
                <w:color w:val="auto"/>
                <w:sz w:val="24"/>
                <w:szCs w:val="22"/>
                <w:highlight w:val="none"/>
                <w:lang w:val="en-US" w:eastAsia="zh-CN" w:bidi="ar-SA"/>
              </w:rPr>
              <w:t>电子邮件：</w:t>
            </w:r>
          </w:p>
        </w:tc>
        <w:tc>
          <w:tcPr>
            <w:tcW w:w="4491" w:type="dxa"/>
          </w:tcPr>
          <w:p w14:paraId="50153D0B">
            <w:pPr>
              <w:pStyle w:val="155"/>
              <w:keepNext w:val="0"/>
              <w:keepLines w:val="0"/>
              <w:suppressLineNumbers w:val="0"/>
              <w:spacing w:before="246" w:beforeLines="79" w:beforeAutospacing="0" w:after="100" w:afterAutospacing="0" w:line="360" w:lineRule="auto"/>
              <w:ind w:left="0" w:right="0"/>
              <w:rPr>
                <w:rFonts w:hint="default" w:ascii="Segoe UI Historic" w:hAnsi="Segoe UI Historic" w:eastAsia="宋体" w:cs="Segoe UI Historic"/>
                <w:color w:val="auto"/>
                <w:sz w:val="24"/>
                <w:szCs w:val="22"/>
                <w:highlight w:val="none"/>
                <w:lang w:val="en-US" w:eastAsia="zh-CN" w:bidi="ar-SA"/>
              </w:rPr>
            </w:pPr>
            <w:r>
              <w:rPr>
                <w:rFonts w:hint="eastAsia" w:ascii="Segoe UI Historic" w:hAnsi="Segoe UI Historic" w:eastAsia="宋体" w:cs="Segoe UI Historic"/>
                <w:color w:val="auto"/>
                <w:sz w:val="24"/>
                <w:szCs w:val="22"/>
                <w:highlight w:val="none"/>
                <w:lang w:val="en-US" w:eastAsia="zh-CN" w:bidi="ar-SA"/>
              </w:rPr>
              <w:t>电子邮件：</w:t>
            </w:r>
          </w:p>
        </w:tc>
      </w:tr>
      <w:tr w14:paraId="0EE0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0" w:type="dxa"/>
          </w:tcPr>
          <w:p w14:paraId="66B849B8">
            <w:pPr>
              <w:pStyle w:val="155"/>
              <w:keepNext w:val="0"/>
              <w:keepLines w:val="0"/>
              <w:suppressLineNumbers w:val="0"/>
              <w:spacing w:before="246" w:beforeLines="79" w:beforeAutospacing="0" w:after="100" w:afterAutospacing="0" w:line="360" w:lineRule="auto"/>
              <w:ind w:left="0" w:right="0"/>
              <w:rPr>
                <w:rFonts w:hint="default" w:ascii="Segoe UI Historic" w:hAnsi="Segoe UI Historic" w:eastAsia="宋体" w:cs="Segoe UI Historic"/>
                <w:color w:val="auto"/>
                <w:sz w:val="24"/>
                <w:szCs w:val="22"/>
                <w:highlight w:val="none"/>
                <w:lang w:val="en-US" w:eastAsia="zh-CN" w:bidi="ar-SA"/>
              </w:rPr>
            </w:pPr>
            <w:r>
              <w:rPr>
                <w:rFonts w:hint="eastAsia" w:ascii="Segoe UI Historic" w:hAnsi="Segoe UI Historic" w:eastAsia="宋体" w:cs="Segoe UI Historic"/>
                <w:color w:val="auto"/>
                <w:sz w:val="24"/>
                <w:szCs w:val="22"/>
                <w:highlight w:val="none"/>
                <w:lang w:val="en-US" w:eastAsia="zh-CN" w:bidi="ar-SA"/>
              </w:rPr>
              <w:t>联系人：</w:t>
            </w:r>
          </w:p>
        </w:tc>
        <w:tc>
          <w:tcPr>
            <w:tcW w:w="4491" w:type="dxa"/>
          </w:tcPr>
          <w:p w14:paraId="10ACE793">
            <w:pPr>
              <w:pStyle w:val="155"/>
              <w:keepNext w:val="0"/>
              <w:keepLines w:val="0"/>
              <w:suppressLineNumbers w:val="0"/>
              <w:spacing w:before="246" w:beforeLines="79" w:beforeAutospacing="0" w:after="100" w:afterAutospacing="0" w:line="360" w:lineRule="auto"/>
              <w:ind w:left="0" w:right="0"/>
              <w:rPr>
                <w:rFonts w:hint="default" w:ascii="Segoe UI Historic" w:hAnsi="Segoe UI Historic" w:eastAsia="宋体" w:cs="Segoe UI Historic"/>
                <w:color w:val="auto"/>
                <w:sz w:val="24"/>
                <w:szCs w:val="22"/>
                <w:highlight w:val="none"/>
                <w:lang w:val="en-US" w:eastAsia="zh-CN" w:bidi="ar-SA"/>
              </w:rPr>
            </w:pPr>
            <w:r>
              <w:rPr>
                <w:rFonts w:hint="eastAsia" w:ascii="Segoe UI Historic" w:hAnsi="Segoe UI Historic" w:eastAsia="宋体" w:cs="Segoe UI Historic"/>
                <w:color w:val="auto"/>
                <w:sz w:val="24"/>
                <w:szCs w:val="22"/>
                <w:highlight w:val="none"/>
                <w:lang w:val="en-US" w:eastAsia="zh-CN" w:bidi="ar-SA"/>
              </w:rPr>
              <w:t>联系人：</w:t>
            </w:r>
          </w:p>
        </w:tc>
      </w:tr>
    </w:tbl>
    <w:p w14:paraId="0742E24A">
      <w:pPr>
        <w:pStyle w:val="155"/>
        <w:spacing w:before="246" w:beforeLines="79"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2、任何文件、通知或其他通讯往来，以邮政局出具的投送收据或快递公司出具的快递单、快递网站的物流记录等，将作为有效证明；如以手递的方式，则于对方签收时视作已送达，收条将作为有效证明。</w:t>
      </w:r>
    </w:p>
    <w:p w14:paraId="065D9578">
      <w:pPr>
        <w:pStyle w:val="155"/>
        <w:spacing w:before="246" w:beforeLines="79" w:line="360" w:lineRule="auto"/>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3、甲方在乙方园区门口或其他醒目位置张贴的与本项目日常管理及本合同履约事宜有关的通知或文件，即视为已合理通知并送达乙方。</w:t>
      </w:r>
    </w:p>
    <w:p w14:paraId="310909B4">
      <w:pPr>
        <w:pStyle w:val="155"/>
        <w:spacing w:before="246" w:beforeLines="79" w:line="360" w:lineRule="auto"/>
        <w:rPr>
          <w:rFonts w:ascii="Segoe UI Historic" w:hAnsi="Segoe UI Historic" w:eastAsia="宋体" w:cs="Segoe UI Historic"/>
          <w:color w:val="auto"/>
          <w:sz w:val="24"/>
          <w:szCs w:val="22"/>
          <w:highlight w:val="none"/>
          <w:lang w:val="en-US" w:eastAsia="zh-CN" w:bidi="ar-SA"/>
        </w:rPr>
      </w:pPr>
      <w:r>
        <w:rPr>
          <w:rFonts w:hint="eastAsia" w:ascii="宋体" w:hAnsi="宋体" w:eastAsia="宋体" w:cs="宋体"/>
          <w:color w:val="auto"/>
          <w:sz w:val="24"/>
          <w:szCs w:val="22"/>
          <w:highlight w:val="none"/>
          <w:lang w:val="en-US" w:eastAsia="zh-CN" w:bidi="ar-SA"/>
        </w:rPr>
        <w:t>4</w:t>
      </w:r>
      <w:r>
        <w:rPr>
          <w:rFonts w:hint="eastAsia" w:ascii="Segoe UI Historic" w:hAnsi="Segoe UI Historic" w:eastAsia="宋体" w:cs="Segoe UI Historic"/>
          <w:color w:val="auto"/>
          <w:sz w:val="24"/>
          <w:szCs w:val="22"/>
          <w:highlight w:val="none"/>
          <w:lang w:val="en-US" w:eastAsia="zh-CN" w:bidi="ar-SA"/>
        </w:rPr>
        <w:t>、甲乙双方之间的书面函件，如任何一方在其中提出具体要求或建议且要求在收到函件后指定的合理期限内（不得少于15天）回函的，则另一方有责任于指定期限内回函。</w:t>
      </w:r>
    </w:p>
    <w:p w14:paraId="3043661D">
      <w:pPr>
        <w:pStyle w:val="155"/>
        <w:spacing w:before="246" w:beforeLines="79" w:line="360" w:lineRule="auto"/>
        <w:ind w:firstLine="480" w:firstLineChars="200"/>
        <w:outlineLvl w:val="0"/>
        <w:rPr>
          <w:rFonts w:ascii="黑体" w:hAnsi="黑体" w:eastAsia="黑体" w:cs="黑体"/>
          <w:color w:val="auto"/>
          <w:sz w:val="24"/>
          <w:szCs w:val="22"/>
          <w:highlight w:val="none"/>
          <w:lang w:val="en-US" w:eastAsia="zh-CN" w:bidi="ar-SA"/>
        </w:rPr>
      </w:pPr>
      <w:bookmarkStart w:id="367" w:name="_Toc22488"/>
      <w:bookmarkStart w:id="368" w:name="_Toc13861"/>
      <w:bookmarkStart w:id="369" w:name="_Toc10791"/>
      <w:r>
        <w:rPr>
          <w:rFonts w:hint="eastAsia" w:ascii="黑体" w:hAnsi="黑体" w:eastAsia="黑体" w:cs="黑体"/>
          <w:color w:val="auto"/>
          <w:sz w:val="24"/>
          <w:szCs w:val="22"/>
          <w:highlight w:val="none"/>
          <w:lang w:val="en-US" w:eastAsia="zh-CN" w:bidi="ar-SA"/>
        </w:rPr>
        <w:t>十九、 保密</w:t>
      </w:r>
      <w:bookmarkEnd w:id="367"/>
      <w:bookmarkEnd w:id="368"/>
      <w:bookmarkEnd w:id="369"/>
    </w:p>
    <w:p w14:paraId="36B876D3">
      <w:pPr>
        <w:pStyle w:val="155"/>
        <w:spacing w:before="246" w:beforeLines="79" w:line="360" w:lineRule="auto"/>
        <w:ind w:firstLine="480" w:firstLineChars="200"/>
        <w:rPr>
          <w:rFonts w:ascii="Segoe UI Historic" w:hAnsi="Segoe UI Historic" w:eastAsia="宋体" w:cs="Segoe UI Historic"/>
          <w:color w:val="auto"/>
          <w:sz w:val="24"/>
          <w:szCs w:val="22"/>
          <w:highlight w:val="none"/>
          <w:lang w:val="en-US" w:eastAsia="zh-CN" w:bidi="ar-SA"/>
        </w:rPr>
      </w:pPr>
      <w:r>
        <w:rPr>
          <w:rFonts w:hint="eastAsia" w:ascii="Segoe UI Historic" w:hAnsi="Segoe UI Historic" w:eastAsia="宋体" w:cs="Segoe UI Historic"/>
          <w:color w:val="auto"/>
          <w:sz w:val="24"/>
          <w:szCs w:val="22"/>
          <w:highlight w:val="none"/>
          <w:lang w:val="en-US" w:eastAsia="zh-CN" w:bidi="ar-SA"/>
        </w:rPr>
        <w:t xml:space="preserve">双方保证不向任何第三方披露或泄露任何从另一方处获得的信息或其他因签署、履行本协议而为其所知晓的信息，包括但不限于双方的账户或其他财务数据、本合同（附件）及补充条款项下条款和租金等。如果一方因另一方未经授权披露或泄露该等信息而遭致任何费用或损失，披露方应承担全部赔偿责任。 </w:t>
      </w:r>
    </w:p>
    <w:p w14:paraId="16D4E2CF">
      <w:pPr>
        <w:widowControl/>
        <w:shd w:val="clear" w:color="auto" w:fill="FDFDFE"/>
        <w:ind w:firstLine="231" w:firstLineChars="100"/>
        <w:jc w:val="left"/>
        <w:rPr>
          <w:rFonts w:hint="default" w:ascii="Segoe UI" w:hAnsi="Segoe UI" w:eastAsia="宋体" w:cs="Segoe UI"/>
          <w:b/>
          <w:bCs/>
          <w:color w:val="auto"/>
          <w:kern w:val="0"/>
          <w:sz w:val="23"/>
          <w:szCs w:val="23"/>
          <w:highlight w:val="none"/>
          <w:lang w:val="en-US" w:eastAsia="zh-CN"/>
        </w:rPr>
      </w:pPr>
    </w:p>
    <w:p w14:paraId="2866A417">
      <w:pPr>
        <w:pStyle w:val="155"/>
        <w:spacing w:before="246" w:beforeLines="79" w:line="360" w:lineRule="auto"/>
        <w:ind w:firstLine="480" w:firstLineChars="200"/>
        <w:outlineLvl w:val="0"/>
        <w:rPr>
          <w:rFonts w:hint="eastAsia" w:ascii="黑体" w:hAnsi="黑体" w:eastAsia="黑体" w:cs="黑体"/>
          <w:color w:val="auto"/>
          <w:sz w:val="24"/>
          <w:szCs w:val="22"/>
          <w:highlight w:val="none"/>
          <w:lang w:val="en-US" w:eastAsia="zh-CN" w:bidi="ar-SA"/>
        </w:rPr>
      </w:pPr>
      <w:bookmarkStart w:id="370" w:name="_Toc20496"/>
      <w:bookmarkStart w:id="371" w:name="_Toc2876"/>
      <w:r>
        <w:rPr>
          <w:rFonts w:hint="eastAsia" w:ascii="黑体" w:hAnsi="黑体" w:eastAsia="黑体" w:cs="黑体"/>
          <w:color w:val="auto"/>
          <w:sz w:val="24"/>
          <w:szCs w:val="22"/>
          <w:highlight w:val="none"/>
          <w:lang w:val="en-US" w:eastAsia="zh-CN" w:bidi="ar-SA"/>
        </w:rPr>
        <w:t>二十、争议解决</w:t>
      </w:r>
      <w:bookmarkEnd w:id="370"/>
      <w:bookmarkEnd w:id="371"/>
    </w:p>
    <w:p w14:paraId="736CFA67">
      <w:pPr>
        <w:wordWrap w:val="0"/>
        <w:spacing w:line="500" w:lineRule="exact"/>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凡因执行本合同所发生的或与本合同有关的一切争议，如果双方协商不成，双方均有权将争议提交</w:t>
      </w:r>
      <w:r>
        <w:rPr>
          <w:rFonts w:hint="eastAsia" w:ascii="宋体" w:hAnsi="宋体" w:eastAsia="宋体" w:cs="宋体"/>
          <w:bCs/>
          <w:color w:val="auto"/>
          <w:kern w:val="0"/>
          <w:sz w:val="24"/>
          <w:highlight w:val="none"/>
          <w:lang w:val="en-US" w:eastAsia="zh-CN"/>
        </w:rPr>
        <w:t>广州市番禺区</w:t>
      </w:r>
      <w:r>
        <w:rPr>
          <w:rFonts w:hint="eastAsia" w:ascii="宋体" w:hAnsi="宋体" w:eastAsia="宋体" w:cs="宋体"/>
          <w:bCs/>
          <w:color w:val="auto"/>
          <w:kern w:val="0"/>
          <w:sz w:val="24"/>
          <w:highlight w:val="none"/>
        </w:rPr>
        <w:t>人民法院裁判，人民法院的裁决对双方均有约束力。</w:t>
      </w:r>
    </w:p>
    <w:p w14:paraId="570BB5D4">
      <w:pPr>
        <w:pStyle w:val="155"/>
        <w:spacing w:before="246" w:beforeLines="79" w:line="360" w:lineRule="auto"/>
        <w:ind w:firstLine="480" w:firstLineChars="200"/>
        <w:outlineLvl w:val="0"/>
        <w:rPr>
          <w:rFonts w:hint="eastAsia" w:ascii="黑体" w:hAnsi="黑体" w:eastAsia="黑体" w:cs="黑体"/>
          <w:color w:val="auto"/>
          <w:sz w:val="24"/>
          <w:szCs w:val="22"/>
          <w:highlight w:val="none"/>
          <w:lang w:val="en-US" w:eastAsia="zh-CN" w:bidi="ar-SA"/>
        </w:rPr>
      </w:pPr>
      <w:bookmarkStart w:id="372" w:name="_Toc23673"/>
      <w:bookmarkStart w:id="373" w:name="_Toc14863"/>
      <w:r>
        <w:rPr>
          <w:rFonts w:hint="eastAsia" w:ascii="黑体" w:hAnsi="黑体" w:eastAsia="黑体" w:cs="黑体"/>
          <w:color w:val="auto"/>
          <w:sz w:val="24"/>
          <w:szCs w:val="22"/>
          <w:highlight w:val="none"/>
          <w:lang w:val="en-US" w:eastAsia="zh-CN" w:bidi="ar-SA"/>
        </w:rPr>
        <w:t>二十一、其他</w:t>
      </w:r>
      <w:bookmarkEnd w:id="372"/>
      <w:bookmarkEnd w:id="373"/>
    </w:p>
    <w:p w14:paraId="631E3513">
      <w:pPr>
        <w:wordWrap w:val="0"/>
        <w:spacing w:line="500" w:lineRule="exact"/>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1、本合同未尽事宜由双方协商解决。如需制定补充协议，其法律效力同本合同，补充协议与本合同冲突的以补充协议为准，补充协议未约定的以本合同为准。</w:t>
      </w:r>
    </w:p>
    <w:p w14:paraId="06A93A32">
      <w:pPr>
        <w:wordWrap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2、本合同签订后，如因新颁布或新修改的法律、法规或监管部门的规定导致合同中的任何条款与之冲突的，则该条款自动失效，但不影响其他条款的继续执行。双方应就该条款另行协商。</w:t>
      </w:r>
    </w:p>
    <w:p w14:paraId="7DD264B8">
      <w:pPr>
        <w:wordWrap w:val="0"/>
        <w:spacing w:line="500" w:lineRule="exact"/>
        <w:ind w:firstLine="480" w:firstLineChars="200"/>
        <w:rPr>
          <w:rFonts w:hint="eastAsia" w:ascii="宋体" w:hAnsi="宋体" w:eastAsia="宋体" w:cs="宋体"/>
          <w:bCs/>
          <w:color w:val="auto"/>
          <w:kern w:val="0"/>
          <w:sz w:val="24"/>
          <w:highlight w:val="none"/>
        </w:rPr>
      </w:pPr>
    </w:p>
    <w:p w14:paraId="56648D88">
      <w:pPr>
        <w:wordWrap w:val="0"/>
        <w:spacing w:line="500" w:lineRule="exact"/>
        <w:ind w:firstLine="480" w:firstLineChars="200"/>
        <w:rPr>
          <w:rFonts w:hint="eastAsia" w:ascii="宋体" w:hAnsi="宋体" w:eastAsia="宋体" w:cs="宋体"/>
          <w:bCs/>
          <w:color w:val="auto"/>
          <w:kern w:val="0"/>
          <w:sz w:val="24"/>
          <w:highlight w:val="none"/>
        </w:rPr>
      </w:pPr>
    </w:p>
    <w:p w14:paraId="4A33DF8A">
      <w:pPr>
        <w:pStyle w:val="6"/>
        <w:spacing w:line="360" w:lineRule="auto"/>
        <w:ind w:firstLine="0" w:firstLineChars="0"/>
        <w:rPr>
          <w:rFonts w:ascii="宋体" w:hAnsi="宋体" w:eastAsia="宋体" w:cs="宋体"/>
          <w:color w:val="auto"/>
          <w:sz w:val="24"/>
          <w:highlight w:val="none"/>
        </w:rPr>
      </w:pPr>
    </w:p>
    <w:p w14:paraId="3AF9CA44">
      <w:pPr>
        <w:pStyle w:val="6"/>
        <w:spacing w:line="360" w:lineRule="auto"/>
        <w:ind w:firstLine="0" w:firstLineChars="0"/>
        <w:rPr>
          <w:rFonts w:ascii="宋体" w:hAnsi="宋体" w:eastAsia="宋体" w:cs="宋体"/>
          <w:color w:val="auto"/>
          <w:sz w:val="24"/>
          <w:highlight w:val="none"/>
        </w:rPr>
      </w:pPr>
    </w:p>
    <w:p w14:paraId="289AAC67">
      <w:pPr>
        <w:pStyle w:val="6"/>
        <w:spacing w:line="360" w:lineRule="auto"/>
        <w:ind w:firstLine="0" w:firstLineChars="0"/>
        <w:rPr>
          <w:rFonts w:ascii="宋体" w:hAnsi="宋体" w:eastAsia="宋体" w:cs="宋体"/>
          <w:color w:val="auto"/>
          <w:sz w:val="24"/>
          <w:highlight w:val="none"/>
        </w:rPr>
      </w:pPr>
    </w:p>
    <w:p w14:paraId="4C426402">
      <w:pPr>
        <w:pStyle w:val="6"/>
        <w:spacing w:line="360" w:lineRule="auto"/>
        <w:ind w:firstLine="0" w:firstLineChars="0"/>
        <w:rPr>
          <w:rFonts w:ascii="宋体" w:hAnsi="宋体" w:eastAsia="宋体" w:cs="宋体"/>
          <w:color w:val="auto"/>
          <w:sz w:val="24"/>
          <w:highlight w:val="none"/>
        </w:rPr>
      </w:pPr>
    </w:p>
    <w:p w14:paraId="52EEF065">
      <w:pPr>
        <w:pStyle w:val="6"/>
        <w:spacing w:line="360" w:lineRule="auto"/>
        <w:ind w:firstLine="0" w:firstLineChars="0"/>
        <w:rPr>
          <w:rFonts w:ascii="宋体" w:hAnsi="宋体" w:eastAsia="宋体" w:cs="宋体"/>
          <w:color w:val="auto"/>
          <w:sz w:val="24"/>
          <w:highlight w:val="none"/>
        </w:rPr>
      </w:pPr>
    </w:p>
    <w:p w14:paraId="270E6273">
      <w:pPr>
        <w:pStyle w:val="6"/>
        <w:spacing w:line="360" w:lineRule="auto"/>
        <w:ind w:firstLine="0" w:firstLineChars="0"/>
        <w:rPr>
          <w:rFonts w:ascii="宋体" w:hAnsi="宋体" w:eastAsia="宋体" w:cs="宋体"/>
          <w:color w:val="auto"/>
          <w:sz w:val="24"/>
          <w:highlight w:val="none"/>
        </w:rPr>
      </w:pPr>
    </w:p>
    <w:p w14:paraId="3435FEF4">
      <w:pPr>
        <w:pStyle w:val="6"/>
        <w:spacing w:line="360" w:lineRule="auto"/>
        <w:ind w:firstLine="0" w:firstLineChars="0"/>
        <w:rPr>
          <w:rFonts w:ascii="宋体" w:hAnsi="宋体" w:eastAsia="宋体" w:cs="宋体"/>
          <w:color w:val="auto"/>
          <w:sz w:val="24"/>
          <w:highlight w:val="none"/>
        </w:rPr>
      </w:pPr>
    </w:p>
    <w:p w14:paraId="2D8FF91F">
      <w:pPr>
        <w:pStyle w:val="6"/>
        <w:spacing w:line="360" w:lineRule="auto"/>
        <w:ind w:firstLine="0" w:firstLineChars="0"/>
        <w:rPr>
          <w:rFonts w:ascii="宋体" w:hAnsi="宋体" w:eastAsia="宋体" w:cs="宋体"/>
          <w:color w:val="auto"/>
          <w:sz w:val="24"/>
          <w:highlight w:val="none"/>
        </w:rPr>
      </w:pPr>
    </w:p>
    <w:p w14:paraId="21DC79A6">
      <w:pPr>
        <w:pStyle w:val="6"/>
        <w:spacing w:line="360" w:lineRule="auto"/>
        <w:ind w:firstLine="0" w:firstLineChars="0"/>
        <w:rPr>
          <w:rFonts w:ascii="宋体" w:hAnsi="宋体" w:eastAsia="宋体" w:cs="宋体"/>
          <w:color w:val="auto"/>
          <w:sz w:val="24"/>
          <w:highlight w:val="none"/>
        </w:rPr>
      </w:pPr>
    </w:p>
    <w:p w14:paraId="540958C1">
      <w:pPr>
        <w:pStyle w:val="7"/>
        <w:rPr>
          <w:rFonts w:ascii="宋体" w:hAnsi="宋体" w:eastAsia="宋体" w:cs="宋体"/>
          <w:color w:val="auto"/>
          <w:sz w:val="24"/>
          <w:highlight w:val="none"/>
        </w:rPr>
      </w:pPr>
    </w:p>
    <w:p w14:paraId="421F50FD">
      <w:pPr>
        <w:rPr>
          <w:color w:val="auto"/>
          <w:highlight w:val="none"/>
        </w:rPr>
      </w:pPr>
    </w:p>
    <w:p w14:paraId="321A3D84">
      <w:pPr>
        <w:pStyle w:val="6"/>
        <w:spacing w:line="360" w:lineRule="auto"/>
        <w:ind w:firstLine="0" w:firstLineChars="0"/>
        <w:rPr>
          <w:rFonts w:ascii="宋体" w:hAnsi="宋体" w:eastAsia="宋体" w:cs="宋体"/>
          <w:color w:val="auto"/>
          <w:sz w:val="24"/>
          <w:highlight w:val="none"/>
        </w:rPr>
      </w:pPr>
    </w:p>
    <w:p w14:paraId="5B13EEBD">
      <w:pPr>
        <w:pStyle w:val="6"/>
        <w:spacing w:line="360" w:lineRule="auto"/>
        <w:ind w:firstLine="0" w:firstLineChars="0"/>
        <w:rPr>
          <w:rFonts w:ascii="宋体" w:hAnsi="宋体" w:eastAsia="宋体" w:cs="宋体"/>
          <w:color w:val="auto"/>
          <w:sz w:val="24"/>
          <w:highlight w:val="none"/>
        </w:rPr>
      </w:pPr>
    </w:p>
    <w:p w14:paraId="5B8136FD">
      <w:pPr>
        <w:pStyle w:val="6"/>
        <w:spacing w:line="360" w:lineRule="auto"/>
        <w:ind w:firstLine="0" w:firstLineChars="0"/>
        <w:rPr>
          <w:rFonts w:ascii="宋体" w:hAnsi="宋体" w:eastAsia="宋体" w:cs="宋体"/>
          <w:color w:val="auto"/>
          <w:sz w:val="24"/>
          <w:highlight w:val="none"/>
        </w:rPr>
      </w:pPr>
    </w:p>
    <w:p w14:paraId="254D1A1F">
      <w:pPr>
        <w:rPr>
          <w:rFonts w:hint="eastAsia" w:ascii="宋体" w:hAnsi="宋体" w:eastAsia="宋体" w:cs="宋体"/>
          <w:color w:val="auto"/>
          <w:highlight w:val="none"/>
        </w:rPr>
      </w:pPr>
    </w:p>
    <w:p w14:paraId="6190B1E8">
      <w:pPr>
        <w:keepNext w:val="0"/>
        <w:keepLines w:val="0"/>
        <w:spacing w:after="480" w:afterLines="200"/>
        <w:jc w:val="both"/>
        <w:outlineLvl w:val="9"/>
        <w:rPr>
          <w:rFonts w:hint="eastAsia" w:ascii="宋体" w:hAnsi="宋体" w:eastAsia="宋体" w:cs="宋体"/>
          <w:b/>
          <w:bCs w:val="0"/>
          <w:color w:val="auto"/>
          <w:highlight w:val="none"/>
        </w:rPr>
      </w:pPr>
      <w:r>
        <w:rPr>
          <w:rFonts w:hint="eastAsia" w:ascii="宋体" w:hAnsi="宋体" w:eastAsia="宋体" w:cs="宋体"/>
          <w:b/>
          <w:bCs w:val="0"/>
          <w:color w:val="auto"/>
          <w:highlight w:val="none"/>
        </w:rPr>
        <w:br w:type="page"/>
      </w:r>
    </w:p>
    <w:p w14:paraId="557927D0">
      <w:pPr>
        <w:pStyle w:val="83"/>
        <w:spacing w:after="480" w:afterLines="200"/>
        <w:rPr>
          <w:rFonts w:ascii="宋体" w:hAnsi="宋体" w:eastAsia="宋体" w:cs="宋体"/>
          <w:b/>
          <w:bCs w:val="0"/>
          <w:color w:val="auto"/>
          <w:highlight w:val="none"/>
        </w:rPr>
      </w:pPr>
      <w:bookmarkStart w:id="374" w:name="_Toc29759"/>
      <w:r>
        <w:rPr>
          <w:rFonts w:hint="eastAsia" w:ascii="宋体" w:hAnsi="宋体" w:eastAsia="宋体" w:cs="宋体"/>
          <w:b/>
          <w:bCs w:val="0"/>
          <w:color w:val="auto"/>
          <w:highlight w:val="none"/>
        </w:rPr>
        <w:t>第六篇　组成合同附件</w:t>
      </w:r>
      <w:bookmarkEnd w:id="315"/>
      <w:bookmarkEnd w:id="374"/>
    </w:p>
    <w:p w14:paraId="6C3C271C">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附件一：</w:t>
      </w:r>
    </w:p>
    <w:p w14:paraId="25D26214">
      <w:pPr>
        <w:spacing w:line="30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廉政合同</w:t>
      </w:r>
    </w:p>
    <w:p w14:paraId="424A7E5D">
      <w:pPr>
        <w:spacing w:line="300" w:lineRule="auto"/>
        <w:jc w:val="center"/>
        <w:rPr>
          <w:rFonts w:ascii="宋体" w:hAnsi="宋体" w:eastAsia="宋体" w:cs="宋体"/>
          <w:b/>
          <w:bCs/>
          <w:color w:val="auto"/>
          <w:sz w:val="24"/>
          <w:highlight w:val="none"/>
        </w:rPr>
      </w:pPr>
    </w:p>
    <w:p w14:paraId="0FE19BE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甲方：（全称）</w:t>
      </w:r>
      <w:r>
        <w:rPr>
          <w:rFonts w:hint="eastAsia" w:ascii="宋体" w:hAnsi="宋体" w:eastAsia="宋体" w:cs="宋体"/>
          <w:b/>
          <w:bCs/>
          <w:color w:val="auto"/>
          <w:sz w:val="24"/>
          <w:highlight w:val="none"/>
          <w:u w:val="single"/>
        </w:rPr>
        <w:t>广州市番禺区大龙街</w:t>
      </w:r>
      <w:r>
        <w:rPr>
          <w:rFonts w:hint="eastAsia" w:ascii="宋体" w:hAnsi="宋体" w:eastAsia="宋体" w:cs="宋体"/>
          <w:b/>
          <w:bCs/>
          <w:color w:val="auto"/>
          <w:sz w:val="24"/>
          <w:highlight w:val="none"/>
          <w:u w:val="single"/>
          <w:lang w:eastAsia="zh-CN"/>
        </w:rPr>
        <w:t>傍江东村</w:t>
      </w:r>
      <w:r>
        <w:rPr>
          <w:rFonts w:hint="eastAsia" w:ascii="宋体" w:hAnsi="宋体" w:eastAsia="宋体" w:cs="宋体"/>
          <w:b/>
          <w:bCs/>
          <w:color w:val="auto"/>
          <w:sz w:val="24"/>
          <w:highlight w:val="none"/>
          <w:u w:val="single"/>
        </w:rPr>
        <w:t>股份合作经济社</w:t>
      </w:r>
    </w:p>
    <w:p w14:paraId="2A75ABEC">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乙方：（全称）（主）</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14:paraId="27D2F9EF">
      <w:pPr>
        <w:pStyle w:val="6"/>
        <w:spacing w:line="360" w:lineRule="auto"/>
        <w:rPr>
          <w:rFonts w:ascii="宋体" w:hAnsi="宋体" w:eastAsia="宋体" w:cs="宋体"/>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sz w:val="24"/>
          <w:highlight w:val="none"/>
        </w:rPr>
        <w:t>（成）</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14:paraId="47BCA094">
      <w:pPr>
        <w:spacing w:line="360" w:lineRule="auto"/>
        <w:ind w:left="3271" w:leftChars="200" w:hanging="2851" w:hangingChars="1188"/>
        <w:rPr>
          <w:rFonts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（成）</w:t>
      </w:r>
      <w:r>
        <w:rPr>
          <w:rFonts w:hint="eastAsia" w:ascii="宋体" w:hAnsi="宋体" w:eastAsia="宋体" w:cs="宋体"/>
          <w:b/>
          <w:bCs/>
          <w:color w:val="auto"/>
          <w:sz w:val="24"/>
          <w:highlight w:val="none"/>
          <w:u w:val="single"/>
        </w:rPr>
        <w:t xml:space="preserve">                            </w:t>
      </w:r>
    </w:p>
    <w:p w14:paraId="60898773">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根据国家、省工程建设和廉政建设的有关规定，为做好合同工程的廉政建设，保证工程质量与施工安全，提高建设资金的有效使用和投资效益，甲方和乙方就加强合同工程的廉政建设，订立本合同。</w:t>
      </w:r>
    </w:p>
    <w:p w14:paraId="286539E3">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1  双方权利和义务</w:t>
      </w:r>
    </w:p>
    <w:p w14:paraId="7376FFC1">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  严格遵守国家有关法律法规的规定。</w:t>
      </w:r>
    </w:p>
    <w:p w14:paraId="2063F466">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  严格执行一切合同文件，自觉按合同办事。</w:t>
      </w:r>
    </w:p>
    <w:p w14:paraId="675A3616">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1.3  双方的业务活动坚持公平、公开、公正和诚信的原则（法律认定的商业秘密和合同文件另有规定除外），不得损害国家和集体利益，不得违反工程建设管理规章制度。</w:t>
      </w:r>
    </w:p>
    <w:p w14:paraId="193712A0">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1.4  建立健全廉政制度，开展廉政教育，设立廉政告示牌，公布举报电话，监督并认真查处违法违纪行为。</w:t>
      </w:r>
    </w:p>
    <w:p w14:paraId="786BC217">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1.5  发现对方在业务活动中有违反廉政建设规定的行为，应及时给予提醒和纠正。</w:t>
      </w:r>
    </w:p>
    <w:p w14:paraId="42314EF7">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1.6  发现对方严重违反合同的行为，有向其上级部门举报、建议给予处理并要求告知处理结果的权利。</w:t>
      </w:r>
    </w:p>
    <w:p w14:paraId="28F5C744">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2  甲方义务</w:t>
      </w:r>
    </w:p>
    <w:p w14:paraId="10758DCC">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2.1  甲方及其工作人员不得索要或接受乙方的礼金、有价证券和贵重物品，不得在乙方报销任何应由甲方或工作人员个人支付的费用等。</w:t>
      </w:r>
    </w:p>
    <w:p w14:paraId="1674A333">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2.2  甲方及其工作人员不得参加乙方安排的宴请（工作餐除外）和娱乐活动；不得接受乙方提供的通讯工具、交通工具和高档办公用品等。</w:t>
      </w:r>
    </w:p>
    <w:p w14:paraId="4EFC5FB5">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2.3  甲方及其工作人员不得要求或者接受乙方为其住房装修、婚丧嫁娶活动、配偶子女的工作安排以及出国出境、旅游等提供方便等。</w:t>
      </w:r>
    </w:p>
    <w:p w14:paraId="3AB7E205">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2.4  甲方及其工作人员及其配偶、子女不得从事与乙方有关的工程材料设备供应、工程分包、劳务等经济活动。</w:t>
      </w:r>
    </w:p>
    <w:p w14:paraId="2A3533FE">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2.5 甲方及其工作人员不得以任何理由向乙方推荐分包单位或推销材料，不得要求乙方购买合同约定外的材料和设备。</w:t>
      </w:r>
    </w:p>
    <w:p w14:paraId="3BCAA2DE">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2.6  甲方及其工作人员要秉公办事，不准营私舞弊，不准利用职权从事各种个人有偿中介活动和安排个人施工队伍。</w:t>
      </w:r>
    </w:p>
    <w:p w14:paraId="2C008850">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  乙方义务</w:t>
      </w:r>
    </w:p>
    <w:p w14:paraId="3C019908">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3.1  乙方不得以任何理由向甲方及其工作人员行贿或馈赠礼金、有价证券、贵重礼品。</w:t>
      </w:r>
    </w:p>
    <w:p w14:paraId="2DE81583">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3.2  乙方不得以任何名义为甲方及其工作人员报销应由甲方或工作人员个人支付的任何费用。</w:t>
      </w:r>
    </w:p>
    <w:p w14:paraId="4BA3E409">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3.3  乙方不得以任何理由安排甲方及其工作人员参加宴请（工作餐除外）及娱乐活动。</w:t>
      </w:r>
    </w:p>
    <w:p w14:paraId="189DD281">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3.4  乙方不得为甲方购置或提供高档通讯工具和高档办公用品等。</w:t>
      </w:r>
    </w:p>
    <w:p w14:paraId="48E11FEA">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4  违约责任</w:t>
      </w:r>
    </w:p>
    <w:p w14:paraId="74104103">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4.1  甲方及其工作人员违反本合同第1条和第2条规定，应依据有关规定给予廉政建设规定的处分；涉嫌犯罪的，移交司法机关追究刑事责任；给乙方造成经济损失的，应予赔偿。</w:t>
      </w:r>
    </w:p>
    <w:p w14:paraId="60A9A10A">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4.2  乙方及其工作人员违反本合同第1条和第3条规定，应依据有关规定给予廉政建设规定的处分；给甲方造成经济损失的，应予赔偿；情节严重的，由建设主管部门给予乙方一至三年内不得进入工程建设市场的处罚。</w:t>
      </w:r>
    </w:p>
    <w:p w14:paraId="389224C1">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5  双方约定</w:t>
      </w:r>
    </w:p>
    <w:p w14:paraId="7DF2A4B3">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本合同由各方或其上级部门负责监督执行，并由各方或其上级部门相互约请对本合同执行情况进行检查。</w:t>
      </w:r>
    </w:p>
    <w:p w14:paraId="1EEDF1BE">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6  合同生效</w:t>
      </w:r>
    </w:p>
    <w:p w14:paraId="72E145D8">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本合同的有效期自各方签署之日起至该工程竣工验收合格之日止。</w:t>
      </w:r>
    </w:p>
    <w:p w14:paraId="0FA9BCB3">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7  合同法律效力</w:t>
      </w:r>
    </w:p>
    <w:p w14:paraId="49E04BF9">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本合同作为</w:t>
      </w:r>
      <w:r>
        <w:rPr>
          <w:rFonts w:hint="eastAsia" w:ascii="宋体" w:hAnsi="宋体" w:eastAsia="宋体" w:cs="宋体"/>
          <w:bCs/>
          <w:color w:val="auto"/>
          <w:sz w:val="24"/>
          <w:highlight w:val="none"/>
          <w:lang w:val="en-US" w:eastAsia="zh-CN"/>
        </w:rPr>
        <w:t>番</w:t>
      </w:r>
      <w:r>
        <w:rPr>
          <w:rFonts w:hint="eastAsia" w:ascii="宋体" w:hAnsi="宋体" w:eastAsia="宋体" w:cs="宋体"/>
          <w:bCs/>
          <w:color w:val="auto"/>
          <w:sz w:val="24"/>
          <w:highlight w:val="none"/>
        </w:rPr>
        <w:t>禺区傍江东村村镇工业集聚区更新改造试点项目（首开区）勘察设计施工总承包及运营（EPCO）合同的附件，与该合同具有同等的法律效力，经各方签署后生效。</w:t>
      </w:r>
    </w:p>
    <w:p w14:paraId="347D239C">
      <w:pPr>
        <w:pStyle w:val="6"/>
        <w:rPr>
          <w:rFonts w:ascii="宋体" w:hAnsi="宋体" w:eastAsia="宋体" w:cs="宋体"/>
          <w:color w:val="auto"/>
          <w:highlight w:val="none"/>
        </w:rPr>
      </w:pPr>
    </w:p>
    <w:p w14:paraId="42E54BF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甲方：广州市番禺区大龙街</w:t>
      </w:r>
      <w:r>
        <w:rPr>
          <w:rFonts w:hint="eastAsia" w:ascii="宋体" w:hAnsi="宋体" w:eastAsia="宋体" w:cs="宋体"/>
          <w:color w:val="auto"/>
          <w:sz w:val="24"/>
          <w:highlight w:val="none"/>
          <w:lang w:eastAsia="zh-CN"/>
        </w:rPr>
        <w:t>傍江东村</w:t>
      </w:r>
      <w:r>
        <w:rPr>
          <w:rFonts w:hint="eastAsia" w:ascii="宋体" w:hAnsi="宋体" w:eastAsia="宋体" w:cs="宋体"/>
          <w:color w:val="auto"/>
          <w:sz w:val="24"/>
          <w:highlight w:val="none"/>
        </w:rPr>
        <w:t>股份合作经济社（盖章）</w:t>
      </w:r>
    </w:p>
    <w:p w14:paraId="2AB233D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616DFAF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6CCE222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电话：</w:t>
      </w:r>
    </w:p>
    <w:p w14:paraId="37D810FF">
      <w:pPr>
        <w:pStyle w:val="6"/>
        <w:adjustRightInd w:val="0"/>
        <w:snapToGrid w:val="0"/>
        <w:spacing w:line="360" w:lineRule="auto"/>
        <w:ind w:firstLine="480"/>
        <w:rPr>
          <w:rFonts w:ascii="宋体" w:hAnsi="宋体" w:eastAsia="宋体" w:cs="宋体"/>
          <w:color w:val="auto"/>
          <w:sz w:val="24"/>
          <w:highlight w:val="none"/>
        </w:rPr>
      </w:pPr>
    </w:p>
    <w:p w14:paraId="6B63FC9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乙方（主）：               （盖章）              </w:t>
      </w:r>
    </w:p>
    <w:p w14:paraId="3ED5411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61BCA01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236F89F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270209A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51DC06FB">
      <w:pPr>
        <w:adjustRightInd w:val="0"/>
        <w:snapToGrid w:val="0"/>
        <w:spacing w:line="360" w:lineRule="auto"/>
        <w:ind w:firstLine="480" w:firstLineChars="200"/>
        <w:rPr>
          <w:rFonts w:ascii="宋体" w:hAnsi="宋体" w:eastAsia="宋体" w:cs="宋体"/>
          <w:color w:val="auto"/>
          <w:sz w:val="24"/>
          <w:highlight w:val="none"/>
        </w:rPr>
      </w:pPr>
    </w:p>
    <w:p w14:paraId="3510B27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乙方（成）：                （盖章） </w:t>
      </w:r>
    </w:p>
    <w:p w14:paraId="044CDD4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6629221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58CB2FE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74EED68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22D7CB12">
      <w:pPr>
        <w:pStyle w:val="6"/>
        <w:adjustRightInd w:val="0"/>
        <w:snapToGrid w:val="0"/>
        <w:spacing w:line="360" w:lineRule="auto"/>
        <w:ind w:firstLine="480"/>
        <w:rPr>
          <w:rFonts w:ascii="宋体" w:hAnsi="宋体" w:eastAsia="宋体" w:cs="宋体"/>
          <w:color w:val="auto"/>
          <w:sz w:val="24"/>
          <w:highlight w:val="none"/>
        </w:rPr>
      </w:pPr>
    </w:p>
    <w:p w14:paraId="03899FB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乙方（成）：                 （盖章） </w:t>
      </w:r>
    </w:p>
    <w:p w14:paraId="4ED96A1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D0B482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5A7017D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0E72286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624D7952">
      <w:pPr>
        <w:snapToGrid w:val="0"/>
        <w:spacing w:line="360" w:lineRule="auto"/>
        <w:rPr>
          <w:rFonts w:hint="eastAsia" w:ascii="宋体" w:hAnsi="宋体" w:eastAsia="宋体" w:cs="宋体"/>
          <w:color w:val="auto"/>
          <w:sz w:val="24"/>
          <w:highlight w:val="none"/>
        </w:rPr>
      </w:pPr>
    </w:p>
    <w:p w14:paraId="5D266D98">
      <w:pPr>
        <w:snapToGrid w:val="0"/>
        <w:spacing w:line="360" w:lineRule="auto"/>
        <w:rPr>
          <w:rFonts w:hint="eastAsia" w:ascii="宋体" w:hAnsi="宋体" w:eastAsia="宋体" w:cs="宋体"/>
          <w:color w:val="auto"/>
          <w:sz w:val="24"/>
          <w:highlight w:val="none"/>
        </w:rPr>
      </w:pPr>
    </w:p>
    <w:p w14:paraId="76D15B1C">
      <w:pPr>
        <w:snapToGrid w:val="0"/>
        <w:spacing w:line="360" w:lineRule="auto"/>
        <w:rPr>
          <w:rFonts w:hint="eastAsia" w:ascii="宋体" w:hAnsi="宋体" w:eastAsia="宋体" w:cs="宋体"/>
          <w:color w:val="auto"/>
          <w:sz w:val="24"/>
          <w:highlight w:val="none"/>
        </w:rPr>
      </w:pPr>
    </w:p>
    <w:p w14:paraId="27605170">
      <w:pPr>
        <w:snapToGrid w:val="0"/>
        <w:spacing w:line="360" w:lineRule="auto"/>
        <w:rPr>
          <w:rFonts w:hint="eastAsia" w:ascii="宋体" w:hAnsi="宋体" w:eastAsia="宋体" w:cs="宋体"/>
          <w:color w:val="auto"/>
          <w:sz w:val="24"/>
          <w:highlight w:val="none"/>
        </w:rPr>
      </w:pPr>
    </w:p>
    <w:p w14:paraId="33F87EA6">
      <w:pPr>
        <w:snapToGrid w:val="0"/>
        <w:spacing w:line="360" w:lineRule="auto"/>
        <w:rPr>
          <w:rFonts w:hint="eastAsia" w:ascii="宋体" w:hAnsi="宋体" w:eastAsia="宋体" w:cs="宋体"/>
          <w:color w:val="auto"/>
          <w:sz w:val="24"/>
          <w:highlight w:val="none"/>
        </w:rPr>
      </w:pPr>
    </w:p>
    <w:p w14:paraId="42242CC4">
      <w:pPr>
        <w:snapToGrid w:val="0"/>
        <w:spacing w:line="360" w:lineRule="auto"/>
        <w:rPr>
          <w:rFonts w:hint="eastAsia" w:ascii="宋体" w:hAnsi="宋体" w:eastAsia="宋体" w:cs="宋体"/>
          <w:color w:val="auto"/>
          <w:sz w:val="24"/>
          <w:highlight w:val="none"/>
        </w:rPr>
      </w:pPr>
    </w:p>
    <w:p w14:paraId="75C7D7A5">
      <w:pPr>
        <w:snapToGrid w:val="0"/>
        <w:spacing w:line="360" w:lineRule="auto"/>
        <w:rPr>
          <w:rFonts w:hint="eastAsia" w:ascii="宋体" w:hAnsi="宋体" w:eastAsia="宋体" w:cs="宋体"/>
          <w:color w:val="auto"/>
          <w:sz w:val="24"/>
          <w:highlight w:val="none"/>
        </w:rPr>
      </w:pPr>
    </w:p>
    <w:p w14:paraId="7AC8713F">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附件二：</w:t>
      </w:r>
    </w:p>
    <w:p w14:paraId="4A9DAF07">
      <w:pPr>
        <w:pStyle w:val="112"/>
        <w:spacing w:line="360" w:lineRule="auto"/>
        <w:jc w:val="center"/>
        <w:rPr>
          <w:rFonts w:ascii="宋体" w:eastAsia="宋体" w:cs="宋体"/>
          <w:color w:val="auto"/>
          <w:sz w:val="28"/>
          <w:szCs w:val="28"/>
          <w:highlight w:val="none"/>
        </w:rPr>
      </w:pPr>
      <w:r>
        <w:rPr>
          <w:rFonts w:hint="eastAsia" w:ascii="宋体" w:eastAsia="宋体" w:cs="宋体"/>
          <w:color w:val="auto"/>
          <w:sz w:val="28"/>
          <w:szCs w:val="28"/>
          <w:highlight w:val="none"/>
        </w:rPr>
        <w:t>联合体共同投标协议</w:t>
      </w:r>
    </w:p>
    <w:p w14:paraId="4977B943">
      <w:pPr>
        <w:topLinePunct/>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（联合体名称）联合体，共同参加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（项目名称）勘察设计施工总承包投标。我方授权委托本协议牵头人代表联合体各成员参加投标、签署投标资料、提交投标文件。现就联合体投标事宜订立如下协议。</w:t>
      </w:r>
    </w:p>
    <w:p w14:paraId="6122D774">
      <w:pPr>
        <w:topLinePunct/>
        <w:snapToGrid w:val="0"/>
        <w:spacing w:line="360" w:lineRule="auto"/>
        <w:ind w:left="660" w:leftChars="200" w:hanging="240" w:hangingChars="1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方单位名称）为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（联合体名称）主办方。</w:t>
      </w:r>
    </w:p>
    <w:p w14:paraId="02B96E5A">
      <w:pPr>
        <w:topLinePunct/>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0E99BD28">
      <w:pPr>
        <w:topLinePunct/>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3、联合体将严格按照招标文件的各项要求，递交投标文件，履行合同，并</w:t>
      </w:r>
      <w:r>
        <w:rPr>
          <w:rFonts w:hint="eastAsia" w:ascii="宋体" w:hAnsi="宋体" w:eastAsia="宋体" w:cs="宋体"/>
          <w:color w:val="auto"/>
          <w:sz w:val="24"/>
          <w:highlight w:val="none"/>
          <w:lang w:val="en-US" w:eastAsia="zh-CN"/>
        </w:rPr>
        <w:t>共同</w:t>
      </w:r>
      <w:r>
        <w:rPr>
          <w:rFonts w:hint="eastAsia" w:ascii="宋体" w:hAnsi="宋体" w:eastAsia="宋体" w:cs="宋体"/>
          <w:color w:val="auto"/>
          <w:sz w:val="24"/>
          <w:highlight w:val="none"/>
        </w:rPr>
        <w:t>对外承担</w:t>
      </w:r>
      <w:r>
        <w:rPr>
          <w:rFonts w:hint="eastAsia" w:ascii="宋体" w:hAnsi="宋体" w:eastAsia="宋体" w:cs="宋体"/>
          <w:color w:val="auto"/>
          <w:sz w:val="24"/>
          <w:highlight w:val="none"/>
          <w:lang w:val="en-US" w:eastAsia="zh-CN"/>
        </w:rPr>
        <w:t>连带</w:t>
      </w:r>
      <w:r>
        <w:rPr>
          <w:rFonts w:hint="eastAsia" w:ascii="宋体" w:hAnsi="宋体" w:eastAsia="宋体" w:cs="宋体"/>
          <w:color w:val="auto"/>
          <w:sz w:val="24"/>
          <w:highlight w:val="none"/>
        </w:rPr>
        <w:t>责任。</w:t>
      </w:r>
    </w:p>
    <w:p w14:paraId="6CFDD0ED">
      <w:pPr>
        <w:topLinePunct/>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4、联合体各成员单位内部的职责分工如下：</w:t>
      </w:r>
    </w:p>
    <w:p w14:paraId="2FFF0A88">
      <w:pPr>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方单位名称）：作为联合体的主办方除负责本</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外，还应负责勘察设计施工及运营及其它工程协调工作。联合体其他相关方违约时，主办方应承担连带责任，具体按合同要求。</w:t>
      </w:r>
    </w:p>
    <w:p w14:paraId="778400D7">
      <w:pPr>
        <w:topLinePunct/>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运营</w:t>
      </w:r>
      <w:r>
        <w:rPr>
          <w:rFonts w:hint="eastAsia" w:ascii="宋体" w:hAnsi="宋体" w:eastAsia="宋体" w:cs="宋体"/>
          <w:color w:val="auto"/>
          <w:sz w:val="24"/>
          <w:highlight w:val="none"/>
        </w:rPr>
        <w:t>方单位名称）：主要负责本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运营</w:t>
      </w:r>
      <w:r>
        <w:rPr>
          <w:rFonts w:hint="eastAsia" w:ascii="宋体" w:hAnsi="宋体" w:eastAsia="宋体" w:cs="宋体"/>
          <w:color w:val="auto"/>
          <w:sz w:val="24"/>
          <w:highlight w:val="none"/>
        </w:rPr>
        <w:t>，具体按合同要求。</w:t>
      </w:r>
    </w:p>
    <w:p w14:paraId="19AAFF5E">
      <w:pPr>
        <w:topLinePunct/>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③</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（设计方单位名称）：主要负责本工程的设计、设计优化等工作，具体按合同要求。</w:t>
      </w:r>
    </w:p>
    <w:p w14:paraId="14D73B51">
      <w:pPr>
        <w:topLinePunct/>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④</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（勘察方单位名称）：主要负责本工程的勘察，具体按合同要求。</w:t>
      </w:r>
    </w:p>
    <w:p w14:paraId="144875E5">
      <w:pPr>
        <w:topLinePunct/>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5、本协议书自签署之日起生效，合同履行完毕后自动失效。 </w:t>
      </w:r>
    </w:p>
    <w:p w14:paraId="2B445C5A">
      <w:pPr>
        <w:topLinePunct/>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注：本协议书由委托代理人签字的，应附法定代表人签字的授权委托书。</w:t>
      </w:r>
    </w:p>
    <w:p w14:paraId="374AF752">
      <w:pPr>
        <w:topLinePunct/>
        <w:snapToGrid w:val="0"/>
        <w:spacing w:line="360" w:lineRule="auto"/>
        <w:ind w:firstLine="480" w:firstLineChars="200"/>
        <w:rPr>
          <w:rFonts w:ascii="宋体" w:hAnsi="宋体" w:eastAsia="宋体" w:cs="宋体"/>
          <w:color w:val="auto"/>
          <w:sz w:val="24"/>
          <w:highlight w:val="none"/>
        </w:rPr>
      </w:pPr>
    </w:p>
    <w:p w14:paraId="3B4F9FED">
      <w:pPr>
        <w:topLinePunct/>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（以下无正文）</w:t>
      </w:r>
    </w:p>
    <w:p w14:paraId="2B4CA75D">
      <w:pPr>
        <w:rPr>
          <w:rFonts w:ascii="宋体" w:hAnsi="宋体" w:eastAsia="宋体" w:cs="宋体"/>
          <w:color w:val="auto"/>
          <w:highlight w:val="none"/>
        </w:rPr>
        <w:sectPr>
          <w:pgSz w:w="11906" w:h="16838"/>
          <w:pgMar w:top="1440" w:right="1797" w:bottom="1440" w:left="1800" w:header="851" w:footer="992" w:gutter="0"/>
          <w:pgNumType w:fmt="numberInDash"/>
          <w:cols w:space="720" w:num="1"/>
          <w:docGrid w:linePitch="312" w:charSpace="0"/>
        </w:sectPr>
      </w:pPr>
    </w:p>
    <w:p w14:paraId="63468FD1">
      <w:pPr>
        <w:pStyle w:val="6"/>
        <w:ind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（本页为签署页）</w:t>
      </w:r>
    </w:p>
    <w:p w14:paraId="7F5DE907">
      <w:pPr>
        <w:pStyle w:val="6"/>
        <w:rPr>
          <w:rFonts w:ascii="宋体" w:hAnsi="宋体" w:eastAsia="宋体" w:cs="宋体"/>
          <w:color w:val="auto"/>
          <w:highlight w:val="none"/>
        </w:rPr>
      </w:pPr>
    </w:p>
    <w:p w14:paraId="700DB578">
      <w:pPr>
        <w:topLinePunct/>
        <w:snapToGrid w:val="0"/>
        <w:spacing w:line="324" w:lineRule="auto"/>
        <w:ind w:firstLine="820" w:firstLineChars="342"/>
        <w:rPr>
          <w:rFonts w:ascii="宋体" w:hAnsi="宋体" w:eastAsia="宋体" w:cs="宋体"/>
          <w:color w:val="auto"/>
          <w:sz w:val="24"/>
          <w:highlight w:val="none"/>
        </w:rPr>
      </w:pPr>
    </w:p>
    <w:p w14:paraId="350AD54D">
      <w:pPr>
        <w:topLinePunct/>
        <w:snapToGrid w:val="0"/>
        <w:spacing w:line="324" w:lineRule="auto"/>
        <w:rPr>
          <w:rFonts w:ascii="宋体" w:hAnsi="宋体" w:eastAsia="宋体" w:cs="宋体"/>
          <w:color w:val="auto"/>
          <w:sz w:val="24"/>
          <w:highlight w:val="none"/>
        </w:rPr>
      </w:pPr>
      <w:r>
        <w:rPr>
          <w:rFonts w:hint="eastAsia" w:ascii="宋体" w:hAnsi="宋体" w:eastAsia="宋体" w:cs="宋体"/>
          <w:color w:val="auto"/>
          <w:sz w:val="24"/>
          <w:highlight w:val="none"/>
        </w:rPr>
        <w:t>主办方名称：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062F7A60">
      <w:pPr>
        <w:topLinePunct/>
        <w:snapToGrid w:val="0"/>
        <w:spacing w:line="324" w:lineRule="auto"/>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011C82F">
      <w:pPr>
        <w:pStyle w:val="6"/>
        <w:ind w:firstLine="0" w:firstLineChars="0"/>
        <w:rPr>
          <w:rFonts w:ascii="宋体" w:hAnsi="宋体" w:eastAsia="宋体" w:cs="宋体"/>
          <w:color w:val="auto"/>
          <w:highlight w:val="none"/>
        </w:rPr>
      </w:pPr>
    </w:p>
    <w:p w14:paraId="4B8C53B7">
      <w:pPr>
        <w:pStyle w:val="6"/>
        <w:ind w:firstLine="0" w:firstLineChars="0"/>
        <w:rPr>
          <w:rFonts w:ascii="宋体" w:hAnsi="宋体" w:eastAsia="宋体" w:cs="宋体"/>
          <w:color w:val="auto"/>
          <w:highlight w:val="none"/>
        </w:rPr>
      </w:pPr>
    </w:p>
    <w:p w14:paraId="5E71E2C3">
      <w:pPr>
        <w:pStyle w:val="6"/>
        <w:ind w:firstLine="0" w:firstLineChars="0"/>
        <w:rPr>
          <w:rFonts w:ascii="宋体" w:hAnsi="宋体" w:eastAsia="宋体" w:cs="宋体"/>
          <w:color w:val="auto"/>
          <w:highlight w:val="none"/>
        </w:rPr>
      </w:pPr>
    </w:p>
    <w:p w14:paraId="5F1AAE26">
      <w:pPr>
        <w:topLinePunct/>
        <w:snapToGrid w:val="0"/>
        <w:spacing w:line="324" w:lineRule="auto"/>
        <w:rPr>
          <w:rFonts w:ascii="宋体" w:hAnsi="宋体" w:eastAsia="宋体" w:cs="宋体"/>
          <w:color w:val="auto"/>
          <w:sz w:val="24"/>
          <w:highlight w:val="none"/>
        </w:rPr>
      </w:pPr>
      <w:r>
        <w:rPr>
          <w:rFonts w:hint="eastAsia" w:ascii="宋体" w:hAnsi="宋体" w:eastAsia="宋体" w:cs="宋体"/>
          <w:color w:val="auto"/>
          <w:sz w:val="24"/>
          <w:highlight w:val="none"/>
        </w:rPr>
        <w:t>成员一名称：         （盖单位章）</w:t>
      </w:r>
    </w:p>
    <w:p w14:paraId="31544780">
      <w:pPr>
        <w:topLinePunct/>
        <w:snapToGrid w:val="0"/>
        <w:spacing w:line="324" w:lineRule="auto"/>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0597C0EC">
      <w:pPr>
        <w:pStyle w:val="6"/>
        <w:ind w:firstLine="0" w:firstLineChars="0"/>
        <w:rPr>
          <w:rFonts w:ascii="宋体" w:hAnsi="宋体" w:eastAsia="宋体" w:cs="宋体"/>
          <w:color w:val="auto"/>
          <w:highlight w:val="none"/>
        </w:rPr>
      </w:pPr>
    </w:p>
    <w:p w14:paraId="1BF6F3E6">
      <w:pPr>
        <w:pStyle w:val="6"/>
        <w:ind w:firstLine="0" w:firstLineChars="0"/>
        <w:rPr>
          <w:rFonts w:ascii="宋体" w:hAnsi="宋体" w:eastAsia="宋体" w:cs="宋体"/>
          <w:color w:val="auto"/>
          <w:highlight w:val="none"/>
        </w:rPr>
      </w:pPr>
    </w:p>
    <w:p w14:paraId="29C6755F">
      <w:pPr>
        <w:pStyle w:val="6"/>
        <w:ind w:firstLine="0" w:firstLineChars="0"/>
        <w:rPr>
          <w:rFonts w:ascii="宋体" w:hAnsi="宋体" w:eastAsia="宋体" w:cs="宋体"/>
          <w:color w:val="auto"/>
          <w:highlight w:val="none"/>
        </w:rPr>
      </w:pPr>
    </w:p>
    <w:p w14:paraId="521F22F7">
      <w:pPr>
        <w:topLinePunct/>
        <w:snapToGrid w:val="0"/>
        <w:spacing w:line="324" w:lineRule="auto"/>
        <w:rPr>
          <w:rFonts w:ascii="宋体" w:hAnsi="宋体" w:eastAsia="宋体" w:cs="宋体"/>
          <w:color w:val="auto"/>
          <w:sz w:val="24"/>
          <w:highlight w:val="none"/>
        </w:rPr>
      </w:pPr>
      <w:r>
        <w:rPr>
          <w:rFonts w:hint="eastAsia" w:ascii="宋体" w:hAnsi="宋体" w:eastAsia="宋体" w:cs="宋体"/>
          <w:color w:val="auto"/>
          <w:sz w:val="24"/>
          <w:highlight w:val="none"/>
        </w:rPr>
        <w:t>成员二名称：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EACAD13">
      <w:pPr>
        <w:topLinePunct/>
        <w:snapToGrid w:val="0"/>
        <w:spacing w:line="324" w:lineRule="auto"/>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43F7F66">
      <w:pPr>
        <w:pStyle w:val="6"/>
        <w:ind w:firstLine="480"/>
        <w:rPr>
          <w:rFonts w:ascii="宋体" w:hAnsi="宋体" w:eastAsia="宋体" w:cs="宋体"/>
          <w:color w:val="auto"/>
          <w:sz w:val="24"/>
          <w:highlight w:val="none"/>
        </w:rPr>
      </w:pPr>
    </w:p>
    <w:p w14:paraId="25706E55">
      <w:pPr>
        <w:pStyle w:val="6"/>
        <w:ind w:firstLine="480"/>
        <w:rPr>
          <w:rFonts w:ascii="宋体" w:hAnsi="宋体" w:eastAsia="宋体" w:cs="宋体"/>
          <w:color w:val="auto"/>
          <w:sz w:val="24"/>
          <w:highlight w:val="none"/>
        </w:rPr>
      </w:pPr>
    </w:p>
    <w:p w14:paraId="218E89E6">
      <w:pPr>
        <w:topLinePunct/>
        <w:snapToGrid w:val="0"/>
        <w:spacing w:line="324" w:lineRule="auto"/>
        <w:rPr>
          <w:rFonts w:ascii="宋体" w:hAnsi="宋体" w:eastAsia="宋体" w:cs="宋体"/>
          <w:color w:val="auto"/>
          <w:sz w:val="24"/>
          <w:highlight w:val="none"/>
        </w:rPr>
      </w:pPr>
      <w:r>
        <w:rPr>
          <w:rFonts w:hint="eastAsia" w:ascii="宋体" w:hAnsi="宋体" w:eastAsia="宋体" w:cs="宋体"/>
          <w:color w:val="auto"/>
          <w:sz w:val="24"/>
          <w:highlight w:val="none"/>
        </w:rPr>
        <w:t>成员三名称：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AAF99DF">
      <w:pPr>
        <w:topLinePunct/>
        <w:snapToGrid w:val="0"/>
        <w:spacing w:line="324" w:lineRule="auto"/>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43A9FB6">
      <w:pPr>
        <w:pStyle w:val="24"/>
        <w:snapToGrid w:val="0"/>
        <w:spacing w:line="324" w:lineRule="auto"/>
        <w:jc w:val="right"/>
        <w:rPr>
          <w:rFonts w:hAnsi="宋体" w:eastAsia="宋体" w:cs="宋体"/>
          <w:color w:val="auto"/>
          <w:sz w:val="24"/>
          <w:szCs w:val="24"/>
          <w:highlight w:val="none"/>
          <w:u w:val="single"/>
        </w:rPr>
      </w:pPr>
    </w:p>
    <w:p w14:paraId="37B863A9">
      <w:pPr>
        <w:pStyle w:val="24"/>
        <w:snapToGrid w:val="0"/>
        <w:spacing w:line="324" w:lineRule="auto"/>
        <w:jc w:val="right"/>
        <w:rPr>
          <w:rFonts w:hAnsi="宋体" w:eastAsia="宋体" w:cs="宋体"/>
          <w:color w:val="auto"/>
          <w:sz w:val="24"/>
          <w:szCs w:val="24"/>
          <w:highlight w:val="none"/>
          <w:u w:val="single"/>
        </w:rPr>
      </w:pPr>
    </w:p>
    <w:p w14:paraId="37EC2346">
      <w:pPr>
        <w:pStyle w:val="24"/>
        <w:snapToGrid w:val="0"/>
        <w:spacing w:line="324" w:lineRule="auto"/>
        <w:jc w:val="right"/>
        <w:rPr>
          <w:rFonts w:hAnsi="宋体" w:eastAsia="宋体" w:cs="宋体"/>
          <w:color w:val="auto"/>
          <w:sz w:val="24"/>
          <w:szCs w:val="24"/>
          <w:highlight w:val="none"/>
          <w:u w:val="single"/>
        </w:rPr>
      </w:pPr>
    </w:p>
    <w:p w14:paraId="4EE6388D">
      <w:pPr>
        <w:pStyle w:val="24"/>
        <w:snapToGrid w:val="0"/>
        <w:spacing w:line="324" w:lineRule="auto"/>
        <w:jc w:val="right"/>
        <w:rPr>
          <w:rFonts w:hAnsi="宋体" w:eastAsia="宋体" w:cs="宋体"/>
          <w:color w:val="auto"/>
          <w:sz w:val="24"/>
          <w:szCs w:val="24"/>
          <w:highlight w:val="none"/>
        </w:rPr>
      </w:pP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年</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月</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日</w:t>
      </w:r>
    </w:p>
    <w:p w14:paraId="5CC70033">
      <w:pPr>
        <w:pStyle w:val="24"/>
        <w:snapToGrid w:val="0"/>
        <w:spacing w:line="324" w:lineRule="auto"/>
        <w:jc w:val="right"/>
        <w:rPr>
          <w:rFonts w:hAnsi="宋体" w:eastAsia="宋体" w:cs="宋体"/>
          <w:color w:val="auto"/>
          <w:sz w:val="24"/>
          <w:szCs w:val="24"/>
          <w:highlight w:val="none"/>
        </w:rPr>
      </w:pPr>
    </w:p>
    <w:p w14:paraId="77C4AC3E">
      <w:pPr>
        <w:pStyle w:val="24"/>
        <w:snapToGrid w:val="0"/>
        <w:spacing w:line="324" w:lineRule="auto"/>
        <w:jc w:val="right"/>
        <w:rPr>
          <w:rFonts w:hAnsi="宋体" w:eastAsia="宋体" w:cs="宋体"/>
          <w:color w:val="auto"/>
          <w:sz w:val="24"/>
          <w:szCs w:val="24"/>
          <w:highlight w:val="none"/>
        </w:rPr>
      </w:pPr>
    </w:p>
    <w:p w14:paraId="5A736635">
      <w:pPr>
        <w:pStyle w:val="24"/>
        <w:snapToGrid w:val="0"/>
        <w:spacing w:line="324" w:lineRule="auto"/>
        <w:jc w:val="right"/>
        <w:rPr>
          <w:rFonts w:hAnsi="宋体" w:eastAsia="宋体" w:cs="宋体"/>
          <w:color w:val="auto"/>
          <w:sz w:val="24"/>
          <w:szCs w:val="24"/>
          <w:highlight w:val="none"/>
        </w:rPr>
      </w:pPr>
    </w:p>
    <w:p w14:paraId="7B3237B8">
      <w:pPr>
        <w:pStyle w:val="24"/>
        <w:snapToGrid w:val="0"/>
        <w:spacing w:line="324" w:lineRule="auto"/>
        <w:jc w:val="right"/>
        <w:rPr>
          <w:rFonts w:hAnsi="宋体" w:eastAsia="宋体" w:cs="宋体"/>
          <w:color w:val="auto"/>
          <w:sz w:val="24"/>
          <w:szCs w:val="24"/>
          <w:highlight w:val="none"/>
        </w:rPr>
      </w:pPr>
    </w:p>
    <w:p w14:paraId="59BBC342">
      <w:pPr>
        <w:pStyle w:val="24"/>
        <w:snapToGrid w:val="0"/>
        <w:spacing w:line="324" w:lineRule="auto"/>
        <w:jc w:val="right"/>
        <w:rPr>
          <w:rFonts w:hAnsi="宋体" w:eastAsia="宋体" w:cs="宋体"/>
          <w:color w:val="auto"/>
          <w:sz w:val="24"/>
          <w:szCs w:val="24"/>
          <w:highlight w:val="none"/>
        </w:rPr>
      </w:pPr>
    </w:p>
    <w:p w14:paraId="6CE9F881">
      <w:pPr>
        <w:pStyle w:val="24"/>
        <w:snapToGrid w:val="0"/>
        <w:spacing w:line="324" w:lineRule="auto"/>
        <w:jc w:val="right"/>
        <w:rPr>
          <w:rFonts w:hAnsi="宋体" w:eastAsia="宋体" w:cs="宋体"/>
          <w:color w:val="auto"/>
          <w:sz w:val="24"/>
          <w:szCs w:val="24"/>
          <w:highlight w:val="none"/>
        </w:rPr>
      </w:pPr>
    </w:p>
    <w:p w14:paraId="54A246C8">
      <w:pPr>
        <w:pStyle w:val="24"/>
        <w:snapToGrid w:val="0"/>
        <w:spacing w:line="324" w:lineRule="auto"/>
        <w:jc w:val="right"/>
        <w:rPr>
          <w:rFonts w:hAnsi="宋体" w:eastAsia="宋体" w:cs="宋体"/>
          <w:color w:val="auto"/>
          <w:sz w:val="24"/>
          <w:szCs w:val="24"/>
          <w:highlight w:val="none"/>
        </w:rPr>
      </w:pPr>
    </w:p>
    <w:p w14:paraId="1E3764C1">
      <w:pPr>
        <w:pStyle w:val="24"/>
        <w:snapToGrid w:val="0"/>
        <w:spacing w:line="324" w:lineRule="auto"/>
        <w:jc w:val="right"/>
        <w:rPr>
          <w:rFonts w:hAnsi="宋体" w:eastAsia="宋体" w:cs="宋体"/>
          <w:color w:val="auto"/>
          <w:sz w:val="24"/>
          <w:szCs w:val="24"/>
          <w:highlight w:val="none"/>
        </w:rPr>
      </w:pPr>
    </w:p>
    <w:p w14:paraId="35C9EB2A">
      <w:pPr>
        <w:pStyle w:val="24"/>
        <w:snapToGrid w:val="0"/>
        <w:spacing w:line="324" w:lineRule="auto"/>
        <w:jc w:val="right"/>
        <w:rPr>
          <w:rFonts w:hAnsi="宋体" w:eastAsia="宋体" w:cs="宋体"/>
          <w:color w:val="auto"/>
          <w:sz w:val="24"/>
          <w:szCs w:val="24"/>
          <w:highlight w:val="none"/>
        </w:rPr>
      </w:pPr>
    </w:p>
    <w:p w14:paraId="71EC5ED2">
      <w:pPr>
        <w:pStyle w:val="24"/>
        <w:snapToGrid w:val="0"/>
        <w:spacing w:line="324" w:lineRule="auto"/>
        <w:jc w:val="right"/>
        <w:rPr>
          <w:rFonts w:hAnsi="宋体" w:eastAsia="宋体" w:cs="宋体"/>
          <w:color w:val="auto"/>
          <w:sz w:val="24"/>
          <w:szCs w:val="24"/>
          <w:highlight w:val="none"/>
        </w:rPr>
      </w:pPr>
    </w:p>
    <w:p w14:paraId="5FA447B7">
      <w:pPr>
        <w:pStyle w:val="24"/>
        <w:snapToGrid w:val="0"/>
        <w:spacing w:line="324" w:lineRule="auto"/>
        <w:ind w:right="960"/>
        <w:rPr>
          <w:rFonts w:hAnsi="宋体" w:eastAsia="宋体" w:cs="宋体"/>
          <w:color w:val="auto"/>
          <w:sz w:val="24"/>
          <w:szCs w:val="24"/>
          <w:highlight w:val="none"/>
        </w:rPr>
      </w:pPr>
    </w:p>
    <w:p w14:paraId="04A6FC0D">
      <w:pPr>
        <w:rPr>
          <w:rFonts w:ascii="宋体" w:hAnsi="宋体" w:eastAsia="宋体" w:cs="宋体"/>
          <w:color w:val="auto"/>
          <w:highlight w:val="none"/>
        </w:rPr>
        <w:sectPr>
          <w:pgSz w:w="11906" w:h="16838"/>
          <w:pgMar w:top="1440" w:right="1797" w:bottom="1440" w:left="1800" w:header="851" w:footer="992" w:gutter="0"/>
          <w:pgNumType w:fmt="numberInDash"/>
          <w:cols w:space="720" w:num="1"/>
          <w:docGrid w:linePitch="312" w:charSpace="0"/>
        </w:sectPr>
      </w:pPr>
    </w:p>
    <w:p w14:paraId="218CE2FB">
      <w:pPr>
        <w:autoSpaceDE w:val="0"/>
        <w:autoSpaceDN w:val="0"/>
        <w:adjustRightInd w:val="0"/>
        <w:spacing w:line="360" w:lineRule="auto"/>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附件</w:t>
      </w:r>
      <w:r>
        <w:rPr>
          <w:rFonts w:hint="eastAsia" w:ascii="宋体" w:hAnsi="宋体" w:eastAsia="宋体" w:cs="宋体"/>
          <w:b/>
          <w:color w:val="auto"/>
          <w:kern w:val="0"/>
          <w:sz w:val="24"/>
          <w:highlight w:val="none"/>
          <w:lang w:val="en-US" w:eastAsia="zh-CN"/>
        </w:rPr>
        <w:t>一</w:t>
      </w:r>
      <w:r>
        <w:rPr>
          <w:rFonts w:hint="eastAsia" w:ascii="宋体" w:hAnsi="宋体" w:eastAsia="宋体" w:cs="宋体"/>
          <w:b/>
          <w:color w:val="auto"/>
          <w:kern w:val="0"/>
          <w:sz w:val="24"/>
          <w:highlight w:val="none"/>
        </w:rPr>
        <w:t>：</w:t>
      </w:r>
    </w:p>
    <w:p w14:paraId="6CF186AB">
      <w:pPr>
        <w:pStyle w:val="118"/>
        <w:rPr>
          <w:rFonts w:ascii="宋体" w:hAnsi="宋体" w:eastAsia="宋体" w:cs="宋体"/>
          <w:color w:val="auto"/>
          <w:highlight w:val="none"/>
        </w:rPr>
      </w:pPr>
    </w:p>
    <w:p w14:paraId="47B76BEE">
      <w:pPr>
        <w:autoSpaceDE w:val="0"/>
        <w:autoSpaceDN w:val="0"/>
        <w:adjustRightInd w:val="0"/>
        <w:spacing w:before="8" w:line="240" w:lineRule="exact"/>
        <w:jc w:val="left"/>
        <w:rPr>
          <w:rFonts w:ascii="宋体" w:hAnsi="宋体" w:eastAsia="宋体" w:cs="宋体"/>
          <w:color w:val="auto"/>
          <w:kern w:val="0"/>
          <w:sz w:val="24"/>
          <w:highlight w:val="none"/>
        </w:rPr>
      </w:pPr>
    </w:p>
    <w:p w14:paraId="3E13E1BD">
      <w:pPr>
        <w:autoSpaceDE w:val="0"/>
        <w:autoSpaceDN w:val="0"/>
        <w:adjustRightInd w:val="0"/>
        <w:spacing w:line="420" w:lineRule="exact"/>
        <w:ind w:left="3497" w:right="3616"/>
        <w:jc w:val="center"/>
        <w:rPr>
          <w:rFonts w:ascii="宋体" w:hAnsi="宋体" w:eastAsia="宋体" w:cs="宋体"/>
          <w:b/>
          <w:color w:val="auto"/>
          <w:kern w:val="0"/>
          <w:sz w:val="30"/>
          <w:szCs w:val="30"/>
          <w:highlight w:val="none"/>
        </w:rPr>
      </w:pPr>
      <w:r>
        <w:rPr>
          <w:rFonts w:hint="eastAsia" w:ascii="宋体" w:hAnsi="宋体" w:eastAsia="宋体" w:cs="宋体"/>
          <w:b/>
          <w:color w:val="auto"/>
          <w:spacing w:val="65"/>
          <w:kern w:val="0"/>
          <w:position w:val="-3"/>
          <w:sz w:val="30"/>
          <w:szCs w:val="30"/>
          <w:highlight w:val="none"/>
        </w:rPr>
        <w:t>工程质量保修</w:t>
      </w:r>
      <w:r>
        <w:rPr>
          <w:rFonts w:hint="eastAsia" w:ascii="宋体" w:hAnsi="宋体" w:eastAsia="宋体" w:cs="宋体"/>
          <w:b/>
          <w:color w:val="auto"/>
          <w:kern w:val="0"/>
          <w:position w:val="-3"/>
          <w:sz w:val="30"/>
          <w:szCs w:val="30"/>
          <w:highlight w:val="none"/>
        </w:rPr>
        <w:t>书</w:t>
      </w:r>
      <w:r>
        <w:rPr>
          <w:rFonts w:hint="eastAsia" w:ascii="宋体" w:hAnsi="宋体" w:eastAsia="宋体" w:cs="宋体"/>
          <w:b/>
          <w:color w:val="auto"/>
          <w:spacing w:val="-115"/>
          <w:kern w:val="0"/>
          <w:position w:val="-3"/>
          <w:sz w:val="30"/>
          <w:szCs w:val="30"/>
          <w:highlight w:val="none"/>
        </w:rPr>
        <w:t xml:space="preserve"> </w:t>
      </w:r>
    </w:p>
    <w:p w14:paraId="2C8E3E27">
      <w:pPr>
        <w:autoSpaceDE w:val="0"/>
        <w:autoSpaceDN w:val="0"/>
        <w:adjustRightInd w:val="0"/>
        <w:spacing w:before="4" w:line="100" w:lineRule="exact"/>
        <w:jc w:val="left"/>
        <w:rPr>
          <w:rFonts w:ascii="宋体" w:hAnsi="宋体" w:eastAsia="宋体" w:cs="宋体"/>
          <w:color w:val="auto"/>
          <w:kern w:val="0"/>
          <w:sz w:val="10"/>
          <w:szCs w:val="10"/>
          <w:highlight w:val="none"/>
        </w:rPr>
      </w:pPr>
    </w:p>
    <w:p w14:paraId="294ACAFA">
      <w:pPr>
        <w:autoSpaceDE w:val="0"/>
        <w:autoSpaceDN w:val="0"/>
        <w:adjustRightInd w:val="0"/>
        <w:spacing w:before="94" w:line="360" w:lineRule="auto"/>
        <w:ind w:left="101" w:right="47" w:firstLine="48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保证本施工合同涉及的工程项目在合理使用期限内正常使用，合同双方当事人根据《中华人民共和国建筑法》、《建设工程质量管理条例》和《房屋建筑工程质量保修办法》等规定，经协商一致，订立本质量保修书。</w:t>
      </w:r>
    </w:p>
    <w:p w14:paraId="5EE24CD9">
      <w:pPr>
        <w:autoSpaceDE w:val="0"/>
        <w:autoSpaceDN w:val="0"/>
        <w:adjustRightInd w:val="0"/>
        <w:spacing w:before="36" w:line="360" w:lineRule="auto"/>
        <w:ind w:left="521"/>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w:t>
      </w:r>
      <w:r>
        <w:rPr>
          <w:rFonts w:hint="eastAsia" w:ascii="宋体" w:hAnsi="宋体" w:eastAsia="宋体" w:cs="宋体"/>
          <w:b/>
          <w:color w:val="auto"/>
          <w:spacing w:val="-60"/>
          <w:kern w:val="0"/>
          <w:sz w:val="24"/>
          <w:highlight w:val="none"/>
        </w:rPr>
        <w:t xml:space="preserve"> </w:t>
      </w:r>
      <w:r>
        <w:rPr>
          <w:rFonts w:hint="eastAsia" w:ascii="宋体" w:hAnsi="宋体" w:eastAsia="宋体" w:cs="宋体"/>
          <w:b/>
          <w:color w:val="auto"/>
          <w:kern w:val="0"/>
          <w:sz w:val="24"/>
          <w:highlight w:val="none"/>
        </w:rPr>
        <w:t>质量保修范围</w:t>
      </w:r>
    </w:p>
    <w:p w14:paraId="42A09CA9">
      <w:pPr>
        <w:autoSpaceDE w:val="0"/>
        <w:autoSpaceDN w:val="0"/>
        <w:adjustRightInd w:val="0"/>
        <w:spacing w:before="94" w:line="317" w:lineRule="auto"/>
        <w:ind w:left="101" w:right="47" w:firstLine="480"/>
        <w:rPr>
          <w:rFonts w:ascii="宋体" w:hAnsi="宋体" w:eastAsia="宋体" w:cs="宋体"/>
          <w:color w:val="auto"/>
          <w:kern w:val="0"/>
          <w:sz w:val="24"/>
          <w:highlight w:val="none"/>
        </w:rPr>
      </w:pPr>
      <w:r>
        <w:rPr>
          <w:rFonts w:hint="eastAsia" w:ascii="宋体" w:hAnsi="宋体" w:eastAsia="宋体" w:cs="宋体"/>
          <w:color w:val="auto"/>
          <w:spacing w:val="1"/>
          <w:kern w:val="0"/>
          <w:sz w:val="24"/>
          <w:highlight w:val="none"/>
        </w:rPr>
        <w:t>质量保修范围包括地基基础工程</w:t>
      </w:r>
      <w:r>
        <w:rPr>
          <w:rFonts w:hint="eastAsia" w:ascii="宋体" w:hAnsi="宋体" w:eastAsia="宋体" w:cs="宋体"/>
          <w:color w:val="auto"/>
          <w:kern w:val="0"/>
          <w:sz w:val="24"/>
          <w:highlight w:val="none"/>
        </w:rPr>
        <w:t>、</w:t>
      </w:r>
      <w:r>
        <w:rPr>
          <w:rFonts w:hint="eastAsia" w:ascii="宋体" w:hAnsi="宋体" w:eastAsia="宋体" w:cs="宋体"/>
          <w:color w:val="auto"/>
          <w:spacing w:val="1"/>
          <w:kern w:val="0"/>
          <w:sz w:val="24"/>
          <w:highlight w:val="none"/>
        </w:rPr>
        <w:t>主体结构工程、屋面防水工</w:t>
      </w:r>
      <w:r>
        <w:rPr>
          <w:rFonts w:hint="eastAsia" w:ascii="宋体" w:hAnsi="宋体" w:eastAsia="宋体" w:cs="宋体"/>
          <w:color w:val="auto"/>
          <w:kern w:val="0"/>
          <w:sz w:val="24"/>
          <w:highlight w:val="none"/>
        </w:rPr>
        <w:t>程</w:t>
      </w:r>
      <w:r>
        <w:rPr>
          <w:rFonts w:hint="eastAsia" w:ascii="宋体" w:hAnsi="宋体" w:eastAsia="宋体" w:cs="宋体"/>
          <w:color w:val="auto"/>
          <w:spacing w:val="1"/>
          <w:kern w:val="0"/>
          <w:sz w:val="24"/>
          <w:highlight w:val="none"/>
        </w:rPr>
        <w:t>、有防水要求的卫生间、</w:t>
      </w:r>
      <w:r>
        <w:rPr>
          <w:rFonts w:hint="eastAsia" w:ascii="宋体" w:hAnsi="宋体" w:eastAsia="宋体" w:cs="宋体"/>
          <w:color w:val="auto"/>
          <w:kern w:val="0"/>
          <w:sz w:val="24"/>
          <w:highlight w:val="none"/>
        </w:rPr>
        <w:t>房间、外墙面的防渗漏工程</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电气管线工程、给排水管道工程</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设备安装工程、供热</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供</w:t>
      </w:r>
      <w:r>
        <w:rPr>
          <w:rFonts w:hint="eastAsia" w:ascii="宋体" w:hAnsi="宋体" w:eastAsia="宋体" w:cs="宋体"/>
          <w:color w:val="auto"/>
          <w:spacing w:val="2"/>
          <w:kern w:val="0"/>
          <w:sz w:val="24"/>
          <w:highlight w:val="none"/>
        </w:rPr>
        <w:t>冷</w:t>
      </w:r>
      <w:r>
        <w:rPr>
          <w:rFonts w:hint="eastAsia" w:ascii="宋体" w:hAnsi="宋体" w:eastAsia="宋体" w:cs="宋体"/>
          <w:color w:val="auto"/>
          <w:kern w:val="0"/>
          <w:sz w:val="24"/>
          <w:highlight w:val="none"/>
        </w:rPr>
        <w:t>系 统工程</w:t>
      </w:r>
      <w:r>
        <w:rPr>
          <w:rFonts w:hint="eastAsia" w:ascii="宋体" w:hAnsi="宋体" w:eastAsia="宋体" w:cs="宋体"/>
          <w:color w:val="auto"/>
          <w:spacing w:val="-32"/>
          <w:kern w:val="0"/>
          <w:sz w:val="24"/>
          <w:highlight w:val="none"/>
        </w:rPr>
        <w:t>、</w:t>
      </w:r>
      <w:r>
        <w:rPr>
          <w:rFonts w:hint="eastAsia" w:ascii="宋体" w:hAnsi="宋体" w:eastAsia="宋体" w:cs="宋体"/>
          <w:color w:val="auto"/>
          <w:kern w:val="0"/>
          <w:sz w:val="24"/>
          <w:highlight w:val="none"/>
        </w:rPr>
        <w:t>装饰装修工程、城市道路、桥梁、排水、污水处理、城市防洪、园林、道路绿化、路灯、环境卫生、道路</w:t>
      </w:r>
      <w:r>
        <w:rPr>
          <w:color w:val="auto"/>
          <w:highlight w:val="none"/>
        </w:rPr>
        <w:fldChar w:fldCharType="begin"/>
      </w:r>
      <w:r>
        <w:rPr>
          <w:color w:val="auto"/>
          <w:highlight w:val="none"/>
        </w:rPr>
        <w:instrText xml:space="preserve"> HYPERLINK "https://www.baidu.com/s?wd=%E4%BA%A4%E9%80%9A%E5%B7%A5%E7%A8%8B&amp;tn=SE_PcZhidaonwhc_ngpagmjz&amp;rsv_dl=gh_pc_zhidao" \t "_blank" </w:instrText>
      </w:r>
      <w:r>
        <w:rPr>
          <w:color w:val="auto"/>
          <w:highlight w:val="none"/>
        </w:rPr>
        <w:fldChar w:fldCharType="separate"/>
      </w:r>
      <w:r>
        <w:rPr>
          <w:rFonts w:hint="eastAsia" w:ascii="宋体" w:hAnsi="宋体" w:eastAsia="宋体" w:cs="宋体"/>
          <w:color w:val="auto"/>
          <w:kern w:val="0"/>
          <w:sz w:val="24"/>
          <w:highlight w:val="none"/>
        </w:rPr>
        <w:t>交通工程</w:t>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、河湖水系工程、 架空杆线工程、地下管线工程以及双方约定其他项目。具体质量保修范围，合同双方当事人约定如下：</w:t>
      </w:r>
    </w:p>
    <w:p w14:paraId="64367B38">
      <w:pPr>
        <w:autoSpaceDE w:val="0"/>
        <w:autoSpaceDN w:val="0"/>
        <w:adjustRightInd w:val="0"/>
        <w:spacing w:before="36"/>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w:t>
      </w:r>
      <w:r>
        <w:rPr>
          <w:rFonts w:hint="eastAsia" w:ascii="宋体" w:hAnsi="宋体" w:eastAsia="宋体" w:cs="宋体"/>
          <w:color w:val="auto"/>
          <w:kern w:val="0"/>
          <w:sz w:val="24"/>
          <w:highlight w:val="none"/>
          <w:u w:val="single"/>
        </w:rPr>
        <w:t xml:space="preserve"> 本保修书所属合同约定的承包范围内全部工程内容。  </w:t>
      </w:r>
    </w:p>
    <w:p w14:paraId="7C359E2B">
      <w:pPr>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w:t>
      </w:r>
      <w:r>
        <w:rPr>
          <w:rFonts w:hint="eastAsia" w:ascii="宋体" w:hAnsi="宋体" w:eastAsia="宋体" w:cs="宋体"/>
          <w:color w:val="auto"/>
          <w:kern w:val="0"/>
          <w:sz w:val="24"/>
          <w:highlight w:val="none"/>
          <w:u w:val="single"/>
        </w:rPr>
        <w:t xml:space="preserve">                                    </w:t>
      </w:r>
    </w:p>
    <w:p w14:paraId="438C488E">
      <w:pPr>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kern w:val="0"/>
          <w:sz w:val="24"/>
          <w:highlight w:val="none"/>
          <w:u w:val="single"/>
        </w:rPr>
        <w:t xml:space="preserve">                                    </w:t>
      </w:r>
    </w:p>
    <w:p w14:paraId="17EFEA27">
      <w:pPr>
        <w:autoSpaceDE w:val="0"/>
        <w:autoSpaceDN w:val="0"/>
        <w:adjustRightInd w:val="0"/>
        <w:spacing w:before="94"/>
        <w:ind w:left="581"/>
        <w:jc w:val="left"/>
        <w:rPr>
          <w:rFonts w:ascii="宋体" w:hAnsi="宋体" w:eastAsia="宋体" w:cs="宋体"/>
          <w:color w:val="auto"/>
          <w:kern w:val="0"/>
          <w:sz w:val="24"/>
          <w:highlight w:val="none"/>
        </w:rPr>
      </w:pPr>
    </w:p>
    <w:p w14:paraId="1C186C5E">
      <w:pPr>
        <w:autoSpaceDE w:val="0"/>
        <w:autoSpaceDN w:val="0"/>
        <w:adjustRightInd w:val="0"/>
        <w:spacing w:before="94"/>
        <w:ind w:left="521"/>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b/>
          <w:color w:val="auto"/>
          <w:spacing w:val="-60"/>
          <w:kern w:val="0"/>
          <w:sz w:val="24"/>
          <w:highlight w:val="none"/>
        </w:rPr>
        <w:t xml:space="preserve"> </w:t>
      </w:r>
      <w:r>
        <w:rPr>
          <w:rFonts w:hint="eastAsia" w:ascii="宋体" w:hAnsi="宋体" w:eastAsia="宋体" w:cs="宋体"/>
          <w:b/>
          <w:color w:val="auto"/>
          <w:kern w:val="0"/>
          <w:sz w:val="24"/>
          <w:highlight w:val="none"/>
        </w:rPr>
        <w:t>质量保修期</w:t>
      </w:r>
    </w:p>
    <w:p w14:paraId="4C2841F9">
      <w:pPr>
        <w:autoSpaceDE w:val="0"/>
        <w:autoSpaceDN w:val="0"/>
        <w:adjustRightInd w:val="0"/>
        <w:spacing w:before="94" w:line="300" w:lineRule="auto"/>
        <w:ind w:left="101" w:right="165"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2.1 </w:t>
      </w:r>
      <w:r>
        <w:rPr>
          <w:rFonts w:hint="eastAsia" w:ascii="宋体" w:hAnsi="宋体" w:eastAsia="宋体" w:cs="宋体"/>
          <w:color w:val="auto"/>
          <w:spacing w:val="2"/>
          <w:kern w:val="0"/>
          <w:sz w:val="24"/>
          <w:highlight w:val="none"/>
        </w:rPr>
        <w:t>质量保修期从合同工程实际竣工之日算起。单项竣</w:t>
      </w:r>
      <w:r>
        <w:rPr>
          <w:rFonts w:hint="eastAsia" w:ascii="宋体" w:hAnsi="宋体" w:eastAsia="宋体" w:cs="宋体"/>
          <w:color w:val="auto"/>
          <w:spacing w:val="1"/>
          <w:kern w:val="0"/>
          <w:sz w:val="24"/>
          <w:highlight w:val="none"/>
        </w:rPr>
        <w:t>工</w:t>
      </w:r>
      <w:r>
        <w:rPr>
          <w:rFonts w:hint="eastAsia" w:ascii="宋体" w:hAnsi="宋体" w:eastAsia="宋体" w:cs="宋体"/>
          <w:color w:val="auto"/>
          <w:spacing w:val="2"/>
          <w:kern w:val="0"/>
          <w:sz w:val="24"/>
          <w:highlight w:val="none"/>
        </w:rPr>
        <w:t>验收的工程，按单项工程分别计</w:t>
      </w:r>
      <w:r>
        <w:rPr>
          <w:rFonts w:hint="eastAsia" w:ascii="宋体" w:hAnsi="宋体" w:eastAsia="宋体" w:cs="宋体"/>
          <w:color w:val="auto"/>
          <w:kern w:val="0"/>
          <w:sz w:val="24"/>
          <w:highlight w:val="none"/>
        </w:rPr>
        <w:t>算质量保修期。</w:t>
      </w:r>
    </w:p>
    <w:p w14:paraId="7A1813F7">
      <w:pPr>
        <w:autoSpaceDE w:val="0"/>
        <w:autoSpaceDN w:val="0"/>
        <w:adjustRightInd w:val="0"/>
        <w:spacing w:before="52"/>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 合同工程质量保修期，合同双方当事人约定如下：</w:t>
      </w:r>
    </w:p>
    <w:p w14:paraId="7C964563">
      <w:pPr>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2.2.1．地基基础工程、主体结构工程为设计文件规定的合理使用年限；</w:t>
      </w:r>
    </w:p>
    <w:p w14:paraId="24CE4352">
      <w:pPr>
        <w:tabs>
          <w:tab w:val="left" w:pos="8860"/>
        </w:tabs>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2.2.2．屋面防水工程、有防水要求的卫生间、房间和外墙面的防渗漏工程为</w:t>
      </w:r>
      <w:r>
        <w:rPr>
          <w:rFonts w:hint="eastAsia" w:ascii="宋体" w:hAnsi="宋体" w:eastAsia="宋体" w:cs="宋体"/>
          <w:color w:val="auto"/>
          <w:kern w:val="0"/>
          <w:sz w:val="24"/>
          <w:highlight w:val="none"/>
          <w:u w:val="single"/>
        </w:rPr>
        <w:t xml:space="preserve">   5   </w:t>
      </w:r>
      <w:r>
        <w:rPr>
          <w:rFonts w:hint="eastAsia" w:ascii="宋体" w:hAnsi="宋体" w:eastAsia="宋体" w:cs="宋体"/>
          <w:color w:val="auto"/>
          <w:kern w:val="0"/>
          <w:sz w:val="24"/>
          <w:highlight w:val="none"/>
        </w:rPr>
        <w:t>年；</w:t>
      </w:r>
    </w:p>
    <w:p w14:paraId="3D792C8B">
      <w:pPr>
        <w:tabs>
          <w:tab w:val="left" w:pos="7420"/>
        </w:tabs>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2.2.3．电气管线工程、给排水管道工程、设备安装工程为</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年；</w:t>
      </w:r>
    </w:p>
    <w:p w14:paraId="18144F31">
      <w:pPr>
        <w:tabs>
          <w:tab w:val="left" w:pos="4060"/>
        </w:tabs>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2.2.4．供热、供冷系统工程为</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个采暖期、供冷期；</w:t>
      </w:r>
    </w:p>
    <w:p w14:paraId="36EAD087">
      <w:pPr>
        <w:tabs>
          <w:tab w:val="left" w:pos="3580"/>
        </w:tabs>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2.2.5．装饰装修工程为</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年；</w:t>
      </w:r>
    </w:p>
    <w:p w14:paraId="12F80CF2">
      <w:pPr>
        <w:tabs>
          <w:tab w:val="left" w:pos="6100"/>
        </w:tabs>
        <w:autoSpaceDE w:val="0"/>
        <w:autoSpaceDN w:val="0"/>
        <w:adjustRightInd w:val="0"/>
        <w:spacing w:before="94" w:line="360" w:lineRule="auto"/>
        <w:ind w:firstLine="720" w:firstLineChars="3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2.2.6．其他项目</w:t>
      </w:r>
      <w:r>
        <w:rPr>
          <w:rFonts w:hint="eastAsia" w:ascii="宋体" w:hAnsi="宋体" w:eastAsia="宋体" w:cs="宋体"/>
          <w:color w:val="auto"/>
          <w:kern w:val="0"/>
          <w:sz w:val="24"/>
          <w:highlight w:val="none"/>
          <w:u w:val="single"/>
        </w:rPr>
        <w:t xml:space="preserve"> 城市道路和市政工程为一年，排水工程为两年，外墙涂料为两年，绿化成活保养期三个月、保存保养期九个月 。绿化养护期内更换苗木的，保养期时间从更换之日起算</w:t>
      </w:r>
      <w:r>
        <w:rPr>
          <w:rFonts w:hint="eastAsia" w:ascii="宋体" w:hAnsi="宋体" w:eastAsia="宋体" w:cs="宋体"/>
          <w:color w:val="auto"/>
          <w:kern w:val="0"/>
          <w:sz w:val="24"/>
          <w:highlight w:val="none"/>
        </w:rPr>
        <w:t>。</w:t>
      </w:r>
    </w:p>
    <w:p w14:paraId="755B0FA4">
      <w:pPr>
        <w:autoSpaceDE w:val="0"/>
        <w:autoSpaceDN w:val="0"/>
        <w:adjustRightInd w:val="0"/>
        <w:spacing w:before="94" w:line="360" w:lineRule="auto"/>
        <w:ind w:left="581"/>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3． 质量保修责任</w:t>
      </w:r>
    </w:p>
    <w:p w14:paraId="72D8C35F">
      <w:pPr>
        <w:tabs>
          <w:tab w:val="left" w:pos="1120"/>
        </w:tabs>
        <w:autoSpaceDE w:val="0"/>
        <w:autoSpaceDN w:val="0"/>
        <w:adjustRightInd w:val="0"/>
        <w:spacing w:before="94" w:line="360" w:lineRule="auto"/>
        <w:ind w:left="101" w:right="166"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属于保修范围的项目</w:t>
      </w:r>
      <w:r>
        <w:rPr>
          <w:rFonts w:hint="eastAsia" w:ascii="宋体" w:hAnsi="宋体" w:eastAsia="宋体" w:cs="宋体"/>
          <w:color w:val="auto"/>
          <w:spacing w:val="-18"/>
          <w:kern w:val="0"/>
          <w:sz w:val="24"/>
          <w:highlight w:val="none"/>
        </w:rPr>
        <w:t>，</w:t>
      </w:r>
      <w:r>
        <w:rPr>
          <w:rFonts w:hint="eastAsia" w:ascii="宋体" w:hAnsi="宋体" w:eastAsia="宋体" w:cs="宋体"/>
          <w:color w:val="auto"/>
          <w:kern w:val="0"/>
          <w:sz w:val="24"/>
          <w:highlight w:val="none"/>
        </w:rPr>
        <w:t>乙方应在接到甲</w:t>
      </w:r>
      <w:r>
        <w:rPr>
          <w:rFonts w:hint="eastAsia" w:ascii="宋体" w:hAnsi="宋体" w:eastAsia="宋体" w:cs="宋体"/>
          <w:color w:val="auto"/>
          <w:sz w:val="24"/>
          <w:highlight w:val="none"/>
        </w:rPr>
        <w:t>、乙方</w:t>
      </w:r>
      <w:r>
        <w:rPr>
          <w:rFonts w:hint="eastAsia" w:ascii="宋体" w:hAnsi="宋体" w:eastAsia="宋体" w:cs="宋体"/>
          <w:color w:val="auto"/>
          <w:kern w:val="0"/>
          <w:sz w:val="24"/>
          <w:highlight w:val="none"/>
        </w:rPr>
        <w:t>通知后的</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7 天内派人保修</w:t>
      </w:r>
      <w:r>
        <w:rPr>
          <w:rFonts w:hint="eastAsia" w:ascii="宋体" w:hAnsi="宋体" w:eastAsia="宋体" w:cs="宋体"/>
          <w:color w:val="auto"/>
          <w:spacing w:val="-18"/>
          <w:kern w:val="0"/>
          <w:sz w:val="24"/>
          <w:highlight w:val="none"/>
        </w:rPr>
        <w:t>。</w:t>
      </w:r>
      <w:r>
        <w:rPr>
          <w:rFonts w:hint="eastAsia" w:ascii="宋体" w:hAnsi="宋体" w:eastAsia="宋体" w:cs="宋体"/>
          <w:color w:val="auto"/>
          <w:kern w:val="0"/>
          <w:sz w:val="24"/>
          <w:highlight w:val="none"/>
        </w:rPr>
        <w:t>乙方未能在规定时间内派人保修的，甲</w:t>
      </w:r>
      <w:r>
        <w:rPr>
          <w:rFonts w:hint="eastAsia" w:ascii="宋体" w:hAnsi="宋体" w:eastAsia="宋体" w:cs="宋体"/>
          <w:color w:val="auto"/>
          <w:sz w:val="24"/>
          <w:highlight w:val="none"/>
        </w:rPr>
        <w:t>、乙方</w:t>
      </w:r>
      <w:r>
        <w:rPr>
          <w:rFonts w:hint="eastAsia" w:ascii="宋体" w:hAnsi="宋体" w:eastAsia="宋体" w:cs="宋体"/>
          <w:color w:val="auto"/>
          <w:kern w:val="0"/>
          <w:sz w:val="24"/>
          <w:highlight w:val="none"/>
        </w:rPr>
        <w:t>可自行或委托第三方保修。</w:t>
      </w:r>
    </w:p>
    <w:p w14:paraId="32316242">
      <w:pPr>
        <w:tabs>
          <w:tab w:val="left" w:pos="1120"/>
        </w:tabs>
        <w:autoSpaceDE w:val="0"/>
        <w:autoSpaceDN w:val="0"/>
        <w:adjustRightInd w:val="0"/>
        <w:spacing w:before="51"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发生紧急抢修事故的，乙方在接到通知后，应立即到达事故现场抢修。</w:t>
      </w:r>
    </w:p>
    <w:p w14:paraId="04734235">
      <w:pPr>
        <w:tabs>
          <w:tab w:val="left" w:pos="1120"/>
        </w:tabs>
        <w:autoSpaceDE w:val="0"/>
        <w:autoSpaceDN w:val="0"/>
        <w:adjustRightInd w:val="0"/>
        <w:spacing w:before="94" w:line="360" w:lineRule="auto"/>
        <w:ind w:left="101" w:right="166"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在国家规定的合理使用期限内，乙方应确保地基基础工程和主体结构的质量和安全。凡出现质量问题，应立即报告当地建设行政主管部门，经设计人提出保修方案后，乙方应立即实施保修。</w:t>
      </w:r>
    </w:p>
    <w:p w14:paraId="4D5C6C60">
      <w:pPr>
        <w:tabs>
          <w:tab w:val="left" w:pos="1120"/>
        </w:tabs>
        <w:autoSpaceDE w:val="0"/>
        <w:autoSpaceDN w:val="0"/>
        <w:adjustRightInd w:val="0"/>
        <w:spacing w:before="36"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3.4</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质量保修完成后，由甲</w:t>
      </w:r>
      <w:r>
        <w:rPr>
          <w:rFonts w:hint="eastAsia" w:ascii="宋体" w:hAnsi="宋体" w:eastAsia="宋体" w:cs="宋体"/>
          <w:color w:val="auto"/>
          <w:sz w:val="24"/>
          <w:highlight w:val="none"/>
        </w:rPr>
        <w:t>、乙方</w:t>
      </w:r>
      <w:r>
        <w:rPr>
          <w:rFonts w:hint="eastAsia" w:ascii="宋体" w:hAnsi="宋体" w:eastAsia="宋体" w:cs="宋体"/>
          <w:color w:val="auto"/>
          <w:kern w:val="0"/>
          <w:sz w:val="24"/>
          <w:highlight w:val="none"/>
        </w:rPr>
        <w:t>组织验收。</w:t>
      </w:r>
    </w:p>
    <w:p w14:paraId="528002DF">
      <w:pPr>
        <w:autoSpaceDE w:val="0"/>
        <w:autoSpaceDN w:val="0"/>
        <w:adjustRightInd w:val="0"/>
        <w:spacing w:before="94" w:line="360" w:lineRule="auto"/>
        <w:ind w:left="581"/>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4．质量保修费用</w:t>
      </w:r>
    </w:p>
    <w:p w14:paraId="24F3DCF7">
      <w:pPr>
        <w:autoSpaceDE w:val="0"/>
        <w:autoSpaceDN w:val="0"/>
        <w:adjustRightInd w:val="0"/>
        <w:spacing w:before="94"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质量保修等费用，由责任方承担。</w:t>
      </w:r>
    </w:p>
    <w:p w14:paraId="6381F9F7">
      <w:pPr>
        <w:autoSpaceDE w:val="0"/>
        <w:autoSpaceDN w:val="0"/>
        <w:adjustRightInd w:val="0"/>
        <w:spacing w:before="3" w:line="360" w:lineRule="auto"/>
        <w:jc w:val="left"/>
        <w:rPr>
          <w:rFonts w:ascii="宋体" w:hAnsi="宋体" w:eastAsia="宋体" w:cs="宋体"/>
          <w:color w:val="auto"/>
          <w:kern w:val="0"/>
          <w:sz w:val="11"/>
          <w:szCs w:val="11"/>
          <w:highlight w:val="none"/>
        </w:rPr>
      </w:pPr>
    </w:p>
    <w:p w14:paraId="2B6225F6">
      <w:pPr>
        <w:autoSpaceDE w:val="0"/>
        <w:autoSpaceDN w:val="0"/>
        <w:adjustRightInd w:val="0"/>
        <w:spacing w:line="360" w:lineRule="auto"/>
        <w:ind w:left="581"/>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5．质量保证金</w:t>
      </w:r>
    </w:p>
    <w:p w14:paraId="06EB6A60">
      <w:pPr>
        <w:autoSpaceDE w:val="0"/>
        <w:autoSpaceDN w:val="0"/>
        <w:adjustRightInd w:val="0"/>
        <w:spacing w:before="94"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质量保证金的约定、支付和使用与本合同第二部分《通用条款》第</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84 条赋予的规定一致。</w:t>
      </w:r>
    </w:p>
    <w:p w14:paraId="592BEA85">
      <w:pPr>
        <w:autoSpaceDE w:val="0"/>
        <w:autoSpaceDN w:val="0"/>
        <w:adjustRightInd w:val="0"/>
        <w:spacing w:before="94" w:line="360" w:lineRule="auto"/>
        <w:ind w:left="581"/>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6．其他</w:t>
      </w:r>
    </w:p>
    <w:p w14:paraId="153167BD">
      <w:pPr>
        <w:autoSpaceDE w:val="0"/>
        <w:autoSpaceDN w:val="0"/>
        <w:adjustRightInd w:val="0"/>
        <w:spacing w:before="94"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  合同双方当事人约定的其他质量保修事项：</w:t>
      </w:r>
      <w:r>
        <w:rPr>
          <w:rFonts w:hint="eastAsia" w:ascii="宋体" w:hAnsi="宋体" w:eastAsia="宋体" w:cs="宋体"/>
          <w:color w:val="auto"/>
          <w:kern w:val="0"/>
          <w:sz w:val="24"/>
          <w:highlight w:val="none"/>
          <w:u w:val="single"/>
        </w:rPr>
        <w:t xml:space="preserve">               /             。</w:t>
      </w:r>
    </w:p>
    <w:p w14:paraId="03B05547">
      <w:pPr>
        <w:tabs>
          <w:tab w:val="left" w:pos="1120"/>
        </w:tabs>
        <w:autoSpaceDE w:val="0"/>
        <w:autoSpaceDN w:val="0"/>
        <w:adjustRightInd w:val="0"/>
        <w:spacing w:line="360" w:lineRule="auto"/>
        <w:ind w:left="101" w:right="110"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  本质量保修书，由合同双方当事人在乙方向甲方提交竣工验收申请报告时签署，作为本合同的附件。</w:t>
      </w:r>
    </w:p>
    <w:p w14:paraId="78CC297C">
      <w:pPr>
        <w:autoSpaceDE w:val="0"/>
        <w:autoSpaceDN w:val="0"/>
        <w:adjustRightInd w:val="0"/>
        <w:spacing w:before="52"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6.3  本质量保修书，自合同双方当事人签署之日起生效，至质量保修期满后失效。</w:t>
      </w:r>
    </w:p>
    <w:p w14:paraId="2749695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（以下无正文）</w:t>
      </w:r>
    </w:p>
    <w:p w14:paraId="35176CA3">
      <w:pPr>
        <w:pStyle w:val="6"/>
        <w:ind w:firstLine="480"/>
        <w:rPr>
          <w:rFonts w:ascii="宋体" w:hAnsi="宋体" w:eastAsia="宋体" w:cs="宋体"/>
          <w:color w:val="auto"/>
          <w:kern w:val="0"/>
          <w:sz w:val="24"/>
          <w:highlight w:val="none"/>
        </w:rPr>
      </w:pPr>
    </w:p>
    <w:p w14:paraId="5CAD0ED9">
      <w:pPr>
        <w:pStyle w:val="6"/>
        <w:ind w:firstLine="480"/>
        <w:rPr>
          <w:rFonts w:ascii="宋体" w:hAnsi="宋体" w:eastAsia="宋体" w:cs="宋体"/>
          <w:color w:val="auto"/>
          <w:kern w:val="0"/>
          <w:sz w:val="24"/>
          <w:highlight w:val="none"/>
        </w:rPr>
      </w:pPr>
    </w:p>
    <w:p w14:paraId="5D99F82C">
      <w:pPr>
        <w:pStyle w:val="6"/>
        <w:ind w:firstLine="480"/>
        <w:rPr>
          <w:rFonts w:ascii="宋体" w:hAnsi="宋体" w:eastAsia="宋体" w:cs="宋体"/>
          <w:color w:val="auto"/>
          <w:kern w:val="0"/>
          <w:sz w:val="24"/>
          <w:highlight w:val="none"/>
        </w:rPr>
      </w:pPr>
    </w:p>
    <w:p w14:paraId="0D933C32">
      <w:pPr>
        <w:pStyle w:val="6"/>
        <w:ind w:firstLine="480"/>
        <w:rPr>
          <w:rFonts w:ascii="宋体" w:hAnsi="宋体" w:eastAsia="宋体" w:cs="宋体"/>
          <w:color w:val="auto"/>
          <w:kern w:val="0"/>
          <w:sz w:val="24"/>
          <w:highlight w:val="none"/>
        </w:rPr>
      </w:pPr>
    </w:p>
    <w:p w14:paraId="1B2A73FD">
      <w:pPr>
        <w:pStyle w:val="6"/>
        <w:ind w:firstLine="480"/>
        <w:rPr>
          <w:rFonts w:ascii="宋体" w:hAnsi="宋体" w:eastAsia="宋体" w:cs="宋体"/>
          <w:color w:val="auto"/>
          <w:kern w:val="0"/>
          <w:sz w:val="24"/>
          <w:highlight w:val="none"/>
        </w:rPr>
      </w:pPr>
    </w:p>
    <w:p w14:paraId="084A07BD">
      <w:pPr>
        <w:pStyle w:val="6"/>
        <w:ind w:firstLine="480"/>
        <w:rPr>
          <w:rFonts w:ascii="宋体" w:hAnsi="宋体" w:eastAsia="宋体" w:cs="宋体"/>
          <w:color w:val="auto"/>
          <w:kern w:val="0"/>
          <w:sz w:val="24"/>
          <w:highlight w:val="none"/>
        </w:rPr>
      </w:pPr>
    </w:p>
    <w:p w14:paraId="174EEDBF">
      <w:pPr>
        <w:pStyle w:val="6"/>
        <w:ind w:firstLine="480"/>
        <w:rPr>
          <w:rFonts w:ascii="宋体" w:hAnsi="宋体" w:eastAsia="宋体" w:cs="宋体"/>
          <w:color w:val="auto"/>
          <w:kern w:val="0"/>
          <w:sz w:val="24"/>
          <w:highlight w:val="none"/>
        </w:rPr>
      </w:pPr>
    </w:p>
    <w:p w14:paraId="578EEE87">
      <w:pPr>
        <w:pStyle w:val="6"/>
        <w:ind w:firstLine="480"/>
        <w:rPr>
          <w:rFonts w:ascii="宋体" w:hAnsi="宋体" w:eastAsia="宋体" w:cs="宋体"/>
          <w:color w:val="auto"/>
          <w:kern w:val="0"/>
          <w:sz w:val="24"/>
          <w:highlight w:val="none"/>
        </w:rPr>
      </w:pPr>
    </w:p>
    <w:p w14:paraId="680F576E">
      <w:pPr>
        <w:pStyle w:val="6"/>
        <w:ind w:firstLine="480"/>
        <w:rPr>
          <w:rFonts w:ascii="宋体" w:hAnsi="宋体" w:eastAsia="宋体" w:cs="宋体"/>
          <w:color w:val="auto"/>
          <w:kern w:val="0"/>
          <w:sz w:val="24"/>
          <w:highlight w:val="none"/>
        </w:rPr>
      </w:pPr>
    </w:p>
    <w:p w14:paraId="221E3764">
      <w:pPr>
        <w:pStyle w:val="6"/>
        <w:ind w:firstLine="480"/>
        <w:rPr>
          <w:rFonts w:ascii="宋体" w:hAnsi="宋体" w:eastAsia="宋体" w:cs="宋体"/>
          <w:color w:val="auto"/>
          <w:kern w:val="0"/>
          <w:sz w:val="24"/>
          <w:highlight w:val="none"/>
        </w:rPr>
      </w:pPr>
    </w:p>
    <w:p w14:paraId="5CD10029">
      <w:pPr>
        <w:pStyle w:val="6"/>
        <w:ind w:firstLine="480"/>
        <w:rPr>
          <w:rFonts w:ascii="宋体" w:hAnsi="宋体" w:eastAsia="宋体" w:cs="宋体"/>
          <w:color w:val="auto"/>
          <w:kern w:val="0"/>
          <w:sz w:val="24"/>
          <w:highlight w:val="none"/>
        </w:rPr>
      </w:pPr>
    </w:p>
    <w:p w14:paraId="13EB77C3">
      <w:pPr>
        <w:pStyle w:val="6"/>
        <w:ind w:firstLine="480"/>
        <w:rPr>
          <w:rFonts w:ascii="宋体" w:hAnsi="宋体" w:eastAsia="宋体" w:cs="宋体"/>
          <w:color w:val="auto"/>
          <w:kern w:val="0"/>
          <w:sz w:val="24"/>
          <w:highlight w:val="none"/>
        </w:rPr>
      </w:pPr>
    </w:p>
    <w:p w14:paraId="290FF2A6">
      <w:pPr>
        <w:pStyle w:val="6"/>
        <w:ind w:firstLine="480"/>
        <w:rPr>
          <w:rFonts w:ascii="宋体" w:hAnsi="宋体" w:eastAsia="宋体" w:cs="宋体"/>
          <w:color w:val="auto"/>
          <w:kern w:val="0"/>
          <w:sz w:val="24"/>
          <w:highlight w:val="none"/>
        </w:rPr>
      </w:pPr>
    </w:p>
    <w:p w14:paraId="176B5EE4">
      <w:pPr>
        <w:pStyle w:val="6"/>
        <w:ind w:firstLine="480"/>
        <w:rPr>
          <w:rFonts w:ascii="宋体" w:hAnsi="宋体" w:eastAsia="宋体" w:cs="宋体"/>
          <w:color w:val="auto"/>
          <w:kern w:val="0"/>
          <w:sz w:val="24"/>
          <w:highlight w:val="none"/>
        </w:rPr>
      </w:pPr>
    </w:p>
    <w:p w14:paraId="16C81FF9">
      <w:pPr>
        <w:pStyle w:val="6"/>
        <w:ind w:firstLine="480"/>
        <w:rPr>
          <w:rFonts w:ascii="宋体" w:hAnsi="宋体" w:eastAsia="宋体" w:cs="宋体"/>
          <w:color w:val="auto"/>
          <w:kern w:val="0"/>
          <w:sz w:val="24"/>
          <w:highlight w:val="none"/>
        </w:rPr>
      </w:pPr>
    </w:p>
    <w:p w14:paraId="68439588">
      <w:pPr>
        <w:pStyle w:val="6"/>
        <w:ind w:firstLine="480"/>
        <w:rPr>
          <w:rFonts w:ascii="宋体" w:hAnsi="宋体" w:eastAsia="宋体" w:cs="宋体"/>
          <w:color w:val="auto"/>
          <w:kern w:val="0"/>
          <w:sz w:val="24"/>
          <w:highlight w:val="none"/>
        </w:rPr>
      </w:pPr>
    </w:p>
    <w:p w14:paraId="355437DF">
      <w:pPr>
        <w:pStyle w:val="6"/>
        <w:ind w:firstLine="480"/>
        <w:rPr>
          <w:rFonts w:ascii="宋体" w:hAnsi="宋体" w:eastAsia="宋体" w:cs="宋体"/>
          <w:color w:val="auto"/>
          <w:kern w:val="0"/>
          <w:sz w:val="24"/>
          <w:highlight w:val="none"/>
        </w:rPr>
      </w:pPr>
    </w:p>
    <w:p w14:paraId="39997226">
      <w:pPr>
        <w:pStyle w:val="6"/>
        <w:ind w:firstLine="480"/>
        <w:rPr>
          <w:rFonts w:ascii="宋体" w:hAnsi="宋体" w:eastAsia="宋体" w:cs="宋体"/>
          <w:color w:val="auto"/>
          <w:kern w:val="0"/>
          <w:sz w:val="24"/>
          <w:highlight w:val="none"/>
        </w:rPr>
      </w:pPr>
    </w:p>
    <w:p w14:paraId="4EF78C09">
      <w:pPr>
        <w:pStyle w:val="6"/>
        <w:ind w:firstLine="480"/>
        <w:rPr>
          <w:rFonts w:ascii="宋体" w:hAnsi="宋体" w:eastAsia="宋体" w:cs="宋体"/>
          <w:color w:val="auto"/>
          <w:kern w:val="0"/>
          <w:sz w:val="24"/>
          <w:highlight w:val="none"/>
        </w:rPr>
      </w:pPr>
    </w:p>
    <w:p w14:paraId="671645FA">
      <w:pPr>
        <w:pStyle w:val="6"/>
        <w:ind w:firstLine="480"/>
        <w:rPr>
          <w:rFonts w:ascii="宋体" w:hAnsi="宋体" w:eastAsia="宋体" w:cs="宋体"/>
          <w:color w:val="auto"/>
          <w:kern w:val="0"/>
          <w:sz w:val="24"/>
          <w:highlight w:val="none"/>
        </w:rPr>
      </w:pPr>
    </w:p>
    <w:p w14:paraId="025D8026">
      <w:pPr>
        <w:adjustRightInd w:val="0"/>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（本页为签署页）</w:t>
      </w:r>
    </w:p>
    <w:p w14:paraId="36BA3F27">
      <w:pPr>
        <w:adjustRightInd w:val="0"/>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 xml:space="preserve">                   </w:t>
      </w:r>
    </w:p>
    <w:p w14:paraId="01C6D40D">
      <w:pPr>
        <w:adjustRightInd w:val="0"/>
        <w:snapToGrid w:val="0"/>
        <w:spacing w:line="360" w:lineRule="auto"/>
        <w:ind w:firstLine="420" w:firstLineChars="200"/>
        <w:rPr>
          <w:rFonts w:ascii="宋体" w:hAnsi="宋体" w:eastAsia="宋体" w:cs="宋体"/>
          <w:color w:val="auto"/>
          <w:highlight w:val="none"/>
        </w:rPr>
      </w:pPr>
    </w:p>
    <w:p w14:paraId="13B6505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甲方：广州市番禺区大龙街</w:t>
      </w:r>
      <w:r>
        <w:rPr>
          <w:rFonts w:hint="eastAsia" w:ascii="宋体" w:hAnsi="宋体" w:eastAsia="宋体" w:cs="宋体"/>
          <w:color w:val="auto"/>
          <w:sz w:val="24"/>
          <w:highlight w:val="none"/>
          <w:lang w:eastAsia="zh-CN"/>
        </w:rPr>
        <w:t>傍江东村</w:t>
      </w:r>
      <w:r>
        <w:rPr>
          <w:rFonts w:hint="eastAsia" w:ascii="宋体" w:hAnsi="宋体" w:eastAsia="宋体" w:cs="宋体"/>
          <w:color w:val="auto"/>
          <w:sz w:val="24"/>
          <w:highlight w:val="none"/>
        </w:rPr>
        <w:t>股份合作经济社（盖章）</w:t>
      </w:r>
    </w:p>
    <w:p w14:paraId="1F3125B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107498A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0995E08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2B4E2D17">
      <w:pPr>
        <w:pStyle w:val="6"/>
        <w:adjustRightInd w:val="0"/>
        <w:snapToGrid w:val="0"/>
        <w:spacing w:line="360" w:lineRule="auto"/>
        <w:rPr>
          <w:rFonts w:ascii="宋体" w:hAnsi="宋体" w:eastAsia="宋体" w:cs="宋体"/>
          <w:color w:val="auto"/>
          <w:highlight w:val="none"/>
        </w:rPr>
      </w:pPr>
    </w:p>
    <w:p w14:paraId="77582FA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乙方（主）：           （盖章）            </w:t>
      </w:r>
    </w:p>
    <w:p w14:paraId="79DCE53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185BACE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51868C4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1204EBB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1BF33B73">
      <w:pPr>
        <w:adjustRightInd w:val="0"/>
        <w:snapToGrid w:val="0"/>
        <w:spacing w:line="360" w:lineRule="auto"/>
        <w:ind w:firstLine="420" w:firstLineChars="200"/>
        <w:rPr>
          <w:rFonts w:ascii="宋体" w:hAnsi="宋体" w:eastAsia="宋体" w:cs="宋体"/>
          <w:color w:val="auto"/>
          <w:highlight w:val="none"/>
        </w:rPr>
      </w:pPr>
    </w:p>
    <w:p w14:paraId="4FD6B67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乙方（成）：          （盖章）</w:t>
      </w:r>
    </w:p>
    <w:p w14:paraId="77A50B5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56A3A70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3E69B73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742D068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4E77CC1E">
      <w:pPr>
        <w:adjustRightInd w:val="0"/>
        <w:snapToGrid w:val="0"/>
        <w:spacing w:line="360" w:lineRule="auto"/>
        <w:ind w:firstLine="480" w:firstLineChars="200"/>
        <w:rPr>
          <w:rFonts w:hint="eastAsia" w:ascii="宋体" w:hAnsi="宋体" w:eastAsia="宋体" w:cs="宋体"/>
          <w:color w:val="auto"/>
          <w:sz w:val="24"/>
          <w:highlight w:val="none"/>
        </w:rPr>
      </w:pPr>
    </w:p>
    <w:p w14:paraId="3DBE80A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乙方（成）：            （盖章）</w:t>
      </w:r>
    </w:p>
    <w:p w14:paraId="0A5893E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33B4C56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3A3AFE8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1B70D4F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24EE9254">
      <w:pPr>
        <w:pStyle w:val="6"/>
        <w:tabs>
          <w:tab w:val="left" w:pos="2140"/>
          <w:tab w:val="left" w:pos="2860"/>
          <w:tab w:val="left" w:pos="6100"/>
          <w:tab w:val="left" w:pos="6820"/>
          <w:tab w:val="left" w:pos="7540"/>
        </w:tabs>
        <w:adjustRightInd w:val="0"/>
        <w:snapToGrid w:val="0"/>
        <w:spacing w:line="360" w:lineRule="auto"/>
        <w:rPr>
          <w:rFonts w:ascii="宋体" w:hAnsi="宋体" w:eastAsia="宋体" w:cs="宋体"/>
          <w:color w:val="auto"/>
          <w:highlight w:val="none"/>
        </w:rPr>
      </w:pPr>
    </w:p>
    <w:p w14:paraId="7E5BB5CD">
      <w:pPr>
        <w:adjustRightInd w:val="0"/>
        <w:snapToGrid w:val="0"/>
        <w:spacing w:line="360" w:lineRule="auto"/>
        <w:ind w:firstLine="420" w:firstLineChars="200"/>
        <w:rPr>
          <w:rFonts w:ascii="宋体" w:hAnsi="宋体" w:eastAsia="宋体" w:cs="宋体"/>
          <w:color w:val="auto"/>
          <w:highlight w:val="none"/>
        </w:rPr>
        <w:sectPr>
          <w:pgSz w:w="11920" w:h="16840"/>
          <w:pgMar w:top="1360" w:right="820" w:bottom="280" w:left="920" w:header="720" w:footer="720" w:gutter="0"/>
          <w:pgNumType w:fmt="numberInDash"/>
          <w:cols w:space="720" w:num="1"/>
        </w:sectPr>
      </w:pPr>
    </w:p>
    <w:p w14:paraId="30DAEA23">
      <w:pPr>
        <w:rPr>
          <w:rFonts w:hint="eastAsia" w:ascii="宋体" w:hAnsi="宋体" w:eastAsia="宋体" w:cs="宋体"/>
          <w:color w:val="auto"/>
          <w:sz w:val="24"/>
          <w:highlight w:val="none"/>
        </w:rPr>
      </w:pPr>
    </w:p>
    <w:p w14:paraId="64E8B473">
      <w:pPr>
        <w:pStyle w:val="6"/>
        <w:ind w:firstLine="0" w:firstLineChars="0"/>
        <w:rPr>
          <w:rFonts w:hint="default" w:ascii="宋体" w:hAnsi="宋体" w:eastAsia="宋体" w:cs="宋体"/>
          <w:color w:val="auto"/>
          <w:sz w:val="24"/>
          <w:highlight w:val="none"/>
          <w:lang w:val="en-US"/>
        </w:rPr>
      </w:pPr>
      <w:r>
        <w:rPr>
          <w:rFonts w:hint="eastAsia" w:ascii="宋体" w:hAnsi="宋体" w:eastAsia="宋体" w:cs="宋体"/>
          <w:b/>
          <w:color w:val="auto"/>
          <w:kern w:val="0"/>
          <w:sz w:val="24"/>
          <w:szCs w:val="24"/>
          <w:highlight w:val="none"/>
          <w:lang w:val="en-US" w:eastAsia="zh-CN" w:bidi="ar-SA"/>
        </w:rPr>
        <w:t>附件二：</w:t>
      </w:r>
    </w:p>
    <w:p w14:paraId="6B675EFF">
      <w:pPr>
        <w:spacing w:line="360" w:lineRule="auto"/>
        <w:jc w:val="center"/>
        <w:rPr>
          <w:rFonts w:ascii="宋体" w:hAnsi="宋体" w:eastAsia="宋体" w:cs="宋体"/>
          <w:b/>
          <w:bCs/>
          <w:color w:val="auto"/>
          <w:spacing w:val="30"/>
          <w:sz w:val="36"/>
          <w:szCs w:val="36"/>
          <w:highlight w:val="none"/>
        </w:rPr>
      </w:pPr>
      <w:r>
        <w:rPr>
          <w:rFonts w:hint="eastAsia" w:ascii="宋体" w:hAnsi="宋体" w:eastAsia="宋体" w:cs="宋体"/>
          <w:b/>
          <w:bCs/>
          <w:color w:val="auto"/>
          <w:spacing w:val="30"/>
          <w:sz w:val="36"/>
          <w:szCs w:val="36"/>
          <w:highlight w:val="none"/>
        </w:rPr>
        <w:t>分包单位资格报审表</w:t>
      </w:r>
    </w:p>
    <w:p w14:paraId="66B4F281">
      <w:pPr>
        <w:spacing w:line="360" w:lineRule="auto"/>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工程名称：</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编号：</w:t>
      </w:r>
    </w:p>
    <w:tbl>
      <w:tblPr>
        <w:tblStyle w:val="45"/>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14:paraId="0DF5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364B5319">
            <w:pPr>
              <w:keepNext w:val="0"/>
              <w:keepLines w:val="0"/>
              <w:suppressLineNumbers w:val="0"/>
              <w:spacing w:before="120" w:beforeAutospacing="0" w:after="0" w:afterAutospacing="0" w:line="360" w:lineRule="auto"/>
              <w:ind w:left="-28" w:right="0" w:firstLine="181"/>
              <w:rPr>
                <w:rFonts w:hint="default"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（监理单位全称）</w:t>
            </w:r>
          </w:p>
          <w:p w14:paraId="642DC4B4">
            <w:pPr>
              <w:keepNext w:val="0"/>
              <w:keepLines w:val="0"/>
              <w:suppressLineNumbers w:val="0"/>
              <w:spacing w:before="0" w:beforeAutospacing="0" w:after="0" w:afterAutospacing="0" w:line="360" w:lineRule="auto"/>
              <w:ind w:left="-28" w:right="0" w:firstLine="540"/>
              <w:rPr>
                <w:rFonts w:hint="default" w:ascii="宋体" w:hAnsi="宋体" w:eastAsia="宋体" w:cs="宋体"/>
                <w:color w:val="auto"/>
                <w:highlight w:val="none"/>
              </w:rPr>
            </w:pPr>
            <w:r>
              <w:rPr>
                <w:rFonts w:hint="eastAsia" w:ascii="宋体" w:hAnsi="宋体" w:eastAsia="宋体" w:cs="宋体"/>
                <w:color w:val="auto"/>
                <w:highlight w:val="none"/>
              </w:rPr>
              <w:t>经考察，我方拟选择的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（分包人）具备承担下列工程施工资质和施工能力，可以保证本工程按合同约定进行施工。我方承诺：分包后，我方承担总包人的全部责任。请予以审批。</w:t>
            </w:r>
          </w:p>
          <w:p w14:paraId="6034DE3C">
            <w:pPr>
              <w:keepNext w:val="0"/>
              <w:keepLines w:val="0"/>
              <w:suppressLineNumbers w:val="0"/>
              <w:spacing w:before="0" w:beforeAutospacing="0" w:after="0" w:afterAutospacing="0" w:line="360" w:lineRule="auto"/>
              <w:ind w:left="-28" w:right="0" w:firstLine="540"/>
              <w:rPr>
                <w:rFonts w:hint="default" w:ascii="宋体" w:hAnsi="宋体" w:eastAsia="宋体" w:cs="宋体"/>
                <w:color w:val="auto"/>
                <w:highlight w:val="none"/>
              </w:rPr>
            </w:pPr>
            <w:r>
              <w:rPr>
                <w:rFonts w:hint="eastAsia" w:ascii="宋体" w:hAnsi="宋体" w:eastAsia="宋体" w:cs="宋体"/>
                <w:color w:val="auto"/>
                <w:highlight w:val="none"/>
              </w:rPr>
              <w:t>附：1．分包人资质材料；</w:t>
            </w:r>
          </w:p>
          <w:p w14:paraId="7E0709AF">
            <w:pPr>
              <w:keepNext w:val="0"/>
              <w:keepLines w:val="0"/>
              <w:suppressLineNumbers w:val="0"/>
              <w:spacing w:before="0" w:beforeAutospacing="0" w:after="0" w:afterAutospacing="0" w:line="360" w:lineRule="auto"/>
              <w:ind w:left="-28" w:right="0" w:firstLine="907"/>
              <w:rPr>
                <w:rFonts w:hint="default" w:ascii="宋体" w:hAnsi="宋体" w:eastAsia="宋体" w:cs="宋体"/>
                <w:color w:val="auto"/>
                <w:highlight w:val="none"/>
                <w:u w:val="single"/>
              </w:rPr>
            </w:pPr>
            <w:r>
              <w:rPr>
                <w:rFonts w:hint="eastAsia" w:ascii="宋体" w:hAnsi="宋体" w:eastAsia="宋体" w:cs="宋体"/>
                <w:color w:val="auto"/>
                <w:highlight w:val="none"/>
              </w:rPr>
              <w:t>2．分包人业绩材料。</w:t>
            </w:r>
          </w:p>
        </w:tc>
      </w:tr>
      <w:tr w14:paraId="0AA7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7F42373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position w:val="6"/>
                <w:highlight w:val="none"/>
              </w:rPr>
            </w:pPr>
            <w:r>
              <w:rPr>
                <w:rFonts w:hint="eastAsia" w:ascii="宋体" w:hAnsi="宋体" w:eastAsia="宋体" w:cs="宋体"/>
                <w:color w:val="auto"/>
                <w:position w:val="6"/>
                <w:highlight w:val="none"/>
              </w:rPr>
              <w:t>分包工程名称（部位）</w:t>
            </w:r>
          </w:p>
        </w:tc>
        <w:tc>
          <w:tcPr>
            <w:tcW w:w="1532" w:type="dxa"/>
            <w:tcBorders>
              <w:top w:val="single" w:color="auto" w:sz="6" w:space="0"/>
              <w:left w:val="single" w:color="auto" w:sz="6" w:space="0"/>
              <w:bottom w:val="single" w:color="auto" w:sz="6" w:space="0"/>
              <w:right w:val="single" w:color="auto" w:sz="6" w:space="0"/>
            </w:tcBorders>
          </w:tcPr>
          <w:p w14:paraId="70CB40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position w:val="6"/>
                <w:highlight w:val="none"/>
              </w:rPr>
            </w:pPr>
            <w:r>
              <w:rPr>
                <w:rFonts w:hint="eastAsia" w:ascii="宋体" w:hAnsi="宋体" w:eastAsia="宋体" w:cs="宋体"/>
                <w:color w:val="auto"/>
                <w:position w:val="6"/>
                <w:highlight w:val="none"/>
              </w:rPr>
              <w:t>工程数量</w:t>
            </w:r>
          </w:p>
        </w:tc>
        <w:tc>
          <w:tcPr>
            <w:tcW w:w="2506" w:type="dxa"/>
            <w:tcBorders>
              <w:top w:val="single" w:color="auto" w:sz="6" w:space="0"/>
              <w:left w:val="single" w:color="auto" w:sz="6" w:space="0"/>
              <w:bottom w:val="single" w:color="auto" w:sz="6" w:space="0"/>
              <w:right w:val="single" w:color="auto" w:sz="6" w:space="0"/>
            </w:tcBorders>
          </w:tcPr>
          <w:p w14:paraId="190059A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position w:val="6"/>
                <w:highlight w:val="none"/>
              </w:rPr>
            </w:pPr>
            <w:r>
              <w:rPr>
                <w:rFonts w:hint="eastAsia" w:ascii="宋体" w:hAnsi="宋体" w:eastAsia="宋体" w:cs="宋体"/>
                <w:color w:val="auto"/>
                <w:position w:val="6"/>
                <w:highlight w:val="none"/>
              </w:rPr>
              <w:t>拟分包工程合同额</w:t>
            </w:r>
          </w:p>
        </w:tc>
        <w:tc>
          <w:tcPr>
            <w:tcW w:w="3056" w:type="dxa"/>
            <w:tcBorders>
              <w:top w:val="single" w:color="auto" w:sz="6" w:space="0"/>
              <w:left w:val="single" w:color="auto" w:sz="6" w:space="0"/>
              <w:bottom w:val="single" w:color="auto" w:sz="6" w:space="0"/>
              <w:right w:val="single" w:color="auto" w:sz="6" w:space="0"/>
            </w:tcBorders>
          </w:tcPr>
          <w:p w14:paraId="461AC7C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position w:val="6"/>
                <w:highlight w:val="none"/>
              </w:rPr>
            </w:pPr>
            <w:r>
              <w:rPr>
                <w:rFonts w:hint="eastAsia" w:ascii="宋体" w:hAnsi="宋体" w:eastAsia="宋体" w:cs="宋体"/>
                <w:color w:val="auto"/>
                <w:position w:val="6"/>
                <w:highlight w:val="none"/>
              </w:rPr>
              <w:t>分包工程占全部工程</w:t>
            </w:r>
          </w:p>
        </w:tc>
      </w:tr>
      <w:tr w14:paraId="79D2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6CB3A381">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c>
          <w:tcPr>
            <w:tcW w:w="1532" w:type="dxa"/>
            <w:tcBorders>
              <w:top w:val="single" w:color="auto" w:sz="6" w:space="0"/>
              <w:left w:val="single" w:color="auto" w:sz="6" w:space="0"/>
              <w:bottom w:val="single" w:color="auto" w:sz="6" w:space="0"/>
              <w:right w:val="single" w:color="auto" w:sz="6" w:space="0"/>
            </w:tcBorders>
          </w:tcPr>
          <w:p w14:paraId="23F871E2">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c>
          <w:tcPr>
            <w:tcW w:w="2506" w:type="dxa"/>
            <w:tcBorders>
              <w:top w:val="single" w:color="auto" w:sz="6" w:space="0"/>
              <w:left w:val="single" w:color="auto" w:sz="6" w:space="0"/>
              <w:bottom w:val="single" w:color="auto" w:sz="6" w:space="0"/>
              <w:right w:val="single" w:color="auto" w:sz="6" w:space="0"/>
            </w:tcBorders>
          </w:tcPr>
          <w:p w14:paraId="3A8A264D">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c>
          <w:tcPr>
            <w:tcW w:w="3056" w:type="dxa"/>
            <w:tcBorders>
              <w:top w:val="single" w:color="auto" w:sz="6" w:space="0"/>
              <w:left w:val="single" w:color="auto" w:sz="6" w:space="0"/>
              <w:bottom w:val="single" w:color="auto" w:sz="6" w:space="0"/>
              <w:right w:val="single" w:color="auto" w:sz="6" w:space="0"/>
            </w:tcBorders>
          </w:tcPr>
          <w:p w14:paraId="4CAEDB3E">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r>
      <w:tr w14:paraId="4F3A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1C41DCF8">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c>
          <w:tcPr>
            <w:tcW w:w="1532" w:type="dxa"/>
            <w:tcBorders>
              <w:top w:val="single" w:color="auto" w:sz="6" w:space="0"/>
              <w:left w:val="single" w:color="auto" w:sz="6" w:space="0"/>
              <w:bottom w:val="single" w:color="auto" w:sz="6" w:space="0"/>
              <w:right w:val="single" w:color="auto" w:sz="6" w:space="0"/>
            </w:tcBorders>
          </w:tcPr>
          <w:p w14:paraId="4AB5A3E7">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c>
          <w:tcPr>
            <w:tcW w:w="2506" w:type="dxa"/>
            <w:tcBorders>
              <w:top w:val="single" w:color="auto" w:sz="6" w:space="0"/>
              <w:left w:val="single" w:color="auto" w:sz="6" w:space="0"/>
              <w:bottom w:val="single" w:color="auto" w:sz="6" w:space="0"/>
              <w:right w:val="single" w:color="auto" w:sz="6" w:space="0"/>
            </w:tcBorders>
          </w:tcPr>
          <w:p w14:paraId="584DD8A8">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c>
          <w:tcPr>
            <w:tcW w:w="3056" w:type="dxa"/>
            <w:tcBorders>
              <w:top w:val="single" w:color="auto" w:sz="6" w:space="0"/>
              <w:left w:val="single" w:color="auto" w:sz="6" w:space="0"/>
              <w:bottom w:val="single" w:color="auto" w:sz="6" w:space="0"/>
              <w:right w:val="single" w:color="auto" w:sz="6" w:space="0"/>
            </w:tcBorders>
          </w:tcPr>
          <w:p w14:paraId="3C34FC8D">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r>
      <w:tr w14:paraId="3778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0D98D921">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c>
          <w:tcPr>
            <w:tcW w:w="1532" w:type="dxa"/>
            <w:tcBorders>
              <w:top w:val="single" w:color="auto" w:sz="6" w:space="0"/>
              <w:left w:val="single" w:color="auto" w:sz="6" w:space="0"/>
              <w:bottom w:val="single" w:color="auto" w:sz="6" w:space="0"/>
              <w:right w:val="single" w:color="auto" w:sz="6" w:space="0"/>
            </w:tcBorders>
          </w:tcPr>
          <w:p w14:paraId="52117414">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c>
          <w:tcPr>
            <w:tcW w:w="2506" w:type="dxa"/>
            <w:tcBorders>
              <w:top w:val="single" w:color="auto" w:sz="6" w:space="0"/>
              <w:left w:val="single" w:color="auto" w:sz="6" w:space="0"/>
              <w:bottom w:val="single" w:color="auto" w:sz="6" w:space="0"/>
              <w:right w:val="single" w:color="auto" w:sz="6" w:space="0"/>
            </w:tcBorders>
          </w:tcPr>
          <w:p w14:paraId="67F722BC">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c>
          <w:tcPr>
            <w:tcW w:w="3056" w:type="dxa"/>
            <w:tcBorders>
              <w:top w:val="single" w:color="auto" w:sz="6" w:space="0"/>
              <w:left w:val="single" w:color="auto" w:sz="6" w:space="0"/>
              <w:bottom w:val="single" w:color="auto" w:sz="6" w:space="0"/>
              <w:right w:val="single" w:color="auto" w:sz="6" w:space="0"/>
            </w:tcBorders>
          </w:tcPr>
          <w:p w14:paraId="505F6748">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r>
      <w:tr w14:paraId="57F0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tcPr>
          <w:p w14:paraId="0C96592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position w:val="6"/>
                <w:highlight w:val="none"/>
              </w:rPr>
            </w:pPr>
            <w:r>
              <w:rPr>
                <w:rFonts w:hint="eastAsia" w:ascii="宋体" w:hAnsi="宋体" w:eastAsia="宋体" w:cs="宋体"/>
                <w:color w:val="auto"/>
                <w:position w:val="6"/>
                <w:highlight w:val="none"/>
              </w:rPr>
              <w:t>合       计</w:t>
            </w:r>
          </w:p>
        </w:tc>
        <w:tc>
          <w:tcPr>
            <w:tcW w:w="2506" w:type="dxa"/>
            <w:tcBorders>
              <w:top w:val="single" w:color="auto" w:sz="6" w:space="0"/>
              <w:left w:val="single" w:color="auto" w:sz="6" w:space="0"/>
              <w:bottom w:val="single" w:color="auto" w:sz="6" w:space="0"/>
              <w:right w:val="single" w:color="auto" w:sz="6" w:space="0"/>
            </w:tcBorders>
          </w:tcPr>
          <w:p w14:paraId="58CB52B4">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c>
          <w:tcPr>
            <w:tcW w:w="3056" w:type="dxa"/>
            <w:tcBorders>
              <w:top w:val="single" w:color="auto" w:sz="6" w:space="0"/>
              <w:left w:val="single" w:color="auto" w:sz="6" w:space="0"/>
              <w:bottom w:val="single" w:color="auto" w:sz="6" w:space="0"/>
              <w:right w:val="single" w:color="auto" w:sz="6" w:space="0"/>
            </w:tcBorders>
          </w:tcPr>
          <w:p w14:paraId="69CDF06D">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rPr>
            </w:pPr>
          </w:p>
        </w:tc>
      </w:tr>
      <w:tr w14:paraId="6EA8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64FEB2AC">
            <w:pPr>
              <w:keepNext w:val="0"/>
              <w:keepLines w:val="0"/>
              <w:suppressLineNumbers w:val="0"/>
              <w:spacing w:before="0" w:beforeAutospacing="0" w:after="0" w:afterAutospacing="0" w:line="360" w:lineRule="auto"/>
              <w:ind w:left="0" w:right="0"/>
              <w:rPr>
                <w:rFonts w:hint="default" w:ascii="宋体" w:hAnsi="宋体" w:eastAsia="宋体" w:cs="宋体"/>
                <w:color w:val="auto"/>
                <w:highlight w:val="none"/>
              </w:rPr>
            </w:pPr>
            <w:r>
              <w:rPr>
                <w:rFonts w:hint="eastAsia" w:ascii="宋体" w:hAnsi="宋体" w:eastAsia="宋体" w:cs="宋体"/>
                <w:color w:val="auto"/>
                <w:highlight w:val="none"/>
              </w:rPr>
              <w:t xml:space="preserve"> </w:t>
            </w:r>
          </w:p>
          <w:p w14:paraId="30A2124A">
            <w:pPr>
              <w:keepNext w:val="0"/>
              <w:keepLines w:val="0"/>
              <w:suppressLineNumbers w:val="0"/>
              <w:spacing w:before="0" w:beforeAutospacing="0" w:after="0" w:afterAutospacing="0" w:line="360" w:lineRule="auto"/>
              <w:ind w:left="0" w:right="0"/>
              <w:rPr>
                <w:rFonts w:hint="default" w:ascii="宋体" w:hAnsi="宋体" w:eastAsia="宋体" w:cs="宋体"/>
                <w:color w:val="auto"/>
                <w:highlight w:val="none"/>
                <w:u w:val="single"/>
              </w:rPr>
            </w:pPr>
            <w:r>
              <w:rPr>
                <w:rFonts w:hint="eastAsia" w:ascii="宋体" w:hAnsi="宋体" w:eastAsia="宋体" w:cs="宋体"/>
                <w:color w:val="auto"/>
                <w:highlight w:val="none"/>
              </w:rPr>
              <w:t xml:space="preserve">                                                   承包人（章）                 </w:t>
            </w:r>
          </w:p>
          <w:p w14:paraId="1882F758">
            <w:pPr>
              <w:keepNext w:val="0"/>
              <w:keepLines w:val="0"/>
              <w:suppressLineNumbers w:val="0"/>
              <w:tabs>
                <w:tab w:val="left" w:pos="8982"/>
                <w:tab w:val="left" w:pos="9147"/>
              </w:tabs>
              <w:spacing w:before="0" w:beforeAutospacing="0" w:after="0" w:afterAutospacing="0" w:line="360" w:lineRule="auto"/>
              <w:ind w:left="0" w:right="0" w:firstLine="5355" w:firstLineChars="2550"/>
              <w:rPr>
                <w:rFonts w:hint="default" w:ascii="宋体" w:hAnsi="宋体" w:eastAsia="宋体" w:cs="宋体"/>
                <w:color w:val="auto"/>
                <w:highlight w:val="none"/>
                <w:u w:val="single"/>
              </w:rPr>
            </w:pP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p>
          <w:p w14:paraId="224AED3C">
            <w:pPr>
              <w:keepNext w:val="0"/>
              <w:keepLines w:val="0"/>
              <w:suppressLineNumbers w:val="0"/>
              <w:spacing w:before="0" w:beforeAutospacing="0" w:after="0" w:afterAutospacing="0" w:line="360" w:lineRule="auto"/>
              <w:ind w:left="0" w:right="0" w:firstLine="5355" w:firstLineChars="2550"/>
              <w:rPr>
                <w:rFonts w:hint="default"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3700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bottom w:val="single" w:color="auto" w:sz="4" w:space="0"/>
              <w:right w:val="single" w:color="auto" w:sz="6" w:space="0"/>
            </w:tcBorders>
          </w:tcPr>
          <w:p w14:paraId="4C148F54">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highlight w:val="none"/>
              </w:rPr>
            </w:pPr>
            <w:r>
              <w:rPr>
                <w:rFonts w:hint="eastAsia" w:ascii="宋体" w:hAnsi="宋体" w:eastAsia="宋体" w:cs="宋体"/>
                <w:color w:val="auto"/>
                <w:highlight w:val="none"/>
              </w:rPr>
              <w:t>审查意见：</w:t>
            </w:r>
          </w:p>
          <w:p w14:paraId="277BB11A">
            <w:pPr>
              <w:keepNext w:val="0"/>
              <w:keepLines w:val="0"/>
              <w:suppressLineNumbers w:val="0"/>
              <w:tabs>
                <w:tab w:val="left" w:pos="6222"/>
              </w:tabs>
              <w:snapToGrid w:val="0"/>
              <w:spacing w:before="0" w:beforeAutospacing="0" w:after="0" w:afterAutospacing="0" w:line="360" w:lineRule="auto"/>
              <w:ind w:left="0" w:right="0"/>
              <w:jc w:val="left"/>
              <w:rPr>
                <w:rFonts w:hint="default" w:ascii="宋体" w:hAnsi="宋体" w:eastAsia="宋体" w:cs="宋体"/>
                <w:color w:val="auto"/>
                <w:highlight w:val="none"/>
              </w:rPr>
            </w:pPr>
            <w:r>
              <w:rPr>
                <w:rFonts w:hint="eastAsia" w:ascii="宋体" w:hAnsi="宋体" w:eastAsia="宋体" w:cs="宋体"/>
                <w:color w:val="auto"/>
                <w:highlight w:val="none"/>
              </w:rPr>
              <w:t xml:space="preserve">                                                   监理人（章）            </w:t>
            </w:r>
          </w:p>
          <w:p w14:paraId="63D962D0">
            <w:pPr>
              <w:keepNext w:val="0"/>
              <w:keepLines w:val="0"/>
              <w:suppressLineNumbers w:val="0"/>
              <w:tabs>
                <w:tab w:val="left" w:pos="6282"/>
              </w:tabs>
              <w:snapToGrid w:val="0"/>
              <w:spacing w:before="0" w:beforeAutospacing="0" w:after="0" w:afterAutospacing="0" w:line="360" w:lineRule="auto"/>
              <w:ind w:left="0" w:right="0" w:firstLine="5355" w:firstLineChars="2550"/>
              <w:rPr>
                <w:rFonts w:hint="default" w:ascii="宋体" w:hAnsi="宋体" w:eastAsia="宋体" w:cs="宋体"/>
                <w:color w:val="auto"/>
                <w:highlight w:val="none"/>
                <w:u w:val="single"/>
              </w:rPr>
            </w:pPr>
            <w:r>
              <w:rPr>
                <w:rFonts w:hint="eastAsia" w:ascii="宋体" w:hAnsi="宋体" w:eastAsia="宋体" w:cs="宋体"/>
                <w:color w:val="auto"/>
                <w:highlight w:val="none"/>
              </w:rPr>
              <w:t>监理工程师</w:t>
            </w:r>
            <w:r>
              <w:rPr>
                <w:rFonts w:hint="eastAsia" w:ascii="宋体" w:hAnsi="宋体" w:eastAsia="宋体" w:cs="宋体"/>
                <w:color w:val="auto"/>
                <w:highlight w:val="none"/>
                <w:u w:val="single"/>
              </w:rPr>
              <w:t xml:space="preserve">               </w:t>
            </w:r>
          </w:p>
          <w:p w14:paraId="1AC8A644">
            <w:pPr>
              <w:keepNext w:val="0"/>
              <w:keepLines w:val="0"/>
              <w:suppressLineNumbers w:val="0"/>
              <w:tabs>
                <w:tab w:val="left" w:pos="9132"/>
              </w:tabs>
              <w:snapToGrid w:val="0"/>
              <w:spacing w:before="0" w:beforeAutospacing="0" w:after="0" w:afterAutospacing="0" w:line="360" w:lineRule="auto"/>
              <w:ind w:left="0" w:right="0" w:firstLine="5355" w:firstLineChars="2550"/>
              <w:rPr>
                <w:rFonts w:hint="default"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1EAE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4" w:space="0"/>
              <w:left w:val="single" w:color="auto" w:sz="6" w:space="0"/>
              <w:bottom w:val="single" w:color="auto" w:sz="6" w:space="0"/>
              <w:right w:val="single" w:color="auto" w:sz="6" w:space="0"/>
            </w:tcBorders>
          </w:tcPr>
          <w:p w14:paraId="6BD2B3D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审批意见：</w:t>
            </w:r>
          </w:p>
          <w:p w14:paraId="712C0386">
            <w:pPr>
              <w:keepNext w:val="0"/>
              <w:keepLines w:val="0"/>
              <w:suppressLineNumbers w:val="0"/>
              <w:snapToGrid w:val="0"/>
              <w:spacing w:before="0" w:beforeAutospacing="0" w:after="0" w:afterAutospacing="0" w:line="360" w:lineRule="auto"/>
              <w:ind w:left="0" w:right="0" w:firstLine="5355" w:firstLineChars="2550"/>
              <w:rPr>
                <w:rFonts w:hint="default" w:ascii="宋体" w:hAnsi="宋体" w:eastAsia="宋体" w:cs="宋体"/>
                <w:color w:val="auto"/>
                <w:highlight w:val="none"/>
              </w:rPr>
            </w:pPr>
            <w:r>
              <w:rPr>
                <w:rFonts w:hint="eastAsia" w:ascii="宋体" w:hAnsi="宋体" w:eastAsia="宋体" w:cs="宋体"/>
                <w:color w:val="auto"/>
                <w:highlight w:val="none"/>
              </w:rPr>
              <w:t xml:space="preserve">发包人（章）           </w:t>
            </w:r>
          </w:p>
          <w:p w14:paraId="664FC4EA">
            <w:pPr>
              <w:keepNext w:val="0"/>
              <w:keepLines w:val="0"/>
              <w:suppressLineNumbers w:val="0"/>
              <w:tabs>
                <w:tab w:val="left" w:pos="2135"/>
                <w:tab w:val="left" w:pos="8862"/>
              </w:tabs>
              <w:snapToGrid w:val="0"/>
              <w:spacing w:before="0" w:beforeAutospacing="0" w:after="0" w:afterAutospacing="0" w:line="360" w:lineRule="auto"/>
              <w:ind w:left="0" w:right="0" w:firstLine="5355" w:firstLineChars="2550"/>
              <w:rPr>
                <w:rFonts w:hint="default" w:ascii="宋体" w:hAnsi="宋体" w:eastAsia="宋体" w:cs="宋体"/>
                <w:color w:val="auto"/>
                <w:highlight w:val="none"/>
                <w:u w:val="single"/>
              </w:rPr>
            </w:pPr>
            <w:r>
              <w:rPr>
                <w:rFonts w:hint="eastAsia" w:ascii="宋体" w:hAnsi="宋体" w:eastAsia="宋体" w:cs="宋体"/>
                <w:color w:val="auto"/>
                <w:highlight w:val="none"/>
              </w:rPr>
              <w:t>发包人代表</w:t>
            </w:r>
            <w:r>
              <w:rPr>
                <w:rFonts w:hint="eastAsia" w:ascii="宋体" w:hAnsi="宋体" w:eastAsia="宋体" w:cs="宋体"/>
                <w:color w:val="auto"/>
                <w:highlight w:val="none"/>
                <w:u w:val="single"/>
              </w:rPr>
              <w:t xml:space="preserve">               </w:t>
            </w:r>
          </w:p>
          <w:p w14:paraId="2FBA5C68">
            <w:pPr>
              <w:keepNext w:val="0"/>
              <w:keepLines w:val="0"/>
              <w:suppressLineNumbers w:val="0"/>
              <w:tabs>
                <w:tab w:val="left" w:pos="2135"/>
              </w:tabs>
              <w:snapToGrid w:val="0"/>
              <w:spacing w:before="0" w:beforeAutospacing="0" w:after="0" w:afterAutospacing="0" w:line="360" w:lineRule="auto"/>
              <w:ind w:left="0" w:right="0" w:firstLine="5355" w:firstLineChars="2550"/>
              <w:rPr>
                <w:rFonts w:hint="default"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59E99DF7">
      <w:pPr>
        <w:spacing w:before="120" w:beforeLines="50" w:line="360" w:lineRule="auto"/>
        <w:rPr>
          <w:rFonts w:ascii="宋体" w:hAnsi="宋体" w:eastAsia="宋体" w:cs="宋体"/>
          <w:color w:val="auto"/>
          <w:highlight w:val="none"/>
        </w:rPr>
      </w:pPr>
      <w:r>
        <w:rPr>
          <w:rFonts w:hint="eastAsia" w:ascii="宋体" w:hAnsi="宋体" w:eastAsia="宋体" w:cs="宋体"/>
          <w:color w:val="auto"/>
          <w:highlight w:val="none"/>
        </w:rPr>
        <w:t>说明：本表一式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份，由承包人、监理单位、建设管理单位、发包人按合同规定程序填制，并连同分包人各存一份。</w:t>
      </w:r>
    </w:p>
    <w:p w14:paraId="0426B718">
      <w:pPr>
        <w:pStyle w:val="6"/>
        <w:ind w:firstLine="0" w:firstLineChars="0"/>
        <w:rPr>
          <w:rFonts w:ascii="宋体" w:hAnsi="宋体" w:eastAsia="宋体" w:cs="宋体"/>
          <w:bCs/>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kern w:val="0"/>
          <w:sz w:val="24"/>
          <w:szCs w:val="24"/>
          <w:highlight w:val="none"/>
          <w:lang w:val="en-US" w:eastAsia="zh-CN" w:bidi="ar-SA"/>
        </w:rPr>
        <w:t>附件三：</w:t>
      </w:r>
    </w:p>
    <w:p w14:paraId="59692F34">
      <w:pPr>
        <w:spacing w:line="360" w:lineRule="auto"/>
        <w:jc w:val="center"/>
        <w:rPr>
          <w:rFonts w:ascii="宋体" w:hAnsi="宋体" w:eastAsia="宋体" w:cs="宋体"/>
          <w:b/>
          <w:bCs/>
          <w:color w:val="auto"/>
          <w:spacing w:val="30"/>
          <w:sz w:val="36"/>
          <w:szCs w:val="36"/>
          <w:highlight w:val="none"/>
        </w:rPr>
      </w:pPr>
      <w:r>
        <w:rPr>
          <w:rFonts w:hint="eastAsia" w:ascii="宋体" w:hAnsi="宋体" w:eastAsia="宋体" w:cs="宋体"/>
          <w:b/>
          <w:bCs/>
          <w:color w:val="auto"/>
          <w:spacing w:val="30"/>
          <w:sz w:val="36"/>
          <w:szCs w:val="36"/>
          <w:highlight w:val="none"/>
        </w:rPr>
        <w:t>施工组织设计（方案）报审表</w:t>
      </w:r>
    </w:p>
    <w:p w14:paraId="444C5566">
      <w:pPr>
        <w:spacing w:line="360" w:lineRule="auto"/>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工程名称：</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编号：</w:t>
      </w:r>
    </w:p>
    <w:tbl>
      <w:tblPr>
        <w:tblStyle w:val="45"/>
        <w:tblW w:w="101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6"/>
      </w:tblGrid>
      <w:tr w14:paraId="1397D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6" w:type="dxa"/>
            <w:tcBorders>
              <w:bottom w:val="single" w:color="auto" w:sz="4" w:space="0"/>
            </w:tcBorders>
          </w:tcPr>
          <w:p w14:paraId="445CE338">
            <w:pPr>
              <w:keepNext w:val="0"/>
              <w:keepLines w:val="0"/>
              <w:suppressLineNumbers w:val="0"/>
              <w:spacing w:before="120" w:beforeAutospacing="0" w:after="0" w:afterAutospacing="0" w:line="360" w:lineRule="auto"/>
              <w:ind w:left="-28" w:right="0" w:firstLine="181"/>
              <w:rPr>
                <w:rFonts w:hint="default"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（监理单位全称）</w:t>
            </w:r>
          </w:p>
          <w:p w14:paraId="7FD215F5">
            <w:pPr>
              <w:keepNext w:val="0"/>
              <w:keepLines w:val="0"/>
              <w:suppressLineNumbers w:val="0"/>
              <w:spacing w:before="0" w:beforeAutospacing="0" w:after="0" w:afterAutospacing="0" w:line="360" w:lineRule="auto"/>
              <w:ind w:left="-28" w:right="0" w:firstLine="540"/>
              <w:rPr>
                <w:rFonts w:hint="default" w:ascii="宋体" w:hAnsi="宋体" w:eastAsia="宋体" w:cs="宋体"/>
                <w:color w:val="auto"/>
                <w:highlight w:val="none"/>
              </w:rPr>
            </w:pPr>
            <w:r>
              <w:rPr>
                <w:rFonts w:hint="eastAsia" w:ascii="宋体" w:hAnsi="宋体" w:eastAsia="宋体" w:cs="宋体"/>
                <w:color w:val="auto"/>
                <w:highlight w:val="none"/>
              </w:rPr>
              <w:t>我方已根据施工合同的有关规定完成了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工程施工组织设计（方案）的编制,请予以审批。</w:t>
            </w:r>
          </w:p>
          <w:p w14:paraId="72FB8EB9">
            <w:pPr>
              <w:keepNext w:val="0"/>
              <w:keepLines w:val="0"/>
              <w:suppressLineNumbers w:val="0"/>
              <w:spacing w:before="0" w:beforeAutospacing="0" w:after="0" w:afterAutospacing="0" w:line="360" w:lineRule="auto"/>
              <w:ind w:left="-28" w:right="0" w:firstLine="540"/>
              <w:rPr>
                <w:rFonts w:hint="default" w:ascii="宋体" w:hAnsi="宋体" w:eastAsia="宋体" w:cs="宋体"/>
                <w:color w:val="auto"/>
                <w:highlight w:val="none"/>
              </w:rPr>
            </w:pPr>
            <w:r>
              <w:rPr>
                <w:rFonts w:hint="eastAsia" w:ascii="宋体" w:hAnsi="宋体" w:eastAsia="宋体" w:cs="宋体"/>
                <w:color w:val="auto"/>
                <w:highlight w:val="none"/>
              </w:rPr>
              <w:t>附： 施工组织设计（方案）</w:t>
            </w:r>
          </w:p>
          <w:p w14:paraId="61B5AF70">
            <w:pPr>
              <w:keepNext w:val="0"/>
              <w:keepLines w:val="0"/>
              <w:suppressLineNumbers w:val="0"/>
              <w:spacing w:before="0" w:beforeAutospacing="0" w:after="0" w:afterAutospacing="0" w:line="360" w:lineRule="auto"/>
              <w:ind w:left="-28" w:right="0" w:firstLine="540"/>
              <w:rPr>
                <w:rFonts w:hint="default" w:ascii="宋体" w:hAnsi="宋体" w:eastAsia="宋体" w:cs="宋体"/>
                <w:color w:val="auto"/>
                <w:highlight w:val="none"/>
              </w:rPr>
            </w:pPr>
          </w:p>
          <w:p w14:paraId="757B455A">
            <w:pPr>
              <w:keepNext w:val="0"/>
              <w:keepLines w:val="0"/>
              <w:suppressLineNumbers w:val="0"/>
              <w:spacing w:before="0" w:beforeAutospacing="0" w:after="0" w:afterAutospacing="0" w:line="360" w:lineRule="auto"/>
              <w:ind w:left="-28" w:right="0" w:firstLine="540"/>
              <w:rPr>
                <w:rFonts w:hint="default" w:ascii="宋体" w:hAnsi="宋体" w:eastAsia="宋体" w:cs="宋体"/>
                <w:color w:val="auto"/>
                <w:highlight w:val="none"/>
              </w:rPr>
            </w:pPr>
          </w:p>
          <w:p w14:paraId="542AE88E">
            <w:pPr>
              <w:keepNext w:val="0"/>
              <w:keepLines w:val="0"/>
              <w:suppressLineNumbers w:val="0"/>
              <w:spacing w:before="0" w:beforeAutospacing="0" w:after="0" w:afterAutospacing="0" w:line="360" w:lineRule="auto"/>
              <w:ind w:left="0" w:right="120"/>
              <w:jc w:val="center"/>
              <w:rPr>
                <w:rFonts w:hint="default" w:ascii="宋体" w:hAnsi="宋体" w:eastAsia="宋体" w:cs="宋体"/>
                <w:color w:val="auto"/>
                <w:highlight w:val="none"/>
                <w:u w:val="single"/>
              </w:rPr>
            </w:pPr>
            <w:r>
              <w:rPr>
                <w:rFonts w:hint="eastAsia" w:ascii="宋体" w:hAnsi="宋体" w:eastAsia="宋体" w:cs="宋体"/>
                <w:color w:val="auto"/>
                <w:highlight w:val="none"/>
              </w:rPr>
              <w:t xml:space="preserve">                                承包人（章）</w:t>
            </w:r>
          </w:p>
          <w:p w14:paraId="566CDA3D">
            <w:pPr>
              <w:keepNext w:val="0"/>
              <w:keepLines w:val="0"/>
              <w:suppressLineNumbers w:val="0"/>
              <w:spacing w:before="0" w:beforeAutospacing="0" w:after="0" w:afterAutospacing="0" w:line="360" w:lineRule="auto"/>
              <w:ind w:left="0" w:right="0" w:firstLine="6087"/>
              <w:rPr>
                <w:rFonts w:hint="default" w:ascii="宋体" w:hAnsi="宋体" w:eastAsia="宋体" w:cs="宋体"/>
                <w:color w:val="auto"/>
                <w:highlight w:val="none"/>
                <w:u w:val="single"/>
              </w:rPr>
            </w:pP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p>
          <w:p w14:paraId="3ECAF784">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7050C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6" w:type="dxa"/>
            <w:tcBorders>
              <w:top w:val="single" w:color="auto" w:sz="4" w:space="0"/>
            </w:tcBorders>
          </w:tcPr>
          <w:p w14:paraId="26BC0DB0">
            <w:pPr>
              <w:keepNext w:val="0"/>
              <w:keepLines w:val="0"/>
              <w:suppressLineNumbers w:val="0"/>
              <w:spacing w:before="0" w:beforeAutospacing="0" w:after="0" w:afterAutospacing="0" w:line="360" w:lineRule="auto"/>
              <w:ind w:left="0" w:right="71"/>
              <w:rPr>
                <w:rFonts w:hint="default" w:ascii="宋体" w:hAnsi="宋体" w:eastAsia="宋体" w:cs="宋体"/>
                <w:color w:val="auto"/>
                <w:sz w:val="32"/>
                <w:highlight w:val="none"/>
              </w:rPr>
            </w:pPr>
            <w:r>
              <w:rPr>
                <w:rFonts w:hint="eastAsia" w:ascii="宋体" w:hAnsi="宋体" w:eastAsia="宋体" w:cs="宋体"/>
                <w:color w:val="auto"/>
                <w:highlight w:val="none"/>
              </w:rPr>
              <w:t>确认或修改意见：</w:t>
            </w:r>
          </w:p>
          <w:p w14:paraId="62B0A2CD">
            <w:pPr>
              <w:keepNext w:val="0"/>
              <w:keepLines w:val="0"/>
              <w:suppressLineNumbers w:val="0"/>
              <w:spacing w:before="0" w:beforeAutospacing="0" w:after="0" w:afterAutospacing="0" w:line="360" w:lineRule="auto"/>
              <w:ind w:left="72" w:right="71" w:firstLine="240"/>
              <w:rPr>
                <w:rFonts w:hint="default"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组织机构健全,人员落实           </w:t>
            </w:r>
            <w:r>
              <w:rPr>
                <w:rFonts w:hint="eastAsia" w:ascii="宋体" w:hAnsi="宋体" w:eastAsia="宋体" w:cs="宋体"/>
                <w:color w:val="auto"/>
                <w:sz w:val="32"/>
                <w:highlight w:val="none"/>
              </w:rPr>
              <w:t>□</w:t>
            </w:r>
            <w:r>
              <w:rPr>
                <w:rFonts w:hint="eastAsia" w:ascii="宋体" w:hAnsi="宋体" w:eastAsia="宋体" w:cs="宋体"/>
                <w:color w:val="auto"/>
                <w:highlight w:val="none"/>
              </w:rPr>
              <w:t>施工技术措施可行</w:t>
            </w:r>
          </w:p>
          <w:p w14:paraId="47F4EAE9">
            <w:pPr>
              <w:keepNext w:val="0"/>
              <w:keepLines w:val="0"/>
              <w:suppressLineNumbers w:val="0"/>
              <w:spacing w:before="0" w:beforeAutospacing="0" w:after="0" w:afterAutospacing="0" w:line="360" w:lineRule="auto"/>
              <w:ind w:left="72" w:right="71" w:firstLine="240"/>
              <w:rPr>
                <w:rFonts w:hint="default"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安全责任落实，安全措施可行      </w:t>
            </w:r>
            <w:r>
              <w:rPr>
                <w:rFonts w:hint="eastAsia" w:ascii="宋体" w:hAnsi="宋体" w:eastAsia="宋体" w:cs="宋体"/>
                <w:color w:val="auto"/>
                <w:sz w:val="32"/>
                <w:highlight w:val="none"/>
              </w:rPr>
              <w:t>□</w:t>
            </w:r>
            <w:r>
              <w:rPr>
                <w:rFonts w:hint="eastAsia" w:ascii="宋体" w:hAnsi="宋体" w:eastAsia="宋体" w:cs="宋体"/>
                <w:color w:val="auto"/>
                <w:highlight w:val="none"/>
              </w:rPr>
              <w:t>安全工器具满足施工要求</w:t>
            </w:r>
          </w:p>
          <w:p w14:paraId="7BB728C3">
            <w:pPr>
              <w:keepNext w:val="0"/>
              <w:keepLines w:val="0"/>
              <w:suppressLineNumbers w:val="0"/>
              <w:spacing w:before="0" w:beforeAutospacing="0" w:after="0" w:afterAutospacing="0" w:line="360" w:lineRule="auto"/>
              <w:ind w:left="72" w:right="71" w:firstLine="240"/>
              <w:rPr>
                <w:rFonts w:hint="default"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施工进度计划满足工期要求        </w:t>
            </w:r>
            <w:r>
              <w:rPr>
                <w:rFonts w:hint="eastAsia" w:ascii="宋体" w:hAnsi="宋体" w:eastAsia="宋体" w:cs="宋体"/>
                <w:color w:val="auto"/>
                <w:sz w:val="32"/>
                <w:highlight w:val="none"/>
              </w:rPr>
              <w:t>□</w:t>
            </w:r>
            <w:r>
              <w:rPr>
                <w:rFonts w:hint="eastAsia" w:ascii="宋体" w:hAnsi="宋体" w:eastAsia="宋体" w:cs="宋体"/>
                <w:color w:val="auto"/>
                <w:highlight w:val="none"/>
              </w:rPr>
              <w:t>特殊工种人员持证上岗</w:t>
            </w:r>
          </w:p>
          <w:p w14:paraId="20B36741">
            <w:pPr>
              <w:keepNext w:val="0"/>
              <w:keepLines w:val="0"/>
              <w:suppressLineNumbers w:val="0"/>
              <w:spacing w:before="0" w:beforeAutospacing="0" w:after="0" w:afterAutospacing="0" w:line="360" w:lineRule="auto"/>
              <w:ind w:left="72" w:right="71" w:firstLine="240"/>
              <w:rPr>
                <w:rFonts w:hint="default"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施工工器具安全可靠              </w:t>
            </w:r>
            <w:r>
              <w:rPr>
                <w:rFonts w:hint="eastAsia" w:ascii="宋体" w:hAnsi="宋体" w:eastAsia="宋体" w:cs="宋体"/>
                <w:color w:val="auto"/>
                <w:sz w:val="32"/>
                <w:highlight w:val="none"/>
              </w:rPr>
              <w:t>□</w:t>
            </w:r>
            <w:r>
              <w:rPr>
                <w:rFonts w:hint="eastAsia" w:ascii="宋体" w:hAnsi="宋体" w:eastAsia="宋体" w:cs="宋体"/>
                <w:color w:val="auto"/>
                <w:highlight w:val="none"/>
              </w:rPr>
              <w:t>施工计量、检测器具有效</w:t>
            </w:r>
          </w:p>
          <w:p w14:paraId="31D0F6DC">
            <w:pPr>
              <w:keepNext w:val="0"/>
              <w:keepLines w:val="0"/>
              <w:suppressLineNumbers w:val="0"/>
              <w:spacing w:before="0" w:beforeAutospacing="0" w:after="0" w:afterAutospacing="0" w:line="360" w:lineRule="auto"/>
              <w:ind w:left="72" w:right="71" w:firstLine="240"/>
              <w:rPr>
                <w:rFonts w:hint="default" w:ascii="宋体" w:hAnsi="宋体" w:eastAsia="宋体" w:cs="宋体"/>
                <w:color w:val="auto"/>
                <w:highlight w:val="none"/>
              </w:rPr>
            </w:pPr>
          </w:p>
          <w:p w14:paraId="5DB42182">
            <w:pPr>
              <w:keepNext w:val="0"/>
              <w:keepLines w:val="0"/>
              <w:suppressLineNumbers w:val="0"/>
              <w:spacing w:before="0" w:beforeAutospacing="0" w:after="0" w:afterAutospacing="0" w:line="360" w:lineRule="auto"/>
              <w:ind w:left="0" w:right="0" w:firstLine="5325" w:firstLineChars="2536"/>
              <w:rPr>
                <w:rFonts w:hint="default" w:ascii="宋体" w:hAnsi="宋体" w:eastAsia="宋体" w:cs="宋体"/>
                <w:color w:val="auto"/>
                <w:highlight w:val="none"/>
              </w:rPr>
            </w:pPr>
            <w:r>
              <w:rPr>
                <w:rFonts w:hint="eastAsia" w:ascii="宋体" w:hAnsi="宋体" w:eastAsia="宋体" w:cs="宋体"/>
                <w:color w:val="auto"/>
                <w:highlight w:val="none"/>
              </w:rPr>
              <w:t>监理单位(章)</w:t>
            </w:r>
          </w:p>
          <w:p w14:paraId="768C455F">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color w:val="auto"/>
                <w:highlight w:val="none"/>
              </w:rPr>
            </w:pPr>
            <w:r>
              <w:rPr>
                <w:rFonts w:hint="eastAsia" w:ascii="宋体" w:hAnsi="宋体" w:eastAsia="宋体" w:cs="宋体"/>
                <w:color w:val="auto"/>
                <w:highlight w:val="none"/>
              </w:rPr>
              <w:t>监理工程师</w:t>
            </w:r>
            <w:r>
              <w:rPr>
                <w:rFonts w:hint="eastAsia" w:ascii="宋体" w:hAnsi="宋体" w:eastAsia="宋体" w:cs="宋体"/>
                <w:color w:val="auto"/>
                <w:highlight w:val="none"/>
                <w:u w:val="single"/>
              </w:rPr>
              <w:t xml:space="preserve">               </w:t>
            </w:r>
          </w:p>
          <w:p w14:paraId="3700234E">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1C39D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77" w:hRule="atLeast"/>
          <w:jc w:val="center"/>
        </w:trPr>
        <w:tc>
          <w:tcPr>
            <w:tcW w:w="10156" w:type="dxa"/>
            <w:tcBorders>
              <w:bottom w:val="single" w:color="auto" w:sz="6" w:space="0"/>
            </w:tcBorders>
          </w:tcPr>
          <w:p w14:paraId="6EF98DA4">
            <w:pPr>
              <w:keepNext w:val="0"/>
              <w:keepLines w:val="0"/>
              <w:suppressLineNumbers w:val="0"/>
              <w:spacing w:before="0" w:beforeAutospacing="0" w:after="0" w:afterAutospacing="0" w:line="360" w:lineRule="auto"/>
              <w:ind w:left="-28" w:right="0"/>
              <w:rPr>
                <w:rFonts w:hint="default" w:ascii="宋体" w:hAnsi="宋体" w:eastAsia="宋体" w:cs="宋体"/>
                <w:color w:val="auto"/>
                <w:highlight w:val="none"/>
              </w:rPr>
            </w:pPr>
            <w:r>
              <w:rPr>
                <w:rFonts w:hint="eastAsia" w:ascii="宋体" w:hAnsi="宋体" w:eastAsia="宋体" w:cs="宋体"/>
                <w:color w:val="auto"/>
                <w:highlight w:val="none"/>
              </w:rPr>
              <w:t>审批意见：</w:t>
            </w:r>
          </w:p>
          <w:p w14:paraId="27516B53">
            <w:pPr>
              <w:keepNext w:val="0"/>
              <w:keepLines w:val="0"/>
              <w:suppressLineNumbers w:val="0"/>
              <w:snapToGrid w:val="0"/>
              <w:spacing w:before="0" w:beforeAutospacing="0" w:after="0" w:afterAutospacing="0" w:line="360" w:lineRule="auto"/>
              <w:ind w:left="-28" w:right="0"/>
              <w:rPr>
                <w:rFonts w:hint="default" w:ascii="宋体" w:hAnsi="宋体" w:eastAsia="宋体" w:cs="宋体"/>
                <w:color w:val="auto"/>
                <w:highlight w:val="none"/>
              </w:rPr>
            </w:pPr>
            <w:r>
              <w:rPr>
                <w:rFonts w:hint="eastAsia" w:ascii="宋体" w:hAnsi="宋体" w:eastAsia="宋体" w:cs="宋体"/>
                <w:color w:val="auto"/>
                <w:highlight w:val="none"/>
              </w:rPr>
              <w:t xml:space="preserve"> </w:t>
            </w:r>
          </w:p>
          <w:p w14:paraId="3B62933F">
            <w:pPr>
              <w:keepNext w:val="0"/>
              <w:keepLines w:val="0"/>
              <w:suppressLineNumbers w:val="0"/>
              <w:spacing w:before="0" w:beforeAutospacing="0" w:after="0" w:afterAutospacing="0" w:line="360" w:lineRule="auto"/>
              <w:ind w:left="0" w:right="0" w:firstLine="5325" w:firstLineChars="2536"/>
              <w:rPr>
                <w:rFonts w:hint="default" w:ascii="宋体" w:hAnsi="宋体" w:eastAsia="宋体" w:cs="宋体"/>
                <w:color w:val="auto"/>
                <w:highlight w:val="none"/>
              </w:rPr>
            </w:pPr>
            <w:r>
              <w:rPr>
                <w:rFonts w:hint="eastAsia" w:ascii="宋体" w:hAnsi="宋体" w:eastAsia="宋体" w:cs="宋体"/>
                <w:color w:val="auto"/>
                <w:highlight w:val="none"/>
              </w:rPr>
              <w:t>发包人（章）</w:t>
            </w:r>
          </w:p>
          <w:p w14:paraId="79396682">
            <w:pPr>
              <w:keepNext w:val="0"/>
              <w:keepLines w:val="0"/>
              <w:suppressLineNumbers w:val="0"/>
              <w:snapToGrid w:val="0"/>
              <w:spacing w:before="0" w:beforeAutospacing="0" w:after="0" w:afterAutospacing="0" w:line="360" w:lineRule="auto"/>
              <w:ind w:left="-28" w:right="0" w:firstLine="5348" w:firstLineChars="2547"/>
              <w:rPr>
                <w:rFonts w:hint="default" w:ascii="宋体" w:hAnsi="宋体" w:eastAsia="宋体" w:cs="宋体"/>
                <w:color w:val="auto"/>
                <w:highlight w:val="none"/>
                <w:u w:val="single"/>
              </w:rPr>
            </w:pPr>
            <w:r>
              <w:rPr>
                <w:rFonts w:hint="eastAsia" w:ascii="宋体" w:hAnsi="宋体" w:eastAsia="宋体" w:cs="宋体"/>
                <w:color w:val="auto"/>
                <w:highlight w:val="none"/>
              </w:rPr>
              <w:t>发包人代表</w:t>
            </w:r>
            <w:r>
              <w:rPr>
                <w:rFonts w:hint="eastAsia" w:ascii="宋体" w:hAnsi="宋体" w:eastAsia="宋体" w:cs="宋体"/>
                <w:color w:val="auto"/>
                <w:highlight w:val="none"/>
                <w:u w:val="single"/>
              </w:rPr>
              <w:t xml:space="preserve">               </w:t>
            </w:r>
          </w:p>
          <w:p w14:paraId="0F9B7011">
            <w:pPr>
              <w:keepNext w:val="0"/>
              <w:keepLines w:val="0"/>
              <w:suppressLineNumbers w:val="0"/>
              <w:snapToGrid w:val="0"/>
              <w:spacing w:before="0" w:beforeAutospacing="0" w:after="0" w:afterAutospacing="0" w:line="360" w:lineRule="auto"/>
              <w:ind w:left="-28" w:right="0" w:firstLine="5348" w:firstLineChars="2547"/>
              <w:rPr>
                <w:rFonts w:hint="default"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25E13195">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说明：1．在需要选择的栏中的“□”内作标识“√”。2．本表一式四份，由承包人、监理单位、建设管理单位、发包人按合同规定程序填制，并各存一份。</w:t>
      </w:r>
    </w:p>
    <w:p w14:paraId="73AD91BC">
      <w:pPr>
        <w:pStyle w:val="6"/>
        <w:ind w:firstLine="0" w:firstLineChars="0"/>
        <w:rPr>
          <w:rFonts w:ascii="宋体" w:hAnsi="宋体" w:eastAsia="宋体" w:cs="宋体"/>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kern w:val="0"/>
          <w:sz w:val="24"/>
          <w:szCs w:val="24"/>
          <w:highlight w:val="none"/>
          <w:lang w:val="en-US" w:eastAsia="zh-CN" w:bidi="ar-SA"/>
        </w:rPr>
        <w:t>附件四：</w:t>
      </w:r>
    </w:p>
    <w:p w14:paraId="42429D06">
      <w:pPr>
        <w:outlineLvl w:val="1"/>
        <w:rPr>
          <w:rFonts w:ascii="宋体" w:hAnsi="宋体" w:eastAsia="宋体" w:cs="宋体"/>
          <w:color w:val="auto"/>
          <w:highlight w:val="none"/>
        </w:rPr>
      </w:pPr>
    </w:p>
    <w:p w14:paraId="4C4CFE7C">
      <w:pPr>
        <w:spacing w:line="360" w:lineRule="auto"/>
        <w:jc w:val="center"/>
        <w:rPr>
          <w:rFonts w:ascii="宋体" w:hAnsi="宋体" w:eastAsia="宋体" w:cs="宋体"/>
          <w:b/>
          <w:bCs/>
          <w:color w:val="auto"/>
          <w:spacing w:val="30"/>
          <w:sz w:val="36"/>
          <w:szCs w:val="36"/>
          <w:highlight w:val="none"/>
        </w:rPr>
      </w:pPr>
      <w:r>
        <w:rPr>
          <w:rFonts w:hint="eastAsia" w:ascii="宋体" w:hAnsi="宋体" w:eastAsia="宋体" w:cs="宋体"/>
          <w:b/>
          <w:bCs/>
          <w:color w:val="auto"/>
          <w:spacing w:val="30"/>
          <w:sz w:val="36"/>
          <w:szCs w:val="36"/>
          <w:highlight w:val="none"/>
        </w:rPr>
        <w:t>工程开工/复工报审表</w:t>
      </w:r>
    </w:p>
    <w:p w14:paraId="441315E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工程名称：</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编号：</w:t>
      </w:r>
    </w:p>
    <w:tbl>
      <w:tblPr>
        <w:tblStyle w:val="45"/>
        <w:tblW w:w="933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98"/>
        <w:gridCol w:w="5036"/>
      </w:tblGrid>
      <w:tr w14:paraId="78290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89" w:hRule="atLeast"/>
        </w:trPr>
        <w:tc>
          <w:tcPr>
            <w:tcW w:w="9334" w:type="dxa"/>
            <w:gridSpan w:val="2"/>
          </w:tcPr>
          <w:p w14:paraId="18073AA8">
            <w:pPr>
              <w:keepNext w:val="0"/>
              <w:keepLines w:val="0"/>
              <w:suppressLineNumbers w:val="0"/>
              <w:spacing w:before="120" w:beforeAutospacing="0" w:after="0" w:afterAutospacing="0" w:line="360" w:lineRule="auto"/>
              <w:ind w:left="-28" w:right="0" w:firstLine="181"/>
              <w:rPr>
                <w:rFonts w:hint="default"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（监理单位全称）</w:t>
            </w:r>
          </w:p>
          <w:p w14:paraId="6CD75B23">
            <w:pPr>
              <w:keepNext w:val="0"/>
              <w:keepLines w:val="0"/>
              <w:suppressLineNumbers w:val="0"/>
              <w:spacing w:before="0" w:beforeAutospacing="0" w:after="0" w:afterAutospacing="0" w:line="360" w:lineRule="auto"/>
              <w:ind w:left="-28" w:right="0" w:firstLine="540"/>
              <w:rPr>
                <w:rFonts w:hint="default" w:ascii="宋体" w:hAnsi="宋体" w:eastAsia="宋体" w:cs="宋体"/>
                <w:color w:val="auto"/>
                <w:highlight w:val="none"/>
              </w:rPr>
            </w:pPr>
            <w:r>
              <w:rPr>
                <w:rFonts w:hint="eastAsia" w:ascii="宋体" w:hAnsi="宋体" w:eastAsia="宋体" w:cs="宋体"/>
                <w:color w:val="auto"/>
                <w:highlight w:val="none"/>
              </w:rPr>
              <w:t>我方承担的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工程,已完成了以下各项工作,具备了（</w:t>
            </w:r>
            <w:r>
              <w:rPr>
                <w:rFonts w:hint="eastAsia" w:ascii="宋体" w:hAnsi="宋体" w:eastAsia="宋体" w:cs="宋体"/>
                <w:color w:val="auto"/>
                <w:sz w:val="32"/>
                <w:highlight w:val="none"/>
              </w:rPr>
              <w:t>□</w:t>
            </w:r>
            <w:r>
              <w:rPr>
                <w:rFonts w:hint="eastAsia" w:ascii="宋体" w:hAnsi="宋体" w:eastAsia="宋体" w:cs="宋体"/>
                <w:color w:val="auto"/>
                <w:highlight w:val="none"/>
              </w:rPr>
              <w:t>开工/</w:t>
            </w:r>
            <w:r>
              <w:rPr>
                <w:rFonts w:hint="eastAsia" w:ascii="宋体" w:hAnsi="宋体" w:eastAsia="宋体" w:cs="宋体"/>
                <w:color w:val="auto"/>
                <w:sz w:val="32"/>
                <w:highlight w:val="none"/>
              </w:rPr>
              <w:t>□</w:t>
            </w:r>
            <w:r>
              <w:rPr>
                <w:rFonts w:hint="eastAsia" w:ascii="宋体" w:hAnsi="宋体" w:eastAsia="宋体" w:cs="宋体"/>
                <w:color w:val="auto"/>
                <w:highlight w:val="none"/>
              </w:rPr>
              <w:t>复工）条件,现申请施工,请审查并签发（</w:t>
            </w:r>
            <w:r>
              <w:rPr>
                <w:rFonts w:hint="eastAsia" w:ascii="宋体" w:hAnsi="宋体" w:eastAsia="宋体" w:cs="宋体"/>
                <w:color w:val="auto"/>
                <w:sz w:val="32"/>
                <w:highlight w:val="none"/>
              </w:rPr>
              <w:t>□</w:t>
            </w:r>
            <w:r>
              <w:rPr>
                <w:rFonts w:hint="eastAsia" w:ascii="宋体" w:hAnsi="宋体" w:eastAsia="宋体" w:cs="宋体"/>
                <w:color w:val="auto"/>
                <w:highlight w:val="none"/>
              </w:rPr>
              <w:t>开工/</w:t>
            </w:r>
            <w:r>
              <w:rPr>
                <w:rFonts w:hint="eastAsia" w:ascii="宋体" w:hAnsi="宋体" w:eastAsia="宋体" w:cs="宋体"/>
                <w:color w:val="auto"/>
                <w:sz w:val="32"/>
                <w:highlight w:val="none"/>
              </w:rPr>
              <w:t>□</w:t>
            </w:r>
            <w:r>
              <w:rPr>
                <w:rFonts w:hint="eastAsia" w:ascii="宋体" w:hAnsi="宋体" w:eastAsia="宋体" w:cs="宋体"/>
                <w:color w:val="auto"/>
                <w:highlight w:val="none"/>
              </w:rPr>
              <w:t>复工）指令。</w:t>
            </w:r>
          </w:p>
          <w:p w14:paraId="79386128">
            <w:pPr>
              <w:keepNext w:val="0"/>
              <w:keepLines w:val="0"/>
              <w:suppressLineNumbers w:val="0"/>
              <w:spacing w:before="0" w:beforeAutospacing="0" w:after="0" w:afterAutospacing="0" w:line="360" w:lineRule="auto"/>
              <w:ind w:left="-28" w:right="0"/>
              <w:rPr>
                <w:rFonts w:hint="default" w:ascii="宋体" w:hAnsi="宋体" w:eastAsia="宋体" w:cs="宋体"/>
                <w:color w:val="auto"/>
                <w:highlight w:val="none"/>
              </w:rPr>
            </w:pPr>
            <w:r>
              <w:rPr>
                <w:rFonts w:hint="eastAsia" w:ascii="宋体" w:hAnsi="宋体" w:eastAsia="宋体" w:cs="宋体"/>
                <w:color w:val="auto"/>
                <w:highlight w:val="none"/>
              </w:rPr>
              <w:t>附：开工报告</w:t>
            </w:r>
          </w:p>
          <w:p w14:paraId="6AF71DC2">
            <w:pPr>
              <w:keepNext w:val="0"/>
              <w:keepLines w:val="0"/>
              <w:suppressLineNumbers w:val="0"/>
              <w:spacing w:before="0" w:beforeAutospacing="0" w:after="0" w:afterAutospacing="0" w:line="360" w:lineRule="auto"/>
              <w:ind w:left="-28" w:right="0"/>
              <w:rPr>
                <w:rFonts w:hint="default" w:ascii="宋体" w:hAnsi="宋体" w:eastAsia="宋体" w:cs="宋体"/>
                <w:color w:val="auto"/>
                <w:highlight w:val="none"/>
              </w:rPr>
            </w:pPr>
          </w:p>
          <w:p w14:paraId="064B370E">
            <w:pPr>
              <w:keepNext w:val="0"/>
              <w:keepLines w:val="0"/>
              <w:suppressLineNumbers w:val="0"/>
              <w:spacing w:before="0" w:beforeAutospacing="0" w:after="0" w:afterAutospacing="0" w:line="360" w:lineRule="auto"/>
              <w:ind w:left="-28" w:right="0"/>
              <w:rPr>
                <w:rFonts w:hint="default" w:ascii="宋体" w:hAnsi="宋体" w:eastAsia="宋体" w:cs="宋体"/>
                <w:color w:val="auto"/>
                <w:highlight w:val="none"/>
              </w:rPr>
            </w:pPr>
            <w:r>
              <w:rPr>
                <w:rFonts w:hint="eastAsia" w:ascii="宋体" w:hAnsi="宋体" w:eastAsia="宋体" w:cs="宋体"/>
                <w:color w:val="auto"/>
                <w:highlight w:val="none"/>
              </w:rPr>
              <w:t xml:space="preserve">承包方式： </w:t>
            </w:r>
          </w:p>
          <w:p w14:paraId="47D6540E">
            <w:pPr>
              <w:keepNext w:val="0"/>
              <w:keepLines w:val="0"/>
              <w:suppressLineNumbers w:val="0"/>
              <w:spacing w:before="0" w:beforeAutospacing="0" w:after="0" w:afterAutospacing="0" w:line="360" w:lineRule="auto"/>
              <w:ind w:left="-27" w:right="0" w:firstLine="320"/>
              <w:rPr>
                <w:rFonts w:hint="default"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无分包；</w:t>
            </w:r>
            <w:r>
              <w:rPr>
                <w:rFonts w:hint="eastAsia" w:ascii="宋体" w:hAnsi="宋体" w:eastAsia="宋体" w:cs="宋体"/>
                <w:color w:val="auto"/>
                <w:sz w:val="32"/>
                <w:highlight w:val="none"/>
              </w:rPr>
              <w:t>□</w:t>
            </w:r>
            <w:r>
              <w:rPr>
                <w:rFonts w:hint="eastAsia" w:ascii="宋体" w:hAnsi="宋体" w:eastAsia="宋体" w:cs="宋体"/>
                <w:color w:val="auto"/>
                <w:highlight w:val="none"/>
              </w:rPr>
              <w:t>有分包，并已审核。</w:t>
            </w:r>
          </w:p>
          <w:p w14:paraId="6B8EC987">
            <w:pPr>
              <w:keepNext w:val="0"/>
              <w:keepLines w:val="0"/>
              <w:suppressLineNumbers w:val="0"/>
              <w:spacing w:before="0" w:beforeAutospacing="0" w:after="0" w:afterAutospacing="0" w:line="360" w:lineRule="auto"/>
              <w:ind w:left="0" w:right="0"/>
              <w:rPr>
                <w:rFonts w:hint="default" w:ascii="宋体" w:hAnsi="宋体" w:eastAsia="宋体" w:cs="宋体"/>
                <w:color w:val="auto"/>
                <w:highlight w:val="none"/>
              </w:rPr>
            </w:pPr>
            <w:r>
              <w:rPr>
                <w:rFonts w:hint="eastAsia" w:ascii="宋体" w:hAnsi="宋体" w:eastAsia="宋体" w:cs="宋体"/>
                <w:color w:val="auto"/>
                <w:highlight w:val="none"/>
              </w:rPr>
              <w:t>开工准备情况：</w:t>
            </w:r>
          </w:p>
          <w:p w14:paraId="6F28852B">
            <w:pPr>
              <w:keepNext w:val="0"/>
              <w:keepLines w:val="0"/>
              <w:suppressLineNumbers w:val="0"/>
              <w:spacing w:before="0" w:beforeAutospacing="0" w:after="0" w:afterAutospacing="0" w:line="360" w:lineRule="auto"/>
              <w:ind w:left="0" w:right="0" w:firstLine="320"/>
              <w:rPr>
                <w:rFonts w:hint="default"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施工组织设计（方案）已审批          </w:t>
            </w:r>
            <w:r>
              <w:rPr>
                <w:rFonts w:hint="eastAsia" w:ascii="宋体" w:hAnsi="宋体" w:eastAsia="宋体" w:cs="宋体"/>
                <w:color w:val="auto"/>
                <w:sz w:val="32"/>
                <w:highlight w:val="none"/>
              </w:rPr>
              <w:t>□</w:t>
            </w:r>
            <w:r>
              <w:rPr>
                <w:rFonts w:hint="eastAsia" w:ascii="宋体" w:hAnsi="宋体" w:eastAsia="宋体" w:cs="宋体"/>
                <w:color w:val="auto"/>
                <w:highlight w:val="none"/>
              </w:rPr>
              <w:t>资金已落实</w:t>
            </w:r>
          </w:p>
          <w:p w14:paraId="5C43AFA9">
            <w:pPr>
              <w:keepNext w:val="0"/>
              <w:keepLines w:val="0"/>
              <w:suppressLineNumbers w:val="0"/>
              <w:tabs>
                <w:tab w:val="left" w:pos="4212"/>
              </w:tabs>
              <w:spacing w:before="0" w:beforeAutospacing="0" w:after="0" w:afterAutospacing="0" w:line="360" w:lineRule="auto"/>
              <w:ind w:left="0" w:right="0" w:firstLine="320"/>
              <w:rPr>
                <w:rFonts w:hint="default"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施工图纸已会审并交底                </w:t>
            </w:r>
            <w:r>
              <w:rPr>
                <w:rFonts w:hint="eastAsia" w:ascii="宋体" w:hAnsi="宋体" w:eastAsia="宋体" w:cs="宋体"/>
                <w:color w:val="auto"/>
                <w:sz w:val="32"/>
                <w:highlight w:val="none"/>
              </w:rPr>
              <w:t>□</w:t>
            </w:r>
            <w:r>
              <w:rPr>
                <w:rFonts w:hint="eastAsia" w:ascii="宋体" w:hAnsi="宋体" w:eastAsia="宋体" w:cs="宋体"/>
                <w:color w:val="auto"/>
                <w:highlight w:val="none"/>
              </w:rPr>
              <w:t>劳动力安排就绪并已进场</w:t>
            </w:r>
          </w:p>
          <w:p w14:paraId="6286F005">
            <w:pPr>
              <w:keepNext w:val="0"/>
              <w:keepLines w:val="0"/>
              <w:suppressLineNumbers w:val="0"/>
              <w:spacing w:before="0" w:beforeAutospacing="0" w:after="0" w:afterAutospacing="0" w:line="360" w:lineRule="auto"/>
              <w:ind w:left="0" w:right="0" w:firstLine="320"/>
              <w:rPr>
                <w:rFonts w:hint="default" w:ascii="宋体" w:hAnsi="宋体" w:eastAsia="宋体" w:cs="宋体"/>
                <w:color w:val="auto"/>
                <w:highlight w:val="none"/>
              </w:rPr>
            </w:pPr>
            <w:r>
              <w:rPr>
                <w:rFonts w:hint="eastAsia" w:ascii="宋体" w:hAnsi="宋体" w:eastAsia="宋体" w:cs="宋体"/>
                <w:color w:val="auto"/>
                <w:sz w:val="32"/>
                <w:highlight w:val="none"/>
              </w:rPr>
              <w:t>□</w:t>
            </w:r>
            <w:r>
              <w:rPr>
                <w:rFonts w:hint="eastAsia" w:ascii="宋体" w:hAnsi="宋体" w:eastAsia="宋体" w:cs="宋体"/>
                <w:color w:val="auto"/>
                <w:highlight w:val="none"/>
              </w:rPr>
              <w:t xml:space="preserve">开工所需的材料、机具已进场          </w:t>
            </w:r>
            <w:r>
              <w:rPr>
                <w:rFonts w:hint="eastAsia" w:ascii="宋体" w:hAnsi="宋体" w:eastAsia="宋体" w:cs="宋体"/>
                <w:color w:val="auto"/>
                <w:sz w:val="32"/>
                <w:highlight w:val="none"/>
              </w:rPr>
              <w:t>□</w:t>
            </w:r>
            <w:r>
              <w:rPr>
                <w:rFonts w:hint="eastAsia" w:ascii="宋体" w:hAnsi="宋体" w:eastAsia="宋体" w:cs="宋体"/>
                <w:color w:val="auto"/>
                <w:highlight w:val="none"/>
              </w:rPr>
              <w:t>其他开工条件已具备</w:t>
            </w:r>
          </w:p>
          <w:p w14:paraId="553506EC">
            <w:pPr>
              <w:keepNext w:val="0"/>
              <w:keepLines w:val="0"/>
              <w:suppressLineNumbers w:val="0"/>
              <w:spacing w:before="0" w:beforeAutospacing="0" w:after="0" w:afterAutospacing="0" w:line="360" w:lineRule="auto"/>
              <w:ind w:left="0" w:right="0"/>
              <w:rPr>
                <w:rFonts w:hint="default" w:ascii="宋体" w:hAnsi="宋体" w:eastAsia="宋体" w:cs="宋体"/>
                <w:color w:val="auto"/>
                <w:highlight w:val="none"/>
              </w:rPr>
            </w:pPr>
          </w:p>
          <w:p w14:paraId="47978410">
            <w:pPr>
              <w:keepNext w:val="0"/>
              <w:keepLines w:val="0"/>
              <w:suppressLineNumbers w:val="0"/>
              <w:spacing w:before="0" w:beforeAutospacing="0" w:after="0" w:afterAutospacing="0" w:line="360" w:lineRule="auto"/>
              <w:ind w:left="0" w:right="0"/>
              <w:rPr>
                <w:rFonts w:hint="default" w:ascii="宋体" w:hAnsi="宋体" w:eastAsia="宋体" w:cs="宋体"/>
                <w:color w:val="auto"/>
                <w:highlight w:val="none"/>
                <w:u w:val="single"/>
              </w:rPr>
            </w:pPr>
            <w:r>
              <w:rPr>
                <w:rFonts w:hint="eastAsia" w:ascii="宋体" w:hAnsi="宋体" w:eastAsia="宋体" w:cs="宋体"/>
                <w:color w:val="auto"/>
                <w:highlight w:val="none"/>
              </w:rPr>
              <w:t xml:space="preserve">                                                  承包人（章）                 </w:t>
            </w:r>
          </w:p>
          <w:p w14:paraId="652E2B2B">
            <w:pPr>
              <w:keepNext w:val="0"/>
              <w:keepLines w:val="0"/>
              <w:suppressLineNumbers w:val="0"/>
              <w:spacing w:before="0" w:beforeAutospacing="0" w:after="0" w:afterAutospacing="0" w:line="360" w:lineRule="auto"/>
              <w:ind w:left="0" w:right="0" w:firstLine="5250" w:firstLineChars="2500"/>
              <w:rPr>
                <w:rFonts w:hint="default" w:ascii="宋体" w:hAnsi="宋体" w:eastAsia="宋体" w:cs="宋体"/>
                <w:color w:val="auto"/>
                <w:highlight w:val="none"/>
                <w:u w:val="single"/>
              </w:rPr>
            </w:pP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p>
          <w:p w14:paraId="3BF23C5F">
            <w:pPr>
              <w:keepNext w:val="0"/>
              <w:keepLines w:val="0"/>
              <w:suppressLineNumbers w:val="0"/>
              <w:snapToGrid w:val="0"/>
              <w:spacing w:before="0" w:beforeAutospacing="0" w:after="0" w:afterAutospacing="0" w:line="360" w:lineRule="auto"/>
              <w:ind w:left="0" w:right="0" w:firstLine="5250" w:firstLineChars="2500"/>
              <w:rPr>
                <w:rFonts w:hint="default"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2B6CB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2" w:hRule="atLeast"/>
        </w:trPr>
        <w:tc>
          <w:tcPr>
            <w:tcW w:w="4298" w:type="dxa"/>
            <w:tcBorders>
              <w:bottom w:val="single" w:color="auto" w:sz="6" w:space="0"/>
            </w:tcBorders>
          </w:tcPr>
          <w:p w14:paraId="53E4D7B9">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highlight w:val="none"/>
              </w:rPr>
            </w:pPr>
            <w:r>
              <w:rPr>
                <w:rFonts w:hint="eastAsia" w:ascii="宋体" w:hAnsi="宋体" w:eastAsia="宋体" w:cs="宋体"/>
                <w:color w:val="auto"/>
                <w:highlight w:val="none"/>
              </w:rPr>
              <w:t xml:space="preserve">复核意见： </w:t>
            </w:r>
          </w:p>
          <w:p w14:paraId="73E06DCE">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highlight w:val="none"/>
              </w:rPr>
            </w:pPr>
          </w:p>
          <w:p w14:paraId="5F8B057B">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highlight w:val="none"/>
                <w:u w:val="single"/>
              </w:rPr>
            </w:pPr>
            <w:r>
              <w:rPr>
                <w:rFonts w:hint="eastAsia" w:ascii="宋体" w:hAnsi="宋体" w:eastAsia="宋体" w:cs="宋体"/>
                <w:color w:val="auto"/>
                <w:highlight w:val="none"/>
              </w:rPr>
              <w:t xml:space="preserve">               监理单位（章）              </w:t>
            </w:r>
          </w:p>
          <w:p w14:paraId="42FD0E49">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highlight w:val="none"/>
                <w:u w:val="single"/>
              </w:rPr>
            </w:pPr>
            <w:r>
              <w:rPr>
                <w:rFonts w:hint="eastAsia" w:ascii="宋体" w:hAnsi="宋体" w:eastAsia="宋体" w:cs="宋体"/>
                <w:color w:val="auto"/>
                <w:highlight w:val="none"/>
              </w:rPr>
              <w:t xml:space="preserve">               监理工程师 </w:t>
            </w:r>
            <w:r>
              <w:rPr>
                <w:rFonts w:hint="eastAsia" w:ascii="宋体" w:hAnsi="宋体" w:eastAsia="宋体" w:cs="宋体"/>
                <w:color w:val="auto"/>
                <w:highlight w:val="none"/>
                <w:u w:val="single"/>
              </w:rPr>
              <w:t xml:space="preserve">           </w:t>
            </w:r>
          </w:p>
          <w:p w14:paraId="7ECF6B4B">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highlight w:val="none"/>
              </w:rPr>
            </w:pPr>
            <w:r>
              <w:rPr>
                <w:rFonts w:hint="eastAsia" w:ascii="宋体" w:hAnsi="宋体" w:eastAsia="宋体" w:cs="宋体"/>
                <w:color w:val="auto"/>
                <w:highlight w:val="none"/>
              </w:rPr>
              <w:t xml:space="preserve">               日      期 </w:t>
            </w:r>
            <w:r>
              <w:rPr>
                <w:rFonts w:hint="eastAsia" w:ascii="宋体" w:hAnsi="宋体" w:eastAsia="宋体" w:cs="宋体"/>
                <w:color w:val="auto"/>
                <w:highlight w:val="none"/>
                <w:u w:val="single"/>
              </w:rPr>
              <w:t xml:space="preserve">           </w:t>
            </w:r>
          </w:p>
        </w:tc>
        <w:tc>
          <w:tcPr>
            <w:tcW w:w="5036" w:type="dxa"/>
            <w:tcBorders>
              <w:bottom w:val="single" w:color="auto" w:sz="6" w:space="0"/>
            </w:tcBorders>
          </w:tcPr>
          <w:p w14:paraId="1F601301">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highlight w:val="none"/>
              </w:rPr>
            </w:pPr>
            <w:r>
              <w:rPr>
                <w:rFonts w:hint="eastAsia" w:ascii="宋体" w:hAnsi="宋体" w:eastAsia="宋体" w:cs="宋体"/>
                <w:color w:val="auto"/>
                <w:highlight w:val="none"/>
              </w:rPr>
              <w:t xml:space="preserve"> 审批意见：   </w:t>
            </w:r>
          </w:p>
          <w:p w14:paraId="66061568">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highlight w:val="none"/>
              </w:rPr>
            </w:pPr>
          </w:p>
          <w:p w14:paraId="0006C9FC">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18"/>
                <w:highlight w:val="none"/>
              </w:rPr>
              <w:t xml:space="preserve">  </w:t>
            </w:r>
            <w:r>
              <w:rPr>
                <w:rFonts w:hint="eastAsia" w:ascii="宋体" w:hAnsi="宋体" w:eastAsia="宋体" w:cs="宋体"/>
                <w:color w:val="auto"/>
                <w:highlight w:val="none"/>
              </w:rPr>
              <w:t xml:space="preserve">          发包人（章）      </w:t>
            </w:r>
          </w:p>
          <w:p w14:paraId="4B053BFE">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18"/>
                <w:highlight w:val="none"/>
              </w:rPr>
              <w:t xml:space="preserve">  </w:t>
            </w:r>
            <w:r>
              <w:rPr>
                <w:rFonts w:hint="eastAsia" w:ascii="宋体" w:hAnsi="宋体" w:eastAsia="宋体" w:cs="宋体"/>
                <w:color w:val="auto"/>
                <w:highlight w:val="none"/>
              </w:rPr>
              <w:t xml:space="preserve">          发包人代表 </w:t>
            </w:r>
            <w:r>
              <w:rPr>
                <w:rFonts w:hint="eastAsia" w:ascii="宋体" w:hAnsi="宋体" w:eastAsia="宋体" w:cs="宋体"/>
                <w:color w:val="auto"/>
                <w:highlight w:val="none"/>
                <w:u w:val="single"/>
              </w:rPr>
              <w:t xml:space="preserve">         </w:t>
            </w:r>
          </w:p>
          <w:p w14:paraId="004B8E76">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30"/>
                <w:highlight w:val="none"/>
              </w:rPr>
              <w:t xml:space="preserve">      </w:t>
            </w:r>
            <w:r>
              <w:rPr>
                <w:rFonts w:hint="eastAsia" w:ascii="宋体" w:hAnsi="宋体" w:eastAsia="宋体" w:cs="宋体"/>
                <w:color w:val="auto"/>
                <w:highlight w:val="none"/>
              </w:rPr>
              <w:t xml:space="preserve">日      期 </w:t>
            </w:r>
            <w:r>
              <w:rPr>
                <w:rFonts w:hint="eastAsia" w:ascii="宋体" w:hAnsi="宋体" w:eastAsia="宋体" w:cs="宋体"/>
                <w:color w:val="auto"/>
                <w:highlight w:val="none"/>
                <w:u w:val="single"/>
              </w:rPr>
              <w:t xml:space="preserve">         </w:t>
            </w:r>
          </w:p>
        </w:tc>
      </w:tr>
    </w:tbl>
    <w:p w14:paraId="27A32693">
      <w:pPr>
        <w:spacing w:before="120"/>
        <w:rPr>
          <w:rFonts w:ascii="宋体" w:hAnsi="宋体" w:eastAsia="宋体" w:cs="宋体"/>
          <w:color w:val="auto"/>
          <w:highlight w:val="none"/>
        </w:rPr>
      </w:pPr>
      <w:r>
        <w:rPr>
          <w:rFonts w:hint="eastAsia" w:ascii="宋体" w:hAnsi="宋体" w:eastAsia="宋体" w:cs="宋体"/>
          <w:color w:val="auto"/>
          <w:highlight w:val="none"/>
        </w:rPr>
        <w:t>说明：1．在需要选择的栏中的“</w:t>
      </w:r>
      <w:r>
        <w:rPr>
          <w:rFonts w:hint="eastAsia" w:ascii="宋体" w:hAnsi="宋体" w:eastAsia="宋体" w:cs="宋体"/>
          <w:color w:val="auto"/>
          <w:sz w:val="32"/>
          <w:highlight w:val="none"/>
        </w:rPr>
        <w:t>□</w:t>
      </w:r>
      <w:r>
        <w:rPr>
          <w:rFonts w:hint="eastAsia" w:ascii="宋体" w:hAnsi="宋体" w:eastAsia="宋体" w:cs="宋体"/>
          <w:color w:val="auto"/>
          <w:highlight w:val="none"/>
        </w:rPr>
        <w:t>”内作标识“√”。</w:t>
      </w:r>
    </w:p>
    <w:p w14:paraId="4CF95995">
      <w:pPr>
        <w:ind w:left="718" w:leftChars="342"/>
        <w:rPr>
          <w:rFonts w:ascii="宋体" w:hAnsi="宋体" w:eastAsia="宋体" w:cs="宋体"/>
          <w:color w:val="auto"/>
          <w:highlight w:val="none"/>
        </w:rPr>
      </w:pPr>
      <w:r>
        <w:rPr>
          <w:rFonts w:hint="eastAsia" w:ascii="宋体" w:hAnsi="宋体" w:eastAsia="宋体" w:cs="宋体"/>
          <w:color w:val="auto"/>
          <w:highlight w:val="none"/>
        </w:rPr>
        <w:t>2．本表一式四份，由承包人、监理人、建设管理单位、发包人按合同规定程序填制，并各存一份。</w:t>
      </w:r>
    </w:p>
    <w:p w14:paraId="55699B0F">
      <w:pPr>
        <w:pStyle w:val="6"/>
        <w:ind w:firstLine="0" w:firstLineChars="0"/>
        <w:rPr>
          <w:rFonts w:ascii="宋体" w:hAnsi="宋体" w:eastAsia="宋体" w:cs="宋体"/>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kern w:val="0"/>
          <w:sz w:val="24"/>
          <w:szCs w:val="24"/>
          <w:highlight w:val="none"/>
          <w:lang w:val="en-US" w:eastAsia="zh-CN" w:bidi="ar-SA"/>
        </w:rPr>
        <w:t>附件五：</w:t>
      </w:r>
    </w:p>
    <w:p w14:paraId="0F7799F8">
      <w:pPr>
        <w:spacing w:before="120" w:beforeLines="50" w:after="120" w:afterLines="50" w:line="360" w:lineRule="auto"/>
        <w:outlineLvl w:val="1"/>
        <w:rPr>
          <w:rFonts w:ascii="宋体" w:hAnsi="宋体" w:eastAsia="宋体" w:cs="宋体"/>
          <w:color w:val="auto"/>
          <w:highlight w:val="none"/>
        </w:rPr>
      </w:pPr>
    </w:p>
    <w:p w14:paraId="6CE5EA94">
      <w:pPr>
        <w:spacing w:line="360" w:lineRule="auto"/>
        <w:jc w:val="center"/>
        <w:rPr>
          <w:rFonts w:ascii="宋体" w:hAnsi="宋体" w:eastAsia="宋体" w:cs="宋体"/>
          <w:b/>
          <w:bCs/>
          <w:color w:val="auto"/>
          <w:spacing w:val="30"/>
          <w:sz w:val="36"/>
          <w:szCs w:val="36"/>
          <w:highlight w:val="none"/>
        </w:rPr>
      </w:pPr>
      <w:r>
        <w:rPr>
          <w:rFonts w:hint="eastAsia" w:ascii="宋体" w:hAnsi="宋体" w:eastAsia="宋体" w:cs="宋体"/>
          <w:b/>
          <w:bCs/>
          <w:color w:val="auto"/>
          <w:spacing w:val="30"/>
          <w:sz w:val="36"/>
          <w:szCs w:val="36"/>
          <w:highlight w:val="none"/>
        </w:rPr>
        <w:t>暂停施工令</w:t>
      </w:r>
    </w:p>
    <w:p w14:paraId="7C0E655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工程名称：</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编号：</w:t>
      </w:r>
    </w:p>
    <w:tbl>
      <w:tblPr>
        <w:tblStyle w:val="45"/>
        <w:tblW w:w="10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14:paraId="17BB7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jc w:val="center"/>
        </w:trPr>
        <w:tc>
          <w:tcPr>
            <w:tcW w:w="10458" w:type="dxa"/>
          </w:tcPr>
          <w:p w14:paraId="790C042C">
            <w:pPr>
              <w:keepNext w:val="0"/>
              <w:keepLines w:val="0"/>
              <w:suppressLineNumbers w:val="0"/>
              <w:spacing w:before="120" w:beforeAutospacing="0" w:after="0" w:afterAutospacing="0" w:line="360" w:lineRule="auto"/>
              <w:ind w:left="0" w:right="0"/>
              <w:rPr>
                <w:rFonts w:hint="default"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（承包人全称）</w:t>
            </w:r>
          </w:p>
          <w:p w14:paraId="3F498FD5">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color w:val="auto"/>
                <w:highlight w:val="none"/>
                <w:u w:val="single"/>
              </w:rPr>
            </w:pPr>
            <w:r>
              <w:rPr>
                <w:rFonts w:hint="eastAsia" w:ascii="宋体" w:hAnsi="宋体" w:eastAsia="宋体" w:cs="宋体"/>
                <w:color w:val="auto"/>
                <w:highlight w:val="none"/>
              </w:rPr>
              <w:t>由于</w:t>
            </w:r>
            <w:r>
              <w:rPr>
                <w:rFonts w:hint="eastAsia" w:ascii="宋体" w:hAnsi="宋体" w:eastAsia="宋体" w:cs="宋体"/>
                <w:color w:val="auto"/>
                <w:highlight w:val="none"/>
                <w:u w:val="single"/>
              </w:rPr>
              <w:t xml:space="preserve">                                                                    </w:t>
            </w:r>
          </w:p>
          <w:p w14:paraId="077C2C0E">
            <w:pPr>
              <w:keepNext w:val="0"/>
              <w:keepLines w:val="0"/>
              <w:suppressLineNumbers w:val="0"/>
              <w:spacing w:before="0" w:beforeAutospacing="0" w:after="0" w:afterAutospacing="0" w:line="360" w:lineRule="auto"/>
              <w:ind w:left="-28" w:right="0"/>
              <w:rPr>
                <w:rFonts w:hint="default"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B082A61">
            <w:pPr>
              <w:keepNext w:val="0"/>
              <w:keepLines w:val="0"/>
              <w:suppressLineNumbers w:val="0"/>
              <w:spacing w:before="0" w:beforeAutospacing="0" w:after="0" w:afterAutospacing="0" w:line="360" w:lineRule="auto"/>
              <w:ind w:left="-27" w:leftChars="-13" w:right="0"/>
              <w:rPr>
                <w:rFonts w:hint="default"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0032F1C8">
            <w:pPr>
              <w:keepNext w:val="0"/>
              <w:keepLines w:val="0"/>
              <w:suppressLineNumbers w:val="0"/>
              <w:spacing w:before="0" w:beforeAutospacing="0" w:after="0" w:afterAutospacing="0" w:line="360" w:lineRule="auto"/>
              <w:ind w:left="-27" w:leftChars="-13" w:right="0"/>
              <w:rPr>
                <w:rFonts w:hint="default"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578BF19">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的原因，现通知你方必须于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F32A93D">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时起，对本工程的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部位（工序）实施</w:t>
            </w:r>
          </w:p>
          <w:p w14:paraId="1CDDA7BC">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color w:val="auto"/>
                <w:highlight w:val="none"/>
              </w:rPr>
            </w:pPr>
            <w:r>
              <w:rPr>
                <w:rFonts w:hint="eastAsia" w:ascii="宋体" w:hAnsi="宋体" w:eastAsia="宋体" w:cs="宋体"/>
                <w:color w:val="auto"/>
                <w:highlight w:val="none"/>
              </w:rPr>
              <w:t>暂停施工，并按下述要求做好各项工作：</w:t>
            </w:r>
          </w:p>
          <w:p w14:paraId="41C8B56C">
            <w:pPr>
              <w:keepNext w:val="0"/>
              <w:keepLines w:val="0"/>
              <w:suppressLineNumbers w:val="0"/>
              <w:spacing w:before="0" w:beforeAutospacing="0" w:after="0" w:afterAutospacing="0" w:line="360" w:lineRule="auto"/>
              <w:ind w:left="-28" w:right="0"/>
              <w:rPr>
                <w:rFonts w:hint="default" w:ascii="宋体" w:hAnsi="宋体" w:eastAsia="宋体" w:cs="宋体"/>
                <w:color w:val="auto"/>
                <w:highlight w:val="none"/>
              </w:rPr>
            </w:pPr>
          </w:p>
          <w:p w14:paraId="6F253AD0">
            <w:pPr>
              <w:keepNext w:val="0"/>
              <w:keepLines w:val="0"/>
              <w:suppressLineNumbers w:val="0"/>
              <w:spacing w:before="0" w:beforeAutospacing="0" w:after="0" w:afterAutospacing="0" w:line="360" w:lineRule="auto"/>
              <w:ind w:left="-28" w:right="0"/>
              <w:rPr>
                <w:rFonts w:hint="default" w:ascii="宋体" w:hAnsi="宋体" w:eastAsia="宋体" w:cs="宋体"/>
                <w:color w:val="auto"/>
                <w:highlight w:val="none"/>
              </w:rPr>
            </w:pPr>
          </w:p>
          <w:p w14:paraId="25ED5F9D">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color w:val="auto"/>
                <w:highlight w:val="none"/>
              </w:rPr>
            </w:pPr>
          </w:p>
          <w:p w14:paraId="48EB7B26">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color w:val="auto"/>
                <w:highlight w:val="none"/>
                <w:u w:val="single"/>
              </w:rPr>
            </w:pPr>
            <w:r>
              <w:rPr>
                <w:rFonts w:hint="eastAsia" w:ascii="宋体" w:hAnsi="宋体" w:eastAsia="宋体" w:cs="宋体"/>
                <w:color w:val="auto"/>
                <w:highlight w:val="none"/>
              </w:rPr>
              <w:t xml:space="preserve">监理单位（章）           </w:t>
            </w:r>
          </w:p>
          <w:p w14:paraId="654F8309">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color w:val="auto"/>
                <w:highlight w:val="none"/>
                <w:u w:val="single"/>
              </w:rPr>
            </w:pPr>
            <w:r>
              <w:rPr>
                <w:rFonts w:hint="eastAsia" w:ascii="宋体" w:hAnsi="宋体" w:eastAsia="宋体" w:cs="宋体"/>
                <w:color w:val="auto"/>
                <w:highlight w:val="none"/>
              </w:rPr>
              <w:t>监理工程师</w:t>
            </w:r>
            <w:r>
              <w:rPr>
                <w:rFonts w:hint="eastAsia" w:ascii="宋体" w:hAnsi="宋体" w:eastAsia="宋体" w:cs="宋体"/>
                <w:color w:val="auto"/>
                <w:highlight w:val="none"/>
                <w:u w:val="single"/>
              </w:rPr>
              <w:t xml:space="preserve">               </w:t>
            </w:r>
          </w:p>
          <w:p w14:paraId="434F35D8">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1C0AD22A">
      <w:pPr>
        <w:spacing w:line="360" w:lineRule="auto"/>
        <w:rPr>
          <w:rFonts w:ascii="宋体" w:hAnsi="宋体" w:eastAsia="宋体" w:cs="宋体"/>
          <w:color w:val="auto"/>
          <w:highlight w:val="none"/>
        </w:rPr>
      </w:pPr>
      <w:r>
        <w:rPr>
          <w:rFonts w:hint="eastAsia" w:ascii="宋体" w:hAnsi="宋体" w:eastAsia="宋体" w:cs="宋体"/>
          <w:color w:val="auto"/>
          <w:highlight w:val="none"/>
        </w:rPr>
        <w:t>说明： 本表一式四份，由监理工程师填制，并连同发包人、承包人各存一份。</w:t>
      </w:r>
    </w:p>
    <w:p w14:paraId="6A7F5164">
      <w:pPr>
        <w:outlineLvl w:val="2"/>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26D3A0DB">
      <w:pPr>
        <w:pStyle w:val="6"/>
        <w:ind w:firstLine="0" w:firstLineChars="0"/>
        <w:rPr>
          <w:rFonts w:hint="eastAsia" w:ascii="宋体" w:hAnsi="宋体" w:eastAsia="宋体" w:cs="宋体"/>
          <w:color w:val="auto"/>
          <w:sz w:val="24"/>
          <w:highlight w:val="none"/>
        </w:rPr>
      </w:pPr>
      <w:r>
        <w:rPr>
          <w:rFonts w:hint="eastAsia" w:ascii="宋体" w:hAnsi="宋体" w:eastAsia="宋体" w:cs="宋体"/>
          <w:b/>
          <w:color w:val="auto"/>
          <w:kern w:val="0"/>
          <w:sz w:val="24"/>
          <w:szCs w:val="24"/>
          <w:highlight w:val="none"/>
          <w:lang w:val="en-US" w:eastAsia="zh-CN" w:bidi="ar-SA"/>
        </w:rPr>
        <w:t>附件六：</w:t>
      </w:r>
    </w:p>
    <w:tbl>
      <w:tblPr>
        <w:tblStyle w:val="45"/>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0"/>
      </w:tblGrid>
      <w:tr w14:paraId="51CB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tcBorders>
              <w:top w:val="nil"/>
              <w:left w:val="nil"/>
              <w:bottom w:val="nil"/>
              <w:right w:val="nil"/>
            </w:tcBorders>
          </w:tcPr>
          <w:p w14:paraId="29FF4A56">
            <w:pPr>
              <w:keepNext w:val="0"/>
              <w:keepLines w:val="0"/>
              <w:suppressLineNumbers w:val="0"/>
              <w:spacing w:before="0" w:beforeAutospacing="0" w:after="0" w:afterAutospacing="0"/>
              <w:ind w:left="0" w:right="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表(1）                              </w:t>
            </w:r>
          </w:p>
          <w:p w14:paraId="4BFB3B5D">
            <w:pPr>
              <w:keepNext w:val="0"/>
              <w:keepLines w:val="0"/>
              <w:suppressLineNumbers w:val="0"/>
              <w:spacing w:before="0" w:beforeAutospacing="0" w:after="0" w:afterAutospacing="0"/>
              <w:ind w:left="0" w:right="0"/>
              <w:jc w:val="center"/>
              <w:rPr>
                <w:rFonts w:hint="eastAsia" w:ascii="宋体" w:hAnsi="宋体" w:eastAsia="宋体" w:cs="宋体"/>
                <w:b/>
                <w:color w:val="auto"/>
                <w:sz w:val="38"/>
                <w:szCs w:val="38"/>
                <w:highlight w:val="none"/>
              </w:rPr>
            </w:pPr>
            <w:r>
              <w:rPr>
                <w:rFonts w:hint="eastAsia" w:ascii="宋体" w:hAnsi="宋体" w:eastAsia="宋体" w:cs="宋体"/>
                <w:b/>
                <w:color w:val="auto"/>
                <w:sz w:val="38"/>
                <w:szCs w:val="38"/>
                <w:highlight w:val="none"/>
              </w:rPr>
              <w:t>工程签证申请单</w:t>
            </w:r>
          </w:p>
          <w:p w14:paraId="505EABB2">
            <w:pPr>
              <w:keepNext w:val="0"/>
              <w:keepLines w:val="0"/>
              <w:suppressLineNumbers w:val="0"/>
              <w:spacing w:before="0" w:beforeAutospacing="0" w:after="0" w:afterAutospacing="0"/>
              <w:ind w:left="0" w:right="0" w:firstLine="1424" w:firstLineChars="788"/>
              <w:rPr>
                <w:rFonts w:hint="eastAsia" w:ascii="宋体" w:hAnsi="宋体" w:eastAsia="宋体" w:cs="宋体"/>
                <w:b/>
                <w:color w:val="auto"/>
                <w:sz w:val="18"/>
                <w:szCs w:val="18"/>
                <w:highlight w:val="none"/>
              </w:rPr>
            </w:pPr>
          </w:p>
          <w:p w14:paraId="2C048C96">
            <w:pPr>
              <w:keepNext w:val="0"/>
              <w:keepLines w:val="0"/>
              <w:suppressLineNumbers w:val="0"/>
              <w:spacing w:before="0" w:beforeAutospacing="0" w:after="0" w:afterAutospacing="0"/>
              <w:ind w:left="0" w:right="0" w:firstLine="240" w:firstLineChars="100"/>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工程名称：    </w:t>
            </w:r>
            <w:r>
              <w:rPr>
                <w:rFonts w:hint="eastAsia" w:ascii="宋体" w:hAnsi="宋体" w:eastAsia="宋体" w:cs="宋体"/>
                <w:color w:val="auto"/>
                <w:szCs w:val="21"/>
                <w:highlight w:val="none"/>
              </w:rPr>
              <w:t xml:space="preserve">                                                    申请单编号：SJZD-QZSQ-00X</w:t>
            </w:r>
          </w:p>
          <w:p w14:paraId="65FD6950">
            <w:pPr>
              <w:keepNext w:val="0"/>
              <w:keepLines w:val="0"/>
              <w:suppressLineNumbers w:val="0"/>
              <w:spacing w:before="0" w:beforeAutospacing="0" w:after="0" w:afterAutospacing="0"/>
              <w:ind w:left="0" w:right="0" w:firstLine="210" w:firstLineChars="100"/>
              <w:rPr>
                <w:rFonts w:hint="eastAsia" w:ascii="宋体" w:hAnsi="宋体" w:eastAsia="宋体" w:cs="宋体"/>
                <w:color w:val="auto"/>
                <w:szCs w:val="21"/>
                <w:highlight w:val="none"/>
              </w:rPr>
            </w:pPr>
          </w:p>
          <w:tbl>
            <w:tblPr>
              <w:tblStyle w:val="4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007"/>
              <w:gridCol w:w="4344"/>
            </w:tblGrid>
            <w:tr w14:paraId="3091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single" w:color="auto" w:sz="4" w:space="0"/>
                    <w:left w:val="single" w:color="auto" w:sz="4" w:space="0"/>
                    <w:bottom w:val="single" w:color="auto" w:sz="4" w:space="0"/>
                    <w:right w:val="single" w:color="auto" w:sz="4" w:space="0"/>
                  </w:tcBorders>
                  <w:vAlign w:val="center"/>
                </w:tcPr>
                <w:p w14:paraId="0F056FD3">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关于</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的申请</w:t>
                  </w:r>
                </w:p>
                <w:p w14:paraId="2F0313B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1、申请现场签证原因或依据： </w:t>
                  </w:r>
                </w:p>
                <w:p w14:paraId="4BD79802">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5F2DDB3A">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19F23D93">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3276682F">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2、申请现场签证内容及范围(苑区、标段、栋号)</w:t>
                  </w:r>
                </w:p>
                <w:p w14:paraId="3BA5F077">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12B531F3">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0A350ED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301560ED">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3、申请现场签证引起的造价成本变化(估算限额为上限)：</w:t>
                  </w:r>
                </w:p>
                <w:p w14:paraId="3B91C60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24E41986">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52235690">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4、附件：（各类工作联系单及附图） </w:t>
                  </w:r>
                </w:p>
                <w:p w14:paraId="4BD0E1CA">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4D8232D2">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04D4BB8">
                  <w:pPr>
                    <w:keepNext w:val="0"/>
                    <w:keepLines w:val="0"/>
                    <w:suppressLineNumbers w:val="0"/>
                    <w:spacing w:before="0" w:beforeAutospacing="0" w:after="0" w:afterAutospacing="0"/>
                    <w:ind w:left="0" w:right="0" w:firstLine="4320" w:firstLineChars="180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xml:space="preserve">项目经理：                 年   月   日  </w:t>
                  </w:r>
                </w:p>
              </w:tc>
            </w:tr>
            <w:tr w14:paraId="3C0F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C591622">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监理单位审批意见</w:t>
                  </w:r>
                </w:p>
              </w:tc>
              <w:tc>
                <w:tcPr>
                  <w:tcW w:w="8351" w:type="dxa"/>
                  <w:gridSpan w:val="2"/>
                  <w:tcBorders>
                    <w:top w:val="single" w:color="auto" w:sz="4" w:space="0"/>
                    <w:left w:val="single" w:color="auto" w:sz="4" w:space="0"/>
                    <w:bottom w:val="single" w:color="auto" w:sz="4" w:space="0"/>
                    <w:right w:val="single" w:color="auto" w:sz="4" w:space="0"/>
                  </w:tcBorders>
                  <w:vAlign w:val="center"/>
                </w:tcPr>
                <w:p w14:paraId="7AE9AF0C">
                  <w:pPr>
                    <w:keepNext w:val="0"/>
                    <w:keepLines w:val="0"/>
                    <w:suppressLineNumbers w:val="0"/>
                    <w:spacing w:before="0" w:beforeAutospacing="0" w:after="0" w:afterAutospacing="0"/>
                    <w:ind w:left="0" w:right="0" w:firstLine="5040" w:firstLineChars="2100"/>
                    <w:rPr>
                      <w:rFonts w:hint="eastAsia" w:ascii="宋体" w:hAnsi="宋体" w:eastAsia="宋体" w:cs="宋体"/>
                      <w:color w:val="auto"/>
                      <w:kern w:val="0"/>
                      <w:sz w:val="24"/>
                      <w:highlight w:val="none"/>
                    </w:rPr>
                  </w:pPr>
                </w:p>
                <w:p w14:paraId="5625CDCE">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61AC6D67">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1F01D10C">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总监：                    年   月   日         </w:t>
                  </w:r>
                </w:p>
              </w:tc>
            </w:tr>
            <w:tr w14:paraId="55D2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FD59DA9">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建设管理单位审批意见</w:t>
                  </w:r>
                </w:p>
              </w:tc>
              <w:tc>
                <w:tcPr>
                  <w:tcW w:w="8351" w:type="dxa"/>
                  <w:gridSpan w:val="2"/>
                  <w:tcBorders>
                    <w:top w:val="single" w:color="auto" w:sz="4" w:space="0"/>
                    <w:left w:val="single" w:color="auto" w:sz="4" w:space="0"/>
                    <w:bottom w:val="single" w:color="auto" w:sz="4" w:space="0"/>
                    <w:right w:val="single" w:color="auto" w:sz="4" w:space="0"/>
                  </w:tcBorders>
                  <w:vAlign w:val="center"/>
                </w:tcPr>
                <w:p w14:paraId="13F6C8CC">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p>
                <w:p w14:paraId="7DCEF468">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3D7E2B8C">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负责人：                   年   月   日</w:t>
                  </w:r>
                </w:p>
              </w:tc>
            </w:tr>
            <w:tr w14:paraId="6E4E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14:paraId="46E15DE1">
                  <w:pPr>
                    <w:keepNext w:val="0"/>
                    <w:keepLines w:val="0"/>
                    <w:suppressLineNumbers w:val="0"/>
                    <w:spacing w:before="0" w:beforeAutospacing="0" w:after="0" w:afterAutospacing="0"/>
                    <w:ind w:left="0" w:right="0" w:firstLine="6244" w:firstLineChars="223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建建设单位审批意见</w:t>
                  </w:r>
                </w:p>
              </w:tc>
              <w:tc>
                <w:tcPr>
                  <w:tcW w:w="4007" w:type="dxa"/>
                  <w:tcBorders>
                    <w:top w:val="single" w:color="auto" w:sz="4" w:space="0"/>
                    <w:left w:val="single" w:color="auto" w:sz="4" w:space="0"/>
                    <w:bottom w:val="single" w:color="auto" w:sz="4" w:space="0"/>
                    <w:right w:val="single" w:color="auto" w:sz="4" w:space="0"/>
                  </w:tcBorders>
                  <w:vAlign w:val="center"/>
                </w:tcPr>
                <w:p w14:paraId="2B603CBD">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4FAB6E9C">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405A676B">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0D0F830D">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现场工程师：               </w:t>
                  </w:r>
                </w:p>
                <w:p w14:paraId="4E00F2A9">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p>
                <w:p w14:paraId="7A7EA39F">
                  <w:pPr>
                    <w:keepNext w:val="0"/>
                    <w:keepLines w:val="0"/>
                    <w:suppressLineNumbers w:val="0"/>
                    <w:spacing w:before="0" w:beforeAutospacing="0" w:after="0" w:afterAutospacing="0"/>
                    <w:ind w:left="0" w:right="0" w:firstLine="2400" w:firstLineChars="10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年   月   日</w:t>
                  </w:r>
                </w:p>
              </w:tc>
              <w:tc>
                <w:tcPr>
                  <w:tcW w:w="4344" w:type="dxa"/>
                  <w:tcBorders>
                    <w:top w:val="single" w:color="auto" w:sz="4" w:space="0"/>
                    <w:left w:val="single" w:color="auto" w:sz="4" w:space="0"/>
                    <w:bottom w:val="single" w:color="auto" w:sz="4" w:space="0"/>
                    <w:right w:val="single" w:color="auto" w:sz="4" w:space="0"/>
                  </w:tcBorders>
                  <w:vAlign w:val="center"/>
                </w:tcPr>
                <w:p w14:paraId="5168DF0E">
                  <w:pPr>
                    <w:keepNext w:val="0"/>
                    <w:keepLines w:val="0"/>
                    <w:suppressLineNumbers w:val="0"/>
                    <w:spacing w:before="0" w:beforeAutospacing="0" w:after="0" w:afterAutospacing="0"/>
                    <w:ind w:left="0" w:right="0" w:firstLine="4320" w:firstLineChars="1800"/>
                    <w:rPr>
                      <w:rFonts w:hint="eastAsia" w:ascii="宋体" w:hAnsi="宋体" w:eastAsia="宋体" w:cs="宋体"/>
                      <w:color w:val="auto"/>
                      <w:kern w:val="0"/>
                      <w:sz w:val="24"/>
                      <w:highlight w:val="none"/>
                    </w:rPr>
                  </w:pPr>
                </w:p>
                <w:p w14:paraId="2E01EDC2">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17833F57">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69F89692">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造价工程师：             </w:t>
                  </w:r>
                </w:p>
                <w:p w14:paraId="6F9164C4">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F767C92">
                  <w:pPr>
                    <w:keepNext w:val="0"/>
                    <w:keepLines w:val="0"/>
                    <w:suppressLineNumbers w:val="0"/>
                    <w:spacing w:before="0" w:beforeAutospacing="0" w:after="0" w:afterAutospacing="0"/>
                    <w:ind w:left="0" w:right="0"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tc>
            </w:tr>
            <w:tr w14:paraId="3C2A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50E8CC23">
                  <w:pPr>
                    <w:keepNext w:val="0"/>
                    <w:keepLines w:val="0"/>
                    <w:suppressLineNumbers w:val="0"/>
                    <w:spacing w:before="0" w:beforeAutospacing="0" w:after="0" w:afterAutospacing="0"/>
                    <w:ind w:left="0" w:right="0" w:firstLine="4683" w:firstLineChars="2230"/>
                    <w:jc w:val="center"/>
                    <w:rPr>
                      <w:rFonts w:hint="eastAsia" w:ascii="宋体" w:hAnsi="宋体" w:eastAsia="宋体" w:cs="宋体"/>
                      <w:color w:val="auto"/>
                      <w:kern w:val="0"/>
                      <w:szCs w:val="21"/>
                      <w:highlight w:val="none"/>
                    </w:rPr>
                  </w:pPr>
                </w:p>
              </w:tc>
              <w:tc>
                <w:tcPr>
                  <w:tcW w:w="8351" w:type="dxa"/>
                  <w:gridSpan w:val="2"/>
                  <w:tcBorders>
                    <w:top w:val="single" w:color="auto" w:sz="4" w:space="0"/>
                    <w:left w:val="single" w:color="auto" w:sz="4" w:space="0"/>
                    <w:bottom w:val="single" w:color="auto" w:sz="4" w:space="0"/>
                    <w:right w:val="single" w:color="auto" w:sz="4" w:space="0"/>
                  </w:tcBorders>
                  <w:vAlign w:val="center"/>
                </w:tcPr>
                <w:p w14:paraId="3FC2849D">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220CA59">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14:paraId="3F51EC89">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01BE1FC">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项目负责人：                       年   月   日</w:t>
                  </w:r>
                </w:p>
              </w:tc>
            </w:tr>
            <w:tr w14:paraId="2125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nil"/>
                    <w:left w:val="nil"/>
                    <w:bottom w:val="nil"/>
                    <w:right w:val="nil"/>
                  </w:tcBorders>
                </w:tcPr>
                <w:p w14:paraId="0383FFCC">
                  <w:pPr>
                    <w:keepNext w:val="0"/>
                    <w:keepLines w:val="0"/>
                    <w:suppressLineNumbers w:val="0"/>
                    <w:spacing w:before="0" w:beforeAutospacing="0" w:after="0" w:afterAutospacing="0"/>
                    <w:ind w:left="0" w:right="0"/>
                    <w:rPr>
                      <w:rFonts w:hint="eastAsia" w:ascii="宋体" w:hAnsi="宋体" w:eastAsia="宋体" w:cs="宋体"/>
                      <w:color w:val="auto"/>
                      <w:sz w:val="15"/>
                      <w:szCs w:val="15"/>
                      <w:highlight w:val="none"/>
                    </w:rPr>
                  </w:pPr>
                </w:p>
              </w:tc>
            </w:tr>
          </w:tbl>
          <w:p w14:paraId="4BFF311F">
            <w:pPr>
              <w:keepNext w:val="0"/>
              <w:keepLines w:val="0"/>
              <w:suppressLineNumbers w:val="0"/>
              <w:spacing w:before="0" w:beforeAutospacing="0" w:after="0" w:afterAutospacing="0"/>
              <w:ind w:left="0" w:right="0"/>
              <w:rPr>
                <w:rFonts w:hint="eastAsia" w:ascii="宋体" w:hAnsi="宋体" w:eastAsia="宋体" w:cs="宋体"/>
                <w:color w:val="auto"/>
                <w:kern w:val="0"/>
                <w:highlight w:val="none"/>
              </w:rPr>
            </w:pPr>
          </w:p>
        </w:tc>
      </w:tr>
    </w:tbl>
    <w:p w14:paraId="4DD48286">
      <w:pPr>
        <w:rPr>
          <w:rFonts w:hint="eastAsia" w:ascii="宋体" w:hAnsi="宋体" w:eastAsia="宋体" w:cs="宋体"/>
          <w:color w:val="auto"/>
          <w:sz w:val="2"/>
          <w:szCs w:val="2"/>
          <w:highlight w:val="none"/>
          <w:lang w:val="zh-CN"/>
        </w:rPr>
      </w:pPr>
    </w:p>
    <w:p w14:paraId="5AE627A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备注：1、应在发生签证前提出签证申请，并附上现场施工前照片。</w:t>
      </w:r>
    </w:p>
    <w:p w14:paraId="14679358">
      <w:pPr>
        <w:pStyle w:val="43"/>
        <w:numPr>
          <w:ilvl w:val="0"/>
          <w:numId w:val="33"/>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本表格必须双面打印，共一式4份，施工、监理各持1份，建设单位持2份。</w:t>
      </w:r>
    </w:p>
    <w:p w14:paraId="6F3362AF">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7C463D3D">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表(2）</w:t>
      </w:r>
    </w:p>
    <w:tbl>
      <w:tblPr>
        <w:tblStyle w:val="45"/>
        <w:tblW w:w="9279" w:type="dxa"/>
        <w:tblInd w:w="93" w:type="dxa"/>
        <w:tblLayout w:type="fixed"/>
        <w:tblCellMar>
          <w:top w:w="0" w:type="dxa"/>
          <w:left w:w="108" w:type="dxa"/>
          <w:bottom w:w="0" w:type="dxa"/>
          <w:right w:w="108" w:type="dxa"/>
        </w:tblCellMar>
      </w:tblPr>
      <w:tblGrid>
        <w:gridCol w:w="515"/>
        <w:gridCol w:w="473"/>
        <w:gridCol w:w="1511"/>
        <w:gridCol w:w="2123"/>
        <w:gridCol w:w="1274"/>
        <w:gridCol w:w="2105"/>
        <w:gridCol w:w="275"/>
        <w:gridCol w:w="236"/>
        <w:gridCol w:w="275"/>
        <w:gridCol w:w="236"/>
        <w:gridCol w:w="256"/>
      </w:tblGrid>
      <w:tr w14:paraId="7A01F5AA">
        <w:tblPrEx>
          <w:tblCellMar>
            <w:top w:w="0" w:type="dxa"/>
            <w:left w:w="108" w:type="dxa"/>
            <w:bottom w:w="0" w:type="dxa"/>
            <w:right w:w="108" w:type="dxa"/>
          </w:tblCellMar>
        </w:tblPrEx>
        <w:trPr>
          <w:trHeight w:val="928" w:hRule="atLeast"/>
        </w:trPr>
        <w:tc>
          <w:tcPr>
            <w:tcW w:w="9279" w:type="dxa"/>
            <w:gridSpan w:val="11"/>
            <w:tcBorders>
              <w:top w:val="nil"/>
              <w:left w:val="nil"/>
              <w:bottom w:val="nil"/>
              <w:right w:val="nil"/>
            </w:tcBorders>
            <w:vAlign w:val="center"/>
          </w:tcPr>
          <w:p w14:paraId="5E758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38"/>
                <w:szCs w:val="38"/>
                <w:highlight w:val="none"/>
              </w:rPr>
            </w:pPr>
            <w:r>
              <w:rPr>
                <w:rFonts w:hint="eastAsia" w:ascii="宋体" w:hAnsi="宋体" w:eastAsia="宋体" w:cs="宋体"/>
                <w:b/>
                <w:bCs/>
                <w:color w:val="auto"/>
                <w:kern w:val="0"/>
                <w:sz w:val="38"/>
                <w:szCs w:val="38"/>
                <w:highlight w:val="none"/>
              </w:rPr>
              <w:t xml:space="preserve">工 程 签 证 现 场 收 方 单    </w:t>
            </w:r>
          </w:p>
        </w:tc>
      </w:tr>
      <w:tr w14:paraId="01EDBAA6">
        <w:tblPrEx>
          <w:tblCellMar>
            <w:top w:w="0" w:type="dxa"/>
            <w:left w:w="108" w:type="dxa"/>
            <w:bottom w:w="0" w:type="dxa"/>
            <w:right w:w="108" w:type="dxa"/>
          </w:tblCellMar>
        </w:tblPrEx>
        <w:trPr>
          <w:trHeight w:val="507" w:hRule="atLeast"/>
        </w:trPr>
        <w:tc>
          <w:tcPr>
            <w:tcW w:w="8029" w:type="dxa"/>
            <w:gridSpan w:val="6"/>
            <w:tcBorders>
              <w:top w:val="nil"/>
              <w:left w:val="nil"/>
              <w:bottom w:val="nil"/>
              <w:right w:val="single" w:color="000000" w:sz="4" w:space="0"/>
            </w:tcBorders>
            <w:vAlign w:val="center"/>
          </w:tcPr>
          <w:p w14:paraId="45A0A2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rPr>
              <w:t>编号：SJZD-QZSF</w:t>
            </w:r>
          </w:p>
        </w:tc>
        <w:tc>
          <w:tcPr>
            <w:tcW w:w="275" w:type="dxa"/>
            <w:tcBorders>
              <w:top w:val="single" w:color="000000" w:sz="4" w:space="0"/>
              <w:left w:val="single" w:color="000000" w:sz="4" w:space="0"/>
              <w:bottom w:val="single" w:color="000000" w:sz="4" w:space="0"/>
              <w:right w:val="single" w:color="000000" w:sz="4" w:space="0"/>
            </w:tcBorders>
            <w:vAlign w:val="center"/>
          </w:tcPr>
          <w:p w14:paraId="5B606496">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22" w:type="dxa"/>
            <w:tcBorders>
              <w:top w:val="nil"/>
              <w:left w:val="nil"/>
              <w:bottom w:val="nil"/>
              <w:right w:val="single" w:color="000000" w:sz="4" w:space="0"/>
            </w:tcBorders>
            <w:vAlign w:val="center"/>
          </w:tcPr>
          <w:p w14:paraId="2204D63A">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75" w:type="dxa"/>
            <w:tcBorders>
              <w:top w:val="single" w:color="000000" w:sz="4" w:space="0"/>
              <w:left w:val="single" w:color="000000" w:sz="4" w:space="0"/>
              <w:bottom w:val="single" w:color="000000" w:sz="4" w:space="0"/>
              <w:right w:val="single" w:color="000000" w:sz="4" w:space="0"/>
            </w:tcBorders>
            <w:vAlign w:val="center"/>
          </w:tcPr>
          <w:p w14:paraId="2CB4FE1D">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22" w:type="dxa"/>
            <w:tcBorders>
              <w:top w:val="nil"/>
              <w:left w:val="nil"/>
              <w:bottom w:val="nil"/>
              <w:right w:val="nil"/>
            </w:tcBorders>
            <w:vAlign w:val="center"/>
          </w:tcPr>
          <w:p w14:paraId="420FE4DD">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56" w:type="dxa"/>
            <w:tcBorders>
              <w:top w:val="single" w:color="000000" w:sz="4" w:space="0"/>
              <w:left w:val="single" w:color="000000" w:sz="4" w:space="0"/>
              <w:bottom w:val="single" w:color="000000" w:sz="4" w:space="0"/>
              <w:right w:val="single" w:color="000000" w:sz="4" w:space="0"/>
            </w:tcBorders>
            <w:vAlign w:val="center"/>
          </w:tcPr>
          <w:p w14:paraId="7CF4DC08">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r>
      <w:tr w14:paraId="5182F471">
        <w:tblPrEx>
          <w:tblCellMar>
            <w:top w:w="0" w:type="dxa"/>
            <w:left w:w="108" w:type="dxa"/>
            <w:bottom w:w="0" w:type="dxa"/>
            <w:right w:w="108" w:type="dxa"/>
          </w:tblCellMar>
        </w:tblPrEx>
        <w:trPr>
          <w:trHeight w:val="507" w:hRule="atLeast"/>
        </w:trPr>
        <w:tc>
          <w:tcPr>
            <w:tcW w:w="9279" w:type="dxa"/>
            <w:gridSpan w:val="11"/>
            <w:tcBorders>
              <w:top w:val="nil"/>
              <w:left w:val="nil"/>
              <w:bottom w:val="single" w:color="000000" w:sz="8" w:space="0"/>
              <w:right w:val="nil"/>
            </w:tcBorders>
            <w:vAlign w:val="center"/>
          </w:tcPr>
          <w:p w14:paraId="75BA819E">
            <w:pPr>
              <w:keepNext w:val="0"/>
              <w:keepLines w:val="0"/>
              <w:suppressLineNumbers w:val="0"/>
              <w:spacing w:before="0" w:beforeAutospacing="0" w:after="0" w:afterAutospacing="0"/>
              <w:ind w:left="0" w:right="0"/>
              <w:jc w:val="right"/>
              <w:rPr>
                <w:rFonts w:hint="eastAsia" w:ascii="宋体" w:hAnsi="宋体" w:eastAsia="宋体" w:cs="宋体"/>
                <w:color w:val="auto"/>
                <w:sz w:val="20"/>
                <w:szCs w:val="20"/>
                <w:highlight w:val="none"/>
              </w:rPr>
            </w:pPr>
          </w:p>
        </w:tc>
      </w:tr>
      <w:tr w14:paraId="24C50B51">
        <w:tblPrEx>
          <w:tblCellMar>
            <w:top w:w="0" w:type="dxa"/>
            <w:left w:w="108" w:type="dxa"/>
            <w:bottom w:w="0" w:type="dxa"/>
            <w:right w:w="108" w:type="dxa"/>
          </w:tblCellMar>
        </w:tblPrEx>
        <w:trPr>
          <w:trHeight w:val="526" w:hRule="atLeast"/>
        </w:trPr>
        <w:tc>
          <w:tcPr>
            <w:tcW w:w="2507" w:type="dxa"/>
            <w:gridSpan w:val="3"/>
            <w:tcBorders>
              <w:top w:val="single" w:color="000000" w:sz="8" w:space="0"/>
              <w:left w:val="single" w:color="000000" w:sz="8" w:space="0"/>
              <w:bottom w:val="single" w:color="000000" w:sz="4" w:space="0"/>
              <w:right w:val="single" w:color="000000" w:sz="4" w:space="0"/>
            </w:tcBorders>
            <w:vAlign w:val="center"/>
          </w:tcPr>
          <w:p w14:paraId="1B273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单位（子单位）工程名称</w:t>
            </w:r>
          </w:p>
        </w:tc>
        <w:tc>
          <w:tcPr>
            <w:tcW w:w="6772" w:type="dxa"/>
            <w:gridSpan w:val="8"/>
            <w:tcBorders>
              <w:top w:val="single" w:color="000000" w:sz="8" w:space="0"/>
              <w:left w:val="single" w:color="000000" w:sz="4" w:space="0"/>
              <w:bottom w:val="single" w:color="000000" w:sz="4" w:space="0"/>
              <w:right w:val="single" w:color="000000" w:sz="8" w:space="0"/>
            </w:tcBorders>
            <w:vAlign w:val="center"/>
          </w:tcPr>
          <w:p w14:paraId="407CF91D">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31F3F9E7">
        <w:tblPrEx>
          <w:tblCellMar>
            <w:top w:w="0" w:type="dxa"/>
            <w:left w:w="108" w:type="dxa"/>
            <w:bottom w:w="0" w:type="dxa"/>
            <w:right w:w="108" w:type="dxa"/>
          </w:tblCellMar>
        </w:tblPrEx>
        <w:trPr>
          <w:trHeight w:val="507" w:hRule="atLeast"/>
        </w:trPr>
        <w:tc>
          <w:tcPr>
            <w:tcW w:w="991" w:type="dxa"/>
            <w:gridSpan w:val="2"/>
            <w:tcBorders>
              <w:top w:val="single" w:color="000000" w:sz="4" w:space="0"/>
              <w:left w:val="single" w:color="000000" w:sz="8" w:space="0"/>
              <w:bottom w:val="single" w:color="000000" w:sz="4" w:space="0"/>
              <w:right w:val="single" w:color="000000" w:sz="4" w:space="0"/>
            </w:tcBorders>
            <w:vAlign w:val="center"/>
          </w:tcPr>
          <w:p w14:paraId="6E828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工程部位</w:t>
            </w:r>
          </w:p>
        </w:tc>
        <w:tc>
          <w:tcPr>
            <w:tcW w:w="3647" w:type="dxa"/>
            <w:gridSpan w:val="2"/>
            <w:tcBorders>
              <w:top w:val="single" w:color="000000" w:sz="4" w:space="0"/>
              <w:left w:val="single" w:color="000000" w:sz="4" w:space="0"/>
              <w:bottom w:val="single" w:color="000000" w:sz="4" w:space="0"/>
              <w:right w:val="single" w:color="000000" w:sz="4" w:space="0"/>
            </w:tcBorders>
            <w:vAlign w:val="center"/>
          </w:tcPr>
          <w:p w14:paraId="76C59872">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14:paraId="2FD9A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日 期</w:t>
            </w:r>
          </w:p>
        </w:tc>
        <w:tc>
          <w:tcPr>
            <w:tcW w:w="3363" w:type="dxa"/>
            <w:gridSpan w:val="6"/>
            <w:tcBorders>
              <w:top w:val="single" w:color="000000" w:sz="4" w:space="0"/>
              <w:left w:val="single" w:color="000000" w:sz="4" w:space="0"/>
              <w:bottom w:val="single" w:color="000000" w:sz="4" w:space="0"/>
              <w:right w:val="single" w:color="000000" w:sz="8" w:space="0"/>
            </w:tcBorders>
            <w:vAlign w:val="center"/>
          </w:tcPr>
          <w:p w14:paraId="46E0DC16">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266194E7">
        <w:tblPrEx>
          <w:tblCellMar>
            <w:top w:w="0" w:type="dxa"/>
            <w:left w:w="108" w:type="dxa"/>
            <w:bottom w:w="0" w:type="dxa"/>
            <w:right w:w="108" w:type="dxa"/>
          </w:tblCellMar>
        </w:tblPrEx>
        <w:trPr>
          <w:trHeight w:val="507" w:hRule="atLeast"/>
        </w:trPr>
        <w:tc>
          <w:tcPr>
            <w:tcW w:w="516" w:type="dxa"/>
            <w:vMerge w:val="restart"/>
            <w:tcBorders>
              <w:top w:val="single" w:color="000000" w:sz="4" w:space="0"/>
              <w:left w:val="single" w:color="000000" w:sz="8" w:space="0"/>
              <w:bottom w:val="single" w:color="000000" w:sz="4" w:space="0"/>
              <w:right w:val="single" w:color="000000" w:sz="4" w:space="0"/>
            </w:tcBorders>
            <w:vAlign w:val="center"/>
          </w:tcPr>
          <w:p w14:paraId="3FA36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签</w:t>
            </w:r>
          </w:p>
          <w:p w14:paraId="5E663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p>
          <w:p w14:paraId="6182A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证</w:t>
            </w:r>
          </w:p>
          <w:p w14:paraId="4A8C2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p>
          <w:p w14:paraId="5E45F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p>
          <w:p w14:paraId="0825F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内</w:t>
            </w:r>
          </w:p>
          <w:p w14:paraId="55EBB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rPr>
            </w:pPr>
          </w:p>
          <w:p w14:paraId="075C5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容</w:t>
            </w:r>
          </w:p>
        </w:tc>
        <w:tc>
          <w:tcPr>
            <w:tcW w:w="8763" w:type="dxa"/>
            <w:gridSpan w:val="10"/>
            <w:tcBorders>
              <w:top w:val="single" w:color="000000" w:sz="4" w:space="0"/>
              <w:left w:val="single" w:color="000000" w:sz="4" w:space="0"/>
              <w:bottom w:val="single" w:color="000000" w:sz="4" w:space="0"/>
              <w:right w:val="single" w:color="000000" w:sz="4" w:space="0"/>
            </w:tcBorders>
            <w:vAlign w:val="center"/>
          </w:tcPr>
          <w:p w14:paraId="2070E9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对应签证申请单编号：</w:t>
            </w:r>
          </w:p>
        </w:tc>
      </w:tr>
      <w:tr w14:paraId="4F3D697C">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14:paraId="33AA9167">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restart"/>
            <w:tcBorders>
              <w:top w:val="nil"/>
              <w:left w:val="single" w:color="000000" w:sz="4" w:space="0"/>
              <w:bottom w:val="nil"/>
              <w:right w:val="single" w:color="000000" w:sz="8" w:space="0"/>
            </w:tcBorders>
          </w:tcPr>
          <w:p w14:paraId="4C11721A">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r w14:paraId="57675724">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14:paraId="02A514D1">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tcPr>
          <w:p w14:paraId="2FBAD90A">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5DC7AE97">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14:paraId="1ED3A612">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tcPr>
          <w:p w14:paraId="0A7C8D83">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2A90BFF7">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14:paraId="1B14F8AE">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tcPr>
          <w:p w14:paraId="387689C7">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70EDD591">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14:paraId="546E600D">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tcPr>
          <w:p w14:paraId="5B3BA746">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6F513E8B">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14:paraId="489833ED">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tcPr>
          <w:p w14:paraId="75EEC7EF">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75F5FF6B">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14:paraId="69369E55">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tcPr>
          <w:p w14:paraId="71234169">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0268DE3A">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14:paraId="26D33542">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tcPr>
          <w:p w14:paraId="3054DD91">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4D7AE097">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14:paraId="305B26F2">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tcPr>
          <w:p w14:paraId="08A90588">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3EAC9711">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14:paraId="4CAC64B7">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tcPr>
          <w:p w14:paraId="19ACDF58">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5F85CF3F">
        <w:tblPrEx>
          <w:tblCellMar>
            <w:top w:w="0" w:type="dxa"/>
            <w:left w:w="108" w:type="dxa"/>
            <w:bottom w:w="0" w:type="dxa"/>
            <w:right w:w="108" w:type="dxa"/>
          </w:tblCellMar>
        </w:tblPrEx>
        <w:trPr>
          <w:trHeight w:val="312"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14:paraId="4C74EB2E">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tcPr>
          <w:p w14:paraId="10540CDC">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31AB955C">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vAlign w:val="center"/>
          </w:tcPr>
          <w:p w14:paraId="29B906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施工单位确认：</w:t>
            </w:r>
          </w:p>
        </w:tc>
        <w:tc>
          <w:tcPr>
            <w:tcW w:w="4641" w:type="dxa"/>
            <w:gridSpan w:val="7"/>
            <w:tcBorders>
              <w:top w:val="single" w:color="000000" w:sz="4" w:space="0"/>
              <w:left w:val="single" w:color="000000" w:sz="4" w:space="0"/>
              <w:bottom w:val="nil"/>
              <w:right w:val="single" w:color="000000" w:sz="8" w:space="0"/>
            </w:tcBorders>
            <w:vAlign w:val="center"/>
          </w:tcPr>
          <w:p w14:paraId="08F042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监理单位确认：</w:t>
            </w:r>
          </w:p>
        </w:tc>
      </w:tr>
      <w:tr w14:paraId="0B425BC6">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4" w:space="0"/>
              <w:right w:val="single" w:color="000000" w:sz="4" w:space="0"/>
            </w:tcBorders>
            <w:vAlign w:val="center"/>
          </w:tcPr>
          <w:p w14:paraId="57C5266F">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restart"/>
            <w:tcBorders>
              <w:top w:val="nil"/>
              <w:left w:val="single" w:color="000000" w:sz="4" w:space="0"/>
              <w:bottom w:val="single" w:color="000000" w:sz="4" w:space="0"/>
              <w:right w:val="single" w:color="000000" w:sz="8" w:space="0"/>
            </w:tcBorders>
            <w:vAlign w:val="center"/>
          </w:tcPr>
          <w:p w14:paraId="20A392BF">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4D72A175">
        <w:tblPrEx>
          <w:tblCellMar>
            <w:top w:w="0" w:type="dxa"/>
            <w:left w:w="108" w:type="dxa"/>
            <w:bottom w:w="0" w:type="dxa"/>
            <w:right w:w="108" w:type="dxa"/>
          </w:tblCellMar>
        </w:tblPrEx>
        <w:trPr>
          <w:trHeight w:val="607" w:hRule="atLeast"/>
        </w:trPr>
        <w:tc>
          <w:tcPr>
            <w:tcW w:w="4638" w:type="dxa"/>
            <w:gridSpan w:val="4"/>
            <w:vMerge w:val="continue"/>
            <w:tcBorders>
              <w:top w:val="nil"/>
              <w:left w:val="single" w:color="000000" w:sz="8" w:space="0"/>
              <w:bottom w:val="single" w:color="000000" w:sz="4" w:space="0"/>
              <w:right w:val="single" w:color="000000" w:sz="4" w:space="0"/>
            </w:tcBorders>
            <w:vAlign w:val="center"/>
          </w:tcPr>
          <w:p w14:paraId="6D3A672D">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continue"/>
            <w:tcBorders>
              <w:top w:val="nil"/>
              <w:left w:val="single" w:color="000000" w:sz="4" w:space="0"/>
              <w:bottom w:val="single" w:color="000000" w:sz="4" w:space="0"/>
              <w:right w:val="single" w:color="000000" w:sz="8" w:space="0"/>
            </w:tcBorders>
            <w:vAlign w:val="center"/>
          </w:tcPr>
          <w:p w14:paraId="765928FB">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3C1F6D47">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vAlign w:val="center"/>
          </w:tcPr>
          <w:p w14:paraId="19883C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建设管理单位确认：</w:t>
            </w:r>
          </w:p>
        </w:tc>
        <w:tc>
          <w:tcPr>
            <w:tcW w:w="4641" w:type="dxa"/>
            <w:gridSpan w:val="7"/>
            <w:tcBorders>
              <w:top w:val="single" w:color="000000" w:sz="4" w:space="0"/>
              <w:left w:val="single" w:color="000000" w:sz="4" w:space="0"/>
              <w:bottom w:val="nil"/>
              <w:right w:val="single" w:color="000000" w:sz="8" w:space="0"/>
            </w:tcBorders>
            <w:vAlign w:val="center"/>
          </w:tcPr>
          <w:p w14:paraId="6B3250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建设单位确认：</w:t>
            </w:r>
          </w:p>
        </w:tc>
      </w:tr>
      <w:tr w14:paraId="2374C55C">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8" w:space="0"/>
              <w:right w:val="single" w:color="000000" w:sz="4" w:space="0"/>
            </w:tcBorders>
            <w:vAlign w:val="center"/>
          </w:tcPr>
          <w:p w14:paraId="3324786F">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restart"/>
            <w:tcBorders>
              <w:top w:val="nil"/>
              <w:left w:val="single" w:color="000000" w:sz="4" w:space="0"/>
              <w:bottom w:val="single" w:color="000000" w:sz="8" w:space="0"/>
              <w:right w:val="single" w:color="000000" w:sz="8" w:space="0"/>
            </w:tcBorders>
            <w:vAlign w:val="center"/>
          </w:tcPr>
          <w:p w14:paraId="3BCCD6F1">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14:paraId="695A98F4">
        <w:tblPrEx>
          <w:tblCellMar>
            <w:top w:w="0" w:type="dxa"/>
            <w:left w:w="108" w:type="dxa"/>
            <w:bottom w:w="0" w:type="dxa"/>
            <w:right w:w="108" w:type="dxa"/>
          </w:tblCellMar>
        </w:tblPrEx>
        <w:trPr>
          <w:trHeight w:val="664" w:hRule="atLeast"/>
        </w:trPr>
        <w:tc>
          <w:tcPr>
            <w:tcW w:w="4638" w:type="dxa"/>
            <w:gridSpan w:val="4"/>
            <w:vMerge w:val="continue"/>
            <w:tcBorders>
              <w:top w:val="nil"/>
              <w:left w:val="single" w:color="000000" w:sz="8" w:space="0"/>
              <w:bottom w:val="single" w:color="000000" w:sz="8" w:space="0"/>
              <w:right w:val="single" w:color="000000" w:sz="4" w:space="0"/>
            </w:tcBorders>
            <w:vAlign w:val="center"/>
          </w:tcPr>
          <w:p w14:paraId="5E577E83">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continue"/>
            <w:tcBorders>
              <w:top w:val="nil"/>
              <w:left w:val="single" w:color="000000" w:sz="4" w:space="0"/>
              <w:bottom w:val="single" w:color="000000" w:sz="8" w:space="0"/>
              <w:right w:val="single" w:color="000000" w:sz="8" w:space="0"/>
            </w:tcBorders>
            <w:vAlign w:val="center"/>
          </w:tcPr>
          <w:p w14:paraId="61F847CF">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bl>
    <w:p w14:paraId="03D6C2E9">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4B3CDD98">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表(3）</w:t>
      </w:r>
    </w:p>
    <w:p w14:paraId="301156EE">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38"/>
          <w:szCs w:val="38"/>
          <w:highlight w:val="none"/>
        </w:rPr>
        <w:t>工程签证确认单</w:t>
      </w:r>
    </w:p>
    <w:p w14:paraId="564FD869">
      <w:pPr>
        <w:rPr>
          <w:rFonts w:hint="eastAsia" w:ascii="宋体" w:hAnsi="宋体" w:eastAsia="宋体" w:cs="宋体"/>
          <w:b/>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highlight w:val="none"/>
        </w:rPr>
        <w:t xml:space="preserve">                                                                    签证单编号：</w:t>
      </w:r>
    </w:p>
    <w:tbl>
      <w:tblPr>
        <w:tblStyle w:val="45"/>
        <w:tblW w:w="95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
        <w:gridCol w:w="1349"/>
        <w:gridCol w:w="281"/>
        <w:gridCol w:w="399"/>
        <w:gridCol w:w="1420"/>
        <w:gridCol w:w="458"/>
        <w:gridCol w:w="1469"/>
        <w:gridCol w:w="188"/>
        <w:gridCol w:w="1996"/>
        <w:gridCol w:w="1936"/>
      </w:tblGrid>
      <w:tr w14:paraId="3097E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538" w:hRule="atLeast"/>
          <w:jc w:val="center"/>
        </w:trPr>
        <w:tc>
          <w:tcPr>
            <w:tcW w:w="1349" w:type="dxa"/>
            <w:tcBorders>
              <w:top w:val="single" w:color="auto" w:sz="18" w:space="0"/>
              <w:left w:val="single" w:color="auto" w:sz="18" w:space="0"/>
              <w:bottom w:val="single" w:color="auto" w:sz="6" w:space="0"/>
            </w:tcBorders>
            <w:vAlign w:val="center"/>
          </w:tcPr>
          <w:p w14:paraId="082478C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工程名称</w:t>
            </w:r>
          </w:p>
        </w:tc>
        <w:tc>
          <w:tcPr>
            <w:tcW w:w="4027" w:type="dxa"/>
            <w:gridSpan w:val="5"/>
            <w:tcBorders>
              <w:top w:val="single" w:color="auto" w:sz="18" w:space="0"/>
              <w:bottom w:val="single" w:color="auto" w:sz="6" w:space="0"/>
            </w:tcBorders>
            <w:vAlign w:val="center"/>
          </w:tcPr>
          <w:p w14:paraId="5AD0A96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84" w:type="dxa"/>
            <w:gridSpan w:val="2"/>
            <w:tcBorders>
              <w:top w:val="single" w:color="auto" w:sz="18" w:space="0"/>
              <w:bottom w:val="single" w:color="auto" w:sz="6" w:space="0"/>
            </w:tcBorders>
            <w:vAlign w:val="center"/>
          </w:tcPr>
          <w:p w14:paraId="3B2CB92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合同编号</w:t>
            </w:r>
          </w:p>
        </w:tc>
        <w:tc>
          <w:tcPr>
            <w:tcW w:w="1936" w:type="dxa"/>
            <w:tcBorders>
              <w:top w:val="single" w:color="auto" w:sz="18" w:space="0"/>
              <w:bottom w:val="single" w:color="auto" w:sz="6" w:space="0"/>
              <w:right w:val="single" w:color="auto" w:sz="18" w:space="0"/>
            </w:tcBorders>
            <w:vAlign w:val="center"/>
          </w:tcPr>
          <w:p w14:paraId="17C1980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5B7AD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485" w:hRule="atLeast"/>
          <w:jc w:val="center"/>
        </w:trPr>
        <w:tc>
          <w:tcPr>
            <w:tcW w:w="1349" w:type="dxa"/>
            <w:tcBorders>
              <w:top w:val="single" w:color="auto" w:sz="6" w:space="0"/>
              <w:left w:val="single" w:color="auto" w:sz="18" w:space="0"/>
              <w:bottom w:val="single" w:color="auto" w:sz="6" w:space="0"/>
            </w:tcBorders>
            <w:vAlign w:val="center"/>
          </w:tcPr>
          <w:p w14:paraId="7A299466">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施工单位</w:t>
            </w:r>
          </w:p>
        </w:tc>
        <w:tc>
          <w:tcPr>
            <w:tcW w:w="4027" w:type="dxa"/>
            <w:gridSpan w:val="5"/>
            <w:tcBorders>
              <w:top w:val="single" w:color="auto" w:sz="6" w:space="0"/>
              <w:bottom w:val="single" w:color="auto" w:sz="6" w:space="0"/>
            </w:tcBorders>
            <w:vAlign w:val="center"/>
          </w:tcPr>
          <w:p w14:paraId="37CE749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84" w:type="dxa"/>
            <w:gridSpan w:val="2"/>
            <w:tcBorders>
              <w:top w:val="single" w:color="auto" w:sz="6" w:space="0"/>
              <w:bottom w:val="single" w:color="auto" w:sz="6" w:space="0"/>
            </w:tcBorders>
            <w:vAlign w:val="center"/>
          </w:tcPr>
          <w:p w14:paraId="64B3C74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（标段）栋号</w:t>
            </w:r>
          </w:p>
        </w:tc>
        <w:tc>
          <w:tcPr>
            <w:tcW w:w="1936" w:type="dxa"/>
            <w:tcBorders>
              <w:top w:val="single" w:color="auto" w:sz="6" w:space="0"/>
              <w:bottom w:val="single" w:color="auto" w:sz="6" w:space="0"/>
              <w:right w:val="single" w:color="auto" w:sz="18" w:space="0"/>
            </w:tcBorders>
            <w:vAlign w:val="center"/>
          </w:tcPr>
          <w:p w14:paraId="324BDCB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4AA4E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314" w:hRule="atLeast"/>
          <w:jc w:val="center"/>
        </w:trPr>
        <w:tc>
          <w:tcPr>
            <w:tcW w:w="1349" w:type="dxa"/>
            <w:tcBorders>
              <w:top w:val="single" w:color="auto" w:sz="6" w:space="0"/>
              <w:left w:val="single" w:color="auto" w:sz="18" w:space="0"/>
              <w:bottom w:val="single" w:color="auto" w:sz="6" w:space="0"/>
            </w:tcBorders>
            <w:vAlign w:val="center"/>
          </w:tcPr>
          <w:p w14:paraId="5D4ABFB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提出方</w:t>
            </w:r>
          </w:p>
        </w:tc>
        <w:tc>
          <w:tcPr>
            <w:tcW w:w="680" w:type="dxa"/>
            <w:gridSpan w:val="2"/>
            <w:vMerge w:val="restart"/>
            <w:tcBorders>
              <w:top w:val="single" w:color="auto" w:sz="6" w:space="0"/>
              <w:bottom w:val="single" w:color="auto" w:sz="6" w:space="0"/>
            </w:tcBorders>
            <w:vAlign w:val="center"/>
          </w:tcPr>
          <w:p w14:paraId="230A34C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签证变更</w:t>
            </w:r>
          </w:p>
          <w:p w14:paraId="64EFD1A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原因</w:t>
            </w:r>
          </w:p>
        </w:tc>
        <w:tc>
          <w:tcPr>
            <w:tcW w:w="1878" w:type="dxa"/>
            <w:gridSpan w:val="2"/>
            <w:tcBorders>
              <w:top w:val="single" w:color="auto" w:sz="6" w:space="0"/>
              <w:bottom w:val="single" w:color="auto" w:sz="6" w:space="0"/>
            </w:tcBorders>
            <w:vAlign w:val="center"/>
          </w:tcPr>
          <w:p w14:paraId="5D52F13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1.设计类</w:t>
            </w:r>
          </w:p>
        </w:tc>
        <w:tc>
          <w:tcPr>
            <w:tcW w:w="1469" w:type="dxa"/>
            <w:tcBorders>
              <w:top w:val="single" w:color="auto" w:sz="6" w:space="0"/>
              <w:bottom w:val="single" w:color="auto" w:sz="6" w:space="0"/>
            </w:tcBorders>
            <w:vAlign w:val="center"/>
          </w:tcPr>
          <w:p w14:paraId="643279A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2.外部条件</w:t>
            </w:r>
          </w:p>
        </w:tc>
        <w:tc>
          <w:tcPr>
            <w:tcW w:w="2184" w:type="dxa"/>
            <w:gridSpan w:val="2"/>
            <w:tcBorders>
              <w:top w:val="single" w:color="auto" w:sz="6" w:space="0"/>
              <w:bottom w:val="single" w:color="auto" w:sz="6" w:space="0"/>
            </w:tcBorders>
            <w:vAlign w:val="center"/>
          </w:tcPr>
          <w:p w14:paraId="44C7F6B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3.现场施工类</w:t>
            </w:r>
          </w:p>
        </w:tc>
        <w:tc>
          <w:tcPr>
            <w:tcW w:w="1936" w:type="dxa"/>
            <w:tcBorders>
              <w:top w:val="single" w:color="auto" w:sz="6" w:space="0"/>
              <w:bottom w:val="single" w:color="auto" w:sz="6" w:space="0"/>
              <w:right w:val="single" w:color="auto" w:sz="18" w:space="0"/>
            </w:tcBorders>
            <w:vAlign w:val="center"/>
          </w:tcPr>
          <w:p w14:paraId="4FAE653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4.其它类</w:t>
            </w:r>
          </w:p>
        </w:tc>
      </w:tr>
      <w:tr w14:paraId="3EFBC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1790" w:hRule="atLeast"/>
          <w:jc w:val="center"/>
        </w:trPr>
        <w:tc>
          <w:tcPr>
            <w:tcW w:w="1349" w:type="dxa"/>
            <w:tcBorders>
              <w:top w:val="single" w:color="auto" w:sz="6" w:space="0"/>
              <w:left w:val="single" w:color="auto" w:sz="18" w:space="0"/>
              <w:bottom w:val="single" w:color="auto" w:sz="6" w:space="0"/>
            </w:tcBorders>
            <w:vAlign w:val="center"/>
          </w:tcPr>
          <w:p w14:paraId="31D0376B">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□承包人 </w:t>
            </w:r>
          </w:p>
          <w:p w14:paraId="75AFA1D5">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□项目部</w:t>
            </w:r>
          </w:p>
          <w:p w14:paraId="757E99CD">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□营销部门    </w:t>
            </w:r>
          </w:p>
          <w:p w14:paraId="0F286B82">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□其它（说明）</w:t>
            </w:r>
          </w:p>
          <w:p w14:paraId="21433F8A">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680" w:type="dxa"/>
            <w:gridSpan w:val="2"/>
            <w:vMerge w:val="continue"/>
            <w:tcBorders>
              <w:top w:val="single" w:color="auto" w:sz="6" w:space="0"/>
              <w:bottom w:val="single" w:color="auto" w:sz="6" w:space="0"/>
            </w:tcBorders>
            <w:vAlign w:val="center"/>
          </w:tcPr>
          <w:p w14:paraId="7A80E2F9">
            <w:pPr>
              <w:keepNext w:val="0"/>
              <w:keepLines w:val="0"/>
              <w:suppressLineNumbers w:val="0"/>
              <w:spacing w:before="0" w:beforeAutospacing="0" w:after="0" w:afterAutospacing="0" w:line="200" w:lineRule="exact"/>
              <w:ind w:left="0" w:right="0"/>
              <w:rPr>
                <w:rFonts w:hint="eastAsia" w:ascii="宋体" w:hAnsi="宋体" w:eastAsia="宋体" w:cs="宋体"/>
                <w:color w:val="auto"/>
                <w:sz w:val="18"/>
                <w:szCs w:val="18"/>
                <w:highlight w:val="none"/>
              </w:rPr>
            </w:pPr>
          </w:p>
        </w:tc>
        <w:tc>
          <w:tcPr>
            <w:tcW w:w="1878" w:type="dxa"/>
            <w:gridSpan w:val="2"/>
            <w:tcBorders>
              <w:top w:val="single" w:color="auto" w:sz="6" w:space="0"/>
              <w:bottom w:val="single" w:color="auto" w:sz="6" w:space="0"/>
            </w:tcBorders>
          </w:tcPr>
          <w:p w14:paraId="73B60FB9">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□1.1设计优化、补充设计</w:t>
            </w:r>
          </w:p>
          <w:p w14:paraId="7744E79D">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□1.2设计失误或设计专业不匹配</w:t>
            </w:r>
          </w:p>
          <w:p w14:paraId="1AE41792">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□1.3政策变化或规范修改</w:t>
            </w:r>
          </w:p>
          <w:p w14:paraId="5C38DDF8">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□1.4图纸会审</w:t>
            </w:r>
          </w:p>
          <w:p w14:paraId="78D1493D">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u w:val="single"/>
              </w:rPr>
            </w:pPr>
            <w:r>
              <w:rPr>
                <w:rFonts w:hint="eastAsia" w:ascii="宋体" w:hAnsi="宋体" w:eastAsia="宋体" w:cs="宋体"/>
                <w:color w:val="auto"/>
                <w:sz w:val="15"/>
                <w:szCs w:val="15"/>
                <w:highlight w:val="none"/>
              </w:rPr>
              <w:t>□1.5其它（说明）</w:t>
            </w:r>
          </w:p>
          <w:p w14:paraId="3583DB33">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u w:val="single"/>
              </w:rPr>
            </w:pPr>
            <w:r>
              <w:rPr>
                <w:rFonts w:hint="eastAsia" w:ascii="宋体" w:hAnsi="宋体" w:eastAsia="宋体" w:cs="宋体"/>
                <w:color w:val="auto"/>
                <w:sz w:val="15"/>
                <w:szCs w:val="15"/>
                <w:highlight w:val="none"/>
                <w:u w:val="single"/>
              </w:rPr>
              <w:t xml:space="preserve">                       </w:t>
            </w:r>
          </w:p>
        </w:tc>
        <w:tc>
          <w:tcPr>
            <w:tcW w:w="1469" w:type="dxa"/>
            <w:tcBorders>
              <w:top w:val="single" w:color="auto" w:sz="6" w:space="0"/>
              <w:bottom w:val="single" w:color="auto" w:sz="6" w:space="0"/>
            </w:tcBorders>
          </w:tcPr>
          <w:p w14:paraId="65D41D2A">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□2.1营销策划调整</w:t>
            </w:r>
          </w:p>
          <w:p w14:paraId="0B87DFCF">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□2.2客户需求</w:t>
            </w:r>
          </w:p>
          <w:p w14:paraId="06C05B55">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□2.3其它（说明）</w:t>
            </w:r>
          </w:p>
          <w:p w14:paraId="66BAAA7E">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2184" w:type="dxa"/>
            <w:gridSpan w:val="2"/>
            <w:tcBorders>
              <w:top w:val="single" w:color="auto" w:sz="6" w:space="0"/>
              <w:bottom w:val="single" w:color="auto" w:sz="6" w:space="0"/>
            </w:tcBorders>
          </w:tcPr>
          <w:p w14:paraId="075F24B1">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□3.1现场环境及地质情况影响</w:t>
            </w:r>
          </w:p>
          <w:p w14:paraId="03286DFA">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□3.2现场管理需求</w:t>
            </w:r>
          </w:p>
          <w:p w14:paraId="071F9FCF">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□3.3现场施工失误</w:t>
            </w:r>
          </w:p>
          <w:p w14:paraId="5F145B83">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□3.4其它（说明）</w:t>
            </w:r>
          </w:p>
          <w:p w14:paraId="3514E92B">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1936" w:type="dxa"/>
            <w:tcBorders>
              <w:top w:val="single" w:color="auto" w:sz="6" w:space="0"/>
              <w:bottom w:val="single" w:color="auto" w:sz="6" w:space="0"/>
              <w:right w:val="single" w:color="auto" w:sz="18" w:space="0"/>
            </w:tcBorders>
          </w:tcPr>
          <w:p w14:paraId="03B07BAF">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□4.1建筑材料无法按原计划采购</w:t>
            </w:r>
          </w:p>
          <w:p w14:paraId="2D132F84">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□4.2其它（说明）</w:t>
            </w:r>
          </w:p>
          <w:p w14:paraId="0A7A05DD">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r>
              <w:rPr>
                <w:rFonts w:hint="eastAsia" w:ascii="宋体" w:hAnsi="宋体" w:eastAsia="宋体" w:cs="宋体"/>
                <w:color w:val="auto"/>
                <w:sz w:val="15"/>
                <w:szCs w:val="15"/>
                <w:highlight w:val="none"/>
              </w:rPr>
              <w:t xml:space="preserve"> </w:t>
            </w:r>
          </w:p>
          <w:p w14:paraId="7FDF88B2">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p>
        </w:tc>
      </w:tr>
      <w:tr w14:paraId="6D46D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0" w:hRule="atLeast"/>
          <w:jc w:val="center"/>
        </w:trPr>
        <w:tc>
          <w:tcPr>
            <w:tcW w:w="9518" w:type="dxa"/>
            <w:gridSpan w:val="10"/>
            <w:tcBorders>
              <w:top w:val="single" w:color="auto" w:sz="6" w:space="0"/>
              <w:left w:val="single" w:color="auto" w:sz="18" w:space="0"/>
              <w:bottom w:val="single" w:color="auto" w:sz="6" w:space="0"/>
              <w:right w:val="single" w:color="auto" w:sz="18" w:space="0"/>
            </w:tcBorders>
          </w:tcPr>
          <w:p w14:paraId="49A9576A">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签证内容：</w:t>
            </w:r>
          </w:p>
          <w:p w14:paraId="6E7BE776">
            <w:pPr>
              <w:keepNext w:val="0"/>
              <w:keepLines w:val="0"/>
              <w:numPr>
                <w:ilvl w:val="0"/>
                <w:numId w:val="34"/>
              </w:numPr>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签证依据：（设计变更、工作联系单等）</w:t>
            </w:r>
          </w:p>
          <w:p w14:paraId="0EFBE566">
            <w:pPr>
              <w:keepNext w:val="0"/>
              <w:keepLines w:val="0"/>
              <w:numPr>
                <w:ilvl w:val="0"/>
                <w:numId w:val="34"/>
              </w:numPr>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签证部位：                                    3、签证事项实施时间：</w:t>
            </w:r>
          </w:p>
          <w:p w14:paraId="5BD8A7C3">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4、工程量计算资料（可作为附件单独提供）：[</w:t>
            </w:r>
            <w:r>
              <w:rPr>
                <w:rFonts w:hint="eastAsia" w:ascii="宋体" w:hAnsi="宋体" w:eastAsia="宋体" w:cs="宋体"/>
                <w:color w:val="auto"/>
                <w:szCs w:val="21"/>
                <w:highlight w:val="none"/>
              </w:rPr>
              <w:t>签证涉及的图纸、草图/示意图；</w:t>
            </w:r>
            <w:r>
              <w:rPr>
                <w:rFonts w:hint="eastAsia" w:ascii="宋体" w:hAnsi="宋体" w:eastAsia="宋体" w:cs="宋体"/>
                <w:color w:val="auto"/>
                <w:kern w:val="0"/>
                <w:szCs w:val="21"/>
                <w:highlight w:val="none"/>
              </w:rPr>
              <w:t>施工前、中、后的影像资料（彩色照片：含拍摄日期、编辑说明）]</w:t>
            </w:r>
          </w:p>
          <w:p w14:paraId="00D4AC6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0944F7C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293B7F35">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tc>
      </w:tr>
      <w:tr w14:paraId="273FD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14:paraId="0800CCC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施工单位意见（公章）</w:t>
            </w:r>
          </w:p>
        </w:tc>
        <w:tc>
          <w:tcPr>
            <w:tcW w:w="7866" w:type="dxa"/>
            <w:gridSpan w:val="7"/>
            <w:tcBorders>
              <w:top w:val="single" w:color="auto" w:sz="6" w:space="0"/>
              <w:bottom w:val="single" w:color="auto" w:sz="6" w:space="0"/>
              <w:right w:val="single" w:color="auto" w:sz="18" w:space="0"/>
            </w:tcBorders>
          </w:tcPr>
          <w:p w14:paraId="15959FF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A2BC6A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2DFC0BA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3A48883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775F515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451B3A9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项目经理：               </w:t>
            </w:r>
            <w:r>
              <w:rPr>
                <w:rFonts w:hint="eastAsia" w:ascii="宋体" w:hAnsi="宋体" w:eastAsia="宋体" w:cs="宋体"/>
                <w:color w:val="auto"/>
                <w:kern w:val="0"/>
                <w:szCs w:val="21"/>
                <w:highlight w:val="none"/>
              </w:rPr>
              <w:t>年   月   日</w:t>
            </w:r>
          </w:p>
        </w:tc>
      </w:tr>
      <w:tr w14:paraId="4A320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14:paraId="0E59E83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监理单位意见</w:t>
            </w:r>
          </w:p>
          <w:p w14:paraId="16297F4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（公章）</w:t>
            </w:r>
          </w:p>
        </w:tc>
        <w:tc>
          <w:tcPr>
            <w:tcW w:w="7866" w:type="dxa"/>
            <w:gridSpan w:val="7"/>
            <w:tcBorders>
              <w:top w:val="single" w:color="auto" w:sz="6" w:space="0"/>
              <w:bottom w:val="single" w:color="auto" w:sz="6" w:space="0"/>
              <w:right w:val="single" w:color="auto" w:sz="18" w:space="0"/>
            </w:tcBorders>
          </w:tcPr>
          <w:p w14:paraId="1E6AF021">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4142704C">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27564688">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761D13D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3BFC537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1DA74817">
            <w:pPr>
              <w:keepNext w:val="0"/>
              <w:keepLines w:val="0"/>
              <w:suppressLineNumbers w:val="0"/>
              <w:spacing w:before="0" w:beforeAutospacing="0" w:after="0" w:afterAutospacing="0"/>
              <w:ind w:left="0" w:right="0" w:firstLine="3570" w:firstLineChars="17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项目总监：               年   月   日</w:t>
            </w:r>
          </w:p>
        </w:tc>
      </w:tr>
      <w:tr w14:paraId="30275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14:paraId="0368B80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建设管理单位意见</w:t>
            </w:r>
          </w:p>
          <w:p w14:paraId="13A98D7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（公章）</w:t>
            </w:r>
          </w:p>
        </w:tc>
        <w:tc>
          <w:tcPr>
            <w:tcW w:w="7866" w:type="dxa"/>
            <w:gridSpan w:val="7"/>
            <w:tcBorders>
              <w:top w:val="single" w:color="auto" w:sz="6" w:space="0"/>
              <w:bottom w:val="single" w:color="auto" w:sz="6" w:space="0"/>
              <w:right w:val="single" w:color="auto" w:sz="18" w:space="0"/>
            </w:tcBorders>
          </w:tcPr>
          <w:p w14:paraId="7769A6C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1F4908B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0713D91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1902545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7C8A041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5E01A726">
            <w:pPr>
              <w:keepNext w:val="0"/>
              <w:keepLines w:val="0"/>
              <w:suppressLineNumbers w:val="0"/>
              <w:spacing w:before="0" w:beforeAutospacing="0" w:after="0" w:afterAutospacing="0"/>
              <w:ind w:left="0" w:right="0" w:firstLine="3570" w:firstLineChars="17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项目负责人：             年   月   日</w:t>
            </w:r>
          </w:p>
        </w:tc>
      </w:tr>
      <w:tr w14:paraId="309C0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restart"/>
            <w:tcBorders>
              <w:top w:val="single" w:color="auto" w:sz="6" w:space="0"/>
              <w:left w:val="single" w:color="auto" w:sz="18" w:space="0"/>
              <w:bottom w:val="single" w:color="auto" w:sz="6" w:space="0"/>
            </w:tcBorders>
            <w:vAlign w:val="center"/>
          </w:tcPr>
          <w:p w14:paraId="7D87DE5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建设单位意见</w:t>
            </w:r>
          </w:p>
          <w:p w14:paraId="114ADEA2">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tc>
        <w:tc>
          <w:tcPr>
            <w:tcW w:w="3934" w:type="dxa"/>
            <w:gridSpan w:val="5"/>
            <w:tcBorders>
              <w:top w:val="single" w:color="auto" w:sz="6" w:space="0"/>
              <w:bottom w:val="single" w:color="auto" w:sz="6" w:space="0"/>
            </w:tcBorders>
            <w:vAlign w:val="center"/>
          </w:tcPr>
          <w:p w14:paraId="496DE05C">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6A4B33B2">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34032A15">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48D6B988">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现场工程师：               </w:t>
            </w:r>
          </w:p>
          <w:p w14:paraId="1D2295A3">
            <w:pPr>
              <w:keepNext w:val="0"/>
              <w:keepLines w:val="0"/>
              <w:suppressLineNumbers w:val="0"/>
              <w:spacing w:before="0" w:beforeAutospacing="0" w:after="0" w:afterAutospacing="0"/>
              <w:ind w:left="0" w:right="0" w:firstLine="2730" w:firstLineChars="1300"/>
              <w:rPr>
                <w:rFonts w:hint="eastAsia" w:ascii="宋体" w:hAnsi="宋体" w:eastAsia="宋体" w:cs="宋体"/>
                <w:color w:val="auto"/>
                <w:kern w:val="0"/>
                <w:szCs w:val="21"/>
                <w:highlight w:val="none"/>
              </w:rPr>
            </w:pPr>
          </w:p>
          <w:p w14:paraId="76875AC7">
            <w:pPr>
              <w:keepNext w:val="0"/>
              <w:keepLines w:val="0"/>
              <w:suppressLineNumbers w:val="0"/>
              <w:spacing w:before="0" w:beforeAutospacing="0" w:after="0" w:afterAutospacing="0"/>
              <w:ind w:left="0" w:right="0" w:firstLine="2100" w:firstLineChars="10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tc>
        <w:tc>
          <w:tcPr>
            <w:tcW w:w="3932" w:type="dxa"/>
            <w:gridSpan w:val="2"/>
            <w:tcBorders>
              <w:top w:val="single" w:color="auto" w:sz="6" w:space="0"/>
              <w:bottom w:val="single" w:color="auto" w:sz="6" w:space="0"/>
              <w:right w:val="single" w:color="auto" w:sz="18" w:space="0"/>
            </w:tcBorders>
            <w:vAlign w:val="center"/>
          </w:tcPr>
          <w:p w14:paraId="146B4BA6">
            <w:pPr>
              <w:keepNext w:val="0"/>
              <w:keepLines w:val="0"/>
              <w:suppressLineNumbers w:val="0"/>
              <w:spacing w:before="0" w:beforeAutospacing="0" w:after="0" w:afterAutospacing="0"/>
              <w:ind w:left="0" w:right="0" w:firstLine="3780" w:firstLineChars="1800"/>
              <w:rPr>
                <w:rFonts w:hint="eastAsia" w:ascii="宋体" w:hAnsi="宋体" w:eastAsia="宋体" w:cs="宋体"/>
                <w:color w:val="auto"/>
                <w:kern w:val="0"/>
                <w:szCs w:val="21"/>
                <w:highlight w:val="none"/>
              </w:rPr>
            </w:pPr>
          </w:p>
          <w:p w14:paraId="52C45D6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32DA567F">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5D6B94AC">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造价工程师：             </w:t>
            </w:r>
          </w:p>
          <w:p w14:paraId="278661C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1D374F2">
            <w:pPr>
              <w:keepNext w:val="0"/>
              <w:keepLines w:val="0"/>
              <w:suppressLineNumbers w:val="0"/>
              <w:spacing w:before="0" w:beforeAutospacing="0" w:after="0" w:afterAutospacing="0"/>
              <w:ind w:left="0" w:right="0" w:firstLine="2310" w:firstLineChars="1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r w14:paraId="41D02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14:paraId="1115E8A2">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tcBorders>
              <w:top w:val="single" w:color="auto" w:sz="6" w:space="0"/>
              <w:bottom w:val="single" w:color="auto" w:sz="6" w:space="0"/>
            </w:tcBorders>
            <w:vAlign w:val="center"/>
          </w:tcPr>
          <w:p w14:paraId="13B4E780">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估算金额≤</w:t>
            </w:r>
          </w:p>
          <w:p w14:paraId="0FAB862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30万元</w:t>
            </w:r>
          </w:p>
        </w:tc>
        <w:tc>
          <w:tcPr>
            <w:tcW w:w="6047" w:type="dxa"/>
            <w:gridSpan w:val="5"/>
            <w:tcBorders>
              <w:top w:val="single" w:color="auto" w:sz="6" w:space="0"/>
              <w:bottom w:val="single" w:color="auto" w:sz="6" w:space="0"/>
              <w:right w:val="single" w:color="auto" w:sz="18" w:space="0"/>
            </w:tcBorders>
            <w:vAlign w:val="center"/>
          </w:tcPr>
          <w:p w14:paraId="04AE74F2">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14:paraId="55C801B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4866E499">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7BD326D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06B18593">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460C4EBF">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                年   月   日</w:t>
            </w:r>
          </w:p>
        </w:tc>
      </w:tr>
      <w:tr w14:paraId="6A003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14:paraId="492792F0">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vMerge w:val="restart"/>
            <w:tcBorders>
              <w:top w:val="single" w:color="auto" w:sz="6" w:space="0"/>
              <w:bottom w:val="single" w:color="auto" w:sz="6" w:space="0"/>
            </w:tcBorders>
            <w:vAlign w:val="center"/>
          </w:tcPr>
          <w:p w14:paraId="0017D889">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30万元＜估算金额≤100万元</w:t>
            </w:r>
          </w:p>
        </w:tc>
        <w:tc>
          <w:tcPr>
            <w:tcW w:w="6047" w:type="dxa"/>
            <w:gridSpan w:val="5"/>
            <w:tcBorders>
              <w:top w:val="single" w:color="auto" w:sz="6" w:space="0"/>
              <w:bottom w:val="single" w:color="auto" w:sz="6" w:space="0"/>
              <w:right w:val="single" w:color="auto" w:sz="18" w:space="0"/>
            </w:tcBorders>
          </w:tcPr>
          <w:p w14:paraId="6A5D56C5">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14:paraId="18A6D83D">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30144EB6">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702DD6A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25D06208">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项目公司总经理：            年   月   日</w:t>
            </w:r>
          </w:p>
        </w:tc>
      </w:tr>
      <w:tr w14:paraId="1BBE5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14:paraId="374203B1">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vMerge w:val="continue"/>
            <w:tcBorders>
              <w:top w:val="single" w:color="auto" w:sz="6" w:space="0"/>
              <w:bottom w:val="single" w:color="auto" w:sz="6" w:space="0"/>
            </w:tcBorders>
            <w:vAlign w:val="center"/>
          </w:tcPr>
          <w:p w14:paraId="3617DBB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tc>
        <w:tc>
          <w:tcPr>
            <w:tcW w:w="6047" w:type="dxa"/>
            <w:gridSpan w:val="5"/>
            <w:tcBorders>
              <w:top w:val="single" w:color="auto" w:sz="6" w:space="0"/>
              <w:bottom w:val="single" w:color="auto" w:sz="6" w:space="0"/>
              <w:right w:val="single" w:color="auto" w:sz="18" w:space="0"/>
            </w:tcBorders>
          </w:tcPr>
          <w:p w14:paraId="0B4DC18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14:paraId="01BB2E2C">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50688F51">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255CED17">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14:paraId="3573EBE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项目公司董事长：            年   月   日</w:t>
            </w:r>
          </w:p>
        </w:tc>
      </w:tr>
      <w:tr w14:paraId="65B91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14:paraId="0ECA77C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819" w:type="dxa"/>
            <w:gridSpan w:val="2"/>
            <w:vMerge w:val="continue"/>
            <w:tcBorders>
              <w:top w:val="single" w:color="auto" w:sz="6" w:space="0"/>
              <w:bottom w:val="single" w:color="auto" w:sz="6" w:space="0"/>
            </w:tcBorders>
            <w:vAlign w:val="center"/>
          </w:tcPr>
          <w:p w14:paraId="656A0B0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047" w:type="dxa"/>
            <w:gridSpan w:val="5"/>
            <w:tcBorders>
              <w:top w:val="single" w:color="auto" w:sz="6" w:space="0"/>
              <w:bottom w:val="single" w:color="auto" w:sz="6" w:space="0"/>
              <w:right w:val="single" w:color="auto" w:sz="18" w:space="0"/>
            </w:tcBorders>
          </w:tcPr>
          <w:p w14:paraId="7A8B19A9">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审批意见：                                   </w:t>
            </w:r>
          </w:p>
          <w:p w14:paraId="1247E703">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124A9331">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156C7D99">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7A823A8B">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1D4907E4">
            <w:pPr>
              <w:keepNext w:val="0"/>
              <w:keepLines w:val="0"/>
              <w:suppressLineNumbers w:val="0"/>
              <w:wordWrap w:val="0"/>
              <w:spacing w:before="0" w:beforeAutospacing="0" w:after="0" w:afterAutospacing="0"/>
              <w:ind w:left="0" w:right="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上级公司总经理：           年   月   日     </w:t>
            </w:r>
          </w:p>
        </w:tc>
      </w:tr>
      <w:tr w14:paraId="06BC1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14:paraId="6E1F43C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19" w:type="dxa"/>
            <w:gridSpan w:val="2"/>
            <w:vMerge w:val="continue"/>
            <w:tcBorders>
              <w:top w:val="single" w:color="auto" w:sz="6" w:space="0"/>
              <w:bottom w:val="single" w:color="auto" w:sz="6" w:space="0"/>
            </w:tcBorders>
          </w:tcPr>
          <w:p w14:paraId="3C75B07D">
            <w:pPr>
              <w:keepNext w:val="0"/>
              <w:keepLines w:val="0"/>
              <w:suppressLineNumbers w:val="0"/>
              <w:spacing w:before="0" w:beforeAutospacing="0" w:after="0" w:afterAutospacing="0"/>
              <w:ind w:left="0" w:right="0"/>
              <w:jc w:val="right"/>
              <w:rPr>
                <w:rFonts w:hint="eastAsia" w:ascii="宋体" w:hAnsi="宋体" w:eastAsia="宋体" w:cs="宋体"/>
                <w:color w:val="auto"/>
                <w:szCs w:val="21"/>
                <w:highlight w:val="none"/>
              </w:rPr>
            </w:pPr>
          </w:p>
        </w:tc>
        <w:tc>
          <w:tcPr>
            <w:tcW w:w="6047" w:type="dxa"/>
            <w:gridSpan w:val="5"/>
            <w:tcBorders>
              <w:top w:val="single" w:color="auto" w:sz="6" w:space="0"/>
              <w:bottom w:val="single" w:color="auto" w:sz="6" w:space="0"/>
              <w:right w:val="single" w:color="auto" w:sz="18" w:space="0"/>
            </w:tcBorders>
          </w:tcPr>
          <w:p w14:paraId="31D6CF23">
            <w:pPr>
              <w:keepNext w:val="0"/>
              <w:keepLines w:val="0"/>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14:paraId="39192B3B">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14:paraId="0E9A28A7">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14:paraId="377B4290">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14:paraId="04F437F8">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14:paraId="524E3057">
            <w:pPr>
              <w:keepNext w:val="0"/>
              <w:keepLines w:val="0"/>
              <w:suppressLineNumbers w:val="0"/>
              <w:wordWrap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kern w:val="0"/>
                <w:szCs w:val="21"/>
                <w:highlight w:val="none"/>
              </w:rPr>
              <w:t xml:space="preserve">上级公司董事长：          年   月   日     </w:t>
            </w:r>
          </w:p>
        </w:tc>
      </w:tr>
      <w:tr w14:paraId="31B5E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1652" w:type="dxa"/>
            <w:gridSpan w:val="3"/>
            <w:vMerge w:val="continue"/>
            <w:tcBorders>
              <w:top w:val="single" w:color="auto" w:sz="6" w:space="0"/>
              <w:left w:val="single" w:color="auto" w:sz="18" w:space="0"/>
              <w:bottom w:val="single" w:color="auto" w:sz="18" w:space="0"/>
            </w:tcBorders>
            <w:vAlign w:val="center"/>
          </w:tcPr>
          <w:p w14:paraId="03AF134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19" w:type="dxa"/>
            <w:gridSpan w:val="2"/>
            <w:tcBorders>
              <w:top w:val="single" w:color="auto" w:sz="6" w:space="0"/>
              <w:bottom w:val="single" w:color="auto" w:sz="18" w:space="0"/>
            </w:tcBorders>
            <w:vAlign w:val="center"/>
          </w:tcPr>
          <w:p w14:paraId="444001EC">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估算金额＞</w:t>
            </w:r>
          </w:p>
          <w:p w14:paraId="71F903F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100万元</w:t>
            </w:r>
          </w:p>
        </w:tc>
        <w:tc>
          <w:tcPr>
            <w:tcW w:w="6047" w:type="dxa"/>
            <w:gridSpan w:val="5"/>
            <w:tcBorders>
              <w:top w:val="single" w:color="auto" w:sz="6" w:space="0"/>
              <w:bottom w:val="single" w:color="auto" w:sz="18" w:space="0"/>
              <w:right w:val="single" w:color="auto" w:sz="18" w:space="0"/>
            </w:tcBorders>
          </w:tcPr>
          <w:p w14:paraId="6F090902">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14:paraId="69B55618">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4316552B">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57517B10">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2CD3B374">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14:paraId="127BC51A">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highlight w:val="none"/>
              </w:rPr>
            </w:pPr>
            <w:r>
              <w:rPr>
                <w:rFonts w:hint="eastAsia" w:ascii="宋体" w:hAnsi="宋体" w:eastAsia="宋体" w:cs="宋体"/>
                <w:color w:val="auto"/>
                <w:kern w:val="0"/>
                <w:szCs w:val="21"/>
                <w:highlight w:val="none"/>
              </w:rPr>
              <w:t>集团：                      年   月   日</w:t>
            </w:r>
          </w:p>
        </w:tc>
      </w:tr>
    </w:tbl>
    <w:p w14:paraId="413FBE53">
      <w:pPr>
        <w:rPr>
          <w:rFonts w:hint="eastAsia" w:ascii="宋体" w:hAnsi="宋体" w:eastAsia="宋体" w:cs="宋体"/>
          <w:b/>
          <w:color w:val="auto"/>
          <w:highlight w:val="none"/>
        </w:rPr>
      </w:pPr>
    </w:p>
    <w:p w14:paraId="53F11A8D">
      <w:pPr>
        <w:rPr>
          <w:rFonts w:hint="eastAsia" w:ascii="宋体" w:hAnsi="宋体" w:eastAsia="宋体" w:cs="宋体"/>
          <w:color w:val="auto"/>
          <w:highlight w:val="none"/>
        </w:rPr>
      </w:pPr>
      <w:r>
        <w:rPr>
          <w:rFonts w:hint="eastAsia" w:ascii="宋体" w:hAnsi="宋体" w:eastAsia="宋体" w:cs="宋体"/>
          <w:b/>
          <w:color w:val="auto"/>
          <w:highlight w:val="none"/>
        </w:rPr>
        <w:t>注</w:t>
      </w:r>
      <w:r>
        <w:rPr>
          <w:rFonts w:hint="eastAsia" w:ascii="宋体" w:hAnsi="宋体" w:eastAsia="宋体" w:cs="宋体"/>
          <w:color w:val="auto"/>
          <w:highlight w:val="none"/>
        </w:rPr>
        <w:t>：一、本表格必须双面打印，共一式6份，</w:t>
      </w:r>
      <w:r>
        <w:rPr>
          <w:rFonts w:hint="eastAsia" w:ascii="宋体" w:hAnsi="宋体" w:eastAsia="宋体" w:cs="宋体"/>
          <w:color w:val="auto"/>
          <w:szCs w:val="21"/>
          <w:highlight w:val="none"/>
        </w:rPr>
        <w:t>施工、监理、造价咨询、建设管理单位各持1份，建设单位持2份</w:t>
      </w:r>
      <w:r>
        <w:rPr>
          <w:rFonts w:hint="eastAsia" w:ascii="宋体" w:hAnsi="宋体" w:eastAsia="宋体" w:cs="宋体"/>
          <w:color w:val="auto"/>
          <w:highlight w:val="none"/>
        </w:rPr>
        <w:t>。</w:t>
      </w:r>
    </w:p>
    <w:p w14:paraId="18BAD9E4">
      <w:pPr>
        <w:ind w:left="48" w:leftChars="23" w:firstLine="409" w:firstLineChars="194"/>
        <w:rPr>
          <w:rFonts w:hint="eastAsia" w:ascii="宋体" w:hAnsi="宋体" w:eastAsia="宋体" w:cs="宋体"/>
          <w:color w:val="auto"/>
          <w:kern w:val="0"/>
          <w:highlight w:val="none"/>
        </w:rPr>
      </w:pPr>
      <w:r>
        <w:rPr>
          <w:rFonts w:hint="eastAsia" w:ascii="宋体" w:hAnsi="宋体" w:eastAsia="宋体" w:cs="宋体"/>
          <w:b/>
          <w:color w:val="auto"/>
          <w:kern w:val="0"/>
          <w:highlight w:val="none"/>
        </w:rPr>
        <w:t>二</w:t>
      </w:r>
      <w:r>
        <w:rPr>
          <w:rFonts w:hint="eastAsia" w:ascii="宋体" w:hAnsi="宋体" w:eastAsia="宋体" w:cs="宋体"/>
          <w:color w:val="auto"/>
          <w:kern w:val="0"/>
          <w:highlight w:val="none"/>
        </w:rPr>
        <w:t>、填表说明：</w:t>
      </w:r>
    </w:p>
    <w:p w14:paraId="4CBA30D8">
      <w:pPr>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1、签证内容</w:t>
      </w:r>
      <w:r>
        <w:rPr>
          <w:rFonts w:hint="eastAsia" w:ascii="宋体" w:hAnsi="宋体" w:eastAsia="宋体" w:cs="宋体"/>
          <w:color w:val="auto"/>
          <w:highlight w:val="none"/>
        </w:rPr>
        <w:t>：包括但不限于所列内容；</w:t>
      </w:r>
    </w:p>
    <w:p w14:paraId="4AD9690B">
      <w:pPr>
        <w:ind w:left="735" w:leftChars="200" w:hanging="315" w:hangingChars="150"/>
        <w:rPr>
          <w:rFonts w:hint="eastAsia" w:ascii="宋体" w:hAnsi="宋体" w:eastAsia="宋体" w:cs="宋体"/>
          <w:b/>
          <w:color w:val="auto"/>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签证事项完成7天内施工方申报（如隐蔽工程必须在隐蔽前报监理、项目部签认），监理部、项目部；</w:t>
      </w:r>
    </w:p>
    <w:p w14:paraId="1EC5F45C">
      <w:pPr>
        <w:ind w:left="735" w:leftChars="200"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kern w:val="0"/>
          <w:highlight w:val="none"/>
        </w:rPr>
        <w:t>一事一签证，一单一审；项目部负责</w:t>
      </w:r>
      <w:r>
        <w:rPr>
          <w:rFonts w:hint="eastAsia" w:ascii="宋体" w:hAnsi="宋体" w:eastAsia="宋体" w:cs="宋体"/>
          <w:color w:val="auto"/>
          <w:highlight w:val="none"/>
        </w:rPr>
        <w:t xml:space="preserve">签证单按同一合同连续编号（流水号）： </w:t>
      </w:r>
    </w:p>
    <w:p w14:paraId="4C96D4F8">
      <w:pPr>
        <w:ind w:firstLine="420" w:firstLineChars="200"/>
        <w:rPr>
          <w:rFonts w:hint="eastAsia" w:ascii="宋体" w:hAnsi="宋体" w:eastAsia="宋体" w:cs="宋体"/>
          <w:color w:val="auto"/>
          <w:szCs w:val="21"/>
          <w:highlight w:val="none"/>
        </w:rPr>
        <w:sectPr>
          <w:pgSz w:w="11920" w:h="16840"/>
          <w:pgMar w:top="1134" w:right="1417" w:bottom="1134" w:left="1417" w:header="720" w:footer="720" w:gutter="0"/>
          <w:pgNumType w:fmt="numberInDash"/>
          <w:cols w:space="720" w:num="1"/>
        </w:sectPr>
      </w:pPr>
      <w:r>
        <w:rPr>
          <w:rFonts w:hint="eastAsia" w:ascii="宋体" w:hAnsi="宋体" w:eastAsia="宋体" w:cs="宋体"/>
          <w:color w:val="auto"/>
          <w:kern w:val="0"/>
          <w:highlight w:val="none"/>
        </w:rPr>
        <w:t>4、施工单位、监理单位盖章必须有效授权。</w:t>
      </w:r>
    </w:p>
    <w:p w14:paraId="228C429C">
      <w:pPr>
        <w:spacing w:line="440" w:lineRule="exact"/>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附件</w:t>
      </w:r>
      <w:r>
        <w:rPr>
          <w:rFonts w:hint="eastAsia" w:ascii="宋体" w:hAnsi="宋体" w:eastAsia="宋体" w:cs="宋体"/>
          <w:b/>
          <w:bCs/>
          <w:color w:val="auto"/>
          <w:sz w:val="24"/>
          <w:highlight w:val="none"/>
          <w:lang w:val="en-US" w:eastAsia="zh-CN"/>
        </w:rPr>
        <w:t>七：</w:t>
      </w:r>
    </w:p>
    <w:p w14:paraId="653E4592">
      <w:pPr>
        <w:spacing w:line="44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中标通知书</w:t>
      </w:r>
    </w:p>
    <w:p w14:paraId="01F74842">
      <w:pPr>
        <w:spacing w:line="440" w:lineRule="exact"/>
        <w:rPr>
          <w:rFonts w:ascii="宋体" w:hAnsi="宋体" w:eastAsia="宋体" w:cs="宋体"/>
          <w:b/>
          <w:bCs/>
          <w:color w:val="auto"/>
          <w:highlight w:val="none"/>
          <w:u w:val="single"/>
        </w:rPr>
      </w:pPr>
    </w:p>
    <w:p w14:paraId="1914FE81">
      <w:pPr>
        <w:spacing w:line="440" w:lineRule="exact"/>
        <w:rPr>
          <w:rFonts w:ascii="宋体" w:hAnsi="宋体" w:eastAsia="宋体" w:cs="宋体"/>
          <w:b/>
          <w:bCs/>
          <w:color w:val="auto"/>
          <w:highlight w:val="none"/>
          <w:u w:val="single"/>
        </w:rPr>
      </w:pPr>
    </w:p>
    <w:p w14:paraId="6F39F9F3">
      <w:pPr>
        <w:spacing w:line="440" w:lineRule="exact"/>
        <w:rPr>
          <w:rFonts w:ascii="宋体" w:hAnsi="宋体" w:eastAsia="宋体" w:cs="宋体"/>
          <w:b/>
          <w:bCs/>
          <w:color w:val="auto"/>
          <w:highlight w:val="none"/>
          <w:u w:val="single"/>
        </w:rPr>
      </w:pPr>
    </w:p>
    <w:p w14:paraId="1C0A9EF4">
      <w:pPr>
        <w:spacing w:line="440" w:lineRule="exact"/>
        <w:rPr>
          <w:rFonts w:ascii="宋体" w:hAnsi="宋体" w:eastAsia="宋体" w:cs="宋体"/>
          <w:b/>
          <w:bCs/>
          <w:color w:val="auto"/>
          <w:highlight w:val="none"/>
          <w:u w:val="single"/>
        </w:rPr>
      </w:pPr>
    </w:p>
    <w:p w14:paraId="376499FD">
      <w:pPr>
        <w:spacing w:line="440" w:lineRule="exact"/>
        <w:rPr>
          <w:rFonts w:ascii="宋体" w:hAnsi="宋体" w:eastAsia="宋体" w:cs="宋体"/>
          <w:b/>
          <w:bCs/>
          <w:color w:val="auto"/>
          <w:highlight w:val="none"/>
          <w:u w:val="single"/>
        </w:rPr>
      </w:pPr>
    </w:p>
    <w:p w14:paraId="2D2E3030">
      <w:pPr>
        <w:spacing w:line="440" w:lineRule="exact"/>
        <w:rPr>
          <w:rFonts w:ascii="宋体" w:hAnsi="宋体" w:eastAsia="宋体" w:cs="宋体"/>
          <w:b/>
          <w:bCs/>
          <w:color w:val="auto"/>
          <w:highlight w:val="none"/>
          <w:u w:val="single"/>
        </w:rPr>
      </w:pPr>
    </w:p>
    <w:p w14:paraId="5F341E48">
      <w:pPr>
        <w:spacing w:line="440" w:lineRule="exact"/>
        <w:rPr>
          <w:rFonts w:ascii="宋体" w:hAnsi="宋体" w:eastAsia="宋体" w:cs="宋体"/>
          <w:b/>
          <w:bCs/>
          <w:color w:val="auto"/>
          <w:highlight w:val="none"/>
          <w:u w:val="single"/>
        </w:rPr>
      </w:pPr>
    </w:p>
    <w:p w14:paraId="2A0266CF">
      <w:pPr>
        <w:spacing w:line="440" w:lineRule="exact"/>
        <w:rPr>
          <w:rFonts w:ascii="宋体" w:hAnsi="宋体" w:eastAsia="宋体" w:cs="宋体"/>
          <w:b/>
          <w:bCs/>
          <w:color w:val="auto"/>
          <w:highlight w:val="none"/>
          <w:u w:val="single"/>
        </w:rPr>
      </w:pPr>
    </w:p>
    <w:p w14:paraId="62CF2587">
      <w:pPr>
        <w:spacing w:line="440" w:lineRule="exact"/>
        <w:rPr>
          <w:rFonts w:ascii="宋体" w:hAnsi="宋体" w:eastAsia="宋体" w:cs="宋体"/>
          <w:b/>
          <w:bCs/>
          <w:color w:val="auto"/>
          <w:highlight w:val="none"/>
          <w:u w:val="single"/>
        </w:rPr>
      </w:pPr>
    </w:p>
    <w:p w14:paraId="04A842EC">
      <w:pPr>
        <w:spacing w:line="440" w:lineRule="exact"/>
        <w:rPr>
          <w:rFonts w:ascii="宋体" w:hAnsi="宋体" w:eastAsia="宋体" w:cs="宋体"/>
          <w:b/>
          <w:bCs/>
          <w:color w:val="auto"/>
          <w:highlight w:val="none"/>
          <w:u w:val="single"/>
        </w:rPr>
      </w:pPr>
    </w:p>
    <w:p w14:paraId="0ADC1061">
      <w:pPr>
        <w:spacing w:line="440" w:lineRule="exact"/>
        <w:rPr>
          <w:rFonts w:ascii="宋体" w:hAnsi="宋体" w:eastAsia="宋体" w:cs="宋体"/>
          <w:b/>
          <w:bCs/>
          <w:color w:val="auto"/>
          <w:highlight w:val="none"/>
          <w:u w:val="single"/>
        </w:rPr>
      </w:pPr>
    </w:p>
    <w:p w14:paraId="796B64F1">
      <w:pPr>
        <w:spacing w:line="440" w:lineRule="exact"/>
        <w:rPr>
          <w:rFonts w:ascii="宋体" w:hAnsi="宋体" w:eastAsia="宋体" w:cs="宋体"/>
          <w:b/>
          <w:bCs/>
          <w:color w:val="auto"/>
          <w:highlight w:val="none"/>
          <w:u w:val="single"/>
        </w:rPr>
      </w:pPr>
    </w:p>
    <w:p w14:paraId="21C192E4">
      <w:pPr>
        <w:spacing w:line="440" w:lineRule="exact"/>
        <w:rPr>
          <w:rFonts w:ascii="宋体" w:hAnsi="宋体" w:eastAsia="宋体" w:cs="宋体"/>
          <w:b/>
          <w:bCs/>
          <w:color w:val="auto"/>
          <w:highlight w:val="none"/>
          <w:u w:val="single"/>
        </w:rPr>
      </w:pPr>
    </w:p>
    <w:p w14:paraId="58906FE3">
      <w:pPr>
        <w:spacing w:line="440" w:lineRule="exact"/>
        <w:rPr>
          <w:rFonts w:ascii="宋体" w:hAnsi="宋体" w:eastAsia="宋体" w:cs="宋体"/>
          <w:b/>
          <w:bCs/>
          <w:color w:val="auto"/>
          <w:highlight w:val="none"/>
          <w:u w:val="single"/>
        </w:rPr>
      </w:pPr>
    </w:p>
    <w:p w14:paraId="7C4ED30D">
      <w:pPr>
        <w:spacing w:line="440" w:lineRule="exact"/>
        <w:rPr>
          <w:rFonts w:ascii="宋体" w:hAnsi="宋体" w:eastAsia="宋体" w:cs="宋体"/>
          <w:b/>
          <w:bCs/>
          <w:color w:val="auto"/>
          <w:highlight w:val="none"/>
          <w:u w:val="single"/>
        </w:rPr>
      </w:pPr>
    </w:p>
    <w:p w14:paraId="0479C882">
      <w:pPr>
        <w:spacing w:line="440" w:lineRule="exact"/>
        <w:rPr>
          <w:rFonts w:ascii="宋体" w:hAnsi="宋体" w:eastAsia="宋体" w:cs="宋体"/>
          <w:b/>
          <w:bCs/>
          <w:color w:val="auto"/>
          <w:highlight w:val="none"/>
          <w:u w:val="single"/>
        </w:rPr>
      </w:pPr>
    </w:p>
    <w:p w14:paraId="2F88ACDE">
      <w:pPr>
        <w:spacing w:line="440" w:lineRule="exact"/>
        <w:rPr>
          <w:rFonts w:ascii="宋体" w:hAnsi="宋体" w:eastAsia="宋体" w:cs="宋体"/>
          <w:b/>
          <w:bCs/>
          <w:color w:val="auto"/>
          <w:highlight w:val="none"/>
          <w:u w:val="single"/>
        </w:rPr>
      </w:pPr>
    </w:p>
    <w:p w14:paraId="61BA8A13">
      <w:pPr>
        <w:spacing w:line="440" w:lineRule="exact"/>
        <w:rPr>
          <w:rFonts w:ascii="宋体" w:hAnsi="宋体" w:eastAsia="宋体" w:cs="宋体"/>
          <w:b/>
          <w:bCs/>
          <w:color w:val="auto"/>
          <w:highlight w:val="none"/>
          <w:u w:val="single"/>
        </w:rPr>
      </w:pPr>
    </w:p>
    <w:p w14:paraId="5A9176E9">
      <w:pPr>
        <w:spacing w:line="440" w:lineRule="exact"/>
        <w:rPr>
          <w:rFonts w:ascii="宋体" w:hAnsi="宋体" w:eastAsia="宋体" w:cs="宋体"/>
          <w:b/>
          <w:bCs/>
          <w:color w:val="auto"/>
          <w:highlight w:val="none"/>
          <w:u w:val="single"/>
        </w:rPr>
      </w:pPr>
    </w:p>
    <w:p w14:paraId="19FBF857">
      <w:pPr>
        <w:spacing w:line="440" w:lineRule="exact"/>
        <w:rPr>
          <w:rFonts w:ascii="宋体" w:hAnsi="宋体" w:eastAsia="宋体" w:cs="宋体"/>
          <w:b/>
          <w:bCs/>
          <w:color w:val="auto"/>
          <w:highlight w:val="none"/>
          <w:u w:val="single"/>
        </w:rPr>
      </w:pPr>
    </w:p>
    <w:p w14:paraId="6D25A9C7">
      <w:pPr>
        <w:spacing w:line="440" w:lineRule="exact"/>
        <w:rPr>
          <w:rFonts w:ascii="宋体" w:hAnsi="宋体" w:eastAsia="宋体" w:cs="宋体"/>
          <w:b/>
          <w:bCs/>
          <w:color w:val="auto"/>
          <w:highlight w:val="none"/>
          <w:u w:val="single"/>
        </w:rPr>
      </w:pPr>
    </w:p>
    <w:p w14:paraId="72807E6E">
      <w:pPr>
        <w:spacing w:line="440" w:lineRule="exact"/>
        <w:rPr>
          <w:rFonts w:ascii="宋体" w:hAnsi="宋体" w:eastAsia="宋体" w:cs="宋体"/>
          <w:b/>
          <w:bCs/>
          <w:color w:val="auto"/>
          <w:highlight w:val="none"/>
          <w:u w:val="single"/>
        </w:rPr>
      </w:pPr>
    </w:p>
    <w:p w14:paraId="68B9CB26">
      <w:pPr>
        <w:spacing w:line="440" w:lineRule="exact"/>
        <w:rPr>
          <w:rFonts w:ascii="宋体" w:hAnsi="宋体" w:eastAsia="宋体" w:cs="宋体"/>
          <w:b/>
          <w:bCs/>
          <w:color w:val="auto"/>
          <w:highlight w:val="none"/>
          <w:u w:val="single"/>
        </w:rPr>
      </w:pPr>
    </w:p>
    <w:p w14:paraId="52D216CC">
      <w:pPr>
        <w:spacing w:line="440" w:lineRule="exact"/>
        <w:rPr>
          <w:rFonts w:ascii="宋体" w:hAnsi="宋体" w:eastAsia="宋体" w:cs="宋体"/>
          <w:b/>
          <w:bCs/>
          <w:color w:val="auto"/>
          <w:highlight w:val="none"/>
          <w:u w:val="single"/>
        </w:rPr>
      </w:pPr>
    </w:p>
    <w:p w14:paraId="0347E745">
      <w:pPr>
        <w:spacing w:line="440" w:lineRule="exact"/>
        <w:rPr>
          <w:rFonts w:ascii="宋体" w:hAnsi="宋体" w:eastAsia="宋体" w:cs="宋体"/>
          <w:b/>
          <w:bCs/>
          <w:color w:val="auto"/>
          <w:highlight w:val="none"/>
          <w:u w:val="single"/>
        </w:rPr>
      </w:pPr>
    </w:p>
    <w:p w14:paraId="738AD680">
      <w:pPr>
        <w:spacing w:line="440" w:lineRule="exact"/>
        <w:rPr>
          <w:rFonts w:ascii="宋体" w:hAnsi="宋体" w:eastAsia="宋体" w:cs="宋体"/>
          <w:b/>
          <w:bCs/>
          <w:color w:val="auto"/>
          <w:highlight w:val="none"/>
          <w:u w:val="single"/>
        </w:rPr>
      </w:pPr>
    </w:p>
    <w:p w14:paraId="26B0FF5E">
      <w:pPr>
        <w:spacing w:line="440" w:lineRule="exact"/>
        <w:rPr>
          <w:rFonts w:ascii="宋体" w:hAnsi="宋体" w:eastAsia="宋体" w:cs="宋体"/>
          <w:b/>
          <w:bCs/>
          <w:color w:val="auto"/>
          <w:highlight w:val="none"/>
          <w:u w:val="single"/>
        </w:rPr>
      </w:pPr>
    </w:p>
    <w:p w14:paraId="02E33CFD">
      <w:pPr>
        <w:spacing w:line="440" w:lineRule="exact"/>
        <w:rPr>
          <w:rFonts w:ascii="宋体" w:hAnsi="宋体" w:eastAsia="宋体" w:cs="宋体"/>
          <w:b/>
          <w:bCs/>
          <w:color w:val="auto"/>
          <w:highlight w:val="none"/>
          <w:u w:val="single"/>
        </w:rPr>
      </w:pPr>
    </w:p>
    <w:p w14:paraId="29A0A584">
      <w:pPr>
        <w:pStyle w:val="6"/>
        <w:rPr>
          <w:rFonts w:ascii="宋体" w:hAnsi="宋体" w:eastAsia="宋体" w:cs="宋体"/>
          <w:color w:val="auto"/>
          <w:highlight w:val="none"/>
        </w:rPr>
      </w:pPr>
    </w:p>
    <w:p w14:paraId="5D409A01">
      <w:pPr>
        <w:spacing w:line="440" w:lineRule="exact"/>
        <w:rPr>
          <w:rFonts w:ascii="宋体" w:hAnsi="宋体" w:eastAsia="宋体" w:cs="宋体"/>
          <w:b/>
          <w:bCs/>
          <w:color w:val="auto"/>
          <w:highlight w:val="none"/>
          <w:u w:val="single"/>
        </w:rPr>
      </w:pPr>
    </w:p>
    <w:p w14:paraId="44652CE2">
      <w:pPr>
        <w:spacing w:line="440" w:lineRule="exact"/>
        <w:rPr>
          <w:rFonts w:hint="default" w:ascii="宋体" w:hAnsi="宋体" w:eastAsia="宋体" w:cs="宋体"/>
          <w:b/>
          <w:bCs/>
          <w:color w:val="auto"/>
          <w:highlight w:val="none"/>
          <w:lang w:val="en-US" w:eastAsia="zh-CN"/>
        </w:rPr>
      </w:pPr>
      <w:r>
        <w:rPr>
          <w:rFonts w:hint="eastAsia" w:ascii="宋体" w:hAnsi="宋体" w:eastAsia="宋体" w:cs="宋体"/>
          <w:b/>
          <w:bCs/>
          <w:color w:val="auto"/>
          <w:sz w:val="24"/>
          <w:highlight w:val="none"/>
        </w:rPr>
        <w:t>附</w:t>
      </w:r>
      <w:r>
        <w:rPr>
          <w:rFonts w:hint="eastAsia" w:ascii="宋体" w:hAnsi="宋体" w:eastAsia="宋体" w:cs="宋体"/>
          <w:b/>
          <w:bCs/>
          <w:color w:val="auto"/>
          <w:sz w:val="24"/>
          <w:highlight w:val="none"/>
          <w:lang w:val="en-US" w:eastAsia="zh-CN"/>
        </w:rPr>
        <w:t>件八：</w:t>
      </w:r>
    </w:p>
    <w:p w14:paraId="10CE0982">
      <w:pPr>
        <w:spacing w:line="360" w:lineRule="auto"/>
        <w:jc w:val="center"/>
        <w:rPr>
          <w:rFonts w:ascii="宋体" w:hAnsi="宋体" w:eastAsia="宋体" w:cs="宋体"/>
          <w:b/>
          <w:color w:val="auto"/>
          <w:spacing w:val="40"/>
          <w:sz w:val="36"/>
          <w:szCs w:val="36"/>
          <w:highlight w:val="none"/>
        </w:rPr>
      </w:pPr>
      <w:r>
        <w:rPr>
          <w:rFonts w:hint="eastAsia" w:ascii="宋体" w:hAnsi="宋体" w:eastAsia="宋体" w:cs="宋体"/>
          <w:b/>
          <w:color w:val="auto"/>
          <w:spacing w:val="40"/>
          <w:sz w:val="36"/>
          <w:szCs w:val="36"/>
          <w:highlight w:val="none"/>
        </w:rPr>
        <w:t>履约担保</w:t>
      </w:r>
    </w:p>
    <w:p w14:paraId="097B29BF">
      <w:pPr>
        <w:spacing w:line="360" w:lineRule="auto"/>
        <w:rPr>
          <w:rFonts w:ascii="宋体" w:hAnsi="宋体" w:eastAsia="宋体" w:cs="宋体"/>
          <w:color w:val="auto"/>
          <w:highlight w:val="none"/>
        </w:rPr>
      </w:pPr>
    </w:p>
    <w:p w14:paraId="68C4E998">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（甲方全称）   </w:t>
      </w:r>
    </w:p>
    <w:p w14:paraId="2615615A">
      <w:pPr>
        <w:spacing w:line="360" w:lineRule="auto"/>
        <w:ind w:firstLine="48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（乙方全称）(下称“乙方”)与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甲方全称）(下称“甲方”)签订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（工程名称）勘察设计施工总承包及运营（EPCO）合同(编号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署)，并保证乙方按合同约定履行实施、完成并保修合同工程的义务和责任；甲方在合同中要求乙方应通过经认可的银行或担保机构提交合同指定的乙方履行本合同全部义务和责任的担保金额等事实，我方愿意为乙方担保，以担保金额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元)向甲方提供不可撤销的担保。</w:t>
      </w:r>
    </w:p>
    <w:p w14:paraId="7D75291D">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如果乙方在履行合同过程中发生违约或违背合同约定的义务和责任时，我方保证在担保金额额度内偿还或偿清甲方因乙方该项违约或违背所造成的经济损失，并在接到甲方提出赔偿要求的第</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天内予以支付。</w:t>
      </w:r>
    </w:p>
    <w:p w14:paraId="6B096922">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在向我方提出要求前，我方将不坚持要求甲方首先向乙方提出上述款项的索赔。</w:t>
      </w:r>
    </w:p>
    <w:p w14:paraId="1ED6B784">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我方承诺：不论是否经我方知晓或同意，我方的义务和责任不因合同双方当事人对合同条款所作的任何修改或补充而解除。</w:t>
      </w:r>
    </w:p>
    <w:p w14:paraId="5877C8C0">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本履约担保自合同双方当事人签署施工合同之日起生效，至本工程竣工且通过联合验收且缺陷责任期满之日止。</w:t>
      </w:r>
    </w:p>
    <w:p w14:paraId="02C7149B">
      <w:pPr>
        <w:spacing w:line="360" w:lineRule="auto"/>
        <w:rPr>
          <w:rFonts w:ascii="宋体" w:hAnsi="宋体" w:eastAsia="宋体" w:cs="宋体"/>
          <w:color w:val="auto"/>
          <w:sz w:val="24"/>
          <w:highlight w:val="none"/>
        </w:rPr>
      </w:pPr>
    </w:p>
    <w:p w14:paraId="149B8DA2">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担保人盖章：</w:t>
      </w:r>
    </w:p>
    <w:p w14:paraId="12E23716">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法定代表人或其授权的代理人：(签字签章)                                                         </w:t>
      </w:r>
    </w:p>
    <w:p w14:paraId="0D8430A8">
      <w:pPr>
        <w:spacing w:line="360" w:lineRule="auto"/>
        <w:ind w:firstLine="3840" w:firstLineChars="1600"/>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6AA1EAAD">
      <w:pPr>
        <w:autoSpaceDE w:val="0"/>
        <w:autoSpaceDN w:val="0"/>
        <w:adjustRightInd w:val="0"/>
        <w:spacing w:before="12"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FD2FA9D">
      <w:pPr>
        <w:autoSpaceDE w:val="0"/>
        <w:autoSpaceDN w:val="0"/>
        <w:adjustRightInd w:val="0"/>
        <w:spacing w:before="12" w:line="360" w:lineRule="auto"/>
        <w:jc w:val="left"/>
        <w:rPr>
          <w:rFonts w:ascii="宋体" w:hAnsi="宋体" w:eastAsia="宋体" w:cs="宋体"/>
          <w:color w:val="auto"/>
          <w:sz w:val="24"/>
          <w:highlight w:val="none"/>
        </w:rPr>
      </w:pPr>
      <w:bookmarkStart w:id="375" w:name="_Toc266892929"/>
    </w:p>
    <w:p w14:paraId="58BEF708">
      <w:pPr>
        <w:spacing w:line="360" w:lineRule="auto"/>
        <w:rPr>
          <w:rFonts w:ascii="宋体" w:hAnsi="宋体" w:eastAsia="宋体" w:cs="宋体"/>
          <w:b/>
          <w:bCs/>
          <w:color w:val="auto"/>
          <w:highlight w:val="none"/>
        </w:rPr>
      </w:pPr>
    </w:p>
    <w:p w14:paraId="794C4CBF">
      <w:pPr>
        <w:pStyle w:val="6"/>
        <w:rPr>
          <w:rFonts w:ascii="宋体" w:hAnsi="宋体" w:eastAsia="宋体" w:cs="宋体"/>
          <w:color w:val="auto"/>
          <w:highlight w:val="none"/>
        </w:rPr>
      </w:pPr>
    </w:p>
    <w:p w14:paraId="456002AD">
      <w:pPr>
        <w:pStyle w:val="6"/>
        <w:rPr>
          <w:rFonts w:ascii="宋体" w:hAnsi="宋体" w:eastAsia="宋体" w:cs="宋体"/>
          <w:color w:val="auto"/>
          <w:highlight w:val="none"/>
        </w:rPr>
      </w:pPr>
    </w:p>
    <w:p w14:paraId="5524CE86">
      <w:pPr>
        <w:pStyle w:val="6"/>
        <w:rPr>
          <w:rFonts w:ascii="宋体" w:hAnsi="宋体" w:eastAsia="宋体" w:cs="宋体"/>
          <w:color w:val="auto"/>
          <w:highlight w:val="none"/>
        </w:rPr>
      </w:pPr>
    </w:p>
    <w:p w14:paraId="04277105">
      <w:pPr>
        <w:pStyle w:val="6"/>
        <w:rPr>
          <w:rFonts w:ascii="宋体" w:hAnsi="宋体" w:eastAsia="宋体" w:cs="宋体"/>
          <w:color w:val="auto"/>
          <w:highlight w:val="none"/>
        </w:rPr>
      </w:pPr>
    </w:p>
    <w:p w14:paraId="0E4E0A20">
      <w:pPr>
        <w:pStyle w:val="6"/>
        <w:rPr>
          <w:rFonts w:ascii="宋体" w:hAnsi="宋体" w:eastAsia="宋体" w:cs="宋体"/>
          <w:color w:val="auto"/>
          <w:highlight w:val="none"/>
        </w:rPr>
      </w:pPr>
    </w:p>
    <w:p w14:paraId="1BE42926">
      <w:pPr>
        <w:pStyle w:val="6"/>
        <w:rPr>
          <w:rFonts w:ascii="宋体" w:hAnsi="宋体" w:eastAsia="宋体" w:cs="宋体"/>
          <w:color w:val="auto"/>
          <w:highlight w:val="none"/>
        </w:rPr>
      </w:pPr>
    </w:p>
    <w:bookmarkEnd w:id="375"/>
    <w:p w14:paraId="6844E94E">
      <w:pPr>
        <w:pStyle w:val="6"/>
        <w:rPr>
          <w:rFonts w:ascii="宋体" w:hAnsi="宋体" w:eastAsia="宋体" w:cs="宋体"/>
          <w:color w:val="auto"/>
          <w:highlight w:val="none"/>
        </w:rPr>
      </w:pPr>
    </w:p>
    <w:p w14:paraId="01953265">
      <w:pPr>
        <w:spacing w:line="360" w:lineRule="auto"/>
        <w:rPr>
          <w:rFonts w:hint="eastAsia" w:ascii="宋体" w:hAnsi="宋体" w:eastAsia="宋体" w:cs="宋体"/>
          <w:b/>
          <w:bCs/>
          <w:strike/>
          <w:dstrike w:val="0"/>
          <w:color w:val="auto"/>
          <w:sz w:val="24"/>
          <w:highlight w:val="none"/>
          <w:lang w:eastAsia="zh-CN"/>
        </w:rPr>
      </w:pPr>
      <w:r>
        <w:rPr>
          <w:rFonts w:hint="eastAsia" w:ascii="宋体" w:hAnsi="宋体" w:eastAsia="宋体" w:cs="宋体"/>
          <w:b/>
          <w:bCs/>
          <w:strike/>
          <w:dstrike w:val="0"/>
          <w:color w:val="auto"/>
          <w:sz w:val="24"/>
          <w:highlight w:val="none"/>
        </w:rPr>
        <w:t>附件</w:t>
      </w:r>
      <w:r>
        <w:rPr>
          <w:rFonts w:hint="eastAsia" w:ascii="宋体" w:hAnsi="宋体" w:eastAsia="宋体" w:cs="宋体"/>
          <w:b/>
          <w:bCs/>
          <w:strike/>
          <w:dstrike w:val="0"/>
          <w:color w:val="auto"/>
          <w:sz w:val="24"/>
          <w:highlight w:val="none"/>
          <w:lang w:val="en-US" w:eastAsia="zh-CN"/>
        </w:rPr>
        <w:t>九：</w:t>
      </w:r>
    </w:p>
    <w:p w14:paraId="64B3E567">
      <w:pPr>
        <w:spacing w:line="360" w:lineRule="auto"/>
        <w:jc w:val="center"/>
        <w:rPr>
          <w:rFonts w:ascii="宋体" w:hAnsi="宋体" w:eastAsia="宋体" w:cs="宋体"/>
          <w:b/>
          <w:strike/>
          <w:dstrike w:val="0"/>
          <w:color w:val="auto"/>
          <w:spacing w:val="40"/>
          <w:sz w:val="36"/>
          <w:szCs w:val="36"/>
          <w:highlight w:val="none"/>
        </w:rPr>
      </w:pPr>
      <w:r>
        <w:rPr>
          <w:rFonts w:hint="eastAsia" w:ascii="宋体" w:hAnsi="宋体" w:eastAsia="宋体" w:cs="宋体"/>
          <w:b/>
          <w:strike/>
          <w:dstrike w:val="0"/>
          <w:color w:val="auto"/>
          <w:spacing w:val="40"/>
          <w:sz w:val="36"/>
          <w:szCs w:val="36"/>
          <w:highlight w:val="none"/>
        </w:rPr>
        <w:t>预付款担保</w:t>
      </w:r>
    </w:p>
    <w:p w14:paraId="030616F3">
      <w:pPr>
        <w:spacing w:line="360" w:lineRule="auto"/>
        <w:rPr>
          <w:rFonts w:ascii="宋体" w:hAnsi="宋体" w:eastAsia="宋体" w:cs="宋体"/>
          <w:strike/>
          <w:dstrike w:val="0"/>
          <w:color w:val="auto"/>
          <w:sz w:val="24"/>
          <w:highlight w:val="none"/>
        </w:rPr>
      </w:pPr>
    </w:p>
    <w:p w14:paraId="4E5D52A6">
      <w:pPr>
        <w:spacing w:line="360" w:lineRule="auto"/>
        <w:rPr>
          <w:rFonts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致：</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 xml:space="preserve">（甲方全称）   </w:t>
      </w:r>
    </w:p>
    <w:p w14:paraId="388D3E7E">
      <w:pPr>
        <w:spacing w:line="360" w:lineRule="auto"/>
        <w:ind w:firstLine="480"/>
        <w:jc w:val="left"/>
        <w:rPr>
          <w:rFonts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鉴于</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（乙方全称）(下称“乙方”)与</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 xml:space="preserve">甲方全称）(下称“甲方”)签订 </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（工程名称）施工合同(编号</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 xml:space="preserve">年 </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月</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日签署)，并保证乙方有权获得按合同约定为保证工程按时开工的由甲方支付的预付款；甲方在合同中要求乙方应通过经认可的担保人提交合同约定的与开工预付款等额的担保金额等事实，我方愿意为乙方担保，以担保金额人民币(大写)</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 xml:space="preserve">元(¥ </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元)向甲方提供不可撤销的担保。</w:t>
      </w:r>
    </w:p>
    <w:p w14:paraId="1AD0EA57">
      <w:pPr>
        <w:spacing w:line="360" w:lineRule="auto"/>
        <w:ind w:firstLine="480"/>
        <w:rPr>
          <w:rFonts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如果乙方在履行合同过程中发生违约或违背合同约定的义务和责任时 ，我方保证在担保金额额度内偿还或偿清甲方因乙方该项违约或违背所造成的经济损失，并在接到甲方提出赔偿要求的第</w:t>
      </w:r>
      <w:r>
        <w:rPr>
          <w:rFonts w:hint="eastAsia" w:ascii="宋体" w:hAnsi="宋体" w:eastAsia="宋体" w:cs="宋体"/>
          <w:strike/>
          <w:dstrike w:val="0"/>
          <w:color w:val="auto"/>
          <w:sz w:val="24"/>
          <w:highlight w:val="none"/>
          <w:u w:val="single"/>
        </w:rPr>
        <w:t>7</w:t>
      </w:r>
      <w:r>
        <w:rPr>
          <w:rFonts w:hint="eastAsia" w:ascii="宋体" w:hAnsi="宋体" w:eastAsia="宋体" w:cs="宋体"/>
          <w:strike/>
          <w:dstrike w:val="0"/>
          <w:color w:val="auto"/>
          <w:sz w:val="24"/>
          <w:highlight w:val="none"/>
        </w:rPr>
        <w:t>天内予以支付。</w:t>
      </w:r>
    </w:p>
    <w:p w14:paraId="7DDEFD42">
      <w:pPr>
        <w:spacing w:line="360" w:lineRule="auto"/>
        <w:ind w:firstLine="480"/>
        <w:rPr>
          <w:rFonts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在向我方提出要求前，我方将不坚持要求甲方首先向乙方提出上述款项的索赔。</w:t>
      </w:r>
    </w:p>
    <w:p w14:paraId="75D60DE2">
      <w:pPr>
        <w:spacing w:line="360" w:lineRule="auto"/>
        <w:ind w:firstLine="480"/>
        <w:rPr>
          <w:rFonts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我方承诺：不论是否经我方知晓或同意，我方的义务和责任不因合同双方当事人对合同条款所作的任何修改或补充而解除。</w:t>
      </w:r>
    </w:p>
    <w:p w14:paraId="2F54C63B">
      <w:pPr>
        <w:spacing w:line="360" w:lineRule="auto"/>
        <w:ind w:firstLine="480"/>
        <w:rPr>
          <w:rFonts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本预付款担保自乙方获得预付款之日起生效，至与预付款等额的担保金额的担保支付完毕，或甲方抵扣完工预付款后的第15天止。</w:t>
      </w:r>
    </w:p>
    <w:p w14:paraId="553CB4E3">
      <w:pPr>
        <w:spacing w:line="360" w:lineRule="auto"/>
        <w:ind w:firstLine="480"/>
        <w:rPr>
          <w:rFonts w:ascii="宋体" w:hAnsi="宋体" w:eastAsia="宋体" w:cs="宋体"/>
          <w:strike/>
          <w:dstrike w:val="0"/>
          <w:color w:val="auto"/>
          <w:sz w:val="24"/>
          <w:highlight w:val="none"/>
        </w:rPr>
      </w:pPr>
    </w:p>
    <w:p w14:paraId="5707BA94">
      <w:pPr>
        <w:spacing w:line="360" w:lineRule="auto"/>
        <w:rPr>
          <w:rFonts w:ascii="宋体" w:hAnsi="宋体" w:eastAsia="宋体" w:cs="宋体"/>
          <w:strike/>
          <w:dstrike w:val="0"/>
          <w:color w:val="auto"/>
          <w:sz w:val="24"/>
          <w:highlight w:val="none"/>
        </w:rPr>
      </w:pPr>
    </w:p>
    <w:p w14:paraId="1225B93A">
      <w:pPr>
        <w:spacing w:line="360" w:lineRule="auto"/>
        <w:ind w:firstLine="480"/>
        <w:rPr>
          <w:rFonts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                                    </w:t>
      </w:r>
    </w:p>
    <w:p w14:paraId="5CFA0ADB">
      <w:pPr>
        <w:spacing w:line="360" w:lineRule="auto"/>
        <w:ind w:firstLine="480"/>
        <w:rPr>
          <w:rFonts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                            担保人盖章：</w:t>
      </w:r>
    </w:p>
    <w:p w14:paraId="489AB766">
      <w:pPr>
        <w:spacing w:line="360" w:lineRule="auto"/>
        <w:ind w:firstLine="480"/>
        <w:rPr>
          <w:rFonts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                            法定代表人或其授权的代理人：(签字签章)                                                         </w:t>
      </w:r>
    </w:p>
    <w:p w14:paraId="680F0D00">
      <w:pPr>
        <w:spacing w:line="360" w:lineRule="auto"/>
        <w:ind w:firstLine="4320" w:firstLineChars="1800"/>
        <w:rPr>
          <w:rFonts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地址： </w:t>
      </w:r>
    </w:p>
    <w:p w14:paraId="636B2D49">
      <w:pPr>
        <w:autoSpaceDE w:val="0"/>
        <w:autoSpaceDN w:val="0"/>
        <w:adjustRightInd w:val="0"/>
        <w:spacing w:before="12" w:line="360" w:lineRule="auto"/>
        <w:jc w:val="left"/>
        <w:rPr>
          <w:rFonts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 </w:t>
      </w:r>
    </w:p>
    <w:p w14:paraId="3C88FE5E">
      <w:pPr>
        <w:autoSpaceDE w:val="0"/>
        <w:autoSpaceDN w:val="0"/>
        <w:adjustRightInd w:val="0"/>
        <w:spacing w:before="12" w:line="360" w:lineRule="auto"/>
        <w:jc w:val="left"/>
        <w:rPr>
          <w:rFonts w:ascii="宋体" w:hAnsi="宋体" w:eastAsia="宋体" w:cs="宋体"/>
          <w:strike/>
          <w:dstrike w:val="0"/>
          <w:color w:val="auto"/>
          <w:sz w:val="24"/>
          <w:highlight w:val="none"/>
          <w:u w:val="single"/>
        </w:rPr>
      </w:pPr>
      <w:r>
        <w:rPr>
          <w:rFonts w:hint="eastAsia" w:ascii="宋体" w:hAnsi="宋体" w:eastAsia="宋体" w:cs="宋体"/>
          <w:strike/>
          <w:dstrike w:val="0"/>
          <w:color w:val="auto"/>
          <w:sz w:val="24"/>
          <w:highlight w:val="none"/>
        </w:rPr>
        <w:t xml:space="preserve">                                   日期：</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月</w:t>
      </w:r>
      <w:r>
        <w:rPr>
          <w:rFonts w:hint="eastAsia" w:ascii="宋体" w:hAnsi="宋体" w:eastAsia="宋体" w:cs="宋体"/>
          <w:strike/>
          <w:dstrike w:val="0"/>
          <w:color w:val="auto"/>
          <w:sz w:val="24"/>
          <w:highlight w:val="none"/>
          <w:u w:val="single"/>
        </w:rPr>
        <w:t xml:space="preserve">    </w:t>
      </w:r>
      <w:bookmarkStart w:id="376" w:name="_Toc266892930"/>
    </w:p>
    <w:bookmarkEnd w:id="376"/>
    <w:p w14:paraId="2F415B79">
      <w:pPr>
        <w:pStyle w:val="6"/>
        <w:rPr>
          <w:rFonts w:ascii="宋体" w:hAnsi="宋体" w:eastAsia="宋体" w:cs="宋体"/>
          <w:color w:val="auto"/>
          <w:highlight w:val="none"/>
        </w:rPr>
      </w:pPr>
    </w:p>
    <w:p w14:paraId="499699B1">
      <w:pPr>
        <w:spacing w:line="360" w:lineRule="auto"/>
        <w:outlineLvl w:val="1"/>
        <w:rPr>
          <w:rFonts w:hint="eastAsia" w:ascii="宋体" w:hAnsi="宋体" w:eastAsia="宋体" w:cs="宋体"/>
          <w:b/>
          <w:bCs/>
          <w:color w:val="auto"/>
          <w:sz w:val="24"/>
          <w:highlight w:val="none"/>
        </w:rPr>
      </w:pPr>
    </w:p>
    <w:p w14:paraId="4F430E05">
      <w:pPr>
        <w:pStyle w:val="6"/>
        <w:ind w:left="0" w:leftChars="0" w:firstLine="0" w:firstLineChars="0"/>
        <w:rPr>
          <w:rFonts w:ascii="宋体" w:hAnsi="宋体" w:eastAsia="宋体" w:cs="宋体"/>
          <w:color w:val="auto"/>
          <w:highlight w:val="none"/>
        </w:rPr>
      </w:pPr>
    </w:p>
    <w:p w14:paraId="65096624">
      <w:pPr>
        <w:spacing w:line="360" w:lineRule="auto"/>
        <w:outlineLvl w:val="1"/>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附件十</w:t>
      </w:r>
      <w:r>
        <w:rPr>
          <w:rFonts w:hint="eastAsia" w:ascii="宋体" w:hAnsi="宋体" w:eastAsia="宋体" w:cs="宋体"/>
          <w:b/>
          <w:bCs/>
          <w:color w:val="auto"/>
          <w:sz w:val="24"/>
          <w:highlight w:val="none"/>
          <w:lang w:eastAsia="zh-CN"/>
        </w:rPr>
        <w:t>：</w:t>
      </w:r>
    </w:p>
    <w:p w14:paraId="7BB5FF4F">
      <w:pPr>
        <w:spacing w:line="560" w:lineRule="exact"/>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番禺区傍江东村村镇工业集聚区更新改造试点项目（首开区）</w:t>
      </w:r>
    </w:p>
    <w:p w14:paraId="1A3B1380">
      <w:pPr>
        <w:spacing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勘察设计和运营任务书</w:t>
      </w:r>
    </w:p>
    <w:p w14:paraId="73D07F41">
      <w:pPr>
        <w:pStyle w:val="6"/>
        <w:ind w:firstLine="0" w:firstLineChars="0"/>
        <w:rPr>
          <w:rFonts w:hint="eastAsia" w:ascii="宋体" w:hAnsi="宋体" w:eastAsia="宋体" w:cs="宋体"/>
          <w:b/>
          <w:color w:val="auto"/>
          <w:sz w:val="24"/>
          <w:highlight w:val="none"/>
        </w:rPr>
      </w:pPr>
    </w:p>
    <w:p w14:paraId="0C9BA873">
      <w:pPr>
        <w:pStyle w:val="6"/>
        <w:ind w:firstLine="0" w:firstLineChars="0"/>
        <w:rPr>
          <w:rFonts w:hint="eastAsia" w:ascii="宋体" w:hAnsi="宋体" w:eastAsia="宋体" w:cs="宋体"/>
          <w:b/>
          <w:color w:val="auto"/>
          <w:sz w:val="24"/>
          <w:highlight w:val="none"/>
        </w:rPr>
      </w:pPr>
    </w:p>
    <w:p w14:paraId="558FFBAC">
      <w:pPr>
        <w:pStyle w:val="6"/>
        <w:ind w:firstLine="0" w:firstLineChars="0"/>
        <w:rPr>
          <w:rFonts w:hint="eastAsia" w:ascii="宋体" w:hAnsi="宋体" w:eastAsia="宋体" w:cs="宋体"/>
          <w:b/>
          <w:color w:val="auto"/>
          <w:sz w:val="24"/>
          <w:highlight w:val="none"/>
        </w:rPr>
      </w:pPr>
    </w:p>
    <w:p w14:paraId="31BC41D5">
      <w:pPr>
        <w:pStyle w:val="6"/>
        <w:ind w:firstLine="0" w:firstLineChars="0"/>
        <w:rPr>
          <w:rFonts w:hint="eastAsia" w:ascii="宋体" w:hAnsi="宋体" w:eastAsia="宋体" w:cs="宋体"/>
          <w:b/>
          <w:color w:val="auto"/>
          <w:sz w:val="24"/>
          <w:highlight w:val="none"/>
        </w:rPr>
      </w:pPr>
    </w:p>
    <w:p w14:paraId="5DC9AA0F">
      <w:pPr>
        <w:pStyle w:val="6"/>
        <w:ind w:firstLine="0" w:firstLineChars="0"/>
        <w:rPr>
          <w:rFonts w:hint="eastAsia" w:ascii="宋体" w:hAnsi="宋体" w:eastAsia="宋体" w:cs="宋体"/>
          <w:b/>
          <w:color w:val="auto"/>
          <w:sz w:val="24"/>
          <w:highlight w:val="none"/>
        </w:rPr>
      </w:pPr>
    </w:p>
    <w:p w14:paraId="6F48F6F8">
      <w:pPr>
        <w:pStyle w:val="6"/>
        <w:ind w:firstLine="0" w:firstLineChars="0"/>
        <w:rPr>
          <w:rFonts w:hint="eastAsia" w:ascii="宋体" w:hAnsi="宋体" w:eastAsia="宋体" w:cs="宋体"/>
          <w:b/>
          <w:color w:val="auto"/>
          <w:sz w:val="24"/>
          <w:highlight w:val="none"/>
        </w:rPr>
      </w:pPr>
    </w:p>
    <w:p w14:paraId="6290D65B">
      <w:pPr>
        <w:pStyle w:val="6"/>
        <w:ind w:firstLine="0" w:firstLineChars="0"/>
        <w:rPr>
          <w:rFonts w:hint="eastAsia" w:ascii="宋体" w:hAnsi="宋体" w:eastAsia="宋体" w:cs="宋体"/>
          <w:b/>
          <w:color w:val="auto"/>
          <w:sz w:val="24"/>
          <w:highlight w:val="none"/>
        </w:rPr>
      </w:pPr>
    </w:p>
    <w:p w14:paraId="79CACEA1">
      <w:pPr>
        <w:pStyle w:val="6"/>
        <w:ind w:firstLine="0" w:firstLineChars="0"/>
        <w:rPr>
          <w:rFonts w:hint="eastAsia" w:ascii="宋体" w:hAnsi="宋体" w:eastAsia="宋体" w:cs="宋体"/>
          <w:b/>
          <w:color w:val="auto"/>
          <w:sz w:val="24"/>
          <w:highlight w:val="none"/>
        </w:rPr>
      </w:pPr>
    </w:p>
    <w:p w14:paraId="25D74C50">
      <w:pPr>
        <w:pStyle w:val="6"/>
        <w:ind w:firstLine="0" w:firstLineChars="0"/>
        <w:rPr>
          <w:rFonts w:hint="eastAsia" w:ascii="宋体" w:hAnsi="宋体" w:eastAsia="宋体" w:cs="宋体"/>
          <w:b/>
          <w:color w:val="auto"/>
          <w:sz w:val="24"/>
          <w:highlight w:val="none"/>
        </w:rPr>
      </w:pPr>
    </w:p>
    <w:p w14:paraId="6E5553C5">
      <w:pPr>
        <w:pStyle w:val="6"/>
        <w:ind w:firstLine="0" w:firstLineChars="0"/>
        <w:rPr>
          <w:rFonts w:hint="eastAsia" w:ascii="宋体" w:hAnsi="宋体" w:eastAsia="宋体" w:cs="宋体"/>
          <w:b/>
          <w:color w:val="auto"/>
          <w:sz w:val="24"/>
          <w:highlight w:val="none"/>
        </w:rPr>
      </w:pPr>
    </w:p>
    <w:p w14:paraId="0EA6F8C8">
      <w:pPr>
        <w:pStyle w:val="6"/>
        <w:ind w:firstLine="0" w:firstLineChars="0"/>
        <w:rPr>
          <w:rFonts w:hint="eastAsia" w:ascii="宋体" w:hAnsi="宋体" w:eastAsia="宋体" w:cs="宋体"/>
          <w:b/>
          <w:color w:val="auto"/>
          <w:sz w:val="24"/>
          <w:highlight w:val="none"/>
        </w:rPr>
      </w:pPr>
    </w:p>
    <w:p w14:paraId="5529B5A6">
      <w:pPr>
        <w:pStyle w:val="6"/>
        <w:ind w:firstLine="0" w:firstLineChars="0"/>
        <w:rPr>
          <w:rFonts w:hint="eastAsia" w:ascii="宋体" w:hAnsi="宋体" w:eastAsia="宋体" w:cs="宋体"/>
          <w:b/>
          <w:color w:val="auto"/>
          <w:sz w:val="24"/>
          <w:highlight w:val="none"/>
        </w:rPr>
      </w:pPr>
    </w:p>
    <w:p w14:paraId="336BE9AF">
      <w:pPr>
        <w:pStyle w:val="6"/>
        <w:ind w:firstLine="0" w:firstLineChars="0"/>
        <w:rPr>
          <w:rFonts w:hint="eastAsia" w:ascii="宋体" w:hAnsi="宋体" w:eastAsia="宋体" w:cs="宋体"/>
          <w:b/>
          <w:color w:val="auto"/>
          <w:sz w:val="24"/>
          <w:highlight w:val="none"/>
        </w:rPr>
      </w:pPr>
    </w:p>
    <w:p w14:paraId="5AF87802">
      <w:pPr>
        <w:pStyle w:val="6"/>
        <w:ind w:firstLine="0" w:firstLineChars="0"/>
        <w:rPr>
          <w:rFonts w:hint="eastAsia" w:ascii="宋体" w:hAnsi="宋体" w:eastAsia="宋体" w:cs="宋体"/>
          <w:b/>
          <w:color w:val="auto"/>
          <w:sz w:val="24"/>
          <w:highlight w:val="none"/>
        </w:rPr>
      </w:pPr>
    </w:p>
    <w:p w14:paraId="062A293E">
      <w:pPr>
        <w:pStyle w:val="6"/>
        <w:ind w:firstLine="0" w:firstLineChars="0"/>
        <w:rPr>
          <w:rFonts w:hint="eastAsia" w:ascii="宋体" w:hAnsi="宋体" w:eastAsia="宋体" w:cs="宋体"/>
          <w:b/>
          <w:color w:val="auto"/>
          <w:sz w:val="24"/>
          <w:highlight w:val="none"/>
        </w:rPr>
      </w:pPr>
    </w:p>
    <w:p w14:paraId="43A999FC">
      <w:pPr>
        <w:pStyle w:val="6"/>
        <w:ind w:firstLine="0" w:firstLineChars="0"/>
        <w:rPr>
          <w:rFonts w:hint="eastAsia" w:ascii="宋体" w:hAnsi="宋体" w:eastAsia="宋体" w:cs="宋体"/>
          <w:b/>
          <w:color w:val="auto"/>
          <w:sz w:val="24"/>
          <w:highlight w:val="none"/>
        </w:rPr>
      </w:pPr>
    </w:p>
    <w:p w14:paraId="55CDA4C2">
      <w:pPr>
        <w:pStyle w:val="6"/>
        <w:ind w:firstLine="0" w:firstLineChars="0"/>
        <w:rPr>
          <w:rFonts w:hint="eastAsia" w:ascii="宋体" w:hAnsi="宋体" w:eastAsia="宋体" w:cs="宋体"/>
          <w:b/>
          <w:color w:val="auto"/>
          <w:sz w:val="24"/>
          <w:highlight w:val="none"/>
        </w:rPr>
      </w:pPr>
    </w:p>
    <w:p w14:paraId="34D4D9D4">
      <w:pPr>
        <w:pStyle w:val="6"/>
        <w:ind w:firstLine="0" w:firstLineChars="0"/>
        <w:rPr>
          <w:rFonts w:hint="eastAsia" w:ascii="宋体" w:hAnsi="宋体" w:eastAsia="宋体" w:cs="宋体"/>
          <w:b/>
          <w:color w:val="auto"/>
          <w:sz w:val="24"/>
          <w:highlight w:val="none"/>
        </w:rPr>
      </w:pPr>
    </w:p>
    <w:p w14:paraId="6C45FF9F">
      <w:pPr>
        <w:pStyle w:val="6"/>
        <w:ind w:firstLine="0" w:firstLineChars="0"/>
        <w:rPr>
          <w:rFonts w:hint="eastAsia" w:ascii="宋体" w:hAnsi="宋体" w:eastAsia="宋体" w:cs="宋体"/>
          <w:b/>
          <w:color w:val="auto"/>
          <w:sz w:val="24"/>
          <w:highlight w:val="none"/>
        </w:rPr>
      </w:pPr>
    </w:p>
    <w:p w14:paraId="7B48537E">
      <w:pPr>
        <w:pStyle w:val="6"/>
        <w:ind w:firstLine="0" w:firstLineChars="0"/>
        <w:rPr>
          <w:rFonts w:hint="eastAsia" w:ascii="宋体" w:hAnsi="宋体" w:eastAsia="宋体" w:cs="宋体"/>
          <w:b/>
          <w:color w:val="auto"/>
          <w:sz w:val="24"/>
          <w:highlight w:val="none"/>
        </w:rPr>
      </w:pPr>
    </w:p>
    <w:p w14:paraId="155704B5">
      <w:pPr>
        <w:pStyle w:val="6"/>
        <w:ind w:firstLine="0" w:firstLineChars="0"/>
        <w:rPr>
          <w:rFonts w:hint="eastAsia" w:ascii="宋体" w:hAnsi="宋体" w:eastAsia="宋体" w:cs="宋体"/>
          <w:b/>
          <w:color w:val="auto"/>
          <w:sz w:val="24"/>
          <w:highlight w:val="none"/>
        </w:rPr>
      </w:pPr>
    </w:p>
    <w:p w14:paraId="250BBC1A">
      <w:pPr>
        <w:pStyle w:val="6"/>
        <w:ind w:firstLine="0" w:firstLineChars="0"/>
        <w:rPr>
          <w:rFonts w:hint="eastAsia" w:ascii="宋体" w:hAnsi="宋体" w:eastAsia="宋体" w:cs="宋体"/>
          <w:b/>
          <w:color w:val="auto"/>
          <w:sz w:val="24"/>
          <w:highlight w:val="none"/>
        </w:rPr>
      </w:pPr>
    </w:p>
    <w:p w14:paraId="18A5602D">
      <w:pPr>
        <w:pStyle w:val="6"/>
        <w:ind w:firstLine="0" w:firstLineChars="0"/>
        <w:rPr>
          <w:rFonts w:hint="eastAsia" w:ascii="宋体" w:hAnsi="宋体" w:eastAsia="宋体" w:cs="宋体"/>
          <w:b/>
          <w:color w:val="auto"/>
          <w:sz w:val="24"/>
          <w:highlight w:val="none"/>
        </w:rPr>
      </w:pPr>
    </w:p>
    <w:p w14:paraId="6C115BA4">
      <w:pPr>
        <w:pStyle w:val="6"/>
        <w:ind w:firstLine="0" w:firstLineChars="0"/>
        <w:rPr>
          <w:rFonts w:hint="eastAsia" w:ascii="宋体" w:hAnsi="宋体" w:eastAsia="宋体" w:cs="宋体"/>
          <w:b/>
          <w:color w:val="auto"/>
          <w:sz w:val="24"/>
          <w:highlight w:val="none"/>
        </w:rPr>
      </w:pPr>
    </w:p>
    <w:p w14:paraId="0103C6B9">
      <w:pPr>
        <w:pStyle w:val="6"/>
        <w:ind w:firstLine="0" w:firstLineChars="0"/>
        <w:rPr>
          <w:rFonts w:hint="eastAsia" w:ascii="宋体" w:hAnsi="宋体" w:eastAsia="宋体" w:cs="宋体"/>
          <w:b/>
          <w:color w:val="auto"/>
          <w:sz w:val="24"/>
          <w:highlight w:val="none"/>
        </w:rPr>
      </w:pPr>
    </w:p>
    <w:p w14:paraId="54E4CBBB">
      <w:pPr>
        <w:pStyle w:val="6"/>
        <w:ind w:firstLine="0" w:firstLineChars="0"/>
        <w:rPr>
          <w:rFonts w:hint="eastAsia" w:ascii="宋体" w:hAnsi="宋体" w:eastAsia="宋体" w:cs="宋体"/>
          <w:b/>
          <w:color w:val="auto"/>
          <w:sz w:val="24"/>
          <w:highlight w:val="none"/>
        </w:rPr>
      </w:pPr>
    </w:p>
    <w:p w14:paraId="0639174A">
      <w:pPr>
        <w:pStyle w:val="6"/>
        <w:ind w:firstLine="0" w:firstLineChars="0"/>
        <w:rPr>
          <w:rFonts w:hint="eastAsia" w:ascii="宋体" w:hAnsi="宋体" w:eastAsia="宋体" w:cs="宋体"/>
          <w:b/>
          <w:color w:val="auto"/>
          <w:sz w:val="24"/>
          <w:highlight w:val="none"/>
        </w:rPr>
      </w:pPr>
    </w:p>
    <w:p w14:paraId="3EDA42DB">
      <w:pPr>
        <w:pStyle w:val="6"/>
        <w:ind w:firstLine="0" w:firstLineChars="0"/>
        <w:rPr>
          <w:rFonts w:hint="eastAsia" w:ascii="宋体" w:hAnsi="宋体" w:eastAsia="宋体" w:cs="宋体"/>
          <w:b/>
          <w:color w:val="auto"/>
          <w:sz w:val="24"/>
          <w:highlight w:val="none"/>
        </w:rPr>
      </w:pPr>
    </w:p>
    <w:p w14:paraId="4D43A36C">
      <w:pPr>
        <w:pStyle w:val="6"/>
        <w:ind w:firstLine="0" w:firstLineChars="0"/>
        <w:rPr>
          <w:rFonts w:hint="eastAsia" w:ascii="宋体" w:hAnsi="宋体" w:eastAsia="宋体" w:cs="宋体"/>
          <w:b/>
          <w:color w:val="auto"/>
          <w:sz w:val="24"/>
          <w:highlight w:val="none"/>
        </w:rPr>
      </w:pPr>
    </w:p>
    <w:p w14:paraId="6AAFD91F">
      <w:pPr>
        <w:pStyle w:val="6"/>
        <w:ind w:firstLine="0" w:firstLineChars="0"/>
        <w:rPr>
          <w:rFonts w:hint="eastAsia" w:ascii="宋体" w:hAnsi="宋体" w:eastAsia="宋体" w:cs="宋体"/>
          <w:b/>
          <w:color w:val="auto"/>
          <w:sz w:val="24"/>
          <w:highlight w:val="none"/>
        </w:rPr>
      </w:pPr>
    </w:p>
    <w:p w14:paraId="53629182">
      <w:pPr>
        <w:pStyle w:val="6"/>
        <w:ind w:firstLine="0" w:firstLineChars="0"/>
        <w:rPr>
          <w:rFonts w:hint="eastAsia" w:ascii="宋体" w:hAnsi="宋体" w:eastAsia="宋体" w:cs="宋体"/>
          <w:b/>
          <w:color w:val="auto"/>
          <w:sz w:val="24"/>
          <w:highlight w:val="none"/>
        </w:rPr>
      </w:pPr>
    </w:p>
    <w:p w14:paraId="4ACD5E1E">
      <w:pPr>
        <w:pStyle w:val="6"/>
        <w:ind w:firstLine="0" w:firstLineChars="0"/>
        <w:rPr>
          <w:rFonts w:hint="eastAsia" w:ascii="宋体" w:hAnsi="宋体" w:eastAsia="宋体" w:cs="宋体"/>
          <w:b/>
          <w:color w:val="auto"/>
          <w:sz w:val="24"/>
          <w:highlight w:val="none"/>
        </w:rPr>
      </w:pPr>
    </w:p>
    <w:p w14:paraId="5BD11521">
      <w:pPr>
        <w:pStyle w:val="6"/>
        <w:ind w:firstLine="0" w:firstLineChars="0"/>
        <w:rPr>
          <w:rFonts w:hint="eastAsia" w:ascii="宋体" w:hAnsi="宋体" w:eastAsia="宋体" w:cs="宋体"/>
          <w:b/>
          <w:color w:val="auto"/>
          <w:sz w:val="24"/>
          <w:highlight w:val="none"/>
        </w:rPr>
      </w:pPr>
    </w:p>
    <w:p w14:paraId="7993AD6B">
      <w:pPr>
        <w:pStyle w:val="6"/>
        <w:ind w:firstLine="0" w:firstLineChars="0"/>
        <w:rPr>
          <w:rFonts w:hint="eastAsia" w:ascii="宋体" w:hAnsi="宋体" w:eastAsia="宋体" w:cs="宋体"/>
          <w:b/>
          <w:color w:val="auto"/>
          <w:sz w:val="24"/>
          <w:highlight w:val="none"/>
        </w:rPr>
      </w:pPr>
    </w:p>
    <w:p w14:paraId="35911E1B">
      <w:pPr>
        <w:pStyle w:val="6"/>
        <w:ind w:firstLine="0" w:firstLineChars="0"/>
        <w:rPr>
          <w:rFonts w:hint="eastAsia" w:ascii="宋体" w:hAnsi="宋体" w:eastAsia="宋体" w:cs="宋体"/>
          <w:b/>
          <w:color w:val="auto"/>
          <w:sz w:val="24"/>
          <w:highlight w:val="none"/>
        </w:rPr>
      </w:pPr>
    </w:p>
    <w:p w14:paraId="0DE7F485">
      <w:pPr>
        <w:pStyle w:val="6"/>
        <w:ind w:firstLine="0" w:firstLineChars="0"/>
        <w:rPr>
          <w:rFonts w:hint="eastAsia" w:ascii="宋体" w:hAnsi="宋体" w:eastAsia="宋体" w:cs="宋体"/>
          <w:b/>
          <w:color w:val="auto"/>
          <w:sz w:val="24"/>
          <w:highlight w:val="none"/>
        </w:rPr>
      </w:pPr>
    </w:p>
    <w:p w14:paraId="45A69290">
      <w:pPr>
        <w:pStyle w:val="6"/>
        <w:ind w:firstLine="0" w:firstLineChars="0"/>
        <w:rPr>
          <w:rFonts w:hint="eastAsia" w:ascii="宋体" w:hAnsi="宋体" w:eastAsia="宋体" w:cs="宋体"/>
          <w:b/>
          <w:color w:val="auto"/>
          <w:sz w:val="24"/>
          <w:highlight w:val="none"/>
        </w:rPr>
      </w:pPr>
    </w:p>
    <w:p w14:paraId="58CF386A">
      <w:pPr>
        <w:pStyle w:val="6"/>
        <w:ind w:firstLine="0" w:firstLineChars="0"/>
        <w:rPr>
          <w:rFonts w:hint="eastAsia" w:ascii="宋体" w:hAnsi="宋体" w:eastAsia="宋体" w:cs="宋体"/>
          <w:b/>
          <w:color w:val="auto"/>
          <w:sz w:val="24"/>
          <w:highlight w:val="none"/>
        </w:rPr>
      </w:pPr>
    </w:p>
    <w:p w14:paraId="5AAA860A">
      <w:pPr>
        <w:pStyle w:val="6"/>
        <w:ind w:firstLine="0" w:firstLineChars="0"/>
        <w:rPr>
          <w:rFonts w:hint="eastAsia" w:ascii="宋体" w:hAnsi="宋体" w:eastAsia="宋体" w:cs="宋体"/>
          <w:b/>
          <w:color w:val="auto"/>
          <w:sz w:val="24"/>
          <w:highlight w:val="none"/>
        </w:rPr>
      </w:pPr>
    </w:p>
    <w:p w14:paraId="5F3DAC37">
      <w:pPr>
        <w:pStyle w:val="6"/>
        <w:ind w:firstLine="0" w:firstLineChars="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附件十</w:t>
      </w:r>
      <w:r>
        <w:rPr>
          <w:rFonts w:hint="eastAsia" w:ascii="宋体" w:hAnsi="宋体" w:eastAsia="宋体" w:cs="宋体"/>
          <w:b/>
          <w:color w:val="auto"/>
          <w:sz w:val="24"/>
          <w:highlight w:val="none"/>
          <w:lang w:eastAsia="zh-CN"/>
        </w:rPr>
        <w:t>：</w:t>
      </w:r>
    </w:p>
    <w:p w14:paraId="1D2A5506">
      <w:pPr>
        <w:pStyle w:val="6"/>
        <w:ind w:firstLine="0" w:firstLineChars="0"/>
        <w:rPr>
          <w:rFonts w:ascii="宋体" w:hAnsi="宋体" w:eastAsia="宋体" w:cs="宋体"/>
          <w:b/>
          <w:color w:val="auto"/>
          <w:sz w:val="24"/>
          <w:highlight w:val="none"/>
        </w:rPr>
      </w:pPr>
    </w:p>
    <w:p w14:paraId="37BA8F1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工程施工总进度计划表</w:t>
      </w:r>
    </w:p>
    <w:p w14:paraId="4C5F8CA3">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（另册）</w:t>
      </w:r>
    </w:p>
    <w:p w14:paraId="5A87B413">
      <w:pPr>
        <w:spacing w:line="440" w:lineRule="exact"/>
        <w:rPr>
          <w:rFonts w:ascii="宋体" w:hAnsi="宋体" w:eastAsia="宋体" w:cs="宋体"/>
          <w:b/>
          <w:bCs/>
          <w:color w:val="auto"/>
          <w:sz w:val="24"/>
          <w:highlight w:val="none"/>
        </w:rPr>
      </w:pPr>
    </w:p>
    <w:p w14:paraId="15558188">
      <w:pPr>
        <w:pStyle w:val="6"/>
        <w:ind w:firstLine="482"/>
        <w:rPr>
          <w:rFonts w:ascii="宋体" w:hAnsi="宋体" w:eastAsia="宋体" w:cs="宋体"/>
          <w:b/>
          <w:bCs/>
          <w:color w:val="auto"/>
          <w:sz w:val="24"/>
          <w:highlight w:val="none"/>
        </w:rPr>
      </w:pPr>
    </w:p>
    <w:p w14:paraId="578C9CDC">
      <w:pPr>
        <w:pStyle w:val="6"/>
        <w:ind w:firstLine="482"/>
        <w:rPr>
          <w:rFonts w:ascii="宋体" w:hAnsi="宋体" w:eastAsia="宋体" w:cs="宋体"/>
          <w:b/>
          <w:bCs/>
          <w:color w:val="auto"/>
          <w:sz w:val="24"/>
          <w:highlight w:val="none"/>
        </w:rPr>
      </w:pPr>
    </w:p>
    <w:p w14:paraId="09329719">
      <w:pPr>
        <w:pStyle w:val="6"/>
        <w:ind w:firstLine="482"/>
        <w:rPr>
          <w:rFonts w:ascii="宋体" w:hAnsi="宋体" w:eastAsia="宋体" w:cs="宋体"/>
          <w:b/>
          <w:bCs/>
          <w:color w:val="auto"/>
          <w:sz w:val="24"/>
          <w:highlight w:val="none"/>
        </w:rPr>
      </w:pPr>
    </w:p>
    <w:p w14:paraId="678225B1">
      <w:pPr>
        <w:pStyle w:val="6"/>
        <w:ind w:firstLine="482"/>
        <w:rPr>
          <w:rFonts w:ascii="宋体" w:hAnsi="宋体" w:eastAsia="宋体" w:cs="宋体"/>
          <w:b/>
          <w:bCs/>
          <w:color w:val="auto"/>
          <w:sz w:val="24"/>
          <w:highlight w:val="none"/>
        </w:rPr>
      </w:pPr>
    </w:p>
    <w:p w14:paraId="32B60695">
      <w:pPr>
        <w:pStyle w:val="6"/>
        <w:ind w:firstLine="482"/>
        <w:rPr>
          <w:rFonts w:ascii="宋体" w:hAnsi="宋体" w:eastAsia="宋体" w:cs="宋体"/>
          <w:b/>
          <w:bCs/>
          <w:color w:val="auto"/>
          <w:sz w:val="24"/>
          <w:highlight w:val="none"/>
        </w:rPr>
      </w:pPr>
    </w:p>
    <w:p w14:paraId="7F1B90E1">
      <w:pPr>
        <w:pStyle w:val="6"/>
        <w:ind w:firstLine="482"/>
        <w:rPr>
          <w:rFonts w:ascii="宋体" w:hAnsi="宋体" w:eastAsia="宋体" w:cs="宋体"/>
          <w:b/>
          <w:bCs/>
          <w:color w:val="auto"/>
          <w:sz w:val="24"/>
          <w:highlight w:val="none"/>
        </w:rPr>
      </w:pPr>
    </w:p>
    <w:p w14:paraId="12C24225">
      <w:pPr>
        <w:pStyle w:val="6"/>
        <w:ind w:firstLine="482"/>
        <w:rPr>
          <w:rFonts w:ascii="宋体" w:hAnsi="宋体" w:eastAsia="宋体" w:cs="宋体"/>
          <w:b/>
          <w:bCs/>
          <w:color w:val="auto"/>
          <w:sz w:val="24"/>
          <w:highlight w:val="none"/>
        </w:rPr>
      </w:pPr>
    </w:p>
    <w:p w14:paraId="03D67547">
      <w:pPr>
        <w:pStyle w:val="6"/>
        <w:ind w:firstLine="482"/>
        <w:rPr>
          <w:rFonts w:ascii="宋体" w:hAnsi="宋体" w:eastAsia="宋体" w:cs="宋体"/>
          <w:b/>
          <w:bCs/>
          <w:color w:val="auto"/>
          <w:sz w:val="24"/>
          <w:highlight w:val="none"/>
        </w:rPr>
      </w:pPr>
    </w:p>
    <w:p w14:paraId="451EB32E">
      <w:pPr>
        <w:pStyle w:val="6"/>
        <w:ind w:firstLine="482"/>
        <w:rPr>
          <w:rFonts w:ascii="宋体" w:hAnsi="宋体" w:eastAsia="宋体" w:cs="宋体"/>
          <w:b/>
          <w:bCs/>
          <w:color w:val="auto"/>
          <w:sz w:val="24"/>
          <w:highlight w:val="none"/>
        </w:rPr>
      </w:pPr>
    </w:p>
    <w:p w14:paraId="3649DA98">
      <w:pPr>
        <w:pStyle w:val="6"/>
        <w:ind w:firstLine="482"/>
        <w:rPr>
          <w:rFonts w:ascii="宋体" w:hAnsi="宋体" w:eastAsia="宋体" w:cs="宋体"/>
          <w:b/>
          <w:bCs/>
          <w:color w:val="auto"/>
          <w:sz w:val="24"/>
          <w:highlight w:val="none"/>
        </w:rPr>
      </w:pPr>
    </w:p>
    <w:p w14:paraId="4459C2A6">
      <w:pPr>
        <w:pStyle w:val="6"/>
        <w:ind w:firstLine="482"/>
        <w:rPr>
          <w:rFonts w:ascii="宋体" w:hAnsi="宋体" w:eastAsia="宋体" w:cs="宋体"/>
          <w:b/>
          <w:bCs/>
          <w:color w:val="auto"/>
          <w:sz w:val="24"/>
          <w:highlight w:val="none"/>
        </w:rPr>
      </w:pPr>
    </w:p>
    <w:p w14:paraId="223E6498">
      <w:pPr>
        <w:pStyle w:val="6"/>
        <w:ind w:firstLine="482"/>
        <w:rPr>
          <w:rFonts w:ascii="宋体" w:hAnsi="宋体" w:eastAsia="宋体" w:cs="宋体"/>
          <w:b/>
          <w:bCs/>
          <w:color w:val="auto"/>
          <w:sz w:val="24"/>
          <w:highlight w:val="none"/>
        </w:rPr>
      </w:pPr>
    </w:p>
    <w:p w14:paraId="63C6A191">
      <w:pPr>
        <w:pStyle w:val="6"/>
        <w:ind w:firstLine="482"/>
        <w:rPr>
          <w:rFonts w:ascii="宋体" w:hAnsi="宋体" w:eastAsia="宋体" w:cs="宋体"/>
          <w:b/>
          <w:bCs/>
          <w:color w:val="auto"/>
          <w:sz w:val="24"/>
          <w:highlight w:val="none"/>
        </w:rPr>
      </w:pPr>
    </w:p>
    <w:p w14:paraId="084AB283">
      <w:pPr>
        <w:pStyle w:val="6"/>
        <w:ind w:firstLine="482"/>
        <w:rPr>
          <w:rFonts w:ascii="宋体" w:hAnsi="宋体" w:eastAsia="宋体" w:cs="宋体"/>
          <w:b/>
          <w:bCs/>
          <w:color w:val="auto"/>
          <w:sz w:val="24"/>
          <w:highlight w:val="none"/>
        </w:rPr>
      </w:pPr>
    </w:p>
    <w:p w14:paraId="4725DB00">
      <w:pPr>
        <w:pStyle w:val="6"/>
        <w:ind w:firstLine="482"/>
        <w:rPr>
          <w:rFonts w:ascii="宋体" w:hAnsi="宋体" w:eastAsia="宋体" w:cs="宋体"/>
          <w:b/>
          <w:bCs/>
          <w:color w:val="auto"/>
          <w:sz w:val="24"/>
          <w:highlight w:val="none"/>
        </w:rPr>
      </w:pPr>
    </w:p>
    <w:p w14:paraId="679ABFB4">
      <w:pPr>
        <w:pStyle w:val="6"/>
        <w:ind w:firstLine="482"/>
        <w:rPr>
          <w:rFonts w:ascii="宋体" w:hAnsi="宋体" w:eastAsia="宋体" w:cs="宋体"/>
          <w:b/>
          <w:bCs/>
          <w:color w:val="auto"/>
          <w:sz w:val="24"/>
          <w:highlight w:val="none"/>
        </w:rPr>
      </w:pPr>
    </w:p>
    <w:p w14:paraId="48BCB431">
      <w:pPr>
        <w:pStyle w:val="6"/>
        <w:ind w:firstLine="482"/>
        <w:rPr>
          <w:rFonts w:ascii="宋体" w:hAnsi="宋体" w:eastAsia="宋体" w:cs="宋体"/>
          <w:b/>
          <w:bCs/>
          <w:color w:val="auto"/>
          <w:sz w:val="24"/>
          <w:highlight w:val="none"/>
        </w:rPr>
      </w:pPr>
    </w:p>
    <w:p w14:paraId="2A23CF20">
      <w:pPr>
        <w:pStyle w:val="6"/>
        <w:ind w:firstLine="482"/>
        <w:rPr>
          <w:rFonts w:ascii="宋体" w:hAnsi="宋体" w:eastAsia="宋体" w:cs="宋体"/>
          <w:b/>
          <w:bCs/>
          <w:color w:val="auto"/>
          <w:sz w:val="24"/>
          <w:highlight w:val="none"/>
        </w:rPr>
      </w:pPr>
    </w:p>
    <w:p w14:paraId="63A30686">
      <w:pPr>
        <w:pStyle w:val="6"/>
        <w:ind w:firstLine="482"/>
        <w:rPr>
          <w:rFonts w:ascii="宋体" w:hAnsi="宋体" w:eastAsia="宋体" w:cs="宋体"/>
          <w:b/>
          <w:bCs/>
          <w:color w:val="auto"/>
          <w:sz w:val="24"/>
          <w:highlight w:val="none"/>
        </w:rPr>
      </w:pPr>
    </w:p>
    <w:p w14:paraId="063DD54D">
      <w:pPr>
        <w:pStyle w:val="6"/>
        <w:ind w:firstLine="482"/>
        <w:rPr>
          <w:rFonts w:ascii="宋体" w:hAnsi="宋体" w:eastAsia="宋体" w:cs="宋体"/>
          <w:b/>
          <w:bCs/>
          <w:color w:val="auto"/>
          <w:sz w:val="24"/>
          <w:highlight w:val="none"/>
        </w:rPr>
      </w:pPr>
    </w:p>
    <w:p w14:paraId="6D388D7C">
      <w:pPr>
        <w:pStyle w:val="6"/>
        <w:ind w:firstLine="482"/>
        <w:rPr>
          <w:rFonts w:ascii="宋体" w:hAnsi="宋体" w:eastAsia="宋体" w:cs="宋体"/>
          <w:b/>
          <w:bCs/>
          <w:color w:val="auto"/>
          <w:sz w:val="24"/>
          <w:highlight w:val="none"/>
        </w:rPr>
      </w:pPr>
    </w:p>
    <w:p w14:paraId="375DC815">
      <w:pPr>
        <w:pStyle w:val="6"/>
        <w:ind w:firstLine="482"/>
        <w:rPr>
          <w:rFonts w:ascii="宋体" w:hAnsi="宋体" w:eastAsia="宋体" w:cs="宋体"/>
          <w:b/>
          <w:bCs/>
          <w:color w:val="auto"/>
          <w:sz w:val="24"/>
          <w:highlight w:val="none"/>
        </w:rPr>
      </w:pPr>
    </w:p>
    <w:p w14:paraId="4D1C9048">
      <w:pPr>
        <w:pStyle w:val="6"/>
        <w:ind w:firstLine="482"/>
        <w:rPr>
          <w:rFonts w:ascii="宋体" w:hAnsi="宋体" w:eastAsia="宋体" w:cs="宋体"/>
          <w:b/>
          <w:bCs/>
          <w:color w:val="auto"/>
          <w:sz w:val="24"/>
          <w:highlight w:val="none"/>
        </w:rPr>
      </w:pPr>
    </w:p>
    <w:p w14:paraId="576E835A">
      <w:pPr>
        <w:pStyle w:val="6"/>
        <w:ind w:firstLine="482"/>
        <w:rPr>
          <w:rFonts w:ascii="宋体" w:hAnsi="宋体" w:eastAsia="宋体" w:cs="宋体"/>
          <w:b/>
          <w:bCs/>
          <w:color w:val="auto"/>
          <w:sz w:val="24"/>
          <w:highlight w:val="none"/>
        </w:rPr>
      </w:pPr>
    </w:p>
    <w:p w14:paraId="059D7FAC">
      <w:pPr>
        <w:pStyle w:val="6"/>
        <w:ind w:firstLine="482"/>
        <w:rPr>
          <w:rFonts w:ascii="宋体" w:hAnsi="宋体" w:eastAsia="宋体" w:cs="宋体"/>
          <w:b/>
          <w:bCs/>
          <w:color w:val="auto"/>
          <w:sz w:val="24"/>
          <w:highlight w:val="none"/>
        </w:rPr>
      </w:pPr>
    </w:p>
    <w:p w14:paraId="57B4A45B">
      <w:pPr>
        <w:pStyle w:val="6"/>
        <w:ind w:firstLine="482"/>
        <w:rPr>
          <w:rFonts w:ascii="宋体" w:hAnsi="宋体" w:eastAsia="宋体" w:cs="宋体"/>
          <w:b/>
          <w:bCs/>
          <w:color w:val="auto"/>
          <w:sz w:val="24"/>
          <w:highlight w:val="none"/>
        </w:rPr>
      </w:pPr>
    </w:p>
    <w:p w14:paraId="20FCD278">
      <w:pPr>
        <w:pStyle w:val="6"/>
        <w:ind w:firstLine="482"/>
        <w:rPr>
          <w:rFonts w:ascii="宋体" w:hAnsi="宋体" w:eastAsia="宋体" w:cs="宋体"/>
          <w:b/>
          <w:bCs/>
          <w:color w:val="auto"/>
          <w:sz w:val="24"/>
          <w:highlight w:val="none"/>
        </w:rPr>
      </w:pPr>
    </w:p>
    <w:p w14:paraId="4B46A0BE">
      <w:pPr>
        <w:pStyle w:val="6"/>
        <w:ind w:firstLine="482"/>
        <w:rPr>
          <w:rFonts w:ascii="宋体" w:hAnsi="宋体" w:eastAsia="宋体" w:cs="宋体"/>
          <w:b/>
          <w:bCs/>
          <w:color w:val="auto"/>
          <w:sz w:val="24"/>
          <w:highlight w:val="none"/>
        </w:rPr>
      </w:pPr>
    </w:p>
    <w:p w14:paraId="70ACC84E">
      <w:pPr>
        <w:pStyle w:val="6"/>
        <w:ind w:firstLine="482"/>
        <w:rPr>
          <w:rFonts w:ascii="宋体" w:hAnsi="宋体" w:eastAsia="宋体" w:cs="宋体"/>
          <w:b/>
          <w:bCs/>
          <w:color w:val="auto"/>
          <w:sz w:val="24"/>
          <w:highlight w:val="none"/>
        </w:rPr>
      </w:pPr>
    </w:p>
    <w:p w14:paraId="668347A5">
      <w:pPr>
        <w:pStyle w:val="6"/>
        <w:ind w:firstLine="482"/>
        <w:rPr>
          <w:rFonts w:ascii="宋体" w:hAnsi="宋体" w:eastAsia="宋体" w:cs="宋体"/>
          <w:b/>
          <w:bCs/>
          <w:color w:val="auto"/>
          <w:sz w:val="24"/>
          <w:highlight w:val="none"/>
        </w:rPr>
      </w:pPr>
    </w:p>
    <w:p w14:paraId="3277ABD7">
      <w:pPr>
        <w:pStyle w:val="6"/>
        <w:ind w:firstLine="482"/>
        <w:rPr>
          <w:rFonts w:ascii="宋体" w:hAnsi="宋体" w:eastAsia="宋体" w:cs="宋体"/>
          <w:b/>
          <w:bCs/>
          <w:color w:val="auto"/>
          <w:sz w:val="24"/>
          <w:highlight w:val="none"/>
        </w:rPr>
      </w:pPr>
    </w:p>
    <w:p w14:paraId="543170F4">
      <w:pPr>
        <w:pStyle w:val="6"/>
        <w:ind w:firstLine="482"/>
        <w:rPr>
          <w:rFonts w:ascii="宋体" w:hAnsi="宋体" w:eastAsia="宋体" w:cs="宋体"/>
          <w:b/>
          <w:bCs/>
          <w:color w:val="auto"/>
          <w:sz w:val="24"/>
          <w:highlight w:val="none"/>
        </w:rPr>
      </w:pPr>
    </w:p>
    <w:p w14:paraId="7002BED0">
      <w:pPr>
        <w:pStyle w:val="6"/>
        <w:ind w:firstLine="482"/>
        <w:rPr>
          <w:rFonts w:ascii="宋体" w:hAnsi="宋体" w:eastAsia="宋体" w:cs="宋体"/>
          <w:b/>
          <w:bCs/>
          <w:color w:val="auto"/>
          <w:sz w:val="24"/>
          <w:highlight w:val="none"/>
        </w:rPr>
      </w:pPr>
    </w:p>
    <w:p w14:paraId="18C3282B">
      <w:pPr>
        <w:pStyle w:val="6"/>
        <w:ind w:firstLine="482"/>
        <w:rPr>
          <w:rFonts w:ascii="宋体" w:hAnsi="宋体" w:eastAsia="宋体" w:cs="宋体"/>
          <w:b/>
          <w:bCs/>
          <w:color w:val="auto"/>
          <w:sz w:val="24"/>
          <w:highlight w:val="none"/>
        </w:rPr>
      </w:pPr>
    </w:p>
    <w:p w14:paraId="34966207">
      <w:pPr>
        <w:pStyle w:val="6"/>
        <w:ind w:firstLine="482"/>
        <w:rPr>
          <w:rFonts w:ascii="宋体" w:hAnsi="宋体" w:eastAsia="宋体" w:cs="宋体"/>
          <w:b/>
          <w:bCs/>
          <w:color w:val="auto"/>
          <w:sz w:val="24"/>
          <w:highlight w:val="none"/>
        </w:rPr>
      </w:pPr>
    </w:p>
    <w:p w14:paraId="75C2CCE0">
      <w:pPr>
        <w:pStyle w:val="6"/>
        <w:ind w:firstLine="482"/>
        <w:rPr>
          <w:rFonts w:ascii="宋体" w:hAnsi="宋体" w:eastAsia="宋体" w:cs="宋体"/>
          <w:b/>
          <w:bCs/>
          <w:color w:val="auto"/>
          <w:sz w:val="24"/>
          <w:highlight w:val="none"/>
        </w:rPr>
      </w:pPr>
    </w:p>
    <w:p w14:paraId="26E5C8DB">
      <w:pPr>
        <w:pStyle w:val="7"/>
        <w:rPr>
          <w:color w:val="auto"/>
          <w:highlight w:val="none"/>
        </w:rPr>
      </w:pPr>
    </w:p>
    <w:p w14:paraId="2AE47BED">
      <w:pPr>
        <w:pStyle w:val="6"/>
        <w:ind w:firstLine="482"/>
        <w:rPr>
          <w:rFonts w:ascii="宋体" w:hAnsi="宋体" w:eastAsia="宋体" w:cs="宋体"/>
          <w:b/>
          <w:bCs/>
          <w:color w:val="auto"/>
          <w:sz w:val="24"/>
          <w:highlight w:val="none"/>
        </w:rPr>
      </w:pPr>
    </w:p>
    <w:p w14:paraId="5E0E170E">
      <w:pPr>
        <w:spacing w:line="440" w:lineRule="exact"/>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附件十</w:t>
      </w:r>
      <w:r>
        <w:rPr>
          <w:rFonts w:hint="eastAsia" w:ascii="宋体" w:hAnsi="宋体" w:eastAsia="宋体" w:cs="宋体"/>
          <w:b/>
          <w:bCs/>
          <w:color w:val="auto"/>
          <w:sz w:val="24"/>
          <w:highlight w:val="none"/>
          <w:lang w:val="en-US" w:eastAsia="zh-CN"/>
        </w:rPr>
        <w:t>一：</w:t>
      </w:r>
    </w:p>
    <w:p w14:paraId="0710784D">
      <w:pPr>
        <w:spacing w:line="360" w:lineRule="auto"/>
        <w:ind w:firstLine="562" w:firstLineChars="20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工程施工保证书</w:t>
      </w:r>
    </w:p>
    <w:p w14:paraId="10E73CD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本公司（本合同乙方联合体之施工单位）充分理解甲方对于</w:t>
      </w:r>
      <w:r>
        <w:rPr>
          <w:rFonts w:hint="eastAsia" w:ascii="宋体" w:hAnsi="宋体" w:eastAsia="宋体" w:cs="宋体"/>
          <w:b w:val="0"/>
          <w:bCs w:val="0"/>
          <w:color w:val="auto"/>
          <w:sz w:val="24"/>
          <w:highlight w:val="none"/>
          <w:u w:val="single"/>
          <w:lang w:eastAsia="zh-CN"/>
        </w:rPr>
        <w:t>番禺区傍江东村村镇工业集聚区更新改造试点项目（首开区）</w:t>
      </w:r>
      <w:r>
        <w:rPr>
          <w:rFonts w:hint="eastAsia" w:ascii="宋体" w:hAnsi="宋体" w:eastAsia="宋体" w:cs="宋体"/>
          <w:color w:val="auto"/>
          <w:sz w:val="24"/>
          <w:highlight w:val="none"/>
        </w:rPr>
        <w:t>施工安全、质量和进度等方面的重点关注，为了保证本工程项目能够按质、按量和按期地完成，本公司向甲方郑重保证：</w:t>
      </w:r>
    </w:p>
    <w:p w14:paraId="325F639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我公司将根据甲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14:paraId="746A48A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二、如甲方发现本公司违反上述承诺或出现下述情况之一者：1 ）未经监理工程师及甲方同意，擅自更换主要管理人员或主要管理人员无故离开工地；2）将本工程进行转包；3 ）出现挂靠承包现象；4 ）以包代管； 5 ）挪用本工程的资金； 6 ）违反廉政建设协议； 7 ）无故拖欠工人工资； 8 ）不按招标要求配置主要施工设备等，甲方有权对本公司按合同相关条款进行处罚、有权单独或联合检察机关对项目的资金流向进行跟踪检查、有权视情况扣除本公司的全部或部分履约保证金； 9 ）其他施工单位有违反合同约定的行为且经甲方书面通知施工单位整改但未整改或整改不符合合同约定的。本公司同时保证若我司出现上述情况之一时，导致甲方认为本公司在履行合同义务上不符合招标文件或合同条款的要求，而需取消本公司的承包资格，变更为其他施工单位才有利于工程按期按质完成，即使这种评价与本公司存在争议，只要甲方提出充分证据，经监理工程师认可，并且这种认可不须征求本公司意见，则在甲方与监理方共同向本公司发出解除合同通知书以及要求撤场通知书之日起15天内，本公司承诺主动无条件解除合同并撤离工程现场。如果不能在限期内主动撤离，甲方重新委托的施工单位进场为恢复现场施工条件所发生的一切经济损失由本公司承担，所发生的其它纠纷责任由本公司承担。</w:t>
      </w:r>
    </w:p>
    <w:p w14:paraId="39529A9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三、在工程施工过程中，如因上述第二点原因，甲方与本公司解除合同，则双方对在建工程应协商做出妥善处理，尽量减少损失。 我司同意，由监理方牵头确认我司在撤离前已经完成并经验收合格的工程量，结算工程款以甲方或甲方委托的第三方造价咨询机构审核为准。经甲方及监理核实已为本工程所储备的材料，由本公司调离工程场地。本公司在上述规定的撤场时间前积极配合完成确认工作 。如果双方在已经完成的工程量的确认上意见不一，则以甲方和监理方两方确认的工程量作为结算依据，本公司无异议。</w:t>
      </w:r>
    </w:p>
    <w:p w14:paraId="0E2F350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四、本保证书自正式签订之日起生效，待与甲方签订的合同全部权利与业务履行完毕后自行失效。</w:t>
      </w:r>
    </w:p>
    <w:p w14:paraId="502AD917">
      <w:pPr>
        <w:spacing w:line="360" w:lineRule="auto"/>
        <w:ind w:firstLine="480" w:firstLineChars="200"/>
        <w:rPr>
          <w:rFonts w:ascii="宋体" w:hAnsi="宋体" w:eastAsia="宋体" w:cs="宋体"/>
          <w:color w:val="auto"/>
          <w:sz w:val="24"/>
          <w:highlight w:val="none"/>
        </w:rPr>
      </w:pPr>
    </w:p>
    <w:p w14:paraId="6D8154D4">
      <w:pPr>
        <w:pStyle w:val="6"/>
        <w:rPr>
          <w:rFonts w:ascii="宋体" w:hAnsi="宋体" w:eastAsia="宋体" w:cs="宋体"/>
          <w:color w:val="auto"/>
          <w:highlight w:val="none"/>
        </w:rPr>
      </w:pPr>
    </w:p>
    <w:p w14:paraId="7FD26BD4">
      <w:pPr>
        <w:pStyle w:val="6"/>
        <w:rPr>
          <w:rFonts w:ascii="宋体" w:hAnsi="宋体" w:eastAsia="宋体" w:cs="宋体"/>
          <w:color w:val="auto"/>
          <w:highlight w:val="none"/>
        </w:rPr>
      </w:pPr>
    </w:p>
    <w:p w14:paraId="1F3FBB3B">
      <w:pPr>
        <w:spacing w:line="48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施工单位（盖章）</w:t>
      </w:r>
    </w:p>
    <w:p w14:paraId="492E9F9F">
      <w:pPr>
        <w:spacing w:line="48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法定代表人：</w:t>
      </w:r>
    </w:p>
    <w:p w14:paraId="0A3F2F4E">
      <w:pPr>
        <w:pStyle w:val="6"/>
        <w:rPr>
          <w:rFonts w:ascii="宋体" w:hAnsi="宋体" w:eastAsia="宋体" w:cs="宋体"/>
          <w:color w:val="auto"/>
          <w:highlight w:val="none"/>
        </w:rPr>
      </w:pPr>
    </w:p>
    <w:p w14:paraId="300038DB">
      <w:pPr>
        <w:pStyle w:val="6"/>
        <w:rPr>
          <w:rFonts w:ascii="宋体" w:hAnsi="宋体" w:eastAsia="宋体" w:cs="宋体"/>
          <w:color w:val="auto"/>
          <w:highlight w:val="none"/>
        </w:rPr>
      </w:pPr>
    </w:p>
    <w:p w14:paraId="50BCD427">
      <w:pPr>
        <w:pStyle w:val="6"/>
        <w:rPr>
          <w:rFonts w:ascii="宋体" w:hAnsi="宋体" w:eastAsia="宋体" w:cs="宋体"/>
          <w:color w:val="auto"/>
          <w:highlight w:val="none"/>
        </w:rPr>
      </w:pPr>
    </w:p>
    <w:p w14:paraId="2584382B">
      <w:pPr>
        <w:pStyle w:val="6"/>
        <w:rPr>
          <w:rFonts w:ascii="宋体" w:hAnsi="宋体" w:eastAsia="宋体" w:cs="宋体"/>
          <w:color w:val="auto"/>
          <w:highlight w:val="none"/>
        </w:rPr>
      </w:pPr>
    </w:p>
    <w:p w14:paraId="621775EE">
      <w:pPr>
        <w:pStyle w:val="6"/>
        <w:rPr>
          <w:rFonts w:ascii="宋体" w:hAnsi="宋体" w:eastAsia="宋体" w:cs="宋体"/>
          <w:color w:val="auto"/>
          <w:highlight w:val="none"/>
        </w:rPr>
      </w:pPr>
    </w:p>
    <w:p w14:paraId="1B1028FC">
      <w:pPr>
        <w:pStyle w:val="6"/>
        <w:rPr>
          <w:rFonts w:ascii="宋体" w:hAnsi="宋体" w:eastAsia="宋体" w:cs="宋体"/>
          <w:color w:val="auto"/>
          <w:highlight w:val="none"/>
        </w:rPr>
      </w:pPr>
    </w:p>
    <w:p w14:paraId="024DFED6">
      <w:pPr>
        <w:pStyle w:val="6"/>
        <w:rPr>
          <w:rFonts w:ascii="宋体" w:hAnsi="宋体" w:eastAsia="宋体" w:cs="宋体"/>
          <w:color w:val="auto"/>
          <w:highlight w:val="none"/>
        </w:rPr>
      </w:pPr>
    </w:p>
    <w:p w14:paraId="20670B20">
      <w:pPr>
        <w:pStyle w:val="6"/>
        <w:rPr>
          <w:rFonts w:ascii="宋体" w:hAnsi="宋体" w:eastAsia="宋体" w:cs="宋体"/>
          <w:color w:val="auto"/>
          <w:highlight w:val="none"/>
        </w:rPr>
      </w:pPr>
    </w:p>
    <w:p w14:paraId="38B4CA00">
      <w:pPr>
        <w:pStyle w:val="6"/>
        <w:rPr>
          <w:rFonts w:ascii="宋体" w:hAnsi="宋体" w:eastAsia="宋体" w:cs="宋体"/>
          <w:color w:val="auto"/>
          <w:highlight w:val="none"/>
        </w:rPr>
      </w:pPr>
    </w:p>
    <w:p w14:paraId="7717430F">
      <w:pPr>
        <w:pStyle w:val="6"/>
        <w:rPr>
          <w:rFonts w:ascii="宋体" w:hAnsi="宋体" w:eastAsia="宋体" w:cs="宋体"/>
          <w:color w:val="auto"/>
          <w:highlight w:val="none"/>
        </w:rPr>
      </w:pPr>
    </w:p>
    <w:p w14:paraId="0C29F485">
      <w:pPr>
        <w:pStyle w:val="6"/>
        <w:rPr>
          <w:rFonts w:ascii="宋体" w:hAnsi="宋体" w:eastAsia="宋体" w:cs="宋体"/>
          <w:color w:val="auto"/>
          <w:highlight w:val="none"/>
        </w:rPr>
      </w:pPr>
    </w:p>
    <w:p w14:paraId="0CED233D">
      <w:pPr>
        <w:pStyle w:val="6"/>
        <w:rPr>
          <w:rFonts w:ascii="宋体" w:hAnsi="宋体" w:eastAsia="宋体" w:cs="宋体"/>
          <w:color w:val="auto"/>
          <w:highlight w:val="none"/>
        </w:rPr>
      </w:pPr>
    </w:p>
    <w:p w14:paraId="32171FD6">
      <w:pPr>
        <w:pStyle w:val="6"/>
        <w:rPr>
          <w:rFonts w:ascii="宋体" w:hAnsi="宋体" w:eastAsia="宋体" w:cs="宋体"/>
          <w:color w:val="auto"/>
          <w:highlight w:val="none"/>
        </w:rPr>
      </w:pPr>
    </w:p>
    <w:p w14:paraId="3D567715">
      <w:pPr>
        <w:pStyle w:val="6"/>
        <w:rPr>
          <w:rFonts w:ascii="宋体" w:hAnsi="宋体" w:eastAsia="宋体" w:cs="宋体"/>
          <w:color w:val="auto"/>
          <w:highlight w:val="none"/>
        </w:rPr>
      </w:pPr>
    </w:p>
    <w:p w14:paraId="64BE9636">
      <w:pPr>
        <w:pStyle w:val="6"/>
        <w:rPr>
          <w:rFonts w:ascii="宋体" w:hAnsi="宋体" w:eastAsia="宋体" w:cs="宋体"/>
          <w:color w:val="auto"/>
          <w:highlight w:val="none"/>
        </w:rPr>
      </w:pPr>
    </w:p>
    <w:p w14:paraId="25F76060">
      <w:pPr>
        <w:pStyle w:val="6"/>
        <w:rPr>
          <w:rFonts w:ascii="宋体" w:hAnsi="宋体" w:eastAsia="宋体" w:cs="宋体"/>
          <w:color w:val="auto"/>
          <w:highlight w:val="none"/>
        </w:rPr>
      </w:pPr>
    </w:p>
    <w:p w14:paraId="4A41C850">
      <w:pPr>
        <w:pStyle w:val="6"/>
        <w:ind w:firstLine="0" w:firstLineChars="0"/>
        <w:rPr>
          <w:rFonts w:ascii="宋体" w:hAnsi="宋体" w:eastAsia="宋体" w:cs="宋体"/>
          <w:color w:val="auto"/>
          <w:highlight w:val="none"/>
        </w:rPr>
      </w:pPr>
    </w:p>
    <w:p w14:paraId="0F92BE7F">
      <w:pPr>
        <w:pStyle w:val="6"/>
        <w:ind w:firstLine="0" w:firstLineChars="0"/>
        <w:rPr>
          <w:rFonts w:ascii="宋体" w:hAnsi="宋体" w:eastAsia="宋体" w:cs="宋体"/>
          <w:color w:val="auto"/>
          <w:highlight w:val="none"/>
        </w:rPr>
      </w:pPr>
    </w:p>
    <w:p w14:paraId="21356DB7">
      <w:pPr>
        <w:pStyle w:val="6"/>
        <w:ind w:firstLine="0" w:firstLineChars="0"/>
        <w:rPr>
          <w:rFonts w:ascii="宋体" w:hAnsi="宋体" w:eastAsia="宋体" w:cs="宋体"/>
          <w:color w:val="auto"/>
          <w:highlight w:val="none"/>
        </w:rPr>
      </w:pPr>
    </w:p>
    <w:p w14:paraId="36ED586E">
      <w:pPr>
        <w:pStyle w:val="6"/>
        <w:ind w:firstLine="0" w:firstLineChars="0"/>
        <w:rPr>
          <w:rFonts w:ascii="宋体" w:hAnsi="宋体" w:eastAsia="宋体" w:cs="宋体"/>
          <w:color w:val="auto"/>
          <w:highlight w:val="none"/>
        </w:rPr>
      </w:pPr>
    </w:p>
    <w:p w14:paraId="722E278F">
      <w:pPr>
        <w:rPr>
          <w:rFonts w:hint="eastAsia" w:ascii="宋体" w:hAnsi="宋体" w:eastAsia="宋体" w:cs="宋体"/>
          <w:b/>
          <w:color w:val="auto"/>
          <w:sz w:val="24"/>
          <w:highlight w:val="none"/>
        </w:rPr>
      </w:pPr>
    </w:p>
    <w:p w14:paraId="2FED0F3B">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C8A88AB">
      <w:pPr>
        <w:pStyle w:val="6"/>
        <w:ind w:firstLine="0" w:firstLineChars="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附件十</w:t>
      </w:r>
      <w:r>
        <w:rPr>
          <w:rFonts w:hint="eastAsia" w:ascii="宋体" w:hAnsi="宋体" w:eastAsia="宋体" w:cs="宋体"/>
          <w:b/>
          <w:color w:val="auto"/>
          <w:sz w:val="24"/>
          <w:highlight w:val="none"/>
          <w:lang w:val="en-US" w:eastAsia="zh-CN"/>
        </w:rPr>
        <w:t>二：</w:t>
      </w:r>
    </w:p>
    <w:p w14:paraId="1867B7A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安全管理协议书（范本）</w:t>
      </w:r>
    </w:p>
    <w:p w14:paraId="5E1986BC">
      <w:pPr>
        <w:spacing w:line="360" w:lineRule="auto"/>
        <w:ind w:firstLine="420" w:firstLineChars="200"/>
        <w:rPr>
          <w:rFonts w:hint="eastAsia" w:ascii="宋体" w:hAnsi="宋体" w:eastAsia="宋体" w:cs="宋体"/>
          <w:color w:val="auto"/>
          <w:highlight w:val="none"/>
        </w:rPr>
      </w:pPr>
    </w:p>
    <w:p w14:paraId="4FB6ED0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甲方：（全称）</w:t>
      </w:r>
      <w:r>
        <w:rPr>
          <w:rFonts w:hint="eastAsia" w:ascii="宋体" w:hAnsi="宋体" w:eastAsia="宋体" w:cs="宋体"/>
          <w:color w:val="auto"/>
          <w:sz w:val="24"/>
          <w:highlight w:val="none"/>
          <w:u w:val="single"/>
        </w:rPr>
        <w:t>广州市番禺区大龙街</w:t>
      </w:r>
      <w:r>
        <w:rPr>
          <w:rFonts w:hint="eastAsia" w:ascii="宋体" w:hAnsi="宋体" w:eastAsia="宋体" w:cs="宋体"/>
          <w:color w:val="auto"/>
          <w:sz w:val="24"/>
          <w:highlight w:val="none"/>
          <w:u w:val="single"/>
          <w:lang w:eastAsia="zh-CN"/>
        </w:rPr>
        <w:t>傍江东村</w:t>
      </w:r>
      <w:r>
        <w:rPr>
          <w:rFonts w:hint="eastAsia" w:ascii="宋体" w:hAnsi="宋体" w:eastAsia="宋体" w:cs="宋体"/>
          <w:color w:val="auto"/>
          <w:sz w:val="24"/>
          <w:highlight w:val="none"/>
          <w:u w:val="single"/>
        </w:rPr>
        <w:t>股份合作经济社</w:t>
      </w:r>
    </w:p>
    <w:p w14:paraId="409B045B">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乙方：（全称）</w:t>
      </w:r>
      <w:r>
        <w:rPr>
          <w:rFonts w:hint="eastAsia" w:ascii="宋体" w:hAnsi="宋体" w:eastAsia="宋体" w:cs="宋体"/>
          <w:color w:val="auto"/>
          <w:sz w:val="24"/>
          <w:highlight w:val="none"/>
          <w:u w:val="single"/>
        </w:rPr>
        <w:t xml:space="preserve">                                       </w:t>
      </w:r>
    </w:p>
    <w:p w14:paraId="26C998F5">
      <w:pPr>
        <w:spacing w:line="360" w:lineRule="auto"/>
        <w:ind w:firstLine="480" w:firstLineChars="200"/>
        <w:rPr>
          <w:rFonts w:hint="eastAsia" w:ascii="宋体" w:hAnsi="宋体" w:eastAsia="宋体" w:cs="宋体"/>
          <w:color w:val="auto"/>
          <w:sz w:val="24"/>
          <w:highlight w:val="none"/>
        </w:rPr>
      </w:pPr>
    </w:p>
    <w:p w14:paraId="352F29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安全第一、预防为主、综合治理”的安全管理工作指导方针，明确双方的安全管理责任，依据《中华人民共和国安全生产法》《中华人民共和国消防法》《建设工程安全生产管理条例》等法律、法规以及甲方安全生产管理规章制度，经双方协商，特约定以下条款。</w:t>
      </w:r>
    </w:p>
    <w:p w14:paraId="416D93A8">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第一条乙方安全管理的责任目标</w:t>
      </w:r>
    </w:p>
    <w:p w14:paraId="4FE38F8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乙方对接管区域的安全管理目标和责任，自乙方接管该区域之日起生效。</w:t>
      </w:r>
    </w:p>
    <w:p w14:paraId="1A26372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（一）安全生产目标</w:t>
      </w:r>
    </w:p>
    <w:p w14:paraId="0C24469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1、乙方管辖区域内不发生一般及以上安全生产责任事故。</w:t>
      </w:r>
    </w:p>
    <w:p w14:paraId="7C444FE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2、不发生人员死亡、1人以上重伤，或直接经济损失100万元以上的火灾事故。</w:t>
      </w:r>
    </w:p>
    <w:p w14:paraId="3B704E3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3、监管范围内生产安全事故重伤人数控制在1人以内。</w:t>
      </w:r>
    </w:p>
    <w:p w14:paraId="286A104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4、办公场所、宿舍、附属临时用房不发生责任火灾事故。</w:t>
      </w:r>
    </w:p>
    <w:p w14:paraId="6439399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5、不发生涉及乙方责任的甲方及第三方设施设备的致损事件。</w:t>
      </w:r>
    </w:p>
    <w:p w14:paraId="5EE6325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6、不发生管辖区域的责任涉险事故。</w:t>
      </w:r>
    </w:p>
    <w:p w14:paraId="6D18057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7、控制和减少责任事件的发生。</w:t>
      </w:r>
    </w:p>
    <w:p w14:paraId="3F2B681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8、不发生责任交通安全亡人事故。</w:t>
      </w:r>
    </w:p>
    <w:p w14:paraId="20F90D4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（二）维稳综治责任目标</w:t>
      </w:r>
    </w:p>
    <w:p w14:paraId="28D4176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1、不发生乙方人员违法犯罪受刑事处罚以及受公安机关治安、行政处罚等有损甲方声誉的事件。</w:t>
      </w:r>
    </w:p>
    <w:p w14:paraId="5096E85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2、不发生乙方人员或因本单位责任引发的管辖区域的人员群体性上访、怠工、罢工等事件。</w:t>
      </w:r>
    </w:p>
    <w:p w14:paraId="1AA2FDB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3、不发生因安保管理不到位，造成管辖区域内公共财产、设备设施被盗，损失达1万元及以上的事件。</w:t>
      </w:r>
    </w:p>
    <w:p w14:paraId="57045B1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4、不发生对社会具有重大负面影响、严重损害甲方声誉的事件。</w:t>
      </w:r>
    </w:p>
    <w:p w14:paraId="7758832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（三）环境及公共卫生管理责任目标</w:t>
      </w:r>
    </w:p>
    <w:p w14:paraId="0107E9E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1、管辖区域内不发生违反环境法律法规事件。</w:t>
      </w:r>
    </w:p>
    <w:p w14:paraId="3AF6F28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2、管辖区域内不发生严重环境污染事故。</w:t>
      </w:r>
    </w:p>
    <w:p w14:paraId="2546E68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3、控制和减少管辖区域内有害废弃物对外界环境的影响。</w:t>
      </w:r>
    </w:p>
    <w:p w14:paraId="2D4E19B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4、不发生涉及乙方责任的公共卫生事件。</w:t>
      </w:r>
    </w:p>
    <w:p w14:paraId="33F3BFE1">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第二条乙方安全管理责任</w:t>
      </w:r>
    </w:p>
    <w:p w14:paraId="3D1F0EA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认真贯彻执行《中华人民共和国安全生产法》、《中华人民共和国消防法》、《中华人民共和国突发事件应对法》、《中华人民共和国职业病防治法》、《中华人民共和国环境保护法》及国家、省、市有关生产安全、应急管理、消防安全、职业病防治、交通安全、维稳综治内保、环境管理相关的法律、法规、行业标准、规范性文件及甲方各项安全管理制度。</w:t>
      </w:r>
    </w:p>
    <w:p w14:paraId="39C3804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结合消防综治实际，加强安全管理标准化、精细化安全管理体系建设，规范安全管理各环节，完善各项管理程序。落实建设生产安全、应急管理、消防安全、职业病防治、交通安全、维稳综治工作机制，建立健全辖下场所安全管理责任制度、考核奖惩制度、安全检查制度、安全工作会议制度，落实专（兼）职安全管理人员设置。</w:t>
      </w:r>
    </w:p>
    <w:p w14:paraId="7A0C625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（三）落实乙方主要负责人对安全、环保工作负总责，乙方项目经理是施工场所安全管理的第一责任人。</w:t>
      </w:r>
    </w:p>
    <w:p w14:paraId="49C99C1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（四）根据安全生产工作目标和要求，制订本管辖区域的安全生产工作目标和计划，明确安全生产工作重点和内容，并组织实施。</w:t>
      </w:r>
    </w:p>
    <w:p w14:paraId="288C681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（五）建立安全隐患排查和专项整治工作的长效机制，定期组织对本管辖范围内的安全隐患进行排查和专项治理，加大安全投入并采取有效措施及时消除或减少安全隐患。</w:t>
      </w:r>
    </w:p>
    <w:p w14:paraId="621AF49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落实安全风险分级管控工作，组织排查安全风险，形成风险管理情况记录。如实告知员工岗位安全风险，做好安全风险管理宣传培训、消防演练、应急预案演练等。落实安全风险管理的各项工作，每月向甲方上报安全风险、危险源辨识评价及分级管控台账。</w:t>
      </w:r>
    </w:p>
    <w:p w14:paraId="5159F0E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加强应急管理工作，建立健全应急管理体系，落实应急准备措施，加强应急演练工作，综合应急演练每年不少于一次，消防演练每年不少于两次，上下半年各一次。根据甲方有关应急信息报送的要求（见附件1），如实快速做好突发事件的信息报送和应急处置。指导和督促相关单位完善应急救援体系并定期组织演练，提升应急保障能力。</w:t>
      </w:r>
    </w:p>
    <w:p w14:paraId="2E122F3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（八）落实对本工程区域的设备、设施管理，确保符合安全要求，落实足够的防火、防毒、防人员伤害和职业病危害措施，并定期组织对其维护、保养及检测。</w:t>
      </w:r>
    </w:p>
    <w:p w14:paraId="6207873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（九）建立健全志愿消防队，落实消防安全巡查制度，组织制定管辖区域的灭火和应急疏散预案，并实施演练。强化管辖区域的防火检查工作，严禁存在住宿与生产、储存、经营合用的“三合一”场所。</w:t>
      </w:r>
    </w:p>
    <w:p w14:paraId="42ACB8D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（十）明确安全管理目标，落实本工程工地内部的安全考核工作，将安全管理不力、发生安全事故的责任单位和责任人记入安全生产不良记录，并按照有关规定进行处理。</w:t>
      </w:r>
    </w:p>
    <w:p w14:paraId="1E19209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参加甲方组织的安全管理会议及培训。落实对乙方全体员工开展安全生产政策法规宣传、教育、培训，乙方项目部级工人进场安全教育应严格按照《关于进一步强化建设项目安全管理的通知》（云城开投〔2023〕76号）要求开展。积极开展“安全生产月”、“119”消防宣传月等活动。落实对工地范围内内全体员工开展环境管理法律法规及环保措施的宣传、教育、培训。</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如上述文件已失效的，则以最新出台的文件为准</w:t>
      </w:r>
      <w:r>
        <w:rPr>
          <w:rFonts w:hint="eastAsia" w:ascii="宋体" w:hAnsi="宋体" w:cs="宋体"/>
          <w:b/>
          <w:bCs/>
          <w:color w:val="auto"/>
          <w:kern w:val="0"/>
          <w:sz w:val="24"/>
          <w:szCs w:val="24"/>
          <w:highlight w:val="none"/>
          <w:lang w:eastAsia="zh-CN"/>
        </w:rPr>
        <w:t>）</w:t>
      </w:r>
    </w:p>
    <w:p w14:paraId="0289360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（十二）落实管辖内区域的环境因素识别与评价，确定重要环境因素及对应的法律法规要求，按相关法律法规要求严格执行。</w:t>
      </w:r>
    </w:p>
    <w:p w14:paraId="71D97BF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（十三）落实对管辖区域的公共卫生管理，加强传染病、食物和职业中毒的防控工作，做好办公、生活区域的卫生保洁。</w:t>
      </w:r>
    </w:p>
    <w:p w14:paraId="62FE2648">
      <w:pPr>
        <w:adjustRightInd w:val="0"/>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（十四）乙方应严格遵守并执行广州市番禺区大龙街</w:t>
      </w:r>
      <w:r>
        <w:rPr>
          <w:rFonts w:hint="eastAsia" w:ascii="宋体" w:hAnsi="宋体" w:eastAsia="宋体" w:cs="宋体"/>
          <w:color w:val="auto"/>
          <w:sz w:val="24"/>
          <w:highlight w:val="none"/>
          <w:lang w:eastAsia="zh-CN"/>
        </w:rPr>
        <w:t>傍江东村</w:t>
      </w:r>
      <w:r>
        <w:rPr>
          <w:rFonts w:hint="eastAsia" w:ascii="宋体" w:hAnsi="宋体" w:eastAsia="宋体" w:cs="宋体"/>
          <w:color w:val="auto"/>
          <w:sz w:val="24"/>
          <w:highlight w:val="none"/>
        </w:rPr>
        <w:t>股份合作经济社发布的《安全文明措施费使用管理办法》《服务供应商不规范行为管理办法》。</w:t>
      </w:r>
    </w:p>
    <w:p w14:paraId="22B8E85F">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第三条安全问题整改</w:t>
      </w:r>
    </w:p>
    <w:p w14:paraId="059C0636">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甲方将不定期到乙方管辖区域进行安全检查。</w:t>
      </w:r>
    </w:p>
    <w:p w14:paraId="40C62CF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如在检查过程发现乙方场地存在安全隐患，甲方有权下发《安全文明整改通知书》《安全检查记录》《安全停工令》（格式见附件3、4）并向乙方通报，乙方应在通知书指定的期限内进行整改，并书面回复甲方。</w:t>
      </w:r>
    </w:p>
    <w:p w14:paraId="209CC3C4">
      <w:pPr>
        <w:adjustRightInd w:val="0"/>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（二）如未按甲方整改通知书要求整改的，甲方有权按国家相关规定及双方签署的合同及补充协议条款进行处理。</w:t>
      </w:r>
    </w:p>
    <w:p w14:paraId="7B94BFA8">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第四条事故（事件）分类及认定标准</w:t>
      </w:r>
    </w:p>
    <w:p w14:paraId="53A7295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按照生产安全事故（事件）造成的人员伤亡、直接经济损失等影响和危害程度，生产安全事故（事件）分为特别重大事故、重大事故、较大事故、一般事故、一般事件。</w:t>
      </w:r>
    </w:p>
    <w:p w14:paraId="70D09FA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（一）特别重大事故构成条件</w:t>
      </w:r>
    </w:p>
    <w:p w14:paraId="4D1F222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发生下列情况或造成下列后果之一的为特别重大事故：</w:t>
      </w:r>
    </w:p>
    <w:p w14:paraId="06303F4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1）死亡30人（含失踪，下同）以上；</w:t>
      </w:r>
    </w:p>
    <w:p w14:paraId="6B7B25B8">
      <w:pPr>
        <w:pStyle w:val="20"/>
        <w:adjustRightInd w:val="0"/>
        <w:snapToGrid w:val="0"/>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2）重伤100人（含急性工业中毒，下同）以上；</w:t>
      </w:r>
    </w:p>
    <w:p w14:paraId="4F413E6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3）直接经济损失1亿元（人民币，下同）以上。</w:t>
      </w:r>
    </w:p>
    <w:p w14:paraId="0C78FA4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（二）重大事故构成条件</w:t>
      </w:r>
    </w:p>
    <w:p w14:paraId="251CFA17">
      <w:pPr>
        <w:pStyle w:val="20"/>
        <w:adjustRightInd w:val="0"/>
        <w:snapToGrid w:val="0"/>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发生下列情况或造成下列后果之一的为重大事故：</w:t>
      </w:r>
    </w:p>
    <w:p w14:paraId="4F62AFA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1）死亡10人以上30人以下；</w:t>
      </w:r>
    </w:p>
    <w:p w14:paraId="4208072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2）重伤50人以上100人以下；</w:t>
      </w:r>
    </w:p>
    <w:p w14:paraId="0780162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3）直接经济损失5000万元以上1亿元以下；</w:t>
      </w:r>
    </w:p>
    <w:p w14:paraId="6AB92B3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（三）较大事故构成条件</w:t>
      </w:r>
    </w:p>
    <w:p w14:paraId="4B3FE29E">
      <w:pPr>
        <w:pStyle w:val="20"/>
        <w:adjustRightInd w:val="0"/>
        <w:snapToGrid w:val="0"/>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发生下列情况或造成下列后果之一的为较大事故：</w:t>
      </w:r>
    </w:p>
    <w:p w14:paraId="28CB095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1）死亡3人以上10人以下；</w:t>
      </w:r>
    </w:p>
    <w:p w14:paraId="18E3F11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2）重伤10人以上50人以下；</w:t>
      </w:r>
    </w:p>
    <w:p w14:paraId="74A105B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3）直接经济损失1000万元以上5000万元以下；</w:t>
      </w:r>
    </w:p>
    <w:p w14:paraId="755BD6F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（四）一般事故构成条件</w:t>
      </w:r>
    </w:p>
    <w:p w14:paraId="4DB63E4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发生下列情况或造成下列后果之一的为一般事故：</w:t>
      </w:r>
    </w:p>
    <w:p w14:paraId="6D824878">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死亡1人以上3人以下；</w:t>
      </w:r>
    </w:p>
    <w:p w14:paraId="753F6E33">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重伤3人以上10人以下；</w:t>
      </w:r>
    </w:p>
    <w:p w14:paraId="6140F25A">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kern w:val="0"/>
          <w:sz w:val="24"/>
          <w:highlight w:val="none"/>
        </w:rPr>
        <w:t>直接经济损失100万元以上1000万元以下；</w:t>
      </w:r>
    </w:p>
    <w:p w14:paraId="383D8F8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（五）一般事件构成条件</w:t>
      </w:r>
    </w:p>
    <w:p w14:paraId="090CF18E">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发生下列情况或造成下列后果之一的为险性事件：</w:t>
      </w:r>
    </w:p>
    <w:p w14:paraId="76B2D367">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1人以上3人以下重伤；</w:t>
      </w:r>
    </w:p>
    <w:p w14:paraId="7B7ED77A">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直接经济损失1万元以上100万元以下；</w:t>
      </w:r>
    </w:p>
    <w:p w14:paraId="00E99236">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3）发生对社会产生重大负面影响、严重损害</w:t>
      </w:r>
      <w:r>
        <w:rPr>
          <w:rFonts w:hint="eastAsia" w:ascii="宋体" w:hAnsi="宋体" w:eastAsia="宋体" w:cs="宋体"/>
          <w:color w:val="auto"/>
          <w:kern w:val="0"/>
          <w:sz w:val="24"/>
          <w:highlight w:val="none"/>
          <w:lang w:val="en-US" w:eastAsia="zh-CN"/>
        </w:rPr>
        <w:t>甲方</w:t>
      </w:r>
      <w:r>
        <w:rPr>
          <w:rFonts w:hint="eastAsia" w:ascii="宋体" w:hAnsi="宋体" w:eastAsia="宋体" w:cs="宋体"/>
          <w:color w:val="auto"/>
          <w:kern w:val="0"/>
          <w:sz w:val="24"/>
          <w:highlight w:val="none"/>
        </w:rPr>
        <w:t>声誉的事件，因安全质量问题被政府通报、媒体负面报道；</w:t>
      </w:r>
    </w:p>
    <w:p w14:paraId="57E225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4）不配合甲方或第三方安全质量检查，或不按期消除安全质量隐患，或第三方人员、设备设施损害后不立即进行应急抢救抢险或不配合应急抢救抢险，或不按照甲方要求报送应急信息，或不参加安全质量约谈。</w:t>
      </w:r>
    </w:p>
    <w:p w14:paraId="175F5A9A">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kern w:val="0"/>
          <w:sz w:val="24"/>
          <w:highlight w:val="none"/>
        </w:rPr>
        <w:t>其他性质严重、影响恶劣的事件。</w:t>
      </w:r>
    </w:p>
    <w:p w14:paraId="1F30791D">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第五条 事故（事件）的扣罚标准</w:t>
      </w:r>
    </w:p>
    <w:p w14:paraId="7617BA1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（一）履行合同期间，发生一起生产安全责任事故（事件）的，根据乙方所承担的责任定性不同，扣罚标准如下： </w:t>
      </w:r>
    </w:p>
    <w:p w14:paraId="70370724">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A、发生特别重大事故，如造成人员死亡的，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须向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支付违约金，违约金从人民币1000万元起计，死亡的人数多于30人时，每增加死亡1人，</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除支付上述违约金外还须再向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支付违约金人民币50万元／人；</w:t>
      </w:r>
    </w:p>
    <w:p w14:paraId="0055C6C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B、发生重大事故，如造成人员死亡的，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须向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支付违约金，违约金从人民币500万元起计，死亡的人数多于10人时，每增加死亡1人，</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除支付上述违约金外还须再向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支付违约金人民币50万元／人；</w:t>
      </w:r>
    </w:p>
    <w:p w14:paraId="7E95384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C、发生较大事故，如造成人员死亡或重伤的，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须向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支付违约金，违约金从人民币300万元起计，死亡的人数多于3人或重伤人数多于20人时，每增加死亡1人或重伤3人，</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除支付上述违约金外还须再向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支付违约金人民币50万元；</w:t>
      </w:r>
    </w:p>
    <w:p w14:paraId="45756A80">
      <w:pPr>
        <w:keepNext/>
        <w:keepLine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D、发生一般事故，如造成人员死亡或重伤的，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须向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支付违约金，违约金从人民币100万元起计，死亡的人数多于1人或重伤人数多于3人时，每增加死亡1人或重伤3人，</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除支付上述违约金外还须再向</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支付违约金人民币50万元。</w:t>
      </w:r>
    </w:p>
    <w:p w14:paraId="7097EC94">
      <w:pPr>
        <w:keepNext/>
        <w:keepLine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E、安全事故及质量事故等级界定按国家现行有关规定执行。</w:t>
      </w:r>
    </w:p>
    <w:p w14:paraId="02CFD6B5">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依照支付违约金后，所支付的违约金不足以弥补由此给</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造成的损失的，</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还须补偿</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的其他损失。</w:t>
      </w:r>
    </w:p>
    <w:p w14:paraId="4B6B07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（二）上述扣罚在当期进度款中扣除，不足部分按以下顺序扣罚：</w:t>
      </w:r>
    </w:p>
    <w:p w14:paraId="7A71ED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1、下期进度款，结算款；</w:t>
      </w:r>
    </w:p>
    <w:p w14:paraId="476E7D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2、履约保证金。</w:t>
      </w:r>
    </w:p>
    <w:p w14:paraId="23BF84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上述扣罚款（绩效考核罚款及其他罚款等）不减少合同金额，且不能抵消乙方应当履行的赔偿责任。</w:t>
      </w:r>
    </w:p>
    <w:p w14:paraId="2B0954E6">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（三）发生一起一般安全生产责任事件的，甲方对乙方进行通报批评。发生一起一般安全生产责任事故的，甲方约谈乙方法定代表人或授权代表人，进行安全谈话，形成谈话内容纪要，正式印发给乙方。</w:t>
      </w:r>
    </w:p>
    <w:p w14:paraId="6F880D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第六条 安全专项检查评分及结果运用</w:t>
      </w:r>
    </w:p>
    <w:p w14:paraId="649AD3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安全检查为专项检查，甲方组织检查，并通报每月的检查结果。对于发现的问题和隐患，视情况严重程度给予当面提醒、口头警告，对于重大安全隐患或屡次频发的安全问题下发书面《安全文明整改通知书》（参见附件3），对严重威胁安全生产的问题下发安全停工令，责令停工整改，并可启动《服务供应商不规范行为管理办法》下发“项目监管函”警示。</w:t>
      </w:r>
    </w:p>
    <w:p w14:paraId="5382BB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检查标准依照《建筑施工安全检查标准》（JGJ59-2011）、国家、行业强制性标准及本协议规定的推荐性标准，具体检查内容详见附件2《施工单位安全文明检查标准》，甲方有权根据自身安全管理需要对附件2、3有关内容进行修改调整，并以书面形式通知乙方，乙方须按相关文件内容执行。</w:t>
      </w:r>
    </w:p>
    <w:p w14:paraId="35C5F5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对于甲方发出的《安全检查记录》，经甲方向乙方通报后，视同为甲方下发《安全文明整改通知书》。</w:t>
      </w:r>
    </w:p>
    <w:p w14:paraId="6E478A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（二）经检查（抽查）发现一般性隐患与问题达到6条及以上的，或存在重大安全隐患的，或隐患问题不整改，整改不彻底、不及时的工地，由甲方给予挂牌警告。</w:t>
      </w:r>
    </w:p>
    <w:p w14:paraId="1CFBD9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（三）乙方因安全文明管理问题被挂牌警告的，甲方有权做如下处理：</w:t>
      </w:r>
    </w:p>
    <w:p w14:paraId="102A0F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1、甲方有权对其进行通报批评；</w:t>
      </w:r>
    </w:p>
    <w:p w14:paraId="54B053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2、启动《服务供应商不规范行为管理办法》下发“项目监管函”警示，并扣罚5000-50000元；</w:t>
      </w:r>
    </w:p>
    <w:p w14:paraId="3E844F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3、启动《服务供应商不规范行为管理办法》采取约谈法定代表人措施，对乙方单位现场第一负责人、法人公司负责人进行安全谈话，形成谈话内容纪要，正式印发给乙方；</w:t>
      </w:r>
    </w:p>
    <w:p w14:paraId="34D1FC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4、纳入</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履约“黑名单”，警示期1年以上。</w:t>
      </w:r>
    </w:p>
    <w:p w14:paraId="3169A00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第七条 </w:t>
      </w:r>
    </w:p>
    <w:p w14:paraId="3B6489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乙方应遵守以下推荐性标准</w:t>
      </w:r>
      <w:r>
        <w:rPr>
          <w:rFonts w:hint="eastAsia" w:ascii="宋体" w:hAnsi="宋体" w:eastAsia="宋体" w:cs="宋体"/>
          <w:color w:val="auto"/>
          <w:sz w:val="24"/>
          <w:highlight w:val="none"/>
        </w:rPr>
        <w:t>条文内容：</w:t>
      </w:r>
    </w:p>
    <w:p w14:paraId="31E4BB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1、建筑施工易发事故防治安全标准（JGJ/T429）</w:t>
      </w:r>
    </w:p>
    <w:p w14:paraId="529E20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2、施工升降机安全使用规程（GB/T34023）</w:t>
      </w:r>
    </w:p>
    <w:p w14:paraId="5394EF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3、起重机 钢丝绳 保养、维护、安装、检验和报废(GB/T5972)</w:t>
      </w:r>
    </w:p>
    <w:p w14:paraId="59D1A0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4、钢丝绳夹（GB/T5976）</w:t>
      </w:r>
    </w:p>
    <w:p w14:paraId="5DEA97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5、建筑施工机械与设备 钢筋加工机械 安全要求（GB/T38176）</w:t>
      </w:r>
    </w:p>
    <w:p w14:paraId="5BB272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6、建筑施工机械与设备 履带式强夯机安全要求（GB/T37465）</w:t>
      </w:r>
    </w:p>
    <w:p w14:paraId="3A7DCE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7、移动式道路施工机械 夯实机械安全要求（GB/T36513）</w:t>
      </w:r>
    </w:p>
    <w:p w14:paraId="6C6FCE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8、建筑施工机械与设备 混凝土和砂浆制备机械与设备安全要求（GB/T37168）</w:t>
      </w:r>
    </w:p>
    <w:p w14:paraId="276EE0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9、高处作业吊篮安装、拆卸、使用技术规程（JB/T11699）</w:t>
      </w:r>
    </w:p>
    <w:p w14:paraId="16A553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本协议生效之日后，上述适用于本协议的推荐性标准条文有更新的，以最新的为准。若有其他新增推荐性标准，甲方也可通过工程例会形式告知乙方，并在会议纪要中记录，以该种形式告知后的推荐性标准在本协议中生效，乙方应该知晓并遵守。</w:t>
      </w:r>
    </w:p>
    <w:p w14:paraId="22C1107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第八条 </w:t>
      </w:r>
    </w:p>
    <w:p w14:paraId="702E94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（一）本协议自双方法定代表人（或授权代表）签字并加盖公章之日起生效。</w:t>
      </w:r>
    </w:p>
    <w:p w14:paraId="16DEA6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（二）本协议在履行过程中发生纠纷，双方应及时协商解决。协商不成时，任何一方均可向</w:t>
      </w:r>
      <w:r>
        <w:rPr>
          <w:rFonts w:hint="eastAsia" w:ascii="宋体" w:hAnsi="宋体" w:eastAsia="宋体" w:cs="宋体"/>
          <w:color w:val="auto"/>
          <w:sz w:val="24"/>
          <w:highlight w:val="none"/>
          <w:lang w:val="en-US" w:eastAsia="zh-CN"/>
        </w:rPr>
        <w:t>广州市番禺区</w:t>
      </w:r>
      <w:r>
        <w:rPr>
          <w:rFonts w:hint="eastAsia" w:ascii="宋体" w:hAnsi="宋体" w:eastAsia="宋体" w:cs="宋体"/>
          <w:color w:val="auto"/>
          <w:sz w:val="24"/>
          <w:highlight w:val="none"/>
        </w:rPr>
        <w:t>人民法院提起诉讼。</w:t>
      </w:r>
    </w:p>
    <w:p w14:paraId="3493C7EE">
      <w:pPr>
        <w:adjustRightInd w:val="0"/>
        <w:snapToGrid w:val="0"/>
        <w:spacing w:line="360" w:lineRule="auto"/>
        <w:ind w:firstLine="472" w:firstLineChars="196"/>
        <w:rPr>
          <w:rFonts w:hint="eastAsia" w:ascii="宋体" w:hAnsi="宋体" w:eastAsia="宋体" w:cs="宋体"/>
          <w:b/>
          <w:bCs/>
          <w:color w:val="auto"/>
          <w:sz w:val="24"/>
          <w:highlight w:val="none"/>
        </w:rPr>
      </w:pPr>
    </w:p>
    <w:p w14:paraId="5ACABCCF">
      <w:pPr>
        <w:adjustRightInd w:val="0"/>
        <w:snapToGrid w:val="0"/>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附件1：应急信息报送要求及事故（件）速报表</w:t>
      </w:r>
    </w:p>
    <w:p w14:paraId="190689BF">
      <w:pPr>
        <w:adjustRightInd w:val="0"/>
        <w:snapToGrid w:val="0"/>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附件2：施工单位安全文明检查标准</w:t>
      </w:r>
    </w:p>
    <w:p w14:paraId="0D24ABE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附件3：安全文明整改通知书、安全检查记录</w:t>
      </w:r>
    </w:p>
    <w:p w14:paraId="69396C8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附件4：安全停工令</w:t>
      </w:r>
    </w:p>
    <w:p w14:paraId="5D3BD268">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8B82771">
      <w:pPr>
        <w:adjustRightInd w:val="0"/>
        <w:snapToGrid w:val="0"/>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（本页为签署页）</w:t>
      </w:r>
    </w:p>
    <w:p w14:paraId="66F3CAED">
      <w:pPr>
        <w:pStyle w:val="6"/>
        <w:rPr>
          <w:color w:val="auto"/>
          <w:highlight w:val="none"/>
        </w:rPr>
      </w:pPr>
    </w:p>
    <w:p w14:paraId="26DF1715">
      <w:pPr>
        <w:adjustRightInd w:val="0"/>
        <w:snapToGrid w:val="0"/>
        <w:spacing w:line="360" w:lineRule="auto"/>
        <w:ind w:firstLine="480" w:firstLineChars="200"/>
        <w:rPr>
          <w:rFonts w:ascii="宋体" w:hAnsi="宋体" w:eastAsia="宋体" w:cs="宋体"/>
          <w:color w:val="auto"/>
          <w:sz w:val="24"/>
          <w:highlight w:val="none"/>
        </w:rPr>
      </w:pPr>
    </w:p>
    <w:p w14:paraId="6CE6786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甲方：广州市番禺区大龙街</w:t>
      </w:r>
      <w:r>
        <w:rPr>
          <w:rFonts w:hint="eastAsia" w:ascii="宋体" w:hAnsi="宋体" w:eastAsia="宋体" w:cs="宋体"/>
          <w:color w:val="auto"/>
          <w:sz w:val="24"/>
          <w:highlight w:val="none"/>
          <w:lang w:eastAsia="zh-CN"/>
        </w:rPr>
        <w:t>傍江东村</w:t>
      </w:r>
      <w:r>
        <w:rPr>
          <w:rFonts w:hint="eastAsia" w:ascii="宋体" w:hAnsi="宋体" w:eastAsia="宋体" w:cs="宋体"/>
          <w:color w:val="auto"/>
          <w:sz w:val="24"/>
          <w:highlight w:val="none"/>
        </w:rPr>
        <w:t>股份合作经济社（盖章）</w:t>
      </w:r>
    </w:p>
    <w:p w14:paraId="6353C73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通讯地址：</w:t>
      </w:r>
    </w:p>
    <w:p w14:paraId="29E1DD8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07186236">
      <w:pPr>
        <w:adjustRightInd w:val="0"/>
        <w:snapToGrid w:val="0"/>
        <w:spacing w:line="360" w:lineRule="auto"/>
        <w:ind w:firstLine="480" w:firstLineChars="200"/>
        <w:rPr>
          <w:rFonts w:ascii="宋体" w:hAnsi="宋体" w:eastAsia="宋体" w:cs="宋体"/>
          <w:color w:val="auto"/>
          <w:sz w:val="24"/>
          <w:highlight w:val="none"/>
        </w:rPr>
      </w:pPr>
    </w:p>
    <w:p w14:paraId="277548FB">
      <w:pPr>
        <w:pStyle w:val="6"/>
        <w:rPr>
          <w:color w:val="auto"/>
          <w:highlight w:val="none"/>
        </w:rPr>
      </w:pPr>
    </w:p>
    <w:p w14:paraId="4DAA03A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乙方（主）：           （盖章）            </w:t>
      </w:r>
    </w:p>
    <w:p w14:paraId="2739699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520C480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5C62789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14:paraId="655BF29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A270DC8">
      <w:pPr>
        <w:pStyle w:val="6"/>
        <w:rPr>
          <w:rFonts w:hint="eastAsia"/>
          <w:color w:val="auto"/>
          <w:highlight w:val="none"/>
        </w:rPr>
      </w:pPr>
    </w:p>
    <w:p w14:paraId="6B9C483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乙方（成）：          （盖章）</w:t>
      </w:r>
    </w:p>
    <w:p w14:paraId="29C7924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144277B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6AC4658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14:paraId="29AAB3D3">
      <w:pPr>
        <w:adjustRightInd w:val="0"/>
        <w:snapToGrid w:val="0"/>
        <w:spacing w:line="360" w:lineRule="auto"/>
        <w:ind w:firstLine="480" w:firstLineChars="200"/>
        <w:rPr>
          <w:rFonts w:hint="eastAsia" w:ascii="宋体" w:hAnsi="宋体" w:eastAsia="宋体" w:cs="宋体"/>
          <w:color w:val="auto"/>
          <w:sz w:val="24"/>
          <w:highlight w:val="none"/>
        </w:rPr>
      </w:pPr>
    </w:p>
    <w:p w14:paraId="3CFD4BCC">
      <w:pPr>
        <w:pStyle w:val="6"/>
        <w:rPr>
          <w:rFonts w:hint="eastAsia"/>
          <w:color w:val="auto"/>
          <w:highlight w:val="none"/>
        </w:rPr>
      </w:pPr>
    </w:p>
    <w:p w14:paraId="22560EB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乙方（成）：            （盖章）</w:t>
      </w:r>
    </w:p>
    <w:p w14:paraId="0BDDADB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459867A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58F5039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14:paraId="72122E49">
      <w:pPr>
        <w:adjustRightInd w:val="0"/>
        <w:snapToGrid w:val="0"/>
        <w:spacing w:line="360" w:lineRule="auto"/>
        <w:ind w:firstLine="460" w:firstLineChars="192"/>
        <w:rPr>
          <w:rFonts w:hint="eastAsia" w:ascii="宋体" w:hAnsi="宋体" w:eastAsia="宋体" w:cs="宋体"/>
          <w:color w:val="auto"/>
          <w:sz w:val="24"/>
          <w:highlight w:val="none"/>
        </w:rPr>
      </w:pPr>
    </w:p>
    <w:p w14:paraId="7CFA0268">
      <w:pPr>
        <w:spacing w:line="360" w:lineRule="auto"/>
        <w:ind w:firstLine="480" w:firstLineChars="200"/>
        <w:rPr>
          <w:rFonts w:hint="eastAsia" w:ascii="宋体" w:hAnsi="宋体" w:eastAsia="宋体" w:cs="宋体"/>
          <w:color w:val="auto"/>
          <w:sz w:val="24"/>
          <w:highlight w:val="none"/>
        </w:rPr>
      </w:pPr>
    </w:p>
    <w:p w14:paraId="0E674FF8">
      <w:pPr>
        <w:widowControl/>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E8F819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附件1：应急信息报送要求</w:t>
      </w:r>
    </w:p>
    <w:p w14:paraId="2A6A60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一、时间要求：</w:t>
      </w:r>
    </w:p>
    <w:p w14:paraId="0608CB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第一次报送必须在5分钟内以电话形式或当面报送，10分钟内以邮件方式报送，随后以纸质方式正式上报。</w:t>
      </w:r>
    </w:p>
    <w:p w14:paraId="0F1297B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二、报送对象：</w:t>
      </w:r>
    </w:p>
    <w:p w14:paraId="5B5FE7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报送给甲方项目负责人，如项目负责人电话不通情况下，应报送给甲方工程管理人员，如果两电话均确实不通（无信号），立即编制信息发送（其他的报送形式无效），并须越级向甲方工程管理部门上报。</w:t>
      </w:r>
    </w:p>
    <w:p w14:paraId="164337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如乙方项目经理不在场（休假），应事先进行授权，由被授权人上报。</w:t>
      </w:r>
    </w:p>
    <w:p w14:paraId="661F36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三、报送范围：</w:t>
      </w:r>
    </w:p>
    <w:p w14:paraId="13E770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1.根据合同要求明确的安全管理责任范围内发生的责任应急事件；</w:t>
      </w:r>
    </w:p>
    <w:p w14:paraId="66D1AA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2.甲方规定的报送范围</w:t>
      </w:r>
    </w:p>
    <w:p w14:paraId="367C150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四、报送格式要求</w:t>
      </w:r>
    </w:p>
    <w:p w14:paraId="752204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1.第一次电话报送格式：“某某地点几时几分发生什么事件，具体情况和原因正在调查中”。详细情况待了解清楚后再上报。</w:t>
      </w:r>
    </w:p>
    <w:p w14:paraId="2C8991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2.书面速报格式见《事故（件）速报表》。</w:t>
      </w:r>
    </w:p>
    <w:p w14:paraId="3082A0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五、其他要求</w:t>
      </w:r>
    </w:p>
    <w:p w14:paraId="1F5F76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1.对于责任范围内的突发事件，有事即报，不需任何人授权。</w:t>
      </w:r>
    </w:p>
    <w:p w14:paraId="6E4BD0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2.有信息报送责任的人员需保持通信工具畅通，不得关机。</w:t>
      </w:r>
    </w:p>
    <w:p w14:paraId="37E1F8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3.各环节责任人需记录信息报送时间信息，作为调查时的依据。乙方相关涉及人员，不得拒接甲方房产总部安全管理部负责人电话，因未接电话，导致信息报送延时的，追究其责任。</w:t>
      </w:r>
    </w:p>
    <w:p w14:paraId="4BAFFA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4.乙方必须在5分钟之内电话报甲方工程管理部，根据报送流程优化并制定内部信息报送流程和处理流程，对相关报送要求进行培训，以确保报送信息畅通、及时。</w:t>
      </w:r>
    </w:p>
    <w:p w14:paraId="1D6F26A1">
      <w:pPr>
        <w:spacing w:line="360" w:lineRule="auto"/>
        <w:ind w:firstLine="480" w:firstLineChars="200"/>
        <w:rPr>
          <w:rFonts w:hint="eastAsia" w:ascii="宋体" w:hAnsi="宋体" w:eastAsia="宋体" w:cs="宋体"/>
          <w:color w:val="auto"/>
          <w:sz w:val="24"/>
          <w:highlight w:val="none"/>
        </w:rPr>
      </w:pPr>
    </w:p>
    <w:p w14:paraId="38BCE90D">
      <w:pPr>
        <w:spacing w:line="360" w:lineRule="auto"/>
        <w:ind w:firstLine="480" w:firstLineChars="200"/>
        <w:rPr>
          <w:rFonts w:hint="eastAsia" w:ascii="宋体" w:hAnsi="宋体" w:eastAsia="宋体" w:cs="宋体"/>
          <w:color w:val="auto"/>
          <w:sz w:val="24"/>
          <w:highlight w:val="none"/>
        </w:rPr>
      </w:pPr>
    </w:p>
    <w:p w14:paraId="52E4E3DF">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事故（件）速报表</w:t>
      </w:r>
    </w:p>
    <w:p w14:paraId="7A8D0137">
      <w:pPr>
        <w:spacing w:line="360" w:lineRule="auto"/>
        <w:ind w:firstLine="120" w:firstLineChars="50"/>
        <w:rPr>
          <w:rFonts w:hint="eastAsia" w:ascii="宋体" w:hAnsi="宋体" w:eastAsia="宋体" w:cs="宋体"/>
          <w:color w:val="auto"/>
          <w:sz w:val="24"/>
          <w:highlight w:val="none"/>
        </w:rPr>
      </w:pPr>
    </w:p>
    <w:p w14:paraId="063DBC06">
      <w:pPr>
        <w:spacing w:line="360" w:lineRule="auto"/>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填报单位（公章）：</w:t>
      </w:r>
    </w:p>
    <w:p w14:paraId="7BDDE77C">
      <w:pPr>
        <w:spacing w:line="360" w:lineRule="auto"/>
        <w:rPr>
          <w:rFonts w:hint="eastAsia" w:ascii="宋体" w:hAnsi="宋体" w:eastAsia="宋体" w:cs="宋体"/>
          <w:b/>
          <w:bCs/>
          <w:color w:val="auto"/>
          <w:sz w:val="24"/>
          <w:highlight w:val="none"/>
        </w:rPr>
      </w:pPr>
    </w:p>
    <w:tbl>
      <w:tblPr>
        <w:tblStyle w:val="45"/>
        <w:tblW w:w="8532" w:type="dxa"/>
        <w:tblInd w:w="-176" w:type="dxa"/>
        <w:tblLayout w:type="fixed"/>
        <w:tblCellMar>
          <w:top w:w="0" w:type="dxa"/>
          <w:left w:w="108" w:type="dxa"/>
          <w:bottom w:w="0" w:type="dxa"/>
          <w:right w:w="108" w:type="dxa"/>
        </w:tblCellMar>
      </w:tblPr>
      <w:tblGrid>
        <w:gridCol w:w="1844"/>
        <w:gridCol w:w="1417"/>
        <w:gridCol w:w="83"/>
        <w:gridCol w:w="1618"/>
        <w:gridCol w:w="451"/>
        <w:gridCol w:w="1675"/>
        <w:gridCol w:w="1444"/>
      </w:tblGrid>
      <w:tr w14:paraId="3BB0BB07">
        <w:tblPrEx>
          <w:tblCellMar>
            <w:top w:w="0" w:type="dxa"/>
            <w:left w:w="108" w:type="dxa"/>
            <w:bottom w:w="0" w:type="dxa"/>
            <w:right w:w="108" w:type="dxa"/>
          </w:tblCellMar>
        </w:tblPrEx>
        <w:trPr>
          <w:cantSplit/>
          <w:trHeight w:val="1529" w:hRule="atLeast"/>
        </w:trPr>
        <w:tc>
          <w:tcPr>
            <w:tcW w:w="1844" w:type="dxa"/>
            <w:vMerge w:val="restart"/>
            <w:tcBorders>
              <w:top w:val="double" w:color="auto" w:sz="2" w:space="0"/>
              <w:left w:val="double" w:color="auto" w:sz="2" w:space="0"/>
              <w:bottom w:val="single" w:color="auto" w:sz="4" w:space="0"/>
              <w:right w:val="single" w:color="auto" w:sz="4" w:space="0"/>
            </w:tcBorders>
            <w:vAlign w:val="center"/>
          </w:tcPr>
          <w:p w14:paraId="16BAD224">
            <w:pPr>
              <w:keepNext w:val="0"/>
              <w:keepLines w:val="0"/>
              <w:suppressLineNumbers w:val="0"/>
              <w:spacing w:before="12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基本信息</w:t>
            </w:r>
          </w:p>
        </w:tc>
        <w:tc>
          <w:tcPr>
            <w:tcW w:w="1417" w:type="dxa"/>
            <w:tcBorders>
              <w:top w:val="double" w:color="auto" w:sz="2" w:space="0"/>
              <w:left w:val="single" w:color="auto" w:sz="4" w:space="0"/>
              <w:bottom w:val="single" w:color="auto" w:sz="4" w:space="0"/>
              <w:right w:val="single" w:color="auto" w:sz="4" w:space="0"/>
            </w:tcBorders>
            <w:vAlign w:val="center"/>
          </w:tcPr>
          <w:p w14:paraId="326732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事故（件）单位</w:t>
            </w:r>
          </w:p>
        </w:tc>
        <w:tc>
          <w:tcPr>
            <w:tcW w:w="5271" w:type="dxa"/>
            <w:gridSpan w:val="5"/>
            <w:tcBorders>
              <w:top w:val="double" w:color="auto" w:sz="2" w:space="0"/>
              <w:left w:val="single" w:color="auto" w:sz="4" w:space="0"/>
              <w:bottom w:val="single" w:color="auto" w:sz="4" w:space="0"/>
              <w:right w:val="double" w:color="auto" w:sz="2" w:space="0"/>
            </w:tcBorders>
            <w:vAlign w:val="center"/>
          </w:tcPr>
          <w:p w14:paraId="5BA5920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42B94792">
        <w:tblPrEx>
          <w:tblCellMar>
            <w:top w:w="0" w:type="dxa"/>
            <w:left w:w="108" w:type="dxa"/>
            <w:bottom w:w="0" w:type="dxa"/>
            <w:right w:w="108" w:type="dxa"/>
          </w:tblCellMar>
        </w:tblPrEx>
        <w:trPr>
          <w:cantSplit/>
          <w:trHeight w:val="1064" w:hRule="atLeast"/>
        </w:trPr>
        <w:tc>
          <w:tcPr>
            <w:tcW w:w="1844" w:type="dxa"/>
            <w:vMerge w:val="continue"/>
            <w:tcBorders>
              <w:top w:val="double" w:color="auto" w:sz="2" w:space="0"/>
              <w:left w:val="double" w:color="auto" w:sz="2" w:space="0"/>
              <w:bottom w:val="single" w:color="auto" w:sz="4" w:space="0"/>
              <w:right w:val="single" w:color="auto" w:sz="4" w:space="0"/>
            </w:tcBorders>
            <w:vAlign w:val="center"/>
          </w:tcPr>
          <w:p w14:paraId="3CB14B8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B954BE6">
            <w:pPr>
              <w:keepNext w:val="0"/>
              <w:keepLines w:val="0"/>
              <w:suppressLineNumbers w:val="0"/>
              <w:adjustRightInd w:val="0"/>
              <w:spacing w:before="0" w:beforeAutospacing="0" w:after="0" w:afterAutospacing="0" w:line="360" w:lineRule="auto"/>
              <w:ind w:left="0" w:right="-10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发生时间</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FCF2E73">
            <w:pPr>
              <w:keepNext w:val="0"/>
              <w:keepLines w:val="0"/>
              <w:suppressLineNumbers w:val="0"/>
              <w:adjustRightInd w:val="0"/>
              <w:spacing w:before="0" w:beforeAutospacing="0" w:after="0" w:afterAutospacing="0" w:line="360" w:lineRule="auto"/>
              <w:ind w:left="0" w:right="21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月日时分</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45BA5A">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（预计）处理结束时间</w:t>
            </w:r>
          </w:p>
        </w:tc>
        <w:tc>
          <w:tcPr>
            <w:tcW w:w="1444" w:type="dxa"/>
            <w:tcBorders>
              <w:top w:val="single" w:color="auto" w:sz="4" w:space="0"/>
              <w:left w:val="single" w:color="auto" w:sz="4" w:space="0"/>
              <w:bottom w:val="single" w:color="auto" w:sz="4" w:space="0"/>
              <w:right w:val="double" w:color="auto" w:sz="2" w:space="0"/>
            </w:tcBorders>
            <w:vAlign w:val="center"/>
          </w:tcPr>
          <w:p w14:paraId="3DF2E038">
            <w:pPr>
              <w:keepNext w:val="0"/>
              <w:keepLines w:val="0"/>
              <w:suppressLineNumbers w:val="0"/>
              <w:spacing w:before="0" w:beforeAutospacing="0" w:after="0" w:afterAutospacing="0" w:line="360" w:lineRule="auto"/>
              <w:ind w:left="0" w:right="71" w:rightChars="34"/>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月  日  时  分</w:t>
            </w:r>
          </w:p>
        </w:tc>
      </w:tr>
      <w:tr w14:paraId="1E5B959E">
        <w:tblPrEx>
          <w:tblCellMar>
            <w:top w:w="0" w:type="dxa"/>
            <w:left w:w="108" w:type="dxa"/>
            <w:bottom w:w="0" w:type="dxa"/>
            <w:right w:w="108" w:type="dxa"/>
          </w:tblCellMar>
        </w:tblPrEx>
        <w:trPr>
          <w:cantSplit/>
          <w:trHeight w:val="547" w:hRule="atLeast"/>
        </w:trPr>
        <w:tc>
          <w:tcPr>
            <w:tcW w:w="1844" w:type="dxa"/>
            <w:vMerge w:val="continue"/>
            <w:tcBorders>
              <w:top w:val="double" w:color="auto" w:sz="2" w:space="0"/>
              <w:left w:val="double" w:color="auto" w:sz="2" w:space="0"/>
              <w:bottom w:val="single" w:color="auto" w:sz="4" w:space="0"/>
              <w:right w:val="single" w:color="auto" w:sz="4" w:space="0"/>
            </w:tcBorders>
            <w:vAlign w:val="center"/>
          </w:tcPr>
          <w:p w14:paraId="779013E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3A8E281">
            <w:pPr>
              <w:keepNext w:val="0"/>
              <w:keepLines w:val="0"/>
              <w:suppressLineNumbers w:val="0"/>
              <w:adjustRightInd w:val="0"/>
              <w:spacing w:before="0" w:beforeAutospacing="0" w:after="0" w:afterAutospacing="0" w:line="360" w:lineRule="auto"/>
              <w:ind w:left="0" w:right="-107"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p>
        </w:tc>
        <w:tc>
          <w:tcPr>
            <w:tcW w:w="5271" w:type="dxa"/>
            <w:gridSpan w:val="5"/>
            <w:tcBorders>
              <w:top w:val="single" w:color="auto" w:sz="4" w:space="0"/>
              <w:left w:val="single" w:color="auto" w:sz="4" w:space="0"/>
              <w:bottom w:val="single" w:color="auto" w:sz="4" w:space="0"/>
              <w:right w:val="double" w:color="auto" w:sz="2" w:space="0"/>
            </w:tcBorders>
            <w:vAlign w:val="center"/>
          </w:tcPr>
          <w:p w14:paraId="40207A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7A3982A0">
        <w:trPr>
          <w:cantSplit/>
          <w:trHeight w:val="1185" w:hRule="atLeast"/>
        </w:trPr>
        <w:tc>
          <w:tcPr>
            <w:tcW w:w="1844" w:type="dxa"/>
            <w:tcBorders>
              <w:top w:val="single" w:color="auto" w:sz="4" w:space="0"/>
              <w:left w:val="double" w:color="auto" w:sz="2" w:space="0"/>
              <w:bottom w:val="single" w:color="auto" w:sz="4" w:space="0"/>
              <w:right w:val="single" w:color="auto" w:sz="4" w:space="0"/>
            </w:tcBorders>
            <w:vAlign w:val="center"/>
          </w:tcPr>
          <w:p w14:paraId="05BFF623">
            <w:pPr>
              <w:keepNext w:val="0"/>
              <w:keepLines w:val="0"/>
              <w:suppressLineNumbers w:val="0"/>
              <w:adjustRightInd w:val="0"/>
              <w:spacing w:before="12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事故（件）概况</w:t>
            </w:r>
          </w:p>
        </w:tc>
        <w:tc>
          <w:tcPr>
            <w:tcW w:w="6688" w:type="dxa"/>
            <w:gridSpan w:val="6"/>
            <w:tcBorders>
              <w:top w:val="single" w:color="auto" w:sz="4" w:space="0"/>
              <w:left w:val="single" w:color="auto" w:sz="4" w:space="0"/>
              <w:bottom w:val="single" w:color="auto" w:sz="4" w:space="0"/>
              <w:right w:val="double" w:color="auto" w:sz="2" w:space="0"/>
            </w:tcBorders>
            <w:vAlign w:val="center"/>
          </w:tcPr>
          <w:p w14:paraId="174A0C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0A90B99C">
        <w:tblPrEx>
          <w:tblCellMar>
            <w:top w:w="0" w:type="dxa"/>
            <w:left w:w="108" w:type="dxa"/>
            <w:bottom w:w="0" w:type="dxa"/>
            <w:right w:w="108" w:type="dxa"/>
          </w:tblCellMar>
        </w:tblPrEx>
        <w:trPr>
          <w:cantSplit/>
          <w:trHeight w:val="1091" w:hRule="atLeast"/>
        </w:trPr>
        <w:tc>
          <w:tcPr>
            <w:tcW w:w="1844" w:type="dxa"/>
            <w:tcBorders>
              <w:top w:val="single" w:color="auto" w:sz="4" w:space="0"/>
              <w:left w:val="double" w:color="auto" w:sz="2" w:space="0"/>
              <w:bottom w:val="single" w:color="auto" w:sz="4" w:space="0"/>
              <w:right w:val="single" w:color="auto" w:sz="4" w:space="0"/>
            </w:tcBorders>
            <w:vAlign w:val="center"/>
          </w:tcPr>
          <w:p w14:paraId="2EC87C17">
            <w:pPr>
              <w:keepNext w:val="0"/>
              <w:keepLines w:val="0"/>
              <w:suppressLineNumbers w:val="0"/>
              <w:adjustRightInd w:val="0"/>
              <w:spacing w:before="0" w:beforeAutospacing="0" w:after="0" w:afterAutospacing="0" w:line="360" w:lineRule="auto"/>
              <w:ind w:left="113" w:right="1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事故（件）损失</w:t>
            </w:r>
          </w:p>
        </w:tc>
        <w:tc>
          <w:tcPr>
            <w:tcW w:w="6688" w:type="dxa"/>
            <w:gridSpan w:val="6"/>
            <w:tcBorders>
              <w:top w:val="single" w:color="auto" w:sz="4" w:space="0"/>
              <w:left w:val="single" w:color="auto" w:sz="4" w:space="0"/>
              <w:bottom w:val="single" w:color="auto" w:sz="4" w:space="0"/>
              <w:right w:val="double" w:color="auto" w:sz="2" w:space="0"/>
            </w:tcBorders>
            <w:vAlign w:val="center"/>
          </w:tcPr>
          <w:p w14:paraId="51CAD8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729EB693">
        <w:tblPrEx>
          <w:tblCellMar>
            <w:top w:w="0" w:type="dxa"/>
            <w:left w:w="108" w:type="dxa"/>
            <w:bottom w:w="0" w:type="dxa"/>
            <w:right w:w="108" w:type="dxa"/>
          </w:tblCellMar>
        </w:tblPrEx>
        <w:trPr>
          <w:cantSplit/>
          <w:trHeight w:val="1247" w:hRule="atLeast"/>
        </w:trPr>
        <w:tc>
          <w:tcPr>
            <w:tcW w:w="1844" w:type="dxa"/>
            <w:tcBorders>
              <w:top w:val="single" w:color="auto" w:sz="4" w:space="0"/>
              <w:left w:val="double" w:color="auto" w:sz="2" w:space="0"/>
              <w:bottom w:val="single" w:color="auto" w:sz="4" w:space="0"/>
              <w:right w:val="single" w:color="auto" w:sz="4" w:space="0"/>
            </w:tcBorders>
            <w:vAlign w:val="center"/>
          </w:tcPr>
          <w:p w14:paraId="69FD0B5A">
            <w:pPr>
              <w:keepNext w:val="0"/>
              <w:keepLines w:val="0"/>
              <w:suppressLineNumbers w:val="0"/>
              <w:adjustRightInd w:val="0"/>
              <w:spacing w:before="0" w:beforeAutospacing="0" w:after="0" w:afterAutospacing="0" w:line="360" w:lineRule="auto"/>
              <w:ind w:left="113" w:right="1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初步原因分析</w:t>
            </w:r>
          </w:p>
        </w:tc>
        <w:tc>
          <w:tcPr>
            <w:tcW w:w="6688" w:type="dxa"/>
            <w:gridSpan w:val="6"/>
            <w:tcBorders>
              <w:top w:val="single" w:color="auto" w:sz="4" w:space="0"/>
              <w:left w:val="single" w:color="auto" w:sz="4" w:space="0"/>
              <w:bottom w:val="single" w:color="auto" w:sz="4" w:space="0"/>
              <w:right w:val="double" w:color="auto" w:sz="2" w:space="0"/>
            </w:tcBorders>
            <w:vAlign w:val="center"/>
          </w:tcPr>
          <w:p w14:paraId="48CCA2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06EFDF04">
        <w:tblPrEx>
          <w:tblCellMar>
            <w:top w:w="0" w:type="dxa"/>
            <w:left w:w="108" w:type="dxa"/>
            <w:bottom w:w="0" w:type="dxa"/>
            <w:right w:w="108" w:type="dxa"/>
          </w:tblCellMar>
        </w:tblPrEx>
        <w:trPr>
          <w:cantSplit/>
          <w:trHeight w:val="1141" w:hRule="atLeast"/>
        </w:trPr>
        <w:tc>
          <w:tcPr>
            <w:tcW w:w="1844" w:type="dxa"/>
            <w:tcBorders>
              <w:top w:val="single" w:color="auto" w:sz="4" w:space="0"/>
              <w:left w:val="double" w:color="auto" w:sz="2" w:space="0"/>
              <w:bottom w:val="single" w:color="auto" w:sz="4" w:space="0"/>
              <w:right w:val="single" w:color="auto" w:sz="4" w:space="0"/>
            </w:tcBorders>
            <w:vAlign w:val="center"/>
          </w:tcPr>
          <w:p w14:paraId="66544E2A">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已采取</w:t>
            </w:r>
          </w:p>
          <w:p w14:paraId="426FFD7E">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措施</w:t>
            </w:r>
          </w:p>
        </w:tc>
        <w:tc>
          <w:tcPr>
            <w:tcW w:w="6688" w:type="dxa"/>
            <w:gridSpan w:val="6"/>
            <w:tcBorders>
              <w:top w:val="single" w:color="auto" w:sz="4" w:space="0"/>
              <w:left w:val="single" w:color="auto" w:sz="4" w:space="0"/>
              <w:bottom w:val="single" w:color="auto" w:sz="4" w:space="0"/>
              <w:right w:val="double" w:color="auto" w:sz="2" w:space="0"/>
            </w:tcBorders>
            <w:vAlign w:val="center"/>
          </w:tcPr>
          <w:p w14:paraId="4D5374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3DCF78DF">
        <w:tblPrEx>
          <w:tblCellMar>
            <w:top w:w="0" w:type="dxa"/>
            <w:left w:w="108" w:type="dxa"/>
            <w:bottom w:w="0" w:type="dxa"/>
            <w:right w:w="108" w:type="dxa"/>
          </w:tblCellMar>
        </w:tblPrEx>
        <w:trPr>
          <w:cantSplit/>
          <w:trHeight w:val="454" w:hRule="atLeast"/>
        </w:trPr>
        <w:tc>
          <w:tcPr>
            <w:tcW w:w="1844" w:type="dxa"/>
            <w:vMerge w:val="restart"/>
            <w:tcBorders>
              <w:top w:val="single" w:color="auto" w:sz="4" w:space="0"/>
              <w:left w:val="double" w:color="auto" w:sz="2" w:space="0"/>
              <w:bottom w:val="single" w:color="auto" w:sz="4" w:space="0"/>
              <w:right w:val="single" w:color="auto" w:sz="4" w:space="0"/>
            </w:tcBorders>
            <w:vAlign w:val="center"/>
          </w:tcPr>
          <w:p w14:paraId="593E45D0">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事故（件）处理</w:t>
            </w:r>
          </w:p>
          <w:p w14:paraId="2F576E05">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负责人</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28F798E5">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069" w:type="dxa"/>
            <w:gridSpan w:val="2"/>
            <w:tcBorders>
              <w:top w:val="single" w:color="auto" w:sz="4" w:space="0"/>
              <w:left w:val="single" w:color="auto" w:sz="4" w:space="0"/>
              <w:bottom w:val="single" w:color="auto" w:sz="4" w:space="0"/>
              <w:right w:val="single" w:color="auto" w:sz="4" w:space="0"/>
            </w:tcBorders>
            <w:vAlign w:val="center"/>
          </w:tcPr>
          <w:p w14:paraId="6B66F022">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3119" w:type="dxa"/>
            <w:gridSpan w:val="2"/>
            <w:tcBorders>
              <w:top w:val="single" w:color="auto" w:sz="4" w:space="0"/>
              <w:left w:val="single" w:color="auto" w:sz="4" w:space="0"/>
              <w:bottom w:val="single" w:color="auto" w:sz="4" w:space="0"/>
              <w:right w:val="double" w:color="auto" w:sz="2" w:space="0"/>
            </w:tcBorders>
            <w:vAlign w:val="center"/>
          </w:tcPr>
          <w:p w14:paraId="0365B733">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71EA3726">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14:paraId="7EC8715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5A35A18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2069" w:type="dxa"/>
            <w:gridSpan w:val="2"/>
            <w:tcBorders>
              <w:top w:val="single" w:color="auto" w:sz="4" w:space="0"/>
              <w:left w:val="single" w:color="auto" w:sz="4" w:space="0"/>
              <w:bottom w:val="single" w:color="auto" w:sz="4" w:space="0"/>
              <w:right w:val="single" w:color="auto" w:sz="4" w:space="0"/>
            </w:tcBorders>
            <w:vAlign w:val="center"/>
          </w:tcPr>
          <w:p w14:paraId="75E9B0A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9" w:type="dxa"/>
            <w:gridSpan w:val="2"/>
            <w:tcBorders>
              <w:top w:val="single" w:color="auto" w:sz="4" w:space="0"/>
              <w:left w:val="single" w:color="auto" w:sz="4" w:space="0"/>
              <w:bottom w:val="single" w:color="auto" w:sz="4" w:space="0"/>
              <w:right w:val="double" w:color="auto" w:sz="2" w:space="0"/>
            </w:tcBorders>
            <w:vAlign w:val="center"/>
          </w:tcPr>
          <w:p w14:paraId="4A4B65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5850DCA6">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14:paraId="335354A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1395E7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2069" w:type="dxa"/>
            <w:gridSpan w:val="2"/>
            <w:tcBorders>
              <w:top w:val="single" w:color="auto" w:sz="4" w:space="0"/>
              <w:left w:val="single" w:color="auto" w:sz="4" w:space="0"/>
              <w:bottom w:val="single" w:color="auto" w:sz="4" w:space="0"/>
              <w:right w:val="single" w:color="auto" w:sz="4" w:space="0"/>
            </w:tcBorders>
            <w:vAlign w:val="center"/>
          </w:tcPr>
          <w:p w14:paraId="3406D9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9" w:type="dxa"/>
            <w:gridSpan w:val="2"/>
            <w:tcBorders>
              <w:top w:val="single" w:color="auto" w:sz="4" w:space="0"/>
              <w:left w:val="single" w:color="auto" w:sz="4" w:space="0"/>
              <w:bottom w:val="single" w:color="auto" w:sz="4" w:space="0"/>
              <w:right w:val="double" w:color="auto" w:sz="2" w:space="0"/>
            </w:tcBorders>
            <w:vAlign w:val="center"/>
          </w:tcPr>
          <w:p w14:paraId="0F308E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1F2A3D93">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14:paraId="600E078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p>
        </w:tc>
        <w:tc>
          <w:tcPr>
            <w:tcW w:w="1500" w:type="dxa"/>
            <w:gridSpan w:val="2"/>
            <w:tcBorders>
              <w:top w:val="single" w:color="auto" w:sz="4" w:space="0"/>
              <w:left w:val="single" w:color="auto" w:sz="4" w:space="0"/>
              <w:bottom w:val="double" w:color="auto" w:sz="2" w:space="0"/>
              <w:right w:val="single" w:color="auto" w:sz="4" w:space="0"/>
            </w:tcBorders>
            <w:vAlign w:val="center"/>
          </w:tcPr>
          <w:p w14:paraId="728393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2069" w:type="dxa"/>
            <w:gridSpan w:val="2"/>
            <w:tcBorders>
              <w:top w:val="single" w:color="auto" w:sz="4" w:space="0"/>
              <w:left w:val="single" w:color="auto" w:sz="4" w:space="0"/>
              <w:bottom w:val="double" w:color="auto" w:sz="2" w:space="0"/>
              <w:right w:val="single" w:color="auto" w:sz="4" w:space="0"/>
            </w:tcBorders>
            <w:vAlign w:val="center"/>
          </w:tcPr>
          <w:p w14:paraId="1AE180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3119" w:type="dxa"/>
            <w:gridSpan w:val="2"/>
            <w:tcBorders>
              <w:top w:val="single" w:color="auto" w:sz="4" w:space="0"/>
              <w:left w:val="single" w:color="auto" w:sz="4" w:space="0"/>
              <w:bottom w:val="double" w:color="auto" w:sz="2" w:space="0"/>
              <w:right w:val="double" w:color="auto" w:sz="2" w:space="0"/>
            </w:tcBorders>
            <w:vAlign w:val="center"/>
          </w:tcPr>
          <w:p w14:paraId="3053F9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bl>
    <w:p w14:paraId="2933A0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单位领导：        施工单位负责人：             填表人：          填报时间：</w:t>
      </w:r>
    </w:p>
    <w:p w14:paraId="4665F87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注：本表由施工单位填写，“事故（件）单位”指事故发生单位，涉及多家单位时，</w:t>
      </w:r>
    </w:p>
    <w:p w14:paraId="799BC683">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一并填入。</w:t>
      </w:r>
    </w:p>
    <w:p w14:paraId="16FF4CFC">
      <w:pPr>
        <w:adjustRightInd w:val="0"/>
        <w:snapToGrid w:val="0"/>
        <w:spacing w:line="360" w:lineRule="auto"/>
        <w:ind w:left="960" w:hanging="960" w:hangingChars="400"/>
        <w:jc w:val="left"/>
        <w:rPr>
          <w:rFonts w:hint="eastAsia" w:ascii="宋体" w:hAnsi="宋体" w:eastAsia="宋体" w:cs="宋体"/>
          <w:color w:val="auto"/>
          <w:sz w:val="24"/>
          <w:highlight w:val="none"/>
        </w:rPr>
      </w:pPr>
    </w:p>
    <w:p w14:paraId="6E08E9F4">
      <w:pPr>
        <w:adjustRightInd w:val="0"/>
        <w:snapToGrid w:val="0"/>
        <w:spacing w:line="360" w:lineRule="auto"/>
        <w:ind w:left="960" w:hanging="960" w:hangingChars="400"/>
        <w:jc w:val="left"/>
        <w:rPr>
          <w:rFonts w:hint="eastAsia" w:ascii="宋体" w:hAnsi="宋体" w:eastAsia="宋体" w:cs="宋体"/>
          <w:color w:val="auto"/>
          <w:sz w:val="24"/>
          <w:highlight w:val="none"/>
        </w:rPr>
      </w:pPr>
    </w:p>
    <w:p w14:paraId="6D9F85FE">
      <w:pPr>
        <w:adjustRightInd w:val="0"/>
        <w:snapToGrid w:val="0"/>
        <w:spacing w:line="360" w:lineRule="auto"/>
        <w:ind w:left="960" w:hanging="960" w:hangingChars="4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w:t>
      </w:r>
    </w:p>
    <w:p w14:paraId="0F5A7702">
      <w:pPr>
        <w:adjustRightInd w:val="0"/>
        <w:snapToGrid w:val="0"/>
        <w:spacing w:line="360" w:lineRule="auto"/>
        <w:ind w:left="964" w:hanging="964" w:hangingChars="40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施工单位安全文明检查标准</w:t>
      </w:r>
    </w:p>
    <w:tbl>
      <w:tblPr>
        <w:tblStyle w:val="45"/>
        <w:tblW w:w="8986" w:type="dxa"/>
        <w:jc w:val="center"/>
        <w:tblLayout w:type="fixed"/>
        <w:tblCellMar>
          <w:top w:w="0" w:type="dxa"/>
          <w:left w:w="108" w:type="dxa"/>
          <w:bottom w:w="0" w:type="dxa"/>
          <w:right w:w="108" w:type="dxa"/>
        </w:tblCellMar>
      </w:tblPr>
      <w:tblGrid>
        <w:gridCol w:w="682"/>
        <w:gridCol w:w="636"/>
        <w:gridCol w:w="957"/>
        <w:gridCol w:w="6711"/>
      </w:tblGrid>
      <w:tr w14:paraId="556BF076">
        <w:tblPrEx>
          <w:tblCellMar>
            <w:top w:w="0" w:type="dxa"/>
            <w:left w:w="108" w:type="dxa"/>
            <w:bottom w:w="0" w:type="dxa"/>
            <w:right w:w="108" w:type="dxa"/>
          </w:tblCellMar>
        </w:tblPrEx>
        <w:trPr>
          <w:trHeight w:val="14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5E8797A">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593" w:type="dxa"/>
            <w:gridSpan w:val="2"/>
            <w:tcBorders>
              <w:top w:val="single" w:color="auto" w:sz="4" w:space="0"/>
              <w:left w:val="nil"/>
              <w:bottom w:val="single" w:color="auto" w:sz="4" w:space="0"/>
              <w:right w:val="single" w:color="auto" w:sz="4" w:space="0"/>
            </w:tcBorders>
            <w:vAlign w:val="center"/>
          </w:tcPr>
          <w:p w14:paraId="4B5D804D">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检查项目</w:t>
            </w:r>
          </w:p>
        </w:tc>
        <w:tc>
          <w:tcPr>
            <w:tcW w:w="6711" w:type="dxa"/>
            <w:tcBorders>
              <w:top w:val="single" w:color="auto" w:sz="4" w:space="0"/>
              <w:left w:val="nil"/>
              <w:bottom w:val="single" w:color="auto" w:sz="4" w:space="0"/>
              <w:right w:val="single" w:color="auto" w:sz="4" w:space="0"/>
            </w:tcBorders>
            <w:vAlign w:val="center"/>
          </w:tcPr>
          <w:p w14:paraId="5A4BAC3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检查标准</w:t>
            </w:r>
          </w:p>
        </w:tc>
      </w:tr>
      <w:tr w14:paraId="60687D5B">
        <w:tblPrEx>
          <w:tblCellMar>
            <w:top w:w="0" w:type="dxa"/>
            <w:left w:w="108" w:type="dxa"/>
            <w:bottom w:w="0" w:type="dxa"/>
            <w:right w:w="108" w:type="dxa"/>
          </w:tblCellMar>
        </w:tblPrEx>
        <w:trPr>
          <w:trHeight w:val="240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0C0E9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36" w:type="dxa"/>
            <w:vMerge w:val="restart"/>
            <w:tcBorders>
              <w:top w:val="nil"/>
              <w:left w:val="nil"/>
              <w:bottom w:val="single" w:color="auto" w:sz="4" w:space="0"/>
              <w:right w:val="single" w:color="auto" w:sz="4" w:space="0"/>
            </w:tcBorders>
            <w:vAlign w:val="center"/>
          </w:tcPr>
          <w:p w14:paraId="7470A6C6">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安全管理</w:t>
            </w:r>
          </w:p>
        </w:tc>
        <w:tc>
          <w:tcPr>
            <w:tcW w:w="957" w:type="dxa"/>
            <w:tcBorders>
              <w:top w:val="single" w:color="auto" w:sz="4" w:space="0"/>
              <w:left w:val="nil"/>
              <w:bottom w:val="single" w:color="auto" w:sz="4" w:space="0"/>
              <w:right w:val="single" w:color="auto" w:sz="4" w:space="0"/>
            </w:tcBorders>
            <w:vAlign w:val="center"/>
          </w:tcPr>
          <w:p w14:paraId="437D4830">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项目组织</w:t>
            </w:r>
          </w:p>
        </w:tc>
        <w:tc>
          <w:tcPr>
            <w:tcW w:w="6711" w:type="dxa"/>
            <w:tcBorders>
              <w:top w:val="single" w:color="auto" w:sz="4" w:space="0"/>
              <w:left w:val="nil"/>
              <w:bottom w:val="single" w:color="auto" w:sz="4" w:space="0"/>
              <w:right w:val="single" w:color="auto" w:sz="4" w:space="0"/>
            </w:tcBorders>
            <w:vAlign w:val="center"/>
          </w:tcPr>
          <w:p w14:paraId="4DB2DA61">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部经理、副经理、总工和专职安全管理人员是否与投标承诺或合同一致；如不一致，是否已更换，是否已完善审批、备案手续；主要管理人员资质是否与投标承诺或合同相符；是否建立安全责任制；是否明确安全管理目标，并按人员和单位进行目标分解。</w:t>
            </w:r>
          </w:p>
          <w:p w14:paraId="64A4390C">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2、是否按有关规定配备足够数量安全管理人员。</w:t>
            </w:r>
          </w:p>
          <w:p w14:paraId="4510F82F">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3、项目经理、主管安全领导是否出席项目部各项安全会议、安全大检查；根据考勤记录，是否有项目经理长期不在岗现象。</w:t>
            </w:r>
          </w:p>
          <w:p w14:paraId="7BA69F02">
            <w:pPr>
              <w:keepNext w:val="0"/>
              <w:keepLines w:val="0"/>
              <w:suppressLineNumbers w:val="0"/>
              <w:snapToGrid w:val="0"/>
              <w:spacing w:before="0" w:beforeAutospacing="0" w:after="0" w:afterAutospacing="0"/>
              <w:ind w:left="1"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4、分包单位无是否有安全生产许可证，是否具备相应的施工资质等级；总承包单位是否与分包单位签订安全协议，是否出现转包、以包代管；安全管理目标是否与总承包单位一致。</w:t>
            </w:r>
          </w:p>
          <w:p w14:paraId="0286F0D9">
            <w:pPr>
              <w:keepNext w:val="0"/>
              <w:keepLines w:val="0"/>
              <w:suppressLineNumbers w:val="0"/>
              <w:snapToGrid w:val="0"/>
              <w:spacing w:before="0" w:beforeAutospacing="0" w:after="0" w:afterAutospacing="0"/>
              <w:ind w:left="1"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5、围墙内涉及相关单位（非本工程参建单位）共同作业时，是否签订安全管理协议。</w:t>
            </w:r>
          </w:p>
        </w:tc>
      </w:tr>
      <w:tr w14:paraId="5EBEF35D">
        <w:tblPrEx>
          <w:tblCellMar>
            <w:top w:w="0" w:type="dxa"/>
            <w:left w:w="108" w:type="dxa"/>
            <w:bottom w:w="0" w:type="dxa"/>
            <w:right w:w="108" w:type="dxa"/>
          </w:tblCellMar>
        </w:tblPrEx>
        <w:trPr>
          <w:trHeight w:val="15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B178B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36" w:type="dxa"/>
            <w:vMerge w:val="continue"/>
            <w:tcBorders>
              <w:top w:val="nil"/>
              <w:left w:val="nil"/>
              <w:bottom w:val="single" w:color="auto" w:sz="4" w:space="0"/>
              <w:right w:val="single" w:color="auto" w:sz="4" w:space="0"/>
            </w:tcBorders>
            <w:vAlign w:val="center"/>
          </w:tcPr>
          <w:p w14:paraId="3F589B0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4B86C0C5">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安全检查</w:t>
            </w:r>
          </w:p>
        </w:tc>
        <w:tc>
          <w:tcPr>
            <w:tcW w:w="6711" w:type="dxa"/>
            <w:tcBorders>
              <w:top w:val="single" w:color="auto" w:sz="4" w:space="0"/>
              <w:left w:val="nil"/>
              <w:bottom w:val="single" w:color="auto" w:sz="4" w:space="0"/>
              <w:right w:val="single" w:color="auto" w:sz="4" w:space="0"/>
            </w:tcBorders>
            <w:vAlign w:val="center"/>
          </w:tcPr>
          <w:p w14:paraId="434BD915">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1．是否按照安全检查制度进行检查；安全直接责任人每周是否带队对工地检查一次。</w:t>
            </w:r>
          </w:p>
          <w:p w14:paraId="6928B529">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2．项目经理每月是否带队安全检查一次。</w:t>
            </w:r>
          </w:p>
          <w:p w14:paraId="17565490">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3、每月是否对照《广东省建筑施工安全管理资料统一用表》检查一次。</w:t>
            </w:r>
          </w:p>
          <w:p w14:paraId="09B205B8">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4．施工单位的管理人员是否积极主动配合检查。</w:t>
            </w:r>
          </w:p>
        </w:tc>
      </w:tr>
      <w:tr w14:paraId="0FA3BC29">
        <w:tblPrEx>
          <w:tblCellMar>
            <w:top w:w="0" w:type="dxa"/>
            <w:left w:w="108" w:type="dxa"/>
            <w:bottom w:w="0" w:type="dxa"/>
            <w:right w:w="108" w:type="dxa"/>
          </w:tblCellMar>
        </w:tblPrEx>
        <w:trPr>
          <w:trHeight w:val="2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DFAFF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36" w:type="dxa"/>
            <w:vMerge w:val="restart"/>
            <w:tcBorders>
              <w:top w:val="nil"/>
              <w:left w:val="nil"/>
              <w:bottom w:val="single" w:color="auto" w:sz="4" w:space="0"/>
              <w:right w:val="single" w:color="auto" w:sz="4" w:space="0"/>
            </w:tcBorders>
            <w:vAlign w:val="center"/>
          </w:tcPr>
          <w:p w14:paraId="765C27FB">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内业资料</w:t>
            </w:r>
          </w:p>
        </w:tc>
        <w:tc>
          <w:tcPr>
            <w:tcW w:w="957" w:type="dxa"/>
            <w:tcBorders>
              <w:top w:val="single" w:color="auto" w:sz="4" w:space="0"/>
              <w:left w:val="nil"/>
              <w:bottom w:val="single" w:color="auto" w:sz="4" w:space="0"/>
              <w:right w:val="single" w:color="auto" w:sz="4" w:space="0"/>
            </w:tcBorders>
            <w:vAlign w:val="center"/>
          </w:tcPr>
          <w:p w14:paraId="20D3A81A">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安全制度及资料</w:t>
            </w:r>
          </w:p>
        </w:tc>
        <w:tc>
          <w:tcPr>
            <w:tcW w:w="6711" w:type="dxa"/>
            <w:tcBorders>
              <w:top w:val="single" w:color="auto" w:sz="4" w:space="0"/>
              <w:left w:val="nil"/>
              <w:bottom w:val="single" w:color="auto" w:sz="4" w:space="0"/>
              <w:right w:val="single" w:color="auto" w:sz="4" w:space="0"/>
            </w:tcBorders>
            <w:vAlign w:val="center"/>
          </w:tcPr>
          <w:p w14:paraId="750DFB54">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1、项目部是否建立和完善规章制度和内业资料；</w:t>
            </w:r>
          </w:p>
          <w:p w14:paraId="268ED60C">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2、开展安全风险排查、辨识及过程控制工作。是否按照要求开展安全风险排查；是否按时上报风险排查辨识成果、台账；是否开展风险过程控制；</w:t>
            </w:r>
          </w:p>
        </w:tc>
      </w:tr>
      <w:tr w14:paraId="4D6CCDC8">
        <w:tblPrEx>
          <w:tblCellMar>
            <w:top w:w="0" w:type="dxa"/>
            <w:left w:w="108" w:type="dxa"/>
            <w:bottom w:w="0" w:type="dxa"/>
            <w:right w:w="108" w:type="dxa"/>
          </w:tblCellMar>
        </w:tblPrEx>
        <w:trPr>
          <w:trHeight w:val="107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6216C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36" w:type="dxa"/>
            <w:vMerge w:val="continue"/>
            <w:tcBorders>
              <w:top w:val="nil"/>
              <w:left w:val="nil"/>
              <w:bottom w:val="single" w:color="auto" w:sz="4" w:space="0"/>
              <w:right w:val="single" w:color="auto" w:sz="4" w:space="0"/>
            </w:tcBorders>
            <w:vAlign w:val="center"/>
          </w:tcPr>
          <w:p w14:paraId="30B3D76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27F6596B">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员工安全教育及培训</w:t>
            </w:r>
          </w:p>
        </w:tc>
        <w:tc>
          <w:tcPr>
            <w:tcW w:w="6711" w:type="dxa"/>
            <w:tcBorders>
              <w:top w:val="single" w:color="auto" w:sz="4" w:space="0"/>
              <w:left w:val="nil"/>
              <w:bottom w:val="single" w:color="auto" w:sz="4" w:space="0"/>
              <w:right w:val="single" w:color="auto" w:sz="4" w:space="0"/>
            </w:tcBorders>
            <w:vAlign w:val="center"/>
          </w:tcPr>
          <w:p w14:paraId="0C597C58">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1、员工应经过安全培训合格，工人按规定需进行三级安全教育后才能上岗，进场工人是否已进行三级安全教育；三级安全教育记录是否完善，是否满足学时要求，有无代签名现象；</w:t>
            </w:r>
          </w:p>
          <w:p w14:paraId="7189A43D">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2、是否每日落实班前教育，并将班前教育照片上报至安全生产工作群；</w:t>
            </w:r>
          </w:p>
          <w:p w14:paraId="1032471E">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3、项目部级进场教育是否按</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《关于进一步强化建设项目安全管理的通知》（云城开投〔2023〕76号）要求执行。</w:t>
            </w:r>
          </w:p>
        </w:tc>
      </w:tr>
      <w:tr w14:paraId="44D712A1">
        <w:tblPrEx>
          <w:tblCellMar>
            <w:top w:w="0" w:type="dxa"/>
            <w:left w:w="108" w:type="dxa"/>
            <w:bottom w:w="0" w:type="dxa"/>
            <w:right w:w="108" w:type="dxa"/>
          </w:tblCellMar>
        </w:tblPrEx>
        <w:trPr>
          <w:trHeight w:val="20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15269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36" w:type="dxa"/>
            <w:vMerge w:val="continue"/>
            <w:tcBorders>
              <w:top w:val="nil"/>
              <w:left w:val="nil"/>
              <w:bottom w:val="single" w:color="auto" w:sz="4" w:space="0"/>
              <w:right w:val="single" w:color="auto" w:sz="4" w:space="0"/>
            </w:tcBorders>
            <w:vAlign w:val="center"/>
          </w:tcPr>
          <w:p w14:paraId="5BFD1BE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05876B45">
            <w:pPr>
              <w:keepNext w:val="0"/>
              <w:keepLines w:val="0"/>
              <w:suppressLineNumbers w:val="0"/>
              <w:snapToGrid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隐患整改</w:t>
            </w:r>
          </w:p>
        </w:tc>
        <w:tc>
          <w:tcPr>
            <w:tcW w:w="6711" w:type="dxa"/>
            <w:tcBorders>
              <w:top w:val="single" w:color="auto" w:sz="4" w:space="0"/>
              <w:left w:val="nil"/>
              <w:bottom w:val="single" w:color="auto" w:sz="4" w:space="0"/>
              <w:right w:val="single" w:color="auto" w:sz="4" w:space="0"/>
            </w:tcBorders>
            <w:vAlign w:val="center"/>
          </w:tcPr>
          <w:p w14:paraId="5520C071">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1．对监理、政府部门查出的隐患下达的整改通知书，是否及时整改，按时回复；隐患或问题重复出现且有无落实整改；</w:t>
            </w:r>
          </w:p>
          <w:p w14:paraId="26E5180C">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检查时，下发的整改通知书是否及时整改并回复；是否出现同一类问题当月多次下发整改通知书，同样问题是否出现多次被下发整改通知书；是否因现场问题较多且严重，被发停工通知或业主要求监理发停工通知；是否出现停工后问题未整改，第二次发书面整改通知；</w:t>
            </w:r>
          </w:p>
          <w:p w14:paraId="6405AD97">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3、是否按时回复</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通报的安全检查记录。</w:t>
            </w:r>
          </w:p>
        </w:tc>
      </w:tr>
      <w:tr w14:paraId="15A9379C">
        <w:tblPrEx>
          <w:tblCellMar>
            <w:top w:w="0" w:type="dxa"/>
            <w:left w:w="108" w:type="dxa"/>
            <w:bottom w:w="0" w:type="dxa"/>
            <w:right w:w="108" w:type="dxa"/>
          </w:tblCellMar>
        </w:tblPrEx>
        <w:trPr>
          <w:trHeight w:val="93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AC8A2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36" w:type="dxa"/>
            <w:vMerge w:val="continue"/>
            <w:tcBorders>
              <w:top w:val="nil"/>
              <w:left w:val="nil"/>
              <w:bottom w:val="single" w:color="auto" w:sz="4" w:space="0"/>
              <w:right w:val="single" w:color="auto" w:sz="4" w:space="0"/>
            </w:tcBorders>
            <w:vAlign w:val="center"/>
          </w:tcPr>
          <w:p w14:paraId="20E35EA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07ADEC56">
            <w:pPr>
              <w:keepNext w:val="0"/>
              <w:keepLines w:val="0"/>
              <w:suppressLineNumbers w:val="0"/>
              <w:snapToGrid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特种作业人员上岗证</w:t>
            </w:r>
          </w:p>
        </w:tc>
        <w:tc>
          <w:tcPr>
            <w:tcW w:w="6711" w:type="dxa"/>
            <w:tcBorders>
              <w:top w:val="single" w:color="auto" w:sz="4" w:space="0"/>
              <w:left w:val="nil"/>
              <w:bottom w:val="single" w:color="auto" w:sz="4" w:space="0"/>
              <w:right w:val="single" w:color="auto" w:sz="4" w:space="0"/>
            </w:tcBorders>
            <w:vAlign w:val="center"/>
          </w:tcPr>
          <w:p w14:paraId="2C4EAA5B">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特种作业人员是否取得相应的特种作业操作资格证后上岗；操作证是否经年审或过期；</w:t>
            </w:r>
          </w:p>
        </w:tc>
      </w:tr>
      <w:tr w14:paraId="53FF6794">
        <w:tblPrEx>
          <w:tblCellMar>
            <w:top w:w="0" w:type="dxa"/>
            <w:left w:w="108" w:type="dxa"/>
            <w:bottom w:w="0" w:type="dxa"/>
            <w:right w:w="108" w:type="dxa"/>
          </w:tblCellMar>
        </w:tblPrEx>
        <w:trPr>
          <w:trHeight w:val="16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2754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636" w:type="dxa"/>
            <w:vMerge w:val="continue"/>
            <w:tcBorders>
              <w:top w:val="nil"/>
              <w:left w:val="nil"/>
              <w:bottom w:val="single" w:color="auto" w:sz="4" w:space="0"/>
              <w:right w:val="single" w:color="auto" w:sz="4" w:space="0"/>
            </w:tcBorders>
            <w:vAlign w:val="center"/>
          </w:tcPr>
          <w:p w14:paraId="16B2311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1545B97A">
            <w:pPr>
              <w:keepNext w:val="0"/>
              <w:keepLines w:val="0"/>
              <w:suppressLineNumbers w:val="0"/>
              <w:snapToGrid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安全专项施工方案</w:t>
            </w:r>
          </w:p>
        </w:tc>
        <w:tc>
          <w:tcPr>
            <w:tcW w:w="6711" w:type="dxa"/>
            <w:tcBorders>
              <w:top w:val="single" w:color="auto" w:sz="4" w:space="0"/>
              <w:left w:val="nil"/>
              <w:bottom w:val="single" w:color="auto" w:sz="4" w:space="0"/>
              <w:right w:val="single" w:color="auto" w:sz="4" w:space="0"/>
            </w:tcBorders>
            <w:vAlign w:val="center"/>
          </w:tcPr>
          <w:p w14:paraId="73250B40">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按《危险性较大的分部分项工程安全管理规定》（住建部201837号令）规定对危险性较大的分部分项工程编制安全专项施工方案；是否按规定进行验收；对于超过一定规模的危险性较大的分部分项工程，施工单位是否组织专家论证会；方案是否按规定程序审批；是否按照方案施工；</w:t>
            </w:r>
          </w:p>
        </w:tc>
      </w:tr>
      <w:tr w14:paraId="77BCD0AF">
        <w:tblPrEx>
          <w:tblCellMar>
            <w:top w:w="0" w:type="dxa"/>
            <w:left w:w="108" w:type="dxa"/>
            <w:bottom w:w="0" w:type="dxa"/>
            <w:right w:w="108" w:type="dxa"/>
          </w:tblCellMar>
        </w:tblPrEx>
        <w:trPr>
          <w:trHeight w:val="139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6873D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636" w:type="dxa"/>
            <w:vMerge w:val="continue"/>
            <w:tcBorders>
              <w:top w:val="nil"/>
              <w:left w:val="nil"/>
              <w:bottom w:val="single" w:color="auto" w:sz="4" w:space="0"/>
              <w:right w:val="single" w:color="auto" w:sz="4" w:space="0"/>
            </w:tcBorders>
            <w:vAlign w:val="center"/>
          </w:tcPr>
          <w:p w14:paraId="0216620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2ECE90D3">
            <w:pPr>
              <w:keepNext w:val="0"/>
              <w:keepLines w:val="0"/>
              <w:suppressLineNumbers w:val="0"/>
              <w:snapToGrid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特种设备的检测、检验、维修保养</w:t>
            </w:r>
          </w:p>
        </w:tc>
        <w:tc>
          <w:tcPr>
            <w:tcW w:w="6711" w:type="dxa"/>
            <w:tcBorders>
              <w:top w:val="single" w:color="auto" w:sz="4" w:space="0"/>
              <w:left w:val="nil"/>
              <w:bottom w:val="single" w:color="auto" w:sz="4" w:space="0"/>
              <w:right w:val="single" w:color="auto" w:sz="4" w:space="0"/>
            </w:tcBorders>
            <w:vAlign w:val="center"/>
          </w:tcPr>
          <w:p w14:paraId="6EA321BF">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特种设备应经有资质的机构检测检验，并有有效的安全准用证（非标设备为备案登记），有无安全准用证或备案登记证；准用证有无超过有效期；有无维修保养记录，维修保养记录是否完善；</w:t>
            </w:r>
          </w:p>
        </w:tc>
      </w:tr>
      <w:tr w14:paraId="69B36B37">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8C69B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636" w:type="dxa"/>
            <w:vMerge w:val="continue"/>
            <w:tcBorders>
              <w:top w:val="nil"/>
              <w:left w:val="nil"/>
              <w:bottom w:val="single" w:color="auto" w:sz="4" w:space="0"/>
              <w:right w:val="single" w:color="auto" w:sz="4" w:space="0"/>
            </w:tcBorders>
            <w:vAlign w:val="center"/>
          </w:tcPr>
          <w:p w14:paraId="7A9DBEC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76FADF38">
            <w:pPr>
              <w:keepNext w:val="0"/>
              <w:keepLines w:val="0"/>
              <w:suppressLineNumbers w:val="0"/>
              <w:snapToGrid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安全资料报送</w:t>
            </w:r>
          </w:p>
        </w:tc>
        <w:tc>
          <w:tcPr>
            <w:tcW w:w="6711" w:type="dxa"/>
            <w:tcBorders>
              <w:top w:val="single" w:color="auto" w:sz="4" w:space="0"/>
              <w:left w:val="nil"/>
              <w:bottom w:val="single" w:color="auto" w:sz="4" w:space="0"/>
              <w:right w:val="single" w:color="auto" w:sz="4" w:space="0"/>
            </w:tcBorders>
            <w:vAlign w:val="center"/>
          </w:tcPr>
          <w:p w14:paraId="562AC479">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业主要求报送的安全资料是否及时上报；</w:t>
            </w:r>
          </w:p>
        </w:tc>
      </w:tr>
      <w:tr w14:paraId="2CE4B38F">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975C2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636" w:type="dxa"/>
            <w:vMerge w:val="restart"/>
            <w:tcBorders>
              <w:top w:val="nil"/>
              <w:left w:val="nil"/>
              <w:right w:val="single" w:color="auto" w:sz="4" w:space="0"/>
            </w:tcBorders>
            <w:vAlign w:val="center"/>
          </w:tcPr>
          <w:p w14:paraId="481D141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文明施工</w:t>
            </w:r>
          </w:p>
        </w:tc>
        <w:tc>
          <w:tcPr>
            <w:tcW w:w="957" w:type="dxa"/>
            <w:tcBorders>
              <w:top w:val="single" w:color="auto" w:sz="4" w:space="0"/>
              <w:left w:val="nil"/>
              <w:bottom w:val="single" w:color="auto" w:sz="4" w:space="0"/>
              <w:right w:val="single" w:color="auto" w:sz="4" w:space="0"/>
            </w:tcBorders>
            <w:vAlign w:val="center"/>
          </w:tcPr>
          <w:p w14:paraId="5B58A991">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现场</w:t>
            </w:r>
          </w:p>
          <w:p w14:paraId="1F2E35EF">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围挡</w:t>
            </w:r>
          </w:p>
        </w:tc>
        <w:tc>
          <w:tcPr>
            <w:tcW w:w="6711" w:type="dxa"/>
            <w:tcBorders>
              <w:top w:val="single" w:color="auto" w:sz="4" w:space="0"/>
              <w:left w:val="nil"/>
              <w:bottom w:val="single" w:color="auto" w:sz="4" w:space="0"/>
              <w:right w:val="single" w:color="auto" w:sz="4" w:space="0"/>
            </w:tcBorders>
            <w:vAlign w:val="center"/>
          </w:tcPr>
          <w:p w14:paraId="526A2C90">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1、是否按照当地政府要求设置封闭围挡、围墙、喷雾、车辆冲洗设施，设施是否健全并能正常投入使用</w:t>
            </w:r>
          </w:p>
          <w:p w14:paraId="1300C781">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2、围挡是否坚固、稳定、整洁、美观；围挡是否沿工地四周连续设置。</w:t>
            </w:r>
          </w:p>
        </w:tc>
      </w:tr>
      <w:tr w14:paraId="4D02BA5B">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D55AD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636" w:type="dxa"/>
            <w:vMerge w:val="continue"/>
            <w:tcBorders>
              <w:left w:val="nil"/>
              <w:right w:val="single" w:color="auto" w:sz="4" w:space="0"/>
            </w:tcBorders>
            <w:vAlign w:val="center"/>
          </w:tcPr>
          <w:p w14:paraId="7CDCD14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78192DE2">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封闭</w:t>
            </w:r>
          </w:p>
          <w:p w14:paraId="1EFDA3CE">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管理</w:t>
            </w:r>
          </w:p>
        </w:tc>
        <w:tc>
          <w:tcPr>
            <w:tcW w:w="6711" w:type="dxa"/>
            <w:tcBorders>
              <w:top w:val="single" w:color="auto" w:sz="4" w:space="0"/>
              <w:left w:val="nil"/>
              <w:bottom w:val="single" w:color="auto" w:sz="4" w:space="0"/>
              <w:right w:val="single" w:color="auto" w:sz="4" w:space="0"/>
            </w:tcBorders>
            <w:vAlign w:val="center"/>
          </w:tcPr>
          <w:p w14:paraId="340EE29D">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施工现场进出口是否有大门；有无门卫和门卫制度情况；是否对进场人员实行来访登记及体温检测；进入施工现场有无佩带工作卡；门头有无设置企业标志。</w:t>
            </w:r>
          </w:p>
        </w:tc>
      </w:tr>
      <w:tr w14:paraId="45CAA822">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3F3D6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636" w:type="dxa"/>
            <w:vMerge w:val="continue"/>
            <w:tcBorders>
              <w:left w:val="nil"/>
              <w:right w:val="single" w:color="auto" w:sz="4" w:space="0"/>
            </w:tcBorders>
            <w:vAlign w:val="center"/>
          </w:tcPr>
          <w:p w14:paraId="63A8429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16E755B3">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施工</w:t>
            </w:r>
          </w:p>
          <w:p w14:paraId="61511858">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场地</w:t>
            </w:r>
          </w:p>
        </w:tc>
        <w:tc>
          <w:tcPr>
            <w:tcW w:w="6711" w:type="dxa"/>
            <w:tcBorders>
              <w:top w:val="single" w:color="auto" w:sz="4" w:space="0"/>
              <w:left w:val="nil"/>
              <w:bottom w:val="single" w:color="auto" w:sz="4" w:space="0"/>
              <w:right w:val="single" w:color="auto" w:sz="4" w:space="0"/>
            </w:tcBorders>
            <w:vAlign w:val="center"/>
          </w:tcPr>
          <w:p w14:paraId="5FE2CCB7">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地路面是否已做硬化处理；道路是否畅通；是否有排水设施，排水是否通畅；有无防止泥浆、污水及废水外流或堵塞下水道和排水河道措施；工地有无积水；工地是否设置吸烟处、是否有随意吸烟现象；是否对暂不开发的场地进行绿化布置；有无设置并使用洗车槽；建筑垃圾运输车辆是否有超载、无遮盖、未冲洗干净车轮和车身，驶出工地的现象。</w:t>
            </w:r>
          </w:p>
        </w:tc>
      </w:tr>
      <w:tr w14:paraId="638947CD">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8AE5D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636" w:type="dxa"/>
            <w:vMerge w:val="continue"/>
            <w:tcBorders>
              <w:left w:val="nil"/>
              <w:right w:val="single" w:color="auto" w:sz="4" w:space="0"/>
            </w:tcBorders>
            <w:vAlign w:val="center"/>
          </w:tcPr>
          <w:p w14:paraId="5D2FC21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7A5970FE">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材料</w:t>
            </w:r>
          </w:p>
          <w:p w14:paraId="59ED6B91">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堆放</w:t>
            </w:r>
          </w:p>
        </w:tc>
        <w:tc>
          <w:tcPr>
            <w:tcW w:w="6711" w:type="dxa"/>
            <w:tcBorders>
              <w:top w:val="single" w:color="auto" w:sz="4" w:space="0"/>
              <w:left w:val="nil"/>
              <w:bottom w:val="single" w:color="auto" w:sz="4" w:space="0"/>
              <w:right w:val="single" w:color="auto" w:sz="4" w:space="0"/>
            </w:tcBorders>
            <w:vAlign w:val="center"/>
          </w:tcPr>
          <w:p w14:paraId="1EF46819">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建筑材料、构件、料具是否按总平面布局堆放；料堆是否挂名称、品种、规格等标牌；堆放是否整齐；是否做到工完场清；建筑垃圾堆放是否整齐、是否标出名称、品种。</w:t>
            </w:r>
          </w:p>
        </w:tc>
      </w:tr>
      <w:tr w14:paraId="6ED9A42C">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37F07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636" w:type="dxa"/>
            <w:vMerge w:val="continue"/>
            <w:tcBorders>
              <w:left w:val="nil"/>
              <w:right w:val="single" w:color="auto" w:sz="4" w:space="0"/>
            </w:tcBorders>
            <w:vAlign w:val="center"/>
          </w:tcPr>
          <w:p w14:paraId="510A1E2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7C0FF5C7">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现场</w:t>
            </w:r>
          </w:p>
          <w:p w14:paraId="5C0F4AC5">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住宿</w:t>
            </w:r>
          </w:p>
        </w:tc>
        <w:tc>
          <w:tcPr>
            <w:tcW w:w="6711" w:type="dxa"/>
            <w:tcBorders>
              <w:top w:val="single" w:color="auto" w:sz="4" w:space="0"/>
              <w:left w:val="nil"/>
              <w:bottom w:val="single" w:color="auto" w:sz="4" w:space="0"/>
              <w:right w:val="single" w:color="auto" w:sz="4" w:space="0"/>
            </w:tcBorders>
            <w:vAlign w:val="center"/>
          </w:tcPr>
          <w:p w14:paraId="4009B12D">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住宿应是否建立宿舍管理制度和值日制度；是否存在在建工程兼作住宿现象；施工作业区与办公、生活区是否能明显划分；宿舍有无消暑和防蚊虫叮咬措施；无床铺、生活用品放置是否整齐；宿舍周围环境是否卫生、安全。</w:t>
            </w:r>
          </w:p>
        </w:tc>
      </w:tr>
      <w:tr w14:paraId="14D5F659">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EA37D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636" w:type="dxa"/>
            <w:vMerge w:val="continue"/>
            <w:tcBorders>
              <w:left w:val="nil"/>
              <w:right w:val="single" w:color="auto" w:sz="4" w:space="0"/>
            </w:tcBorders>
            <w:vAlign w:val="center"/>
          </w:tcPr>
          <w:p w14:paraId="5608F0B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60C55435">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现场防火与危险品管理</w:t>
            </w:r>
          </w:p>
        </w:tc>
        <w:tc>
          <w:tcPr>
            <w:tcW w:w="6711" w:type="dxa"/>
            <w:tcBorders>
              <w:top w:val="single" w:color="auto" w:sz="4" w:space="0"/>
              <w:left w:val="nil"/>
              <w:bottom w:val="single" w:color="auto" w:sz="4" w:space="0"/>
              <w:right w:val="single" w:color="auto" w:sz="4" w:space="0"/>
            </w:tcBorders>
            <w:vAlign w:val="center"/>
          </w:tcPr>
          <w:p w14:paraId="5860D6F0">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有无消防制度、措施及无灭火器材；灭火器材配置是否合理；有无消防水源（高层建筑）或是否满足消防要求；有无动火审批手续和动火监护；</w:t>
            </w:r>
          </w:p>
          <w:p w14:paraId="04CFA182">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现场危险化学品、易燃易爆物品有无专门仓库分类存放；是否悬挂警示标；是否在宿舍内煮食或使用大功率电器设备；</w:t>
            </w:r>
          </w:p>
        </w:tc>
      </w:tr>
      <w:tr w14:paraId="078604E3">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96A0B2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636" w:type="dxa"/>
            <w:vMerge w:val="continue"/>
            <w:tcBorders>
              <w:left w:val="nil"/>
              <w:right w:val="single" w:color="auto" w:sz="4" w:space="0"/>
            </w:tcBorders>
            <w:vAlign w:val="center"/>
          </w:tcPr>
          <w:p w14:paraId="7304847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1F9AC351">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治安</w:t>
            </w:r>
          </w:p>
          <w:p w14:paraId="4AC0F688">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综合</w:t>
            </w:r>
          </w:p>
          <w:p w14:paraId="14007215">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治理</w:t>
            </w:r>
          </w:p>
        </w:tc>
        <w:tc>
          <w:tcPr>
            <w:tcW w:w="6711" w:type="dxa"/>
            <w:tcBorders>
              <w:top w:val="single" w:color="auto" w:sz="4" w:space="0"/>
              <w:left w:val="nil"/>
              <w:bottom w:val="single" w:color="auto" w:sz="4" w:space="0"/>
              <w:right w:val="single" w:color="auto" w:sz="4" w:space="0"/>
            </w:tcBorders>
            <w:vAlign w:val="center"/>
          </w:tcPr>
          <w:p w14:paraId="0B9B8830">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是否在生活区给工人设置学习和娱乐场所；是否建立治安保卫制度的、责任未分解到人；治安防范措施是否到位，是否常发生失盗事件。</w:t>
            </w:r>
          </w:p>
        </w:tc>
      </w:tr>
      <w:tr w14:paraId="4A28DB0A">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FAFCDA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636" w:type="dxa"/>
            <w:vMerge w:val="continue"/>
            <w:tcBorders>
              <w:left w:val="nil"/>
              <w:right w:val="single" w:color="auto" w:sz="4" w:space="0"/>
            </w:tcBorders>
            <w:vAlign w:val="center"/>
          </w:tcPr>
          <w:p w14:paraId="3C2B0AC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5CC048EF">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施工</w:t>
            </w:r>
          </w:p>
          <w:p w14:paraId="4D035364">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现场</w:t>
            </w:r>
          </w:p>
          <w:p w14:paraId="6CBF9803">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标牌</w:t>
            </w:r>
          </w:p>
        </w:tc>
        <w:tc>
          <w:tcPr>
            <w:tcW w:w="6711" w:type="dxa"/>
            <w:tcBorders>
              <w:top w:val="single" w:color="auto" w:sz="4" w:space="0"/>
              <w:left w:val="nil"/>
              <w:bottom w:val="single" w:color="auto" w:sz="4" w:space="0"/>
              <w:right w:val="single" w:color="auto" w:sz="4" w:space="0"/>
            </w:tcBorders>
            <w:vAlign w:val="center"/>
          </w:tcPr>
          <w:p w14:paraId="16C2588F">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五牌一图内容是否全面；标牌是否规范、整齐；有无安全标语；有无宣传栏、读报栏、黑板报等。</w:t>
            </w:r>
          </w:p>
        </w:tc>
      </w:tr>
      <w:tr w14:paraId="3844E671">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202B0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p>
        </w:tc>
        <w:tc>
          <w:tcPr>
            <w:tcW w:w="636" w:type="dxa"/>
            <w:vMerge w:val="continue"/>
            <w:tcBorders>
              <w:left w:val="nil"/>
              <w:right w:val="single" w:color="auto" w:sz="4" w:space="0"/>
            </w:tcBorders>
            <w:vAlign w:val="center"/>
          </w:tcPr>
          <w:p w14:paraId="4AEE046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4A4D6763">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生活</w:t>
            </w:r>
          </w:p>
          <w:p w14:paraId="2130868A">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设施</w:t>
            </w:r>
          </w:p>
        </w:tc>
        <w:tc>
          <w:tcPr>
            <w:tcW w:w="6711" w:type="dxa"/>
            <w:tcBorders>
              <w:top w:val="single" w:color="auto" w:sz="4" w:space="0"/>
              <w:left w:val="nil"/>
              <w:bottom w:val="single" w:color="auto" w:sz="4" w:space="0"/>
              <w:right w:val="single" w:color="auto" w:sz="4" w:space="0"/>
            </w:tcBorders>
            <w:vAlign w:val="center"/>
          </w:tcPr>
          <w:p w14:paraId="556B9CB0">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厕所是否符合卫生要求；有无厕所、随地大小便；食堂是否符合卫生要求；有无卫生责任制；是否保证供应卫生饮水；有无淋浴室，淋浴室是否符合要求；生活垃圾是否及时清理，装容器，且专人管理。</w:t>
            </w:r>
          </w:p>
        </w:tc>
      </w:tr>
      <w:tr w14:paraId="30A911A8">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6E267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p>
        </w:tc>
        <w:tc>
          <w:tcPr>
            <w:tcW w:w="636" w:type="dxa"/>
            <w:vMerge w:val="continue"/>
            <w:tcBorders>
              <w:left w:val="nil"/>
              <w:right w:val="single" w:color="auto" w:sz="4" w:space="0"/>
            </w:tcBorders>
            <w:vAlign w:val="center"/>
          </w:tcPr>
          <w:p w14:paraId="68A0E2B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1DD82696">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保健</w:t>
            </w:r>
          </w:p>
          <w:p w14:paraId="6F68E23B">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急救</w:t>
            </w:r>
          </w:p>
        </w:tc>
        <w:tc>
          <w:tcPr>
            <w:tcW w:w="6711" w:type="dxa"/>
            <w:tcBorders>
              <w:top w:val="single" w:color="auto" w:sz="4" w:space="0"/>
              <w:left w:val="nil"/>
              <w:bottom w:val="single" w:color="auto" w:sz="4" w:space="0"/>
              <w:right w:val="single" w:color="auto" w:sz="4" w:space="0"/>
            </w:tcBorders>
            <w:vAlign w:val="center"/>
          </w:tcPr>
          <w:p w14:paraId="229118CA">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有无保健医药箱；有无储备充足防疫物资；有无急救措施和急救器材；是否开展卫生防病宣传教育；</w:t>
            </w:r>
          </w:p>
        </w:tc>
      </w:tr>
      <w:tr w14:paraId="651DDDA7">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6E6EA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p>
        </w:tc>
        <w:tc>
          <w:tcPr>
            <w:tcW w:w="636" w:type="dxa"/>
            <w:vMerge w:val="continue"/>
            <w:tcBorders>
              <w:left w:val="nil"/>
              <w:right w:val="single" w:color="auto" w:sz="4" w:space="0"/>
            </w:tcBorders>
            <w:vAlign w:val="center"/>
          </w:tcPr>
          <w:p w14:paraId="5A7D8FC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70EC7922">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社区</w:t>
            </w:r>
          </w:p>
          <w:p w14:paraId="7F1AD4CA">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服务</w:t>
            </w:r>
          </w:p>
        </w:tc>
        <w:tc>
          <w:tcPr>
            <w:tcW w:w="6711" w:type="dxa"/>
            <w:tcBorders>
              <w:top w:val="single" w:color="auto" w:sz="4" w:space="0"/>
              <w:left w:val="nil"/>
              <w:bottom w:val="single" w:color="auto" w:sz="4" w:space="0"/>
              <w:right w:val="single" w:color="auto" w:sz="4" w:space="0"/>
            </w:tcBorders>
            <w:vAlign w:val="center"/>
          </w:tcPr>
          <w:p w14:paraId="5F50B68F">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有无防尘粉和防噪音措施；夜间是否经许可施工；现场有无焚烧有毒、有害物质。</w:t>
            </w:r>
          </w:p>
        </w:tc>
      </w:tr>
      <w:tr w14:paraId="36DA145C">
        <w:tblPrEx>
          <w:tblCellMar>
            <w:top w:w="0" w:type="dxa"/>
            <w:left w:w="108" w:type="dxa"/>
            <w:bottom w:w="0" w:type="dxa"/>
            <w:right w:w="108" w:type="dxa"/>
          </w:tblCellMar>
        </w:tblPrEx>
        <w:trPr>
          <w:trHeight w:val="7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B41DB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636" w:type="dxa"/>
            <w:vMerge w:val="restart"/>
            <w:tcBorders>
              <w:top w:val="nil"/>
              <w:left w:val="nil"/>
              <w:bottom w:val="single" w:color="auto" w:sz="4" w:space="0"/>
              <w:right w:val="single" w:color="auto" w:sz="4" w:space="0"/>
            </w:tcBorders>
            <w:vAlign w:val="center"/>
          </w:tcPr>
          <w:p w14:paraId="381272C5">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现场管理</w:t>
            </w:r>
          </w:p>
        </w:tc>
        <w:tc>
          <w:tcPr>
            <w:tcW w:w="957" w:type="dxa"/>
            <w:tcBorders>
              <w:top w:val="single" w:color="auto" w:sz="4" w:space="0"/>
              <w:left w:val="nil"/>
              <w:bottom w:val="single" w:color="auto" w:sz="4" w:space="0"/>
              <w:right w:val="single" w:color="auto" w:sz="4" w:space="0"/>
            </w:tcBorders>
            <w:vAlign w:val="center"/>
          </w:tcPr>
          <w:p w14:paraId="19DE5A99">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现场安全施工</w:t>
            </w:r>
          </w:p>
        </w:tc>
        <w:tc>
          <w:tcPr>
            <w:tcW w:w="6711" w:type="dxa"/>
            <w:tcBorders>
              <w:top w:val="single" w:color="auto" w:sz="4" w:space="0"/>
              <w:left w:val="nil"/>
              <w:bottom w:val="single" w:color="auto" w:sz="4" w:space="0"/>
              <w:right w:val="single" w:color="auto" w:sz="4" w:space="0"/>
            </w:tcBorders>
            <w:vAlign w:val="center"/>
          </w:tcPr>
          <w:p w14:paraId="316F743F">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安全生产现场检查内容以《建筑施工安全检查标准》（JGJ59-2011）附表为主，同时参照国家、行业强制性标准及本协议所规定的推荐性标准。</w:t>
            </w:r>
          </w:p>
        </w:tc>
      </w:tr>
      <w:tr w14:paraId="5A3046DD">
        <w:tblPrEx>
          <w:tblCellMar>
            <w:top w:w="0" w:type="dxa"/>
            <w:left w:w="108" w:type="dxa"/>
            <w:bottom w:w="0" w:type="dxa"/>
            <w:right w:w="108" w:type="dxa"/>
          </w:tblCellMar>
        </w:tblPrEx>
        <w:trPr>
          <w:trHeight w:val="46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0CE06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636" w:type="dxa"/>
            <w:vMerge w:val="continue"/>
            <w:tcBorders>
              <w:top w:val="nil"/>
              <w:left w:val="nil"/>
              <w:bottom w:val="single" w:color="auto" w:sz="4" w:space="0"/>
              <w:right w:val="single" w:color="auto" w:sz="4" w:space="0"/>
            </w:tcBorders>
            <w:vAlign w:val="center"/>
          </w:tcPr>
          <w:p w14:paraId="7CFD433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4FE67F5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文明施工</w:t>
            </w:r>
          </w:p>
        </w:tc>
        <w:tc>
          <w:tcPr>
            <w:tcW w:w="6711" w:type="dxa"/>
            <w:tcBorders>
              <w:top w:val="single" w:color="auto" w:sz="4" w:space="0"/>
              <w:left w:val="nil"/>
              <w:bottom w:val="single" w:color="auto" w:sz="4" w:space="0"/>
              <w:right w:val="single" w:color="auto" w:sz="4" w:space="0"/>
            </w:tcBorders>
            <w:vAlign w:val="center"/>
          </w:tcPr>
          <w:p w14:paraId="1C94BDE1">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文明施工现场检查内容详见附件9：《文明施工检查标准》；</w:t>
            </w:r>
          </w:p>
        </w:tc>
      </w:tr>
      <w:tr w14:paraId="6C0C5A87">
        <w:tblPrEx>
          <w:tblCellMar>
            <w:top w:w="0" w:type="dxa"/>
            <w:left w:w="108" w:type="dxa"/>
            <w:bottom w:w="0" w:type="dxa"/>
            <w:right w:w="108" w:type="dxa"/>
          </w:tblCellMar>
        </w:tblPrEx>
        <w:trPr>
          <w:trHeight w:val="61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8233F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p>
        </w:tc>
        <w:tc>
          <w:tcPr>
            <w:tcW w:w="636" w:type="dxa"/>
            <w:vMerge w:val="continue"/>
            <w:tcBorders>
              <w:top w:val="nil"/>
              <w:left w:val="nil"/>
              <w:bottom w:val="single" w:color="auto" w:sz="4" w:space="0"/>
              <w:right w:val="single" w:color="auto" w:sz="4" w:space="0"/>
            </w:tcBorders>
            <w:vAlign w:val="center"/>
          </w:tcPr>
          <w:p w14:paraId="2AA4ADA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sz w:val="24"/>
                <w:highlight w:val="none"/>
              </w:rPr>
            </w:pPr>
          </w:p>
        </w:tc>
        <w:tc>
          <w:tcPr>
            <w:tcW w:w="957" w:type="dxa"/>
            <w:tcBorders>
              <w:top w:val="single" w:color="auto" w:sz="4" w:space="0"/>
              <w:left w:val="nil"/>
              <w:bottom w:val="single" w:color="auto" w:sz="4" w:space="0"/>
              <w:right w:val="single" w:color="auto" w:sz="4" w:space="0"/>
            </w:tcBorders>
            <w:vAlign w:val="center"/>
          </w:tcPr>
          <w:p w14:paraId="06F696DB">
            <w:pPr>
              <w:keepNext w:val="0"/>
              <w:keepLines w:val="0"/>
              <w:suppressLineNumbers w:val="0"/>
              <w:snapToGrid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信息</w:t>
            </w:r>
          </w:p>
          <w:p w14:paraId="63391D6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管理</w:t>
            </w:r>
          </w:p>
        </w:tc>
        <w:tc>
          <w:tcPr>
            <w:tcW w:w="6711" w:type="dxa"/>
            <w:tcBorders>
              <w:top w:val="single" w:color="auto" w:sz="4" w:space="0"/>
              <w:left w:val="nil"/>
              <w:bottom w:val="single" w:color="auto" w:sz="4" w:space="0"/>
              <w:right w:val="single" w:color="auto" w:sz="4" w:space="0"/>
            </w:tcBorders>
            <w:vAlign w:val="center"/>
          </w:tcPr>
          <w:p w14:paraId="0631D24B">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有无发生施工单位迟报、漏报事故、事件；有无发生瞒报事故、事件。</w:t>
            </w:r>
          </w:p>
        </w:tc>
      </w:tr>
    </w:tbl>
    <w:p w14:paraId="06C3C764">
      <w:pPr>
        <w:spacing w:line="360" w:lineRule="auto"/>
        <w:rPr>
          <w:rFonts w:hint="eastAsia" w:ascii="宋体" w:hAnsi="宋体" w:eastAsia="宋体" w:cs="宋体"/>
          <w:color w:val="auto"/>
          <w:sz w:val="24"/>
          <w:highlight w:val="none"/>
        </w:rPr>
      </w:pPr>
    </w:p>
    <w:p w14:paraId="6B57817F">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FB03F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附件3-1：</w:t>
      </w:r>
    </w:p>
    <w:p w14:paraId="55E12398">
      <w:pPr>
        <w:wordWrap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编号：    </w:t>
      </w:r>
    </w:p>
    <w:p w14:paraId="61B3832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安全文明整改通知书</w:t>
      </w:r>
    </w:p>
    <w:p w14:paraId="2782279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p>
    <w:p w14:paraId="72B66FD0">
      <w:pPr>
        <w:spacing w:line="360" w:lineRule="auto"/>
        <w:ind w:left="590" w:leftChars="1" w:hanging="588" w:hangingChars="245"/>
        <w:rPr>
          <w:rFonts w:hint="eastAsia" w:ascii="宋体" w:hAnsi="宋体" w:eastAsia="宋体" w:cs="宋体"/>
          <w:color w:val="auto"/>
          <w:sz w:val="24"/>
          <w:highlight w:val="none"/>
        </w:rPr>
      </w:pPr>
      <w:r>
        <w:rPr>
          <w:rFonts w:hint="eastAsia" w:ascii="宋体" w:hAnsi="宋体" w:eastAsia="宋体" w:cs="宋体"/>
          <w:color w:val="auto"/>
          <w:sz w:val="24"/>
          <w:highlight w:val="none"/>
        </w:rPr>
        <w:t>责任部门：</w:t>
      </w:r>
    </w:p>
    <w:p w14:paraId="058BBC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你单位负责的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项目，经公司检查组于   年  月  日检查，存在以下安全文明问题：</w:t>
      </w:r>
    </w:p>
    <w:p w14:paraId="76D4BCA8">
      <w:pPr>
        <w:spacing w:line="360" w:lineRule="auto"/>
        <w:ind w:firstLine="480" w:firstLineChars="200"/>
        <w:rPr>
          <w:rFonts w:hint="eastAsia" w:ascii="宋体" w:hAnsi="宋体" w:eastAsia="宋体" w:cs="宋体"/>
          <w:color w:val="auto"/>
          <w:sz w:val="24"/>
          <w:highlight w:val="none"/>
        </w:rPr>
      </w:pPr>
    </w:p>
    <w:p w14:paraId="63C41E72">
      <w:pPr>
        <w:spacing w:line="360" w:lineRule="auto"/>
        <w:ind w:firstLine="480" w:firstLineChars="200"/>
        <w:rPr>
          <w:rFonts w:hint="eastAsia" w:ascii="宋体" w:hAnsi="宋体" w:eastAsia="宋体" w:cs="宋体"/>
          <w:color w:val="auto"/>
          <w:sz w:val="24"/>
          <w:highlight w:val="none"/>
        </w:rPr>
      </w:pPr>
    </w:p>
    <w:p w14:paraId="1978944C">
      <w:pPr>
        <w:spacing w:line="360" w:lineRule="auto"/>
        <w:ind w:firstLine="480" w:firstLineChars="200"/>
        <w:rPr>
          <w:rFonts w:hint="eastAsia" w:ascii="宋体" w:hAnsi="宋体" w:eastAsia="宋体" w:cs="宋体"/>
          <w:color w:val="auto"/>
          <w:sz w:val="24"/>
          <w:highlight w:val="none"/>
          <w:u w:val="single"/>
        </w:rPr>
      </w:pPr>
    </w:p>
    <w:p w14:paraId="50EAB460">
      <w:pPr>
        <w:spacing w:line="360" w:lineRule="auto"/>
        <w:ind w:firstLine="480" w:firstLineChars="200"/>
        <w:rPr>
          <w:rFonts w:hint="eastAsia" w:ascii="宋体" w:hAnsi="宋体" w:eastAsia="宋体" w:cs="宋体"/>
          <w:color w:val="auto"/>
          <w:sz w:val="24"/>
          <w:highlight w:val="none"/>
          <w:u w:val="single"/>
        </w:rPr>
      </w:pPr>
    </w:p>
    <w:p w14:paraId="4BD32A6B">
      <w:pPr>
        <w:spacing w:line="360" w:lineRule="auto"/>
        <w:ind w:firstLine="480" w:firstLineChars="200"/>
        <w:rPr>
          <w:rFonts w:hint="eastAsia" w:ascii="宋体" w:hAnsi="宋体" w:eastAsia="宋体" w:cs="宋体"/>
          <w:color w:val="auto"/>
          <w:sz w:val="24"/>
          <w:highlight w:val="none"/>
          <w:u w:val="single"/>
        </w:rPr>
      </w:pPr>
    </w:p>
    <w:p w14:paraId="1EC4B08F">
      <w:pPr>
        <w:spacing w:line="360" w:lineRule="auto"/>
        <w:ind w:firstLine="480" w:firstLineChars="200"/>
        <w:rPr>
          <w:rFonts w:hint="eastAsia" w:ascii="宋体" w:hAnsi="宋体" w:eastAsia="宋体" w:cs="宋体"/>
          <w:color w:val="auto"/>
          <w:sz w:val="24"/>
          <w:highlight w:val="none"/>
          <w:u w:val="single"/>
        </w:rPr>
      </w:pPr>
    </w:p>
    <w:p w14:paraId="242756F3">
      <w:pPr>
        <w:spacing w:line="360" w:lineRule="auto"/>
        <w:ind w:firstLine="480" w:firstLineChars="200"/>
        <w:rPr>
          <w:rFonts w:hint="eastAsia" w:ascii="宋体" w:hAnsi="宋体" w:eastAsia="宋体" w:cs="宋体"/>
          <w:color w:val="auto"/>
          <w:sz w:val="24"/>
          <w:highlight w:val="none"/>
        </w:rPr>
      </w:pPr>
    </w:p>
    <w:p w14:paraId="43709D45">
      <w:pPr>
        <w:autoSpaceDE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上述条安全文明问题限于  年  月  日前整改完毕，并将整改结果书面报告广州市番禺区大龙街</w:t>
      </w:r>
      <w:r>
        <w:rPr>
          <w:rFonts w:hint="eastAsia" w:ascii="宋体" w:hAnsi="宋体" w:eastAsia="宋体" w:cs="宋体"/>
          <w:color w:val="auto"/>
          <w:sz w:val="24"/>
          <w:highlight w:val="none"/>
          <w:lang w:eastAsia="zh-CN"/>
        </w:rPr>
        <w:t>傍江东村</w:t>
      </w:r>
      <w:r>
        <w:rPr>
          <w:rFonts w:hint="eastAsia" w:ascii="宋体" w:hAnsi="宋体" w:eastAsia="宋体" w:cs="宋体"/>
          <w:color w:val="auto"/>
          <w:sz w:val="24"/>
          <w:highlight w:val="none"/>
        </w:rPr>
        <w:t>股份合作经济社（甲方）签发单位。</w:t>
      </w:r>
    </w:p>
    <w:p w14:paraId="1BF8EA90">
      <w:pPr>
        <w:spacing w:line="360" w:lineRule="auto"/>
        <w:rPr>
          <w:rFonts w:hint="eastAsia" w:ascii="宋体" w:hAnsi="宋体" w:eastAsia="宋体" w:cs="宋体"/>
          <w:color w:val="auto"/>
          <w:sz w:val="24"/>
          <w:highlight w:val="none"/>
        </w:rPr>
      </w:pPr>
    </w:p>
    <w:p w14:paraId="1222A6E0">
      <w:pPr>
        <w:spacing w:line="360" w:lineRule="auto"/>
        <w:rPr>
          <w:rFonts w:hint="eastAsia" w:ascii="宋体" w:hAnsi="宋体" w:eastAsia="宋体" w:cs="宋体"/>
          <w:color w:val="auto"/>
          <w:sz w:val="24"/>
          <w:highlight w:val="none"/>
        </w:rPr>
      </w:pPr>
    </w:p>
    <w:p w14:paraId="2A95D45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检查人员：                            签发单位：</w:t>
      </w:r>
    </w:p>
    <w:p w14:paraId="21CE7C87">
      <w:pPr>
        <w:spacing w:line="360" w:lineRule="auto"/>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月  日</w:t>
      </w:r>
    </w:p>
    <w:p w14:paraId="721DA37B">
      <w:pPr>
        <w:spacing w:line="360" w:lineRule="auto"/>
        <w:rPr>
          <w:rFonts w:hint="eastAsia" w:ascii="宋体" w:hAnsi="宋体" w:eastAsia="宋体" w:cs="宋体"/>
          <w:color w:val="auto"/>
          <w:sz w:val="24"/>
          <w:highlight w:val="none"/>
          <w:u w:val="single"/>
        </w:rPr>
      </w:pPr>
    </w:p>
    <w:p w14:paraId="43259C8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注：本通知一式三联：一联（甲方签发单位自存），二联（甲方责任业务部门），三联（责任单位）。本通知书由甲方责任业务部门（公司）督促整改，并书面回复签发部门。</w:t>
      </w:r>
    </w:p>
    <w:p w14:paraId="2CA373E8">
      <w:pPr>
        <w:spacing w:line="360" w:lineRule="auto"/>
        <w:rPr>
          <w:rFonts w:hint="eastAsia" w:ascii="宋体" w:hAnsi="宋体" w:eastAsia="宋体" w:cs="宋体"/>
          <w:b/>
          <w:bCs/>
          <w:color w:val="auto"/>
          <w:sz w:val="24"/>
          <w:highlight w:val="none"/>
        </w:rPr>
      </w:pPr>
    </w:p>
    <w:p w14:paraId="11105EBC">
      <w:pPr>
        <w:spacing w:line="360" w:lineRule="auto"/>
        <w:rPr>
          <w:rFonts w:hint="eastAsia" w:ascii="宋体" w:hAnsi="宋体" w:eastAsia="宋体" w:cs="宋体"/>
          <w:color w:val="auto"/>
          <w:sz w:val="24"/>
          <w:highlight w:val="none"/>
        </w:rPr>
      </w:pPr>
    </w:p>
    <w:p w14:paraId="21AEA121">
      <w:pPr>
        <w:spacing w:line="360" w:lineRule="auto"/>
        <w:rPr>
          <w:rFonts w:hint="eastAsia" w:ascii="宋体" w:hAnsi="宋体" w:eastAsia="宋体" w:cs="宋体"/>
          <w:b/>
          <w:bCs/>
          <w:color w:val="auto"/>
          <w:sz w:val="24"/>
          <w:highlight w:val="none"/>
        </w:rPr>
      </w:pPr>
    </w:p>
    <w:p w14:paraId="3547D53B">
      <w:pPr>
        <w:widowControl/>
        <w:spacing w:line="360" w:lineRule="auto"/>
        <w:jc w:val="left"/>
        <w:rPr>
          <w:rFonts w:hint="eastAsia" w:ascii="宋体" w:hAnsi="宋体" w:eastAsia="宋体" w:cs="宋体"/>
          <w:color w:val="auto"/>
          <w:sz w:val="24"/>
          <w:highlight w:val="none"/>
        </w:rPr>
      </w:pPr>
    </w:p>
    <w:p w14:paraId="0DC43727">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D8DB22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附件3-2：</w:t>
      </w:r>
    </w:p>
    <w:p w14:paraId="6E3C12C7">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项目（场所）名称：</w:t>
      </w:r>
    </w:p>
    <w:p w14:paraId="114403EE">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由：（签发部门）</w:t>
      </w:r>
    </w:p>
    <w:p w14:paraId="4A78D7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至：（责任部门/公司）</w:t>
      </w:r>
    </w:p>
    <w:p w14:paraId="0F55AEC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29F9CA5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检查日期：   年  月  日</w:t>
      </w:r>
    </w:p>
    <w:p w14:paraId="1D2E998B">
      <w:pPr>
        <w:spacing w:line="360" w:lineRule="auto"/>
        <w:rPr>
          <w:rFonts w:hint="eastAsia" w:ascii="宋体" w:hAnsi="宋体" w:eastAsia="宋体" w:cs="宋体"/>
          <w:color w:val="auto"/>
          <w:sz w:val="24"/>
          <w:highlight w:val="none"/>
        </w:rPr>
      </w:pPr>
    </w:p>
    <w:p w14:paraId="7D9A815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安全检查记录</w:t>
      </w: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4473"/>
      </w:tblGrid>
      <w:tr w14:paraId="4045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E1F2A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19" w:type="dxa"/>
            <w:vAlign w:val="center"/>
          </w:tcPr>
          <w:p w14:paraId="7E8EFF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隐患描述</w:t>
            </w:r>
          </w:p>
        </w:tc>
        <w:tc>
          <w:tcPr>
            <w:tcW w:w="4473" w:type="dxa"/>
            <w:vAlign w:val="center"/>
          </w:tcPr>
          <w:p w14:paraId="5A53069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照片</w:t>
            </w:r>
          </w:p>
        </w:tc>
      </w:tr>
      <w:tr w14:paraId="0222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14:paraId="3F3527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119" w:type="dxa"/>
            <w:vAlign w:val="center"/>
          </w:tcPr>
          <w:p w14:paraId="7B607A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4473" w:type="dxa"/>
            <w:vAlign w:val="center"/>
          </w:tcPr>
          <w:p w14:paraId="3A2E6D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2B6D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14:paraId="2FC140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119" w:type="dxa"/>
            <w:vAlign w:val="center"/>
          </w:tcPr>
          <w:p w14:paraId="7087C7A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4473" w:type="dxa"/>
            <w:vAlign w:val="center"/>
          </w:tcPr>
          <w:p w14:paraId="42DAAE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1D1F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14:paraId="63D9C3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119" w:type="dxa"/>
            <w:vAlign w:val="center"/>
          </w:tcPr>
          <w:p w14:paraId="114382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4473" w:type="dxa"/>
            <w:vAlign w:val="center"/>
          </w:tcPr>
          <w:p w14:paraId="2EAFBD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29D5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14:paraId="2A4F17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119" w:type="dxa"/>
            <w:vAlign w:val="center"/>
          </w:tcPr>
          <w:p w14:paraId="44FB64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4473" w:type="dxa"/>
            <w:vAlign w:val="center"/>
          </w:tcPr>
          <w:p w14:paraId="2C0E40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bl>
    <w:p w14:paraId="27B1F8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现要求你单位在</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前完成上述隐患的整改，并将有关整改情况按《安全检查制度》要求回复至签发部门。</w:t>
      </w:r>
    </w:p>
    <w:p w14:paraId="353B756D">
      <w:pPr>
        <w:spacing w:before="240" w:before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检查人：</w:t>
      </w:r>
    </w:p>
    <w:p w14:paraId="2A8EDAAB">
      <w:pPr>
        <w:spacing w:before="240" w:beforeLines="100" w:line="360" w:lineRule="auto"/>
        <w:rPr>
          <w:rFonts w:hint="eastAsia" w:ascii="宋体" w:hAnsi="宋体" w:eastAsia="宋体" w:cs="宋体"/>
          <w:color w:val="auto"/>
          <w:sz w:val="24"/>
          <w:highlight w:val="none"/>
        </w:rPr>
      </w:pPr>
    </w:p>
    <w:p w14:paraId="234C0440">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AD12CC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附件4</w:t>
      </w:r>
    </w:p>
    <w:p w14:paraId="61A8758C">
      <w:pPr>
        <w:spacing w:line="360" w:lineRule="auto"/>
        <w:rPr>
          <w:rFonts w:hint="eastAsia" w:ascii="宋体" w:hAnsi="宋体" w:eastAsia="宋体" w:cs="宋体"/>
          <w:b/>
          <w:bCs/>
          <w:color w:val="auto"/>
          <w:sz w:val="24"/>
          <w:highlight w:val="none"/>
        </w:rPr>
      </w:pPr>
    </w:p>
    <w:p w14:paraId="788F1EE5">
      <w:pPr>
        <w:wordWrap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编号：     </w:t>
      </w:r>
    </w:p>
    <w:p w14:paraId="674F8DA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安全停工令</w:t>
      </w:r>
    </w:p>
    <w:p w14:paraId="6E3EE0E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p>
    <w:p w14:paraId="40501459">
      <w:pPr>
        <w:spacing w:line="360" w:lineRule="auto"/>
        <w:ind w:left="590" w:leftChars="1" w:hanging="588" w:hangingChars="245"/>
        <w:rPr>
          <w:rFonts w:hint="eastAsia" w:ascii="宋体" w:hAnsi="宋体" w:eastAsia="宋体" w:cs="宋体"/>
          <w:color w:val="auto"/>
          <w:sz w:val="24"/>
          <w:highlight w:val="none"/>
        </w:rPr>
      </w:pPr>
      <w:r>
        <w:rPr>
          <w:rFonts w:hint="eastAsia" w:ascii="宋体" w:hAnsi="宋体" w:eastAsia="宋体" w:cs="宋体"/>
          <w:color w:val="auto"/>
          <w:sz w:val="24"/>
          <w:highlight w:val="none"/>
        </w:rPr>
        <w:t>责任部门：</w:t>
      </w:r>
    </w:p>
    <w:p w14:paraId="45E171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你单位负责的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项目，经公司检查组于    年  月  日检查，存在以下安全问题：</w:t>
      </w:r>
    </w:p>
    <w:p w14:paraId="3F52A306">
      <w:pPr>
        <w:spacing w:line="360" w:lineRule="auto"/>
        <w:ind w:firstLine="480" w:firstLineChars="200"/>
        <w:rPr>
          <w:rFonts w:hint="eastAsia" w:ascii="宋体" w:hAnsi="宋体" w:eastAsia="宋体" w:cs="宋体"/>
          <w:color w:val="auto"/>
          <w:sz w:val="24"/>
          <w:highlight w:val="none"/>
        </w:rPr>
      </w:pPr>
    </w:p>
    <w:p w14:paraId="227C7D5C">
      <w:pPr>
        <w:spacing w:line="360" w:lineRule="auto"/>
        <w:ind w:firstLine="480" w:firstLineChars="200"/>
        <w:rPr>
          <w:rFonts w:hint="eastAsia" w:ascii="宋体" w:hAnsi="宋体" w:eastAsia="宋体" w:cs="宋体"/>
          <w:color w:val="auto"/>
          <w:sz w:val="24"/>
          <w:highlight w:val="none"/>
          <w:u w:val="single"/>
        </w:rPr>
      </w:pPr>
    </w:p>
    <w:p w14:paraId="4D6AC0EC">
      <w:pPr>
        <w:spacing w:line="360" w:lineRule="auto"/>
        <w:ind w:firstLine="480" w:firstLineChars="200"/>
        <w:rPr>
          <w:rFonts w:hint="eastAsia" w:ascii="宋体" w:hAnsi="宋体" w:eastAsia="宋体" w:cs="宋体"/>
          <w:color w:val="auto"/>
          <w:sz w:val="24"/>
          <w:highlight w:val="none"/>
          <w:u w:val="single"/>
        </w:rPr>
      </w:pPr>
    </w:p>
    <w:p w14:paraId="1496F5B3">
      <w:pPr>
        <w:spacing w:line="360" w:lineRule="auto"/>
        <w:ind w:firstLine="480" w:firstLineChars="200"/>
        <w:rPr>
          <w:rFonts w:hint="eastAsia" w:ascii="宋体" w:hAnsi="宋体" w:eastAsia="宋体" w:cs="宋体"/>
          <w:color w:val="auto"/>
          <w:sz w:val="24"/>
          <w:highlight w:val="none"/>
          <w:u w:val="single"/>
        </w:rPr>
      </w:pPr>
    </w:p>
    <w:p w14:paraId="606E2207">
      <w:pPr>
        <w:spacing w:line="360" w:lineRule="auto"/>
        <w:ind w:firstLine="480" w:firstLineChars="200"/>
        <w:rPr>
          <w:rFonts w:hint="eastAsia" w:ascii="宋体" w:hAnsi="宋体" w:eastAsia="宋体" w:cs="宋体"/>
          <w:color w:val="auto"/>
          <w:sz w:val="24"/>
          <w:highlight w:val="none"/>
          <w:u w:val="single"/>
        </w:rPr>
      </w:pPr>
    </w:p>
    <w:p w14:paraId="39D81A36">
      <w:pPr>
        <w:spacing w:line="360" w:lineRule="auto"/>
        <w:ind w:firstLine="480" w:firstLineChars="200"/>
        <w:rPr>
          <w:rFonts w:hint="eastAsia" w:ascii="宋体" w:hAnsi="宋体" w:eastAsia="宋体" w:cs="宋体"/>
          <w:color w:val="auto"/>
          <w:sz w:val="24"/>
          <w:highlight w:val="none"/>
          <w:u w:val="single"/>
        </w:rPr>
      </w:pPr>
    </w:p>
    <w:p w14:paraId="5BF97C4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上述条安全问题立即停工整改，整改完毕后将整改结果书面报告广州市番禺区大龙街</w:t>
      </w:r>
      <w:r>
        <w:rPr>
          <w:rFonts w:hint="eastAsia" w:ascii="宋体" w:hAnsi="宋体" w:eastAsia="宋体" w:cs="宋体"/>
          <w:color w:val="auto"/>
          <w:sz w:val="24"/>
          <w:highlight w:val="none"/>
          <w:lang w:eastAsia="zh-CN"/>
        </w:rPr>
        <w:t>傍江东村</w:t>
      </w:r>
      <w:r>
        <w:rPr>
          <w:rFonts w:hint="eastAsia" w:ascii="宋体" w:hAnsi="宋体" w:eastAsia="宋体" w:cs="宋体"/>
          <w:color w:val="auto"/>
          <w:sz w:val="24"/>
          <w:highlight w:val="none"/>
        </w:rPr>
        <w:t>股份合作经济社（甲方）签发部门申请复工复业。</w:t>
      </w:r>
    </w:p>
    <w:p w14:paraId="48F96874">
      <w:pPr>
        <w:spacing w:line="360" w:lineRule="auto"/>
        <w:rPr>
          <w:rFonts w:hint="eastAsia" w:ascii="宋体" w:hAnsi="宋体" w:eastAsia="宋体" w:cs="宋体"/>
          <w:color w:val="auto"/>
          <w:sz w:val="24"/>
          <w:highlight w:val="none"/>
        </w:rPr>
      </w:pPr>
    </w:p>
    <w:p w14:paraId="5BB88755">
      <w:pPr>
        <w:spacing w:line="360" w:lineRule="auto"/>
        <w:rPr>
          <w:rFonts w:hint="eastAsia" w:ascii="宋体" w:hAnsi="宋体" w:eastAsia="宋体" w:cs="宋体"/>
          <w:color w:val="auto"/>
          <w:sz w:val="24"/>
          <w:highlight w:val="none"/>
        </w:rPr>
      </w:pPr>
    </w:p>
    <w:p w14:paraId="247B400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检查人员：                                   签发人：</w:t>
      </w:r>
    </w:p>
    <w:p w14:paraId="71F3A631">
      <w:pPr>
        <w:spacing w:line="360" w:lineRule="auto"/>
        <w:rPr>
          <w:rFonts w:hint="eastAsia" w:ascii="宋体" w:hAnsi="宋体" w:eastAsia="宋体" w:cs="宋体"/>
          <w:color w:val="auto"/>
          <w:sz w:val="24"/>
          <w:highlight w:val="none"/>
          <w:u w:val="single"/>
        </w:rPr>
      </w:pPr>
    </w:p>
    <w:p w14:paraId="7B28985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责任部门：                                   责任部门负责人：</w:t>
      </w:r>
    </w:p>
    <w:p w14:paraId="646241A6">
      <w:pPr>
        <w:spacing w:line="360" w:lineRule="auto"/>
        <w:rPr>
          <w:rFonts w:hint="eastAsia" w:ascii="宋体" w:hAnsi="宋体" w:eastAsia="宋体" w:cs="宋体"/>
          <w:color w:val="auto"/>
          <w:sz w:val="24"/>
          <w:highlight w:val="none"/>
        </w:rPr>
      </w:pPr>
    </w:p>
    <w:p w14:paraId="6141FF73">
      <w:pPr>
        <w:pStyle w:val="6"/>
        <w:spacing w:line="360" w:lineRule="auto"/>
        <w:rPr>
          <w:rFonts w:hint="eastAsia" w:ascii="宋体" w:hAnsi="宋体" w:eastAsia="宋体" w:cs="宋体"/>
          <w:color w:val="auto"/>
          <w:highlight w:val="none"/>
        </w:rPr>
      </w:pPr>
    </w:p>
    <w:p w14:paraId="436F45C4">
      <w:pPr>
        <w:pStyle w:val="6"/>
        <w:spacing w:line="360" w:lineRule="auto"/>
        <w:rPr>
          <w:rFonts w:hint="eastAsia" w:ascii="宋体" w:hAnsi="宋体" w:eastAsia="宋体" w:cs="宋体"/>
          <w:color w:val="auto"/>
          <w:highlight w:val="none"/>
        </w:rPr>
      </w:pPr>
    </w:p>
    <w:p w14:paraId="6317AD5D">
      <w:pPr>
        <w:pStyle w:val="6"/>
        <w:spacing w:line="360" w:lineRule="auto"/>
        <w:rPr>
          <w:rFonts w:hint="eastAsia" w:ascii="宋体" w:hAnsi="宋体" w:eastAsia="宋体" w:cs="宋体"/>
          <w:color w:val="auto"/>
          <w:highlight w:val="none"/>
        </w:rPr>
      </w:pPr>
    </w:p>
    <w:p w14:paraId="4A4053DE">
      <w:pPr>
        <w:pStyle w:val="6"/>
        <w:spacing w:line="360" w:lineRule="auto"/>
        <w:rPr>
          <w:rFonts w:hint="eastAsia" w:ascii="宋体" w:hAnsi="宋体" w:eastAsia="宋体" w:cs="宋体"/>
          <w:color w:val="auto"/>
          <w:highlight w:val="none"/>
        </w:rPr>
      </w:pPr>
    </w:p>
    <w:p w14:paraId="38F31164">
      <w:pPr>
        <w:pStyle w:val="6"/>
        <w:spacing w:line="360" w:lineRule="auto"/>
        <w:rPr>
          <w:rFonts w:hint="eastAsia" w:ascii="宋体" w:hAnsi="宋体" w:eastAsia="宋体" w:cs="宋体"/>
          <w:color w:val="auto"/>
          <w:highlight w:val="none"/>
        </w:rPr>
      </w:pPr>
    </w:p>
    <w:p w14:paraId="064706BB">
      <w:pPr>
        <w:pStyle w:val="6"/>
        <w:spacing w:line="360" w:lineRule="auto"/>
        <w:rPr>
          <w:rFonts w:hint="eastAsia" w:ascii="宋体" w:hAnsi="宋体" w:eastAsia="宋体" w:cs="宋体"/>
          <w:color w:val="auto"/>
          <w:highlight w:val="none"/>
        </w:rPr>
      </w:pPr>
    </w:p>
    <w:p w14:paraId="5FD70CD9">
      <w:pPr>
        <w:pStyle w:val="6"/>
        <w:spacing w:line="360" w:lineRule="auto"/>
        <w:rPr>
          <w:rFonts w:hint="eastAsia" w:ascii="宋体" w:hAnsi="宋体" w:eastAsia="宋体" w:cs="宋体"/>
          <w:color w:val="auto"/>
          <w:highlight w:val="none"/>
        </w:rPr>
      </w:pPr>
    </w:p>
    <w:p w14:paraId="7EF5376D">
      <w:pPr>
        <w:pStyle w:val="6"/>
        <w:spacing w:line="360" w:lineRule="auto"/>
        <w:rPr>
          <w:rFonts w:hint="eastAsia" w:ascii="宋体" w:hAnsi="宋体" w:eastAsia="宋体" w:cs="宋体"/>
          <w:color w:val="auto"/>
          <w:highlight w:val="none"/>
        </w:rPr>
      </w:pPr>
    </w:p>
    <w:p w14:paraId="51E7867C">
      <w:pP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附件十</w:t>
      </w:r>
      <w:r>
        <w:rPr>
          <w:rFonts w:hint="eastAsia" w:ascii="宋体" w:hAnsi="宋体" w:eastAsia="宋体" w:cs="宋体"/>
          <w:b/>
          <w:color w:val="auto"/>
          <w:sz w:val="24"/>
          <w:highlight w:val="none"/>
          <w:lang w:val="en-US" w:eastAsia="zh-CN"/>
        </w:rPr>
        <w:t>三：</w:t>
      </w:r>
    </w:p>
    <w:p w14:paraId="5B98680F">
      <w:pPr>
        <w:spacing w:line="360" w:lineRule="auto"/>
        <w:jc w:val="center"/>
        <w:rPr>
          <w:rFonts w:ascii="宋体" w:hAnsi="宋体" w:eastAsia="宋体" w:cs="宋体"/>
          <w:b/>
          <w:bCs/>
          <w:strike/>
          <w:dstrike w:val="0"/>
          <w:color w:val="auto"/>
          <w:kern w:val="0"/>
          <w:sz w:val="36"/>
          <w:szCs w:val="36"/>
          <w:highlight w:val="none"/>
        </w:rPr>
      </w:pPr>
      <w:r>
        <w:rPr>
          <w:rFonts w:hint="eastAsia" w:ascii="宋体" w:hAnsi="宋体" w:eastAsia="宋体" w:cs="宋体"/>
          <w:b/>
          <w:bCs/>
          <w:strike/>
          <w:dstrike w:val="0"/>
          <w:color w:val="auto"/>
          <w:sz w:val="36"/>
          <w:szCs w:val="36"/>
          <w:highlight w:val="none"/>
        </w:rPr>
        <w:t>广州市番禺区大龙街</w:t>
      </w:r>
      <w:r>
        <w:rPr>
          <w:rFonts w:hint="eastAsia" w:ascii="宋体" w:hAnsi="宋体" w:eastAsia="宋体" w:cs="宋体"/>
          <w:b/>
          <w:bCs/>
          <w:strike/>
          <w:dstrike w:val="0"/>
          <w:color w:val="auto"/>
          <w:sz w:val="36"/>
          <w:szCs w:val="36"/>
          <w:highlight w:val="none"/>
          <w:lang w:eastAsia="zh-CN"/>
        </w:rPr>
        <w:t>傍江东村</w:t>
      </w:r>
      <w:r>
        <w:rPr>
          <w:rFonts w:hint="eastAsia" w:ascii="宋体" w:hAnsi="宋体" w:eastAsia="宋体" w:cs="宋体"/>
          <w:b/>
          <w:bCs/>
          <w:strike/>
          <w:dstrike w:val="0"/>
          <w:color w:val="auto"/>
          <w:sz w:val="36"/>
          <w:szCs w:val="36"/>
          <w:highlight w:val="none"/>
        </w:rPr>
        <w:t>股份合作经济社</w:t>
      </w:r>
    </w:p>
    <w:p w14:paraId="2FD5180E">
      <w:pPr>
        <w:spacing w:line="360" w:lineRule="auto"/>
        <w:jc w:val="center"/>
        <w:rPr>
          <w:rFonts w:ascii="宋体" w:hAnsi="宋体" w:eastAsia="宋体" w:cs="宋体"/>
          <w:b/>
          <w:bCs/>
          <w:strike/>
          <w:dstrike w:val="0"/>
          <w:color w:val="auto"/>
          <w:kern w:val="0"/>
          <w:sz w:val="36"/>
          <w:szCs w:val="36"/>
          <w:highlight w:val="none"/>
        </w:rPr>
      </w:pPr>
      <w:r>
        <w:rPr>
          <w:rFonts w:hint="eastAsia" w:ascii="宋体" w:hAnsi="宋体" w:eastAsia="宋体" w:cs="宋体"/>
          <w:b/>
          <w:bCs/>
          <w:strike/>
          <w:dstrike w:val="0"/>
          <w:color w:val="auto"/>
          <w:sz w:val="36"/>
          <w:szCs w:val="36"/>
          <w:highlight w:val="none"/>
        </w:rPr>
        <w:t>安全文明措施费使用管理办法</w:t>
      </w:r>
    </w:p>
    <w:p w14:paraId="76399CCD">
      <w:pPr>
        <w:ind w:firstLine="420" w:firstLineChars="200"/>
        <w:rPr>
          <w:rFonts w:ascii="宋体" w:hAnsi="宋体" w:eastAsia="宋体" w:cs="宋体"/>
          <w:strike/>
          <w:dstrike w:val="0"/>
          <w:color w:val="auto"/>
          <w:highlight w:val="none"/>
        </w:rPr>
      </w:pPr>
    </w:p>
    <w:p w14:paraId="4A84DF24">
      <w:pPr>
        <w:spacing w:line="360" w:lineRule="auto"/>
        <w:jc w:val="center"/>
        <w:rPr>
          <w:rFonts w:ascii="宋体" w:hAnsi="宋体" w:eastAsia="宋体" w:cs="宋体"/>
          <w:b/>
          <w:strike/>
          <w:dstrike w:val="0"/>
          <w:color w:val="auto"/>
          <w:spacing w:val="12"/>
          <w:kern w:val="10"/>
          <w:sz w:val="32"/>
          <w:szCs w:val="32"/>
          <w:highlight w:val="none"/>
        </w:rPr>
      </w:pPr>
      <w:r>
        <w:rPr>
          <w:rFonts w:hint="eastAsia" w:ascii="宋体" w:hAnsi="宋体" w:eastAsia="宋体" w:cs="宋体"/>
          <w:b/>
          <w:strike/>
          <w:dstrike w:val="0"/>
          <w:color w:val="auto"/>
          <w:spacing w:val="12"/>
          <w:kern w:val="10"/>
          <w:sz w:val="32"/>
          <w:szCs w:val="32"/>
          <w:highlight w:val="none"/>
        </w:rPr>
        <w:t>第一章 总则</w:t>
      </w:r>
    </w:p>
    <w:p w14:paraId="63852C41">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第一条 </w:t>
      </w:r>
      <w:r>
        <w:rPr>
          <w:rFonts w:hint="eastAsia" w:ascii="宋体" w:hAnsi="宋体" w:eastAsia="宋体" w:cs="宋体"/>
          <w:strike/>
          <w:dstrike w:val="0"/>
          <w:color w:val="auto"/>
          <w:spacing w:val="12"/>
          <w:kern w:val="10"/>
          <w:sz w:val="24"/>
          <w:highlight w:val="none"/>
        </w:rPr>
        <w:t>为加强公司及属下各级企业开发、管理的建设项目安全文明措施费的使用管理，确保建设项目安全文明措施费足额投入，维护社会公共利益，维护建设项目人身和财产安全，根据《建筑法》《安全生产法》</w:t>
      </w:r>
      <w:r>
        <w:rPr>
          <w:rFonts w:hint="eastAsia" w:ascii="宋体" w:hAnsi="宋体" w:eastAsia="宋体" w:cs="宋体"/>
          <w:strike/>
          <w:dstrike w:val="0"/>
          <w:color w:val="auto"/>
          <w:sz w:val="24"/>
          <w:highlight w:val="none"/>
        </w:rPr>
        <w:t>《企业安全费用提取和使用管理办法》</w:t>
      </w:r>
      <w:r>
        <w:rPr>
          <w:rFonts w:hint="eastAsia" w:ascii="宋体" w:hAnsi="宋体" w:eastAsia="宋体" w:cs="宋体"/>
          <w:strike/>
          <w:dstrike w:val="0"/>
          <w:color w:val="auto"/>
          <w:spacing w:val="12"/>
          <w:kern w:val="10"/>
          <w:sz w:val="24"/>
          <w:highlight w:val="none"/>
        </w:rPr>
        <w:t>《建设工程质量管理条例》《建筑施工安全检查标准》《建设工程施工发包与承包计价管理办法》《建设工程造价管理规定》等法律法规、文件的规定，结合我司实际，制定本办法。</w:t>
      </w:r>
    </w:p>
    <w:p w14:paraId="2655EFA7">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第二条</w:t>
      </w:r>
      <w:r>
        <w:rPr>
          <w:rFonts w:hint="eastAsia" w:ascii="宋体" w:hAnsi="宋体" w:eastAsia="宋体" w:cs="宋体"/>
          <w:strike/>
          <w:dstrike w:val="0"/>
          <w:color w:val="auto"/>
          <w:spacing w:val="12"/>
          <w:kern w:val="10"/>
          <w:sz w:val="24"/>
          <w:highlight w:val="none"/>
        </w:rPr>
        <w:t xml:space="preserve"> 公司及属下各级企业作为建设单位与其余参建主体签订的施工承包合同、监理合同中约定的安全文明措施费的支付、使用、结算及管理适用本办法。</w:t>
      </w:r>
    </w:p>
    <w:p w14:paraId="15BB8424">
      <w:pPr>
        <w:spacing w:line="360" w:lineRule="auto"/>
        <w:ind w:firstLine="528" w:firstLineChars="200"/>
        <w:rPr>
          <w:rFonts w:ascii="宋体" w:hAnsi="宋体" w:eastAsia="宋体" w:cs="宋体"/>
          <w:strike/>
          <w:dstrike w:val="0"/>
          <w:color w:val="auto"/>
          <w:spacing w:val="12"/>
          <w:kern w:val="10"/>
          <w:sz w:val="24"/>
          <w:highlight w:val="none"/>
        </w:rPr>
      </w:pPr>
      <w:r>
        <w:rPr>
          <w:rFonts w:hint="eastAsia" w:ascii="宋体" w:hAnsi="宋体" w:eastAsia="宋体" w:cs="宋体"/>
          <w:strike/>
          <w:dstrike w:val="0"/>
          <w:color w:val="auto"/>
          <w:spacing w:val="12"/>
          <w:kern w:val="10"/>
          <w:sz w:val="24"/>
          <w:highlight w:val="none"/>
        </w:rPr>
        <w:t>属下各级企业作为建设管理单位、全过程工程咨询单位时，在本办法范围内的安全文明措施费管理上行使建设单位职责。</w:t>
      </w:r>
    </w:p>
    <w:p w14:paraId="4AF20102">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第三条 </w:t>
      </w:r>
      <w:r>
        <w:rPr>
          <w:rFonts w:hint="eastAsia" w:ascii="宋体" w:hAnsi="宋体" w:eastAsia="宋体" w:cs="宋体"/>
          <w:strike/>
          <w:dstrike w:val="0"/>
          <w:color w:val="auto"/>
          <w:spacing w:val="12"/>
          <w:kern w:val="10"/>
          <w:sz w:val="24"/>
          <w:highlight w:val="none"/>
        </w:rPr>
        <w:t>本办法所称安全文明措施费是指按照国家现行的建筑施工安全、施工现场环境与卫生标准和有关规定，购置和更新施工安全防护用具及设施、改善安全生产条件和作业环境所需要的费用。</w:t>
      </w:r>
    </w:p>
    <w:p w14:paraId="536D3E89">
      <w:pPr>
        <w:spacing w:line="360" w:lineRule="auto"/>
        <w:jc w:val="center"/>
        <w:rPr>
          <w:rFonts w:ascii="宋体" w:hAnsi="宋体" w:eastAsia="宋体" w:cs="宋体"/>
          <w:b/>
          <w:strike/>
          <w:dstrike w:val="0"/>
          <w:color w:val="auto"/>
          <w:spacing w:val="12"/>
          <w:kern w:val="10"/>
          <w:sz w:val="32"/>
          <w:szCs w:val="32"/>
          <w:highlight w:val="none"/>
        </w:rPr>
      </w:pPr>
      <w:r>
        <w:rPr>
          <w:rFonts w:hint="eastAsia" w:ascii="宋体" w:hAnsi="宋体" w:eastAsia="宋体" w:cs="宋体"/>
          <w:b/>
          <w:strike/>
          <w:dstrike w:val="0"/>
          <w:color w:val="auto"/>
          <w:spacing w:val="12"/>
          <w:kern w:val="10"/>
          <w:sz w:val="32"/>
          <w:szCs w:val="32"/>
          <w:highlight w:val="none"/>
        </w:rPr>
        <w:t>第二章 安全文明措施费的使用</w:t>
      </w:r>
    </w:p>
    <w:p w14:paraId="013B6D18">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第四条 </w:t>
      </w:r>
      <w:r>
        <w:rPr>
          <w:rFonts w:hint="eastAsia" w:ascii="宋体" w:hAnsi="宋体" w:eastAsia="宋体" w:cs="宋体"/>
          <w:strike/>
          <w:dstrike w:val="0"/>
          <w:color w:val="auto"/>
          <w:spacing w:val="12"/>
          <w:kern w:val="10"/>
          <w:sz w:val="24"/>
          <w:highlight w:val="none"/>
        </w:rPr>
        <w:t>安全文明措施费按照国家规定的计算办法确定，在计划额度内包干使用，超支部分由施工总承包单位自行负责。</w:t>
      </w:r>
    </w:p>
    <w:p w14:paraId="2104C6B7">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第五条 </w:t>
      </w:r>
      <w:r>
        <w:rPr>
          <w:rFonts w:hint="eastAsia" w:ascii="宋体" w:hAnsi="宋体" w:eastAsia="宋体" w:cs="宋体"/>
          <w:strike/>
          <w:dstrike w:val="0"/>
          <w:color w:val="auto"/>
          <w:spacing w:val="12"/>
          <w:kern w:val="10"/>
          <w:sz w:val="24"/>
          <w:highlight w:val="none"/>
        </w:rPr>
        <w:t>安全文明措施费需专款专用，必须在规定许可的范围内安排使用，不得挤占挪用。</w:t>
      </w:r>
    </w:p>
    <w:p w14:paraId="3DF01959">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第六条</w:t>
      </w:r>
      <w:r>
        <w:rPr>
          <w:rFonts w:hint="eastAsia" w:ascii="宋体" w:hAnsi="宋体" w:eastAsia="宋体" w:cs="宋体"/>
          <w:strike/>
          <w:dstrike w:val="0"/>
          <w:color w:val="auto"/>
          <w:spacing w:val="12"/>
          <w:kern w:val="10"/>
          <w:sz w:val="24"/>
          <w:highlight w:val="none"/>
        </w:rPr>
        <w:t xml:space="preserve"> 安全文明施工费应当按照《企业安全费用提取和使用管理办法》（财企〔2012〕16号）及工程属地造价规范的规定在合理范围内使用，使用范围见附表1。</w:t>
      </w:r>
    </w:p>
    <w:p w14:paraId="1C33B893">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第七条 </w:t>
      </w:r>
      <w:r>
        <w:rPr>
          <w:rFonts w:hint="eastAsia" w:ascii="宋体" w:hAnsi="宋体" w:eastAsia="宋体" w:cs="宋体"/>
          <w:strike/>
          <w:dstrike w:val="0"/>
          <w:color w:val="auto"/>
          <w:spacing w:val="12"/>
          <w:kern w:val="10"/>
          <w:sz w:val="24"/>
          <w:highlight w:val="none"/>
        </w:rPr>
        <w:t>在签订施工总承包合同前，施工总承包中标单位需要详细调查施工项目所在场地环境条件，分析、研判施工期间存在的安全风险，并结合国家、广东省、广州市有关安全文明施工、环境保护、职业健康等文件要求，合理编制安全文明措施费使用总计划(附表2)、安全文明措施费使用计划明细表（附表3），按照格式要求报送监理单位、建设单位审核。</w:t>
      </w:r>
    </w:p>
    <w:p w14:paraId="585C2FD8">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第八条 </w:t>
      </w:r>
      <w:r>
        <w:rPr>
          <w:rFonts w:hint="eastAsia" w:ascii="宋体" w:hAnsi="宋体" w:eastAsia="宋体" w:cs="宋体"/>
          <w:strike/>
          <w:dstrike w:val="0"/>
          <w:color w:val="auto"/>
          <w:spacing w:val="12"/>
          <w:kern w:val="10"/>
          <w:sz w:val="24"/>
          <w:highlight w:val="none"/>
        </w:rPr>
        <w:t>施工总承包单位应在项目开工前,根据施工总承包合同中安全文明措施费项目清单修订安全文明措施费使用总计划(附表2)、安全文明措施费使用计划明细表（附表3），报监理单位及建设单位审批。施工总承包单位依据审批通过的总计划按照施工进度适时分解到季度安全文明措施费使用计划，每季度末最后一月20日前填报下季度项目季度安全文明措施费使用计划(附表4), 项目季度安全文明措施费使用计划均需上报监理单位、建设单位审批。</w:t>
      </w:r>
    </w:p>
    <w:p w14:paraId="44EFDAE8">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第九条 </w:t>
      </w:r>
      <w:r>
        <w:rPr>
          <w:rFonts w:hint="eastAsia" w:ascii="宋体" w:hAnsi="宋体" w:eastAsia="宋体" w:cs="宋体"/>
          <w:strike/>
          <w:dstrike w:val="0"/>
          <w:color w:val="auto"/>
          <w:spacing w:val="12"/>
          <w:kern w:val="10"/>
          <w:sz w:val="24"/>
          <w:highlight w:val="none"/>
        </w:rPr>
        <w:t>安全文明措施费计划上报建设单位、监理单位审查审批，经批复后执行。不编制，不上报安全文明措施费使用计划或未经批复,不按批复的计划执行的，不予验收计量认定。如遇特殊情况，在征得建设单位同意后可先实施相关安全文明措施，后补报审批手续。</w:t>
      </w:r>
    </w:p>
    <w:p w14:paraId="658D957D">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第十条</w:t>
      </w:r>
      <w:r>
        <w:rPr>
          <w:rFonts w:hint="eastAsia" w:ascii="宋体" w:hAnsi="宋体" w:eastAsia="宋体" w:cs="宋体"/>
          <w:strike/>
          <w:dstrike w:val="0"/>
          <w:color w:val="auto"/>
          <w:spacing w:val="12"/>
          <w:kern w:val="10"/>
          <w:sz w:val="24"/>
          <w:highlight w:val="none"/>
        </w:rPr>
        <w:t xml:space="preserve"> 施工现场发生的安全措施项目在实施完成后，施工单位应以“安全投入工程量现场确认单”（详见附表6）的形式予以签认，此确认单作为安全文明措施费结算的重要依据。</w:t>
      </w:r>
    </w:p>
    <w:p w14:paraId="4D162A39">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第十一条</w:t>
      </w:r>
      <w:r>
        <w:rPr>
          <w:rFonts w:hint="eastAsia" w:ascii="宋体" w:hAnsi="宋体" w:eastAsia="宋体" w:cs="宋体"/>
          <w:strike/>
          <w:dstrike w:val="0"/>
          <w:color w:val="auto"/>
          <w:spacing w:val="12"/>
          <w:kern w:val="10"/>
          <w:sz w:val="24"/>
          <w:highlight w:val="none"/>
        </w:rPr>
        <w:t xml:space="preserve"> 安全文明措施费使用情况应建立台帐，详细记录每笔费用投入方向，开展安全工作具体内容、数量、单价及相关签收手续等，以备地方有关职能部门、建设单位及监理单位检查。</w:t>
      </w:r>
    </w:p>
    <w:p w14:paraId="0386CE65">
      <w:pPr>
        <w:spacing w:line="360" w:lineRule="auto"/>
        <w:jc w:val="center"/>
        <w:rPr>
          <w:rFonts w:ascii="宋体" w:hAnsi="宋体" w:eastAsia="宋体" w:cs="宋体"/>
          <w:b/>
          <w:strike/>
          <w:dstrike w:val="0"/>
          <w:color w:val="auto"/>
          <w:spacing w:val="12"/>
          <w:kern w:val="10"/>
          <w:sz w:val="32"/>
          <w:szCs w:val="32"/>
          <w:highlight w:val="none"/>
        </w:rPr>
      </w:pPr>
      <w:r>
        <w:rPr>
          <w:rFonts w:hint="eastAsia" w:ascii="宋体" w:hAnsi="宋体" w:eastAsia="宋体" w:cs="宋体"/>
          <w:b/>
          <w:strike/>
          <w:dstrike w:val="0"/>
          <w:color w:val="auto"/>
          <w:spacing w:val="12"/>
          <w:kern w:val="10"/>
          <w:sz w:val="32"/>
          <w:szCs w:val="32"/>
          <w:highlight w:val="none"/>
        </w:rPr>
        <w:t>第三章 安全文明措施费的支付</w:t>
      </w:r>
    </w:p>
    <w:p w14:paraId="149D0573">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第十二条 </w:t>
      </w:r>
      <w:r>
        <w:rPr>
          <w:rFonts w:hint="eastAsia" w:ascii="宋体" w:hAnsi="宋体" w:eastAsia="宋体" w:cs="宋体"/>
          <w:strike/>
          <w:dstrike w:val="0"/>
          <w:color w:val="auto"/>
          <w:spacing w:val="12"/>
          <w:kern w:val="10"/>
          <w:sz w:val="24"/>
          <w:highlight w:val="none"/>
        </w:rPr>
        <w:t>安全文明措施费的支付实行“先付后审”，即施工单位应在下一期安全文明措施费支付前，将已支付安全文明措施费的使用依据足额提交建设单位审核，审核合格后方可支付下一期安全文明措施费。</w:t>
      </w:r>
    </w:p>
    <w:p w14:paraId="416170F2">
      <w:pPr>
        <w:spacing w:line="360" w:lineRule="auto"/>
        <w:ind w:firstLine="528" w:firstLineChars="200"/>
        <w:rPr>
          <w:rFonts w:ascii="宋体" w:hAnsi="宋体" w:eastAsia="宋体" w:cs="宋体"/>
          <w:strike/>
          <w:dstrike w:val="0"/>
          <w:color w:val="auto"/>
          <w:spacing w:val="12"/>
          <w:kern w:val="10"/>
          <w:sz w:val="24"/>
          <w:highlight w:val="none"/>
        </w:rPr>
      </w:pPr>
      <w:r>
        <w:rPr>
          <w:rFonts w:hint="eastAsia" w:ascii="宋体" w:hAnsi="宋体" w:eastAsia="宋体" w:cs="宋体"/>
          <w:strike/>
          <w:dstrike w:val="0"/>
          <w:color w:val="auto"/>
          <w:spacing w:val="12"/>
          <w:kern w:val="10"/>
          <w:sz w:val="24"/>
          <w:highlight w:val="none"/>
        </w:rPr>
        <w:t>安全文明措施费首次支付为预付款方式，其余按施工总承包合同专用条款约定支付。</w:t>
      </w:r>
    </w:p>
    <w:p w14:paraId="78093A57">
      <w:pPr>
        <w:spacing w:line="360" w:lineRule="auto"/>
        <w:ind w:firstLine="530" w:firstLineChars="200"/>
        <w:rPr>
          <w:rFonts w:ascii="宋体" w:hAnsi="宋体" w:eastAsia="宋体" w:cs="宋体"/>
          <w:b/>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第十三条</w:t>
      </w:r>
      <w:r>
        <w:rPr>
          <w:rFonts w:hint="eastAsia" w:ascii="宋体" w:hAnsi="宋体" w:eastAsia="宋体" w:cs="宋体"/>
          <w:strike/>
          <w:dstrike w:val="0"/>
          <w:color w:val="auto"/>
          <w:spacing w:val="12"/>
          <w:kern w:val="10"/>
          <w:sz w:val="24"/>
          <w:highlight w:val="none"/>
        </w:rPr>
        <w:t xml:space="preserve"> 施工单位在每季度末将安全文明措施费使用审查表（附表7）及相关使用证明报监理单位，经监理单位严格审查项目、单价和工程量后，审查合格后方可作为使用依据予以计量。安全文明措施费审查内容包括但不限于：安全生文明措施费使用总计划、季度使用计划，安全文明措施费使用计划明细表，安全投入工程量现场确认单、项目安全费用投入统计台帐、发票凭证（备注注明项目名称）、安全教育培训、安全评估、安全检查等支出需附该活动的文字资料和图片资料、现场安全文明设施验收资料(包括图片资料)、专业分包合同、经监理工程师签证的工程量签证单和单价分析表等。</w:t>
      </w:r>
    </w:p>
    <w:p w14:paraId="42CD616C">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第十四条 </w:t>
      </w:r>
      <w:r>
        <w:rPr>
          <w:rFonts w:hint="eastAsia" w:ascii="宋体" w:hAnsi="宋体" w:eastAsia="宋体" w:cs="宋体"/>
          <w:strike/>
          <w:dstrike w:val="0"/>
          <w:color w:val="auto"/>
          <w:spacing w:val="12"/>
          <w:kern w:val="10"/>
          <w:sz w:val="24"/>
          <w:highlight w:val="none"/>
        </w:rPr>
        <w:t>施工单位在申报安全文明措施费计量结算时要依据审批通过的计划提供用于安全生产投入的票据(收据、发票)、影像资料等证明材料，建设单位、监理单位需对票据的真实性进行审查，账物不符，不得支付安全文明措施费。监理单位要对施工单位的项目安全费用投入统计台帐（附表5）定期检查，做到账物相符，入库、出库、使用记录与统计台账一一对应，保证安全生产物资、设施真正用于安全生产，确保工程安全施工。</w:t>
      </w:r>
    </w:p>
    <w:p w14:paraId="346A0B2A">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第十五条 </w:t>
      </w:r>
      <w:r>
        <w:rPr>
          <w:rFonts w:hint="eastAsia" w:ascii="宋体" w:hAnsi="宋体" w:eastAsia="宋体" w:cs="宋体"/>
          <w:strike/>
          <w:dstrike w:val="0"/>
          <w:color w:val="auto"/>
          <w:spacing w:val="12"/>
          <w:kern w:val="10"/>
          <w:sz w:val="24"/>
          <w:highlight w:val="none"/>
        </w:rPr>
        <w:t>安全文明措施费应当优先用于安全监督管理部门检查提出的安全整改措施，或为确保各单位生产安全所采取措施及安全生产达标所需支出。</w:t>
      </w:r>
    </w:p>
    <w:p w14:paraId="1A4157F2">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第十六条</w:t>
      </w:r>
      <w:r>
        <w:rPr>
          <w:rFonts w:hint="eastAsia" w:ascii="宋体" w:hAnsi="宋体" w:eastAsia="宋体" w:cs="宋体"/>
          <w:strike/>
          <w:dstrike w:val="0"/>
          <w:color w:val="auto"/>
          <w:spacing w:val="12"/>
          <w:kern w:val="10"/>
          <w:sz w:val="24"/>
          <w:highlight w:val="none"/>
        </w:rPr>
        <w:t xml:space="preserve"> 实行工程总承包的，总承包单位依法将工程分包给业主同意分包的其他单位的，总承包单位应当与分包单位在分包合同中明确由分包单位实施的安全措施及分包工程安全文明措施费。</w:t>
      </w:r>
    </w:p>
    <w:p w14:paraId="6B4BFBE8">
      <w:pPr>
        <w:spacing w:line="360" w:lineRule="auto"/>
        <w:ind w:firstLine="528" w:firstLineChars="200"/>
        <w:rPr>
          <w:rFonts w:ascii="宋体" w:hAnsi="宋体" w:eastAsia="宋体" w:cs="宋体"/>
          <w:strike/>
          <w:dstrike w:val="0"/>
          <w:color w:val="auto"/>
          <w:spacing w:val="12"/>
          <w:kern w:val="10"/>
          <w:sz w:val="24"/>
          <w:highlight w:val="none"/>
        </w:rPr>
      </w:pPr>
      <w:r>
        <w:rPr>
          <w:rFonts w:hint="eastAsia" w:ascii="宋体" w:hAnsi="宋体" w:eastAsia="宋体" w:cs="宋体"/>
          <w:strike/>
          <w:dstrike w:val="0"/>
          <w:color w:val="auto"/>
          <w:spacing w:val="12"/>
          <w:kern w:val="10"/>
          <w:sz w:val="24"/>
          <w:highlight w:val="none"/>
        </w:rPr>
        <w:t>若总承包单位未在分包合同中明确由分包单位实施的安全措施及分包工程安全文明措施费的，由该分包单位开具的一切票据将不作为总承包单位安全文明措施费的计量结算依据。</w:t>
      </w:r>
    </w:p>
    <w:p w14:paraId="4156452D">
      <w:pPr>
        <w:spacing w:line="360" w:lineRule="auto"/>
        <w:jc w:val="center"/>
        <w:rPr>
          <w:rFonts w:ascii="宋体" w:hAnsi="宋体" w:eastAsia="宋体" w:cs="宋体"/>
          <w:b/>
          <w:strike/>
          <w:dstrike w:val="0"/>
          <w:color w:val="auto"/>
          <w:spacing w:val="12"/>
          <w:kern w:val="10"/>
          <w:sz w:val="32"/>
          <w:szCs w:val="32"/>
          <w:highlight w:val="none"/>
        </w:rPr>
      </w:pPr>
      <w:r>
        <w:rPr>
          <w:rFonts w:hint="eastAsia" w:ascii="宋体" w:hAnsi="宋体" w:eastAsia="宋体" w:cs="宋体"/>
          <w:b/>
          <w:strike/>
          <w:dstrike w:val="0"/>
          <w:color w:val="auto"/>
          <w:spacing w:val="12"/>
          <w:kern w:val="10"/>
          <w:sz w:val="32"/>
          <w:szCs w:val="32"/>
          <w:highlight w:val="none"/>
        </w:rPr>
        <w:t>第四章 安全文明措施费的监督管理</w:t>
      </w:r>
    </w:p>
    <w:p w14:paraId="74FE6EC2">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第十七条 </w:t>
      </w:r>
      <w:r>
        <w:rPr>
          <w:rFonts w:hint="eastAsia" w:ascii="宋体" w:hAnsi="宋体" w:eastAsia="宋体" w:cs="宋体"/>
          <w:strike/>
          <w:dstrike w:val="0"/>
          <w:color w:val="auto"/>
          <w:spacing w:val="12"/>
          <w:kern w:val="10"/>
          <w:sz w:val="24"/>
          <w:highlight w:val="none"/>
        </w:rPr>
        <w:t>建设单位、监理单位应依据现行的标准、规范定期对工程项目施工现场安全生产情况进行检查评价，对于评价结果不合格的，施工单位应无条件增加不合格项的安全整改投入，施工单位不整改或整改不到位，不予认可处理不合格项发生的费用。</w:t>
      </w:r>
    </w:p>
    <w:p w14:paraId="7B9861E6">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第十八条 </w:t>
      </w:r>
      <w:r>
        <w:rPr>
          <w:rFonts w:hint="eastAsia" w:ascii="宋体" w:hAnsi="宋体" w:eastAsia="宋体" w:cs="宋体"/>
          <w:strike/>
          <w:dstrike w:val="0"/>
          <w:color w:val="auto"/>
          <w:spacing w:val="12"/>
          <w:kern w:val="10"/>
          <w:sz w:val="24"/>
          <w:highlight w:val="none"/>
        </w:rPr>
        <w:t>安全文明措施费专款专用管理作为施工单位竣工结算的必要条件。在办理竣工结算前，施工单位必须将已支付的安全文明措施费使用依据足额提交建设单位审核合格，否则将视为挤占挪用安全文明措施费，情节严重的将不予办理竣工结算。</w:t>
      </w:r>
    </w:p>
    <w:p w14:paraId="5344C0D0">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第十九条</w:t>
      </w:r>
      <w:r>
        <w:rPr>
          <w:rFonts w:hint="eastAsia" w:ascii="宋体" w:hAnsi="宋体" w:eastAsia="宋体" w:cs="宋体"/>
          <w:strike/>
          <w:dstrike w:val="0"/>
          <w:color w:val="auto"/>
          <w:spacing w:val="12"/>
          <w:kern w:val="10"/>
          <w:sz w:val="24"/>
          <w:highlight w:val="none"/>
        </w:rPr>
        <w:t xml:space="preserve"> 对于不用或滥用安全文明措施费，未建立安全文明措施费管理制度或管理混乱的施工单位，按照《服务供应商不规范行为管理办法》，发出“项目监管函”处理；对安全文明措施费管理问题整改不力或屡教不改的单位，按照《服务供应商不规范行为管理办法》，建设单位有权约谈该单位法定代表人。</w:t>
      </w:r>
    </w:p>
    <w:p w14:paraId="7F53BAA1">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第二十条</w:t>
      </w:r>
      <w:r>
        <w:rPr>
          <w:rFonts w:hint="eastAsia" w:ascii="宋体" w:hAnsi="宋体" w:eastAsia="宋体" w:cs="宋体"/>
          <w:strike/>
          <w:dstrike w:val="0"/>
          <w:color w:val="auto"/>
          <w:spacing w:val="12"/>
          <w:kern w:val="10"/>
          <w:sz w:val="24"/>
          <w:highlight w:val="none"/>
        </w:rPr>
        <w:t xml:space="preserve"> 施工单位未将安全文明措施费正确投入到安全工作中，或安全文明措施费不足时，未按照本办法第五、六条之规定及时列支、投入，对施工单位挤占挪用“安全文明措施费”的部分，施工单位必须在建设单位规定的限期内补齐并落实不合格项的整改，否则建设单位有权对施工单位扣罚挤占挪用部分金额的违约金。若施工单位拒绝整改、或敷衍应付，建设单位有权安排其它单位对建设项目安全工作进行完善，由此引起的费用由相关责任单位承担。</w:t>
      </w:r>
    </w:p>
    <w:p w14:paraId="35F2F2A4">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第二十一条 </w:t>
      </w:r>
      <w:r>
        <w:rPr>
          <w:rFonts w:hint="eastAsia" w:ascii="宋体" w:hAnsi="宋体" w:eastAsia="宋体" w:cs="宋体"/>
          <w:strike/>
          <w:dstrike w:val="0"/>
          <w:color w:val="auto"/>
          <w:spacing w:val="12"/>
          <w:kern w:val="10"/>
          <w:sz w:val="24"/>
          <w:highlight w:val="none"/>
        </w:rPr>
        <w:t>监理单位应当对施工单位安全文明措施费落实情况实施监理。监理单位发现施工单位在施工现场存在安全隐患、未落实安全文明措施费的，有权要求其改正，施工单位拒不改正的，监理单位应当及时向建设单位报告，必要时依法责令其暂停施工。</w:t>
      </w:r>
    </w:p>
    <w:p w14:paraId="5FDA3BC7">
      <w:pPr>
        <w:spacing w:line="360" w:lineRule="auto"/>
        <w:ind w:firstLine="528" w:firstLineChars="200"/>
        <w:rPr>
          <w:rFonts w:ascii="宋体" w:hAnsi="宋体" w:eastAsia="宋体" w:cs="宋体"/>
          <w:strike/>
          <w:dstrike w:val="0"/>
          <w:color w:val="auto"/>
          <w:spacing w:val="12"/>
          <w:kern w:val="10"/>
          <w:sz w:val="24"/>
          <w:highlight w:val="none"/>
        </w:rPr>
      </w:pPr>
      <w:r>
        <w:rPr>
          <w:rFonts w:hint="eastAsia" w:ascii="宋体" w:hAnsi="宋体" w:eastAsia="宋体" w:cs="宋体"/>
          <w:strike/>
          <w:dstrike w:val="0"/>
          <w:color w:val="auto"/>
          <w:spacing w:val="12"/>
          <w:kern w:val="10"/>
          <w:sz w:val="24"/>
          <w:highlight w:val="none"/>
        </w:rPr>
        <w:t>建设单位按照《服务供应商不规范行为管理办法》对未履行安全文明措施费监理职责的监理单位作出处罚。</w:t>
      </w:r>
    </w:p>
    <w:p w14:paraId="4BDB3865">
      <w:pPr>
        <w:spacing w:line="360" w:lineRule="auto"/>
        <w:ind w:firstLine="530" w:firstLineChars="200"/>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第二十二条 </w:t>
      </w:r>
      <w:r>
        <w:rPr>
          <w:rFonts w:hint="eastAsia" w:ascii="宋体" w:hAnsi="宋体" w:eastAsia="宋体" w:cs="宋体"/>
          <w:strike/>
          <w:dstrike w:val="0"/>
          <w:color w:val="auto"/>
          <w:spacing w:val="12"/>
          <w:kern w:val="10"/>
          <w:sz w:val="24"/>
          <w:highlight w:val="none"/>
        </w:rPr>
        <w:t>施工单位、监理单位均需执行本办法使用、管理安全文明措施费，按时提报使用计划，按计划开展工作。</w:t>
      </w:r>
    </w:p>
    <w:p w14:paraId="6B0C8E92">
      <w:pPr>
        <w:spacing w:line="360" w:lineRule="auto"/>
        <w:jc w:val="center"/>
        <w:rPr>
          <w:rFonts w:ascii="宋体" w:hAnsi="宋体" w:eastAsia="宋体" w:cs="宋体"/>
          <w:b/>
          <w:strike/>
          <w:dstrike w:val="0"/>
          <w:color w:val="auto"/>
          <w:spacing w:val="12"/>
          <w:kern w:val="10"/>
          <w:sz w:val="32"/>
          <w:szCs w:val="32"/>
          <w:highlight w:val="none"/>
        </w:rPr>
      </w:pPr>
      <w:r>
        <w:rPr>
          <w:rFonts w:hint="eastAsia" w:ascii="宋体" w:hAnsi="宋体" w:eastAsia="宋体" w:cs="宋体"/>
          <w:b/>
          <w:strike/>
          <w:dstrike w:val="0"/>
          <w:color w:val="auto"/>
          <w:spacing w:val="12"/>
          <w:kern w:val="10"/>
          <w:sz w:val="32"/>
          <w:szCs w:val="32"/>
          <w:highlight w:val="none"/>
        </w:rPr>
        <w:t>第五章 附则</w:t>
      </w:r>
    </w:p>
    <w:p w14:paraId="499AB6ED">
      <w:pPr>
        <w:spacing w:line="360" w:lineRule="auto"/>
        <w:ind w:firstLine="530" w:firstLineChars="200"/>
        <w:jc w:val="left"/>
        <w:rPr>
          <w:rFonts w:ascii="宋体" w:hAnsi="宋体" w:eastAsia="宋体" w:cs="宋体"/>
          <w:strike/>
          <w:dstrike w:val="0"/>
          <w:color w:val="auto"/>
          <w:spacing w:val="12"/>
          <w:kern w:val="10"/>
          <w:sz w:val="24"/>
          <w:highlight w:val="none"/>
        </w:rPr>
      </w:pPr>
      <w:r>
        <w:rPr>
          <w:rFonts w:hint="eastAsia" w:ascii="宋体" w:hAnsi="宋体" w:eastAsia="宋体" w:cs="宋体"/>
          <w:b/>
          <w:strike/>
          <w:dstrike w:val="0"/>
          <w:color w:val="auto"/>
          <w:spacing w:val="12"/>
          <w:kern w:val="10"/>
          <w:sz w:val="24"/>
          <w:highlight w:val="none"/>
        </w:rPr>
        <w:t xml:space="preserve">第二十三条 </w:t>
      </w:r>
      <w:r>
        <w:rPr>
          <w:rFonts w:hint="eastAsia" w:ascii="宋体" w:hAnsi="宋体" w:eastAsia="宋体" w:cs="宋体"/>
          <w:strike/>
          <w:dstrike w:val="0"/>
          <w:color w:val="auto"/>
          <w:spacing w:val="12"/>
          <w:kern w:val="10"/>
          <w:sz w:val="24"/>
          <w:highlight w:val="none"/>
        </w:rPr>
        <w:t>本办法由广州市番禺区大龙街</w:t>
      </w:r>
      <w:r>
        <w:rPr>
          <w:rFonts w:hint="eastAsia" w:ascii="宋体" w:hAnsi="宋体" w:eastAsia="宋体" w:cs="宋体"/>
          <w:strike/>
          <w:dstrike w:val="0"/>
          <w:color w:val="auto"/>
          <w:spacing w:val="12"/>
          <w:kern w:val="10"/>
          <w:sz w:val="24"/>
          <w:highlight w:val="none"/>
          <w:lang w:eastAsia="zh-CN"/>
        </w:rPr>
        <w:t>傍江东村</w:t>
      </w:r>
      <w:r>
        <w:rPr>
          <w:rFonts w:hint="eastAsia" w:ascii="宋体" w:hAnsi="宋体" w:eastAsia="宋体" w:cs="宋体"/>
          <w:strike/>
          <w:dstrike w:val="0"/>
          <w:color w:val="auto"/>
          <w:spacing w:val="12"/>
          <w:kern w:val="10"/>
          <w:sz w:val="24"/>
          <w:highlight w:val="none"/>
        </w:rPr>
        <w:t>股份合作经济社负责解释，自2020年9月8日起实施。</w:t>
      </w:r>
    </w:p>
    <w:p w14:paraId="4771F74F">
      <w:pPr>
        <w:jc w:val="left"/>
        <w:rPr>
          <w:rFonts w:ascii="宋体" w:hAnsi="宋体" w:eastAsia="宋体" w:cs="宋体"/>
          <w:b/>
          <w:bCs/>
          <w:strike/>
          <w:dstrike w:val="0"/>
          <w:color w:val="auto"/>
          <w:sz w:val="28"/>
          <w:szCs w:val="28"/>
          <w:highlight w:val="none"/>
        </w:rPr>
      </w:pPr>
    </w:p>
    <w:p w14:paraId="47DF7272">
      <w:pPr>
        <w:jc w:val="left"/>
        <w:rPr>
          <w:rFonts w:ascii="宋体" w:hAnsi="宋体" w:eastAsia="宋体" w:cs="宋体"/>
          <w:b/>
          <w:bCs/>
          <w:color w:val="auto"/>
          <w:sz w:val="28"/>
          <w:szCs w:val="28"/>
          <w:highlight w:val="none"/>
        </w:rPr>
      </w:pPr>
    </w:p>
    <w:p w14:paraId="7AF941CE">
      <w:pPr>
        <w:jc w:val="left"/>
        <w:rPr>
          <w:rFonts w:ascii="宋体" w:hAnsi="宋体" w:eastAsia="宋体" w:cs="宋体"/>
          <w:b/>
          <w:bCs/>
          <w:color w:val="auto"/>
          <w:sz w:val="28"/>
          <w:szCs w:val="28"/>
          <w:highlight w:val="none"/>
        </w:rPr>
      </w:pPr>
    </w:p>
    <w:p w14:paraId="185C40B0">
      <w:pPr>
        <w:jc w:val="left"/>
        <w:rPr>
          <w:rFonts w:ascii="宋体" w:hAnsi="宋体" w:eastAsia="宋体" w:cs="宋体"/>
          <w:b/>
          <w:bCs/>
          <w:color w:val="auto"/>
          <w:sz w:val="28"/>
          <w:szCs w:val="28"/>
          <w:highlight w:val="none"/>
        </w:rPr>
      </w:pPr>
    </w:p>
    <w:p w14:paraId="0839B295">
      <w:pPr>
        <w:jc w:val="left"/>
        <w:rPr>
          <w:rFonts w:ascii="宋体" w:hAnsi="宋体" w:eastAsia="宋体" w:cs="宋体"/>
          <w:b/>
          <w:bCs/>
          <w:color w:val="auto"/>
          <w:sz w:val="28"/>
          <w:szCs w:val="28"/>
          <w:highlight w:val="none"/>
        </w:rPr>
      </w:pPr>
    </w:p>
    <w:p w14:paraId="1B702548">
      <w:pPr>
        <w:jc w:val="left"/>
        <w:rPr>
          <w:rFonts w:ascii="宋体" w:hAnsi="宋体" w:eastAsia="宋体" w:cs="宋体"/>
          <w:b/>
          <w:bCs/>
          <w:color w:val="auto"/>
          <w:sz w:val="28"/>
          <w:szCs w:val="28"/>
          <w:highlight w:val="none"/>
        </w:rPr>
      </w:pPr>
    </w:p>
    <w:p w14:paraId="04A7E89B">
      <w:pPr>
        <w:jc w:val="left"/>
        <w:rPr>
          <w:rFonts w:ascii="宋体" w:hAnsi="宋体" w:eastAsia="宋体" w:cs="宋体"/>
          <w:b/>
          <w:bCs/>
          <w:color w:val="auto"/>
          <w:sz w:val="28"/>
          <w:szCs w:val="28"/>
          <w:highlight w:val="none"/>
        </w:rPr>
      </w:pPr>
    </w:p>
    <w:p w14:paraId="476E0243">
      <w:pPr>
        <w:jc w:val="left"/>
        <w:rPr>
          <w:rFonts w:ascii="宋体" w:hAnsi="宋体" w:eastAsia="宋体" w:cs="宋体"/>
          <w:b/>
          <w:bCs/>
          <w:color w:val="auto"/>
          <w:sz w:val="28"/>
          <w:szCs w:val="28"/>
          <w:highlight w:val="none"/>
        </w:rPr>
      </w:pPr>
    </w:p>
    <w:p w14:paraId="5D9A27F5">
      <w:pPr>
        <w:jc w:val="left"/>
        <w:rPr>
          <w:rFonts w:ascii="宋体" w:hAnsi="宋体" w:eastAsia="宋体" w:cs="宋体"/>
          <w:b/>
          <w:bCs/>
          <w:color w:val="auto"/>
          <w:sz w:val="28"/>
          <w:szCs w:val="28"/>
          <w:highlight w:val="none"/>
        </w:rPr>
      </w:pPr>
    </w:p>
    <w:p w14:paraId="6088CF44">
      <w:pPr>
        <w:jc w:val="left"/>
        <w:rPr>
          <w:rFonts w:ascii="宋体" w:hAnsi="宋体" w:eastAsia="宋体" w:cs="宋体"/>
          <w:b/>
          <w:bCs/>
          <w:color w:val="auto"/>
          <w:sz w:val="28"/>
          <w:szCs w:val="28"/>
          <w:highlight w:val="none"/>
        </w:rPr>
      </w:pPr>
    </w:p>
    <w:p w14:paraId="6A446C07">
      <w:pPr>
        <w:jc w:val="left"/>
        <w:rPr>
          <w:rFonts w:ascii="宋体" w:hAnsi="宋体" w:eastAsia="宋体" w:cs="宋体"/>
          <w:b/>
          <w:bCs/>
          <w:color w:val="auto"/>
          <w:sz w:val="28"/>
          <w:szCs w:val="28"/>
          <w:highlight w:val="none"/>
        </w:rPr>
      </w:pPr>
    </w:p>
    <w:p w14:paraId="3B3D2B03">
      <w:pPr>
        <w:jc w:val="left"/>
        <w:rPr>
          <w:rFonts w:ascii="宋体" w:hAnsi="宋体" w:eastAsia="宋体" w:cs="宋体"/>
          <w:b/>
          <w:bCs/>
          <w:color w:val="auto"/>
          <w:sz w:val="28"/>
          <w:szCs w:val="28"/>
          <w:highlight w:val="none"/>
        </w:rPr>
      </w:pPr>
    </w:p>
    <w:p w14:paraId="2A469BCE">
      <w:pPr>
        <w:pStyle w:val="6"/>
        <w:rPr>
          <w:rFonts w:ascii="宋体" w:hAnsi="宋体" w:eastAsia="宋体" w:cs="宋体"/>
          <w:color w:val="auto"/>
          <w:highlight w:val="none"/>
        </w:rPr>
      </w:pPr>
    </w:p>
    <w:p w14:paraId="2B6CD774">
      <w:pPr>
        <w:pStyle w:val="6"/>
        <w:rPr>
          <w:rFonts w:ascii="宋体" w:hAnsi="宋体" w:eastAsia="宋体" w:cs="宋体"/>
          <w:color w:val="auto"/>
          <w:highlight w:val="none"/>
        </w:rPr>
      </w:pPr>
    </w:p>
    <w:p w14:paraId="67B8A928">
      <w:pPr>
        <w:pStyle w:val="6"/>
        <w:rPr>
          <w:rFonts w:ascii="宋体" w:hAnsi="宋体" w:eastAsia="宋体" w:cs="宋体"/>
          <w:color w:val="auto"/>
          <w:highlight w:val="none"/>
        </w:rPr>
      </w:pPr>
    </w:p>
    <w:p w14:paraId="21A8700A">
      <w:pPr>
        <w:spacing w:line="360" w:lineRule="auto"/>
        <w:rPr>
          <w:rFonts w:hint="eastAsia" w:ascii="宋体" w:hAnsi="宋体" w:eastAsia="宋体" w:cs="宋体"/>
          <w:color w:val="auto"/>
          <w:spacing w:val="12"/>
          <w:kern w:val="10"/>
          <w:sz w:val="32"/>
          <w:szCs w:val="32"/>
          <w:highlight w:val="none"/>
        </w:rPr>
      </w:pPr>
      <w:r>
        <w:rPr>
          <w:rFonts w:hint="eastAsia" w:ascii="宋体" w:hAnsi="宋体" w:eastAsia="宋体" w:cs="宋体"/>
          <w:color w:val="auto"/>
          <w:spacing w:val="12"/>
          <w:kern w:val="10"/>
          <w:sz w:val="32"/>
          <w:szCs w:val="32"/>
          <w:highlight w:val="none"/>
        </w:rPr>
        <w:t>附表1：</w:t>
      </w:r>
    </w:p>
    <w:p w14:paraId="0C2BF8FB">
      <w:pPr>
        <w:spacing w:line="360" w:lineRule="auto"/>
        <w:rPr>
          <w:rFonts w:hint="eastAsia" w:ascii="宋体" w:hAnsi="宋体" w:eastAsia="宋体" w:cs="宋体"/>
          <w:b/>
          <w:color w:val="auto"/>
          <w:spacing w:val="12"/>
          <w:kern w:val="10"/>
          <w:sz w:val="32"/>
          <w:szCs w:val="32"/>
          <w:highlight w:val="none"/>
        </w:rPr>
      </w:pPr>
      <w:r>
        <w:rPr>
          <w:rFonts w:hint="eastAsia" w:ascii="宋体" w:hAnsi="宋体" w:eastAsia="宋体" w:cs="宋体"/>
          <w:b/>
          <w:color w:val="auto"/>
          <w:spacing w:val="12"/>
          <w:kern w:val="10"/>
          <w:sz w:val="32"/>
          <w:szCs w:val="32"/>
          <w:highlight w:val="none"/>
        </w:rPr>
        <w:t>安全文明施工费用使用范围：</w:t>
      </w:r>
    </w:p>
    <w:p w14:paraId="2784FB44">
      <w:pPr>
        <w:spacing w:line="360" w:lineRule="auto"/>
        <w:ind w:firstLine="528" w:firstLineChars="200"/>
        <w:rPr>
          <w:rFonts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14:paraId="332B9E64">
      <w:pPr>
        <w:spacing w:line="360" w:lineRule="auto"/>
        <w:ind w:firstLine="528" w:firstLineChars="200"/>
        <w:rPr>
          <w:rFonts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（二）配备、维护、保养应急救援器材、设备支出和应急救援队伍建设与应急演练支出；</w:t>
      </w:r>
    </w:p>
    <w:p w14:paraId="78D0E8C6">
      <w:pPr>
        <w:spacing w:line="360" w:lineRule="auto"/>
        <w:ind w:firstLine="528" w:firstLineChars="200"/>
        <w:rPr>
          <w:rFonts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（三）开展重大危险源和事故隐患评估、监测监控和整改支出；</w:t>
      </w:r>
    </w:p>
    <w:p w14:paraId="436921F2">
      <w:pPr>
        <w:spacing w:line="360" w:lineRule="auto"/>
        <w:ind w:firstLine="528" w:firstLineChars="200"/>
        <w:rPr>
          <w:rFonts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（四）安全生产检查、评价（不包括新建、改建、扩建项目安全评价）、咨询和标准化建设支出；</w:t>
      </w:r>
    </w:p>
    <w:p w14:paraId="413D525C">
      <w:pPr>
        <w:spacing w:line="360" w:lineRule="auto"/>
        <w:ind w:firstLine="528" w:firstLineChars="200"/>
        <w:rPr>
          <w:rFonts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（五）配备和更新现场作业人员安全防护用品支出；</w:t>
      </w:r>
    </w:p>
    <w:p w14:paraId="56F950D7">
      <w:pPr>
        <w:spacing w:line="360" w:lineRule="auto"/>
        <w:ind w:firstLine="528" w:firstLineChars="200"/>
        <w:rPr>
          <w:rFonts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（六）安全生产宣传、教育、培训支出；</w:t>
      </w:r>
    </w:p>
    <w:p w14:paraId="4F59F588">
      <w:pPr>
        <w:spacing w:line="360" w:lineRule="auto"/>
        <w:ind w:firstLine="528" w:firstLineChars="200"/>
        <w:rPr>
          <w:rFonts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（七）安全生产适用的新技术、新标准、新工艺、新装备的推广应用支出；</w:t>
      </w:r>
    </w:p>
    <w:p w14:paraId="6729F2D3">
      <w:pPr>
        <w:spacing w:line="360" w:lineRule="auto"/>
        <w:ind w:firstLine="528" w:firstLineChars="200"/>
        <w:rPr>
          <w:rFonts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（八）安全设施及特种设备检测检验支出；</w:t>
      </w:r>
    </w:p>
    <w:p w14:paraId="22C017BD">
      <w:pPr>
        <w:spacing w:line="360" w:lineRule="auto"/>
        <w:ind w:firstLine="528" w:firstLineChars="200"/>
        <w:rPr>
          <w:rFonts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（九）安全生产责任保险支出；</w:t>
      </w:r>
    </w:p>
    <w:p w14:paraId="636441D4">
      <w:pPr>
        <w:spacing w:line="360" w:lineRule="auto"/>
        <w:ind w:firstLine="528" w:firstLineChars="200"/>
        <w:rPr>
          <w:rFonts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（十）法律法规及相关标准规定按安全文明施工费计取的其他项目；</w:t>
      </w:r>
    </w:p>
    <w:p w14:paraId="7C255B12">
      <w:pPr>
        <w:spacing w:line="360" w:lineRule="auto"/>
        <w:ind w:firstLine="528" w:firstLineChars="200"/>
        <w:rPr>
          <w:rFonts w:ascii="宋体" w:hAnsi="宋体" w:eastAsia="宋体" w:cs="宋体"/>
          <w:color w:val="auto"/>
          <w:spacing w:val="12"/>
          <w:kern w:val="10"/>
          <w:sz w:val="24"/>
          <w:highlight w:val="none"/>
        </w:rPr>
      </w:pPr>
      <w:r>
        <w:rPr>
          <w:rFonts w:hint="eastAsia" w:ascii="宋体" w:hAnsi="宋体" w:eastAsia="宋体" w:cs="宋体"/>
          <w:color w:val="auto"/>
          <w:spacing w:val="12"/>
          <w:kern w:val="10"/>
          <w:sz w:val="24"/>
          <w:highlight w:val="none"/>
        </w:rPr>
        <w:t>（十一）其他与绿色施工、文明施工、环境保护及安全生产直接相关的支出（含支付给分包单位的安全生产费用）。</w:t>
      </w:r>
    </w:p>
    <w:p w14:paraId="5B6A28C9">
      <w:pPr>
        <w:spacing w:line="360" w:lineRule="auto"/>
        <w:rPr>
          <w:rFonts w:ascii="宋体" w:hAnsi="宋体" w:eastAsia="宋体" w:cs="宋体"/>
          <w:color w:val="auto"/>
          <w:spacing w:val="12"/>
          <w:kern w:val="10"/>
          <w:sz w:val="24"/>
          <w:highlight w:val="none"/>
        </w:rPr>
      </w:pPr>
    </w:p>
    <w:p w14:paraId="348721F5">
      <w:pPr>
        <w:widowControl/>
        <w:jc w:val="left"/>
        <w:rPr>
          <w:rFonts w:ascii="宋体" w:hAnsi="宋体" w:eastAsia="宋体" w:cs="宋体"/>
          <w:color w:val="auto"/>
          <w:spacing w:val="12"/>
          <w:kern w:val="10"/>
          <w:sz w:val="32"/>
          <w:szCs w:val="32"/>
          <w:highlight w:val="none"/>
        </w:rPr>
      </w:pPr>
    </w:p>
    <w:p w14:paraId="3CD70E9C">
      <w:pPr>
        <w:rPr>
          <w:rFonts w:ascii="宋体" w:hAnsi="宋体" w:eastAsia="宋体" w:cs="宋体"/>
          <w:color w:val="auto"/>
          <w:highlight w:val="none"/>
        </w:rPr>
        <w:sectPr>
          <w:headerReference r:id="rId7" w:type="default"/>
          <w:pgSz w:w="11906" w:h="16838"/>
          <w:pgMar w:top="1440" w:right="1418" w:bottom="1440" w:left="1418" w:header="851" w:footer="539" w:gutter="0"/>
          <w:pgNumType w:fmt="numberInDash"/>
          <w:cols w:space="720" w:num="1"/>
          <w:docGrid w:linePitch="312" w:charSpace="0"/>
        </w:sectPr>
      </w:pPr>
    </w:p>
    <w:p w14:paraId="1A890D81">
      <w:pPr>
        <w:spacing w:line="460" w:lineRule="exact"/>
        <w:rPr>
          <w:rFonts w:ascii="宋体" w:hAnsi="宋体" w:eastAsia="宋体" w:cs="宋体"/>
          <w:color w:val="auto"/>
          <w:spacing w:val="12"/>
          <w:kern w:val="10"/>
          <w:sz w:val="32"/>
          <w:szCs w:val="32"/>
          <w:highlight w:val="none"/>
        </w:rPr>
      </w:pPr>
      <w:r>
        <w:rPr>
          <w:rFonts w:hint="eastAsia" w:ascii="宋体" w:hAnsi="宋体" w:eastAsia="宋体" w:cs="宋体"/>
          <w:color w:val="auto"/>
          <w:spacing w:val="12"/>
          <w:kern w:val="10"/>
          <w:sz w:val="32"/>
          <w:szCs w:val="32"/>
          <w:highlight w:val="none"/>
        </w:rPr>
        <w:t>附表2</w:t>
      </w:r>
    </w:p>
    <w:p w14:paraId="60FAD523">
      <w:pPr>
        <w:spacing w:line="460" w:lineRule="exact"/>
        <w:jc w:val="center"/>
        <w:rPr>
          <w:rFonts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项目安全费用投入总计划</w:t>
      </w:r>
    </w:p>
    <w:p w14:paraId="47F10BA6">
      <w:pPr>
        <w:spacing w:line="46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项目名称：</w:t>
      </w:r>
    </w:p>
    <w:tbl>
      <w:tblPr>
        <w:tblStyle w:val="45"/>
        <w:tblW w:w="8926" w:type="dxa"/>
        <w:jc w:val="center"/>
        <w:tblLayout w:type="fixed"/>
        <w:tblCellMar>
          <w:top w:w="0" w:type="dxa"/>
          <w:left w:w="108" w:type="dxa"/>
          <w:bottom w:w="0" w:type="dxa"/>
          <w:right w:w="108" w:type="dxa"/>
        </w:tblCellMar>
      </w:tblPr>
      <w:tblGrid>
        <w:gridCol w:w="846"/>
        <w:gridCol w:w="2129"/>
        <w:gridCol w:w="2975"/>
        <w:gridCol w:w="708"/>
        <w:gridCol w:w="2268"/>
      </w:tblGrid>
      <w:tr w14:paraId="0B879D8D">
        <w:tblPrEx>
          <w:tblCellMar>
            <w:top w:w="0" w:type="dxa"/>
            <w:left w:w="108" w:type="dxa"/>
            <w:bottom w:w="0" w:type="dxa"/>
            <w:right w:w="108" w:type="dxa"/>
          </w:tblCellMar>
        </w:tblPrEx>
        <w:trPr>
          <w:trHeight w:val="46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67CB43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5812" w:type="dxa"/>
            <w:gridSpan w:val="3"/>
            <w:tcBorders>
              <w:top w:val="single" w:color="auto" w:sz="4" w:space="0"/>
              <w:left w:val="nil"/>
              <w:bottom w:val="single" w:color="auto" w:sz="4" w:space="0"/>
              <w:right w:val="single" w:color="auto" w:sz="4" w:space="0"/>
            </w:tcBorders>
            <w:vAlign w:val="center"/>
          </w:tcPr>
          <w:p w14:paraId="22D2FA4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安  全  用  款  范  围</w:t>
            </w:r>
          </w:p>
        </w:tc>
        <w:tc>
          <w:tcPr>
            <w:tcW w:w="2268" w:type="dxa"/>
            <w:tcBorders>
              <w:top w:val="single" w:color="auto" w:sz="4" w:space="0"/>
              <w:left w:val="nil"/>
              <w:bottom w:val="single" w:color="auto" w:sz="4" w:space="0"/>
              <w:right w:val="single" w:color="auto" w:sz="4" w:space="0"/>
            </w:tcBorders>
            <w:vAlign w:val="center"/>
          </w:tcPr>
          <w:p w14:paraId="7FF18A5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金  额（元）</w:t>
            </w:r>
          </w:p>
        </w:tc>
      </w:tr>
      <w:tr w14:paraId="714979B7">
        <w:tblPrEx>
          <w:tblCellMar>
            <w:top w:w="0" w:type="dxa"/>
            <w:left w:w="108" w:type="dxa"/>
            <w:bottom w:w="0" w:type="dxa"/>
            <w:right w:w="108" w:type="dxa"/>
          </w:tblCellMar>
        </w:tblPrEx>
        <w:trPr>
          <w:trHeight w:val="640" w:hRule="atLeast"/>
          <w:jc w:val="center"/>
        </w:trPr>
        <w:tc>
          <w:tcPr>
            <w:tcW w:w="846" w:type="dxa"/>
            <w:tcBorders>
              <w:top w:val="nil"/>
              <w:left w:val="single" w:color="auto" w:sz="4" w:space="0"/>
              <w:bottom w:val="single" w:color="auto" w:sz="4" w:space="0"/>
              <w:right w:val="single" w:color="auto" w:sz="4" w:space="0"/>
            </w:tcBorders>
            <w:vAlign w:val="center"/>
          </w:tcPr>
          <w:p w14:paraId="3D9CBB7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1</w:t>
            </w:r>
          </w:p>
        </w:tc>
        <w:tc>
          <w:tcPr>
            <w:tcW w:w="5812" w:type="dxa"/>
            <w:gridSpan w:val="3"/>
            <w:tcBorders>
              <w:top w:val="nil"/>
              <w:left w:val="nil"/>
              <w:bottom w:val="single" w:color="auto" w:sz="4" w:space="0"/>
              <w:right w:val="single" w:color="auto" w:sz="4" w:space="0"/>
            </w:tcBorders>
            <w:vAlign w:val="center"/>
          </w:tcPr>
          <w:p w14:paraId="31C51B08">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完善、改造和维护安全防护设施设备支出</w:t>
            </w:r>
          </w:p>
        </w:tc>
        <w:tc>
          <w:tcPr>
            <w:tcW w:w="2268" w:type="dxa"/>
            <w:tcBorders>
              <w:top w:val="single" w:color="auto" w:sz="4" w:space="0"/>
              <w:left w:val="nil"/>
              <w:bottom w:val="single" w:color="auto" w:sz="4" w:space="0"/>
              <w:right w:val="single" w:color="auto" w:sz="4" w:space="0"/>
            </w:tcBorders>
            <w:vAlign w:val="center"/>
          </w:tcPr>
          <w:p w14:paraId="6FFC959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12BAB626">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4A6B707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2</w:t>
            </w:r>
          </w:p>
        </w:tc>
        <w:tc>
          <w:tcPr>
            <w:tcW w:w="5812" w:type="dxa"/>
            <w:gridSpan w:val="3"/>
            <w:tcBorders>
              <w:top w:val="nil"/>
              <w:left w:val="nil"/>
              <w:bottom w:val="single" w:color="auto" w:sz="4" w:space="0"/>
              <w:right w:val="single" w:color="auto" w:sz="4" w:space="0"/>
            </w:tcBorders>
            <w:vAlign w:val="center"/>
          </w:tcPr>
          <w:p w14:paraId="7DD52CB1">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配备、维护、保养应急救援器材、设备支出和应急救援队伍建设与应急演练支出</w:t>
            </w:r>
          </w:p>
        </w:tc>
        <w:tc>
          <w:tcPr>
            <w:tcW w:w="2268" w:type="dxa"/>
            <w:tcBorders>
              <w:top w:val="single" w:color="auto" w:sz="4" w:space="0"/>
              <w:left w:val="nil"/>
              <w:bottom w:val="single" w:color="auto" w:sz="4" w:space="0"/>
              <w:right w:val="single" w:color="auto" w:sz="4" w:space="0"/>
            </w:tcBorders>
            <w:vAlign w:val="center"/>
          </w:tcPr>
          <w:p w14:paraId="5BA2A81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36B4EA8B">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3C964AF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3</w:t>
            </w:r>
          </w:p>
        </w:tc>
        <w:tc>
          <w:tcPr>
            <w:tcW w:w="5812" w:type="dxa"/>
            <w:gridSpan w:val="3"/>
            <w:tcBorders>
              <w:top w:val="nil"/>
              <w:left w:val="nil"/>
              <w:bottom w:val="single" w:color="auto" w:sz="4" w:space="0"/>
              <w:right w:val="single" w:color="auto" w:sz="4" w:space="0"/>
            </w:tcBorders>
            <w:vAlign w:val="center"/>
          </w:tcPr>
          <w:p w14:paraId="4C60DCFF">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开展重大危险源和事故隐患评估、监测监控和整改支出</w:t>
            </w:r>
          </w:p>
        </w:tc>
        <w:tc>
          <w:tcPr>
            <w:tcW w:w="2268" w:type="dxa"/>
            <w:tcBorders>
              <w:top w:val="single" w:color="auto" w:sz="4" w:space="0"/>
              <w:left w:val="nil"/>
              <w:bottom w:val="single" w:color="auto" w:sz="4" w:space="0"/>
              <w:right w:val="single" w:color="auto" w:sz="4" w:space="0"/>
            </w:tcBorders>
            <w:vAlign w:val="center"/>
          </w:tcPr>
          <w:p w14:paraId="0E039D5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1BB25DF2">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6FE09A7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4</w:t>
            </w:r>
          </w:p>
        </w:tc>
        <w:tc>
          <w:tcPr>
            <w:tcW w:w="5812" w:type="dxa"/>
            <w:gridSpan w:val="3"/>
            <w:tcBorders>
              <w:top w:val="nil"/>
              <w:left w:val="nil"/>
              <w:bottom w:val="single" w:color="auto" w:sz="4" w:space="0"/>
              <w:right w:val="single" w:color="auto" w:sz="4" w:space="0"/>
            </w:tcBorders>
            <w:vAlign w:val="center"/>
          </w:tcPr>
          <w:p w14:paraId="3C2DA091">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安全生产检查、评价（不包括新建、改建、扩建项目安全评价）、咨询和标准化建设支出</w:t>
            </w:r>
          </w:p>
        </w:tc>
        <w:tc>
          <w:tcPr>
            <w:tcW w:w="2268" w:type="dxa"/>
            <w:tcBorders>
              <w:top w:val="single" w:color="auto" w:sz="4" w:space="0"/>
              <w:left w:val="nil"/>
              <w:bottom w:val="single" w:color="auto" w:sz="4" w:space="0"/>
              <w:right w:val="single" w:color="auto" w:sz="4" w:space="0"/>
            </w:tcBorders>
            <w:vAlign w:val="center"/>
          </w:tcPr>
          <w:p w14:paraId="4F1CF27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4F5E55CB">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156378D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5</w:t>
            </w:r>
          </w:p>
        </w:tc>
        <w:tc>
          <w:tcPr>
            <w:tcW w:w="5812" w:type="dxa"/>
            <w:gridSpan w:val="3"/>
            <w:tcBorders>
              <w:top w:val="nil"/>
              <w:left w:val="nil"/>
              <w:bottom w:val="single" w:color="auto" w:sz="4" w:space="0"/>
              <w:right w:val="single" w:color="auto" w:sz="4" w:space="0"/>
            </w:tcBorders>
            <w:vAlign w:val="center"/>
          </w:tcPr>
          <w:p w14:paraId="4346030E">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配备和更新现场作业人员安全防护用品支出</w:t>
            </w:r>
          </w:p>
        </w:tc>
        <w:tc>
          <w:tcPr>
            <w:tcW w:w="2268" w:type="dxa"/>
            <w:tcBorders>
              <w:top w:val="single" w:color="auto" w:sz="4" w:space="0"/>
              <w:left w:val="nil"/>
              <w:bottom w:val="single" w:color="auto" w:sz="4" w:space="0"/>
              <w:right w:val="single" w:color="auto" w:sz="4" w:space="0"/>
            </w:tcBorders>
            <w:vAlign w:val="center"/>
          </w:tcPr>
          <w:p w14:paraId="043CABB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69F54C9D">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23BBFF4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6</w:t>
            </w:r>
          </w:p>
        </w:tc>
        <w:tc>
          <w:tcPr>
            <w:tcW w:w="5812" w:type="dxa"/>
            <w:gridSpan w:val="3"/>
            <w:tcBorders>
              <w:top w:val="nil"/>
              <w:left w:val="nil"/>
              <w:bottom w:val="single" w:color="auto" w:sz="4" w:space="0"/>
              <w:right w:val="single" w:color="auto" w:sz="4" w:space="0"/>
            </w:tcBorders>
            <w:vAlign w:val="center"/>
          </w:tcPr>
          <w:p w14:paraId="23AD7307">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安全生产宣传、教育、培训支出</w:t>
            </w:r>
          </w:p>
        </w:tc>
        <w:tc>
          <w:tcPr>
            <w:tcW w:w="2268" w:type="dxa"/>
            <w:tcBorders>
              <w:top w:val="single" w:color="auto" w:sz="4" w:space="0"/>
              <w:left w:val="nil"/>
              <w:bottom w:val="single" w:color="auto" w:sz="4" w:space="0"/>
              <w:right w:val="single" w:color="auto" w:sz="4" w:space="0"/>
            </w:tcBorders>
            <w:vAlign w:val="center"/>
          </w:tcPr>
          <w:p w14:paraId="21DCC56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2B702A02">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5284991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7</w:t>
            </w:r>
          </w:p>
        </w:tc>
        <w:tc>
          <w:tcPr>
            <w:tcW w:w="5812" w:type="dxa"/>
            <w:gridSpan w:val="3"/>
            <w:tcBorders>
              <w:top w:val="nil"/>
              <w:left w:val="nil"/>
              <w:bottom w:val="single" w:color="auto" w:sz="4" w:space="0"/>
              <w:right w:val="single" w:color="auto" w:sz="4" w:space="0"/>
            </w:tcBorders>
            <w:vAlign w:val="center"/>
          </w:tcPr>
          <w:p w14:paraId="4C3E4156">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安全生产适用的新技术、新标准、新工艺、新装备的推广应用支出</w:t>
            </w:r>
          </w:p>
        </w:tc>
        <w:tc>
          <w:tcPr>
            <w:tcW w:w="2268" w:type="dxa"/>
            <w:tcBorders>
              <w:top w:val="single" w:color="auto" w:sz="4" w:space="0"/>
              <w:left w:val="nil"/>
              <w:bottom w:val="single" w:color="auto" w:sz="4" w:space="0"/>
              <w:right w:val="single" w:color="auto" w:sz="4" w:space="0"/>
            </w:tcBorders>
            <w:vAlign w:val="center"/>
          </w:tcPr>
          <w:p w14:paraId="69C8AAF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308FD538">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0BE9B09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8</w:t>
            </w:r>
          </w:p>
        </w:tc>
        <w:tc>
          <w:tcPr>
            <w:tcW w:w="5812" w:type="dxa"/>
            <w:gridSpan w:val="3"/>
            <w:tcBorders>
              <w:top w:val="nil"/>
              <w:left w:val="nil"/>
              <w:bottom w:val="single" w:color="auto" w:sz="4" w:space="0"/>
              <w:right w:val="single" w:color="auto" w:sz="4" w:space="0"/>
            </w:tcBorders>
            <w:vAlign w:val="center"/>
          </w:tcPr>
          <w:p w14:paraId="5851D453">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安全设施及特种设备检测检验支出</w:t>
            </w:r>
          </w:p>
        </w:tc>
        <w:tc>
          <w:tcPr>
            <w:tcW w:w="2268" w:type="dxa"/>
            <w:tcBorders>
              <w:top w:val="single" w:color="auto" w:sz="4" w:space="0"/>
              <w:left w:val="nil"/>
              <w:bottom w:val="single" w:color="auto" w:sz="4" w:space="0"/>
              <w:right w:val="single" w:color="auto" w:sz="4" w:space="0"/>
            </w:tcBorders>
            <w:vAlign w:val="center"/>
          </w:tcPr>
          <w:p w14:paraId="55F6C24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2E03A155">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7C37A8B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9</w:t>
            </w:r>
          </w:p>
        </w:tc>
        <w:tc>
          <w:tcPr>
            <w:tcW w:w="5812" w:type="dxa"/>
            <w:gridSpan w:val="3"/>
            <w:tcBorders>
              <w:top w:val="nil"/>
              <w:left w:val="nil"/>
              <w:bottom w:val="single" w:color="auto" w:sz="4" w:space="0"/>
              <w:right w:val="single" w:color="auto" w:sz="4" w:space="0"/>
            </w:tcBorders>
            <w:vAlign w:val="center"/>
          </w:tcPr>
          <w:p w14:paraId="45B9DA07">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安全生产责任保险支出</w:t>
            </w:r>
          </w:p>
        </w:tc>
        <w:tc>
          <w:tcPr>
            <w:tcW w:w="2268" w:type="dxa"/>
            <w:tcBorders>
              <w:top w:val="single" w:color="auto" w:sz="4" w:space="0"/>
              <w:left w:val="nil"/>
              <w:bottom w:val="single" w:color="auto" w:sz="4" w:space="0"/>
              <w:right w:val="single" w:color="auto" w:sz="4" w:space="0"/>
            </w:tcBorders>
            <w:vAlign w:val="center"/>
          </w:tcPr>
          <w:p w14:paraId="1332CCF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72E6A50A">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2C5FB71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10</w:t>
            </w:r>
          </w:p>
        </w:tc>
        <w:tc>
          <w:tcPr>
            <w:tcW w:w="5812" w:type="dxa"/>
            <w:gridSpan w:val="3"/>
            <w:tcBorders>
              <w:top w:val="nil"/>
              <w:left w:val="nil"/>
              <w:bottom w:val="single" w:color="auto" w:sz="4" w:space="0"/>
              <w:right w:val="single" w:color="auto" w:sz="4" w:space="0"/>
            </w:tcBorders>
            <w:vAlign w:val="center"/>
          </w:tcPr>
          <w:p w14:paraId="23EFCDC8">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法律法规及相关标准规定按安全文明施工费计取的其他项目</w:t>
            </w:r>
          </w:p>
        </w:tc>
        <w:tc>
          <w:tcPr>
            <w:tcW w:w="2268" w:type="dxa"/>
            <w:tcBorders>
              <w:top w:val="single" w:color="auto" w:sz="4" w:space="0"/>
              <w:left w:val="nil"/>
              <w:bottom w:val="single" w:color="auto" w:sz="4" w:space="0"/>
              <w:right w:val="single" w:color="auto" w:sz="4" w:space="0"/>
            </w:tcBorders>
            <w:vAlign w:val="center"/>
          </w:tcPr>
          <w:p w14:paraId="6350A6E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2B7AE24F">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14:paraId="60A31E6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11</w:t>
            </w:r>
          </w:p>
        </w:tc>
        <w:tc>
          <w:tcPr>
            <w:tcW w:w="5812" w:type="dxa"/>
            <w:gridSpan w:val="3"/>
            <w:tcBorders>
              <w:top w:val="nil"/>
              <w:left w:val="nil"/>
              <w:bottom w:val="single" w:color="auto" w:sz="4" w:space="0"/>
              <w:right w:val="single" w:color="auto" w:sz="4" w:space="0"/>
            </w:tcBorders>
            <w:vAlign w:val="center"/>
          </w:tcPr>
          <w:p w14:paraId="29B346FF">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其他与绿色施工、文明施工、环境保护及安全生产直接相关的支出（含支付给分包单位的安全生产费用）</w:t>
            </w:r>
          </w:p>
        </w:tc>
        <w:tc>
          <w:tcPr>
            <w:tcW w:w="2268" w:type="dxa"/>
            <w:tcBorders>
              <w:top w:val="single" w:color="auto" w:sz="4" w:space="0"/>
              <w:left w:val="nil"/>
              <w:bottom w:val="single" w:color="auto" w:sz="4" w:space="0"/>
              <w:right w:val="single" w:color="auto" w:sz="4" w:space="0"/>
            </w:tcBorders>
            <w:vAlign w:val="center"/>
          </w:tcPr>
          <w:p w14:paraId="1398A7E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324CE2EE">
        <w:tblPrEx>
          <w:tblCellMar>
            <w:top w:w="0" w:type="dxa"/>
            <w:left w:w="108" w:type="dxa"/>
            <w:bottom w:w="0" w:type="dxa"/>
            <w:right w:w="108" w:type="dxa"/>
          </w:tblCellMar>
        </w:tblPrEx>
        <w:trPr>
          <w:trHeight w:val="640" w:hRule="atLeast"/>
          <w:jc w:val="center"/>
        </w:trPr>
        <w:tc>
          <w:tcPr>
            <w:tcW w:w="6658" w:type="dxa"/>
            <w:gridSpan w:val="4"/>
            <w:tcBorders>
              <w:top w:val="single" w:color="auto" w:sz="4" w:space="0"/>
              <w:left w:val="single" w:color="auto" w:sz="4" w:space="0"/>
              <w:bottom w:val="single" w:color="auto" w:sz="4" w:space="0"/>
              <w:right w:val="single" w:color="auto" w:sz="4" w:space="0"/>
            </w:tcBorders>
            <w:vAlign w:val="center"/>
          </w:tcPr>
          <w:p w14:paraId="724B28D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合    计：</w:t>
            </w:r>
          </w:p>
        </w:tc>
        <w:tc>
          <w:tcPr>
            <w:tcW w:w="2268" w:type="dxa"/>
            <w:tcBorders>
              <w:top w:val="single" w:color="auto" w:sz="4" w:space="0"/>
              <w:left w:val="nil"/>
              <w:bottom w:val="single" w:color="auto" w:sz="4" w:space="0"/>
              <w:right w:val="single" w:color="auto" w:sz="4" w:space="0"/>
            </w:tcBorders>
            <w:vAlign w:val="center"/>
          </w:tcPr>
          <w:p w14:paraId="20EA7C7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62473719">
        <w:tblPrEx>
          <w:tblCellMar>
            <w:top w:w="0" w:type="dxa"/>
            <w:left w:w="108" w:type="dxa"/>
            <w:bottom w:w="0" w:type="dxa"/>
            <w:right w:w="108" w:type="dxa"/>
          </w:tblCellMar>
        </w:tblPrEx>
        <w:trPr>
          <w:trHeight w:val="640" w:hRule="atLeast"/>
          <w:jc w:val="center"/>
        </w:trPr>
        <w:tc>
          <w:tcPr>
            <w:tcW w:w="2975" w:type="dxa"/>
            <w:gridSpan w:val="2"/>
            <w:tcBorders>
              <w:top w:val="single" w:color="auto" w:sz="4" w:space="0"/>
              <w:left w:val="single" w:color="auto" w:sz="4" w:space="0"/>
              <w:bottom w:val="single" w:color="auto" w:sz="4" w:space="0"/>
              <w:right w:val="single" w:color="auto" w:sz="4" w:space="0"/>
            </w:tcBorders>
          </w:tcPr>
          <w:p w14:paraId="109B3041">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施工单位：</w:t>
            </w:r>
          </w:p>
          <w:p w14:paraId="360BC879">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430F7711">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签字：</w:t>
            </w:r>
          </w:p>
          <w:p w14:paraId="0D12EB0A">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2F098CA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highlight w:val="none"/>
              </w:rPr>
              <w:t xml:space="preserve">           年  月  日</w:t>
            </w:r>
          </w:p>
        </w:tc>
        <w:tc>
          <w:tcPr>
            <w:tcW w:w="2975" w:type="dxa"/>
            <w:tcBorders>
              <w:top w:val="single" w:color="auto" w:sz="4" w:space="0"/>
              <w:left w:val="single" w:color="auto" w:sz="4" w:space="0"/>
              <w:bottom w:val="single" w:color="auto" w:sz="4" w:space="0"/>
              <w:right w:val="single" w:color="auto" w:sz="4" w:space="0"/>
            </w:tcBorders>
          </w:tcPr>
          <w:p w14:paraId="5B1009A7">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监理单位：</w:t>
            </w:r>
          </w:p>
          <w:p w14:paraId="687EF0C1">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315B2056">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签字：</w:t>
            </w:r>
          </w:p>
          <w:p w14:paraId="66CE8303">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2432A61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highlight w:val="none"/>
              </w:rPr>
              <w:t xml:space="preserve">         年  月  日</w:t>
            </w:r>
          </w:p>
        </w:tc>
        <w:tc>
          <w:tcPr>
            <w:tcW w:w="2976" w:type="dxa"/>
            <w:gridSpan w:val="2"/>
            <w:tcBorders>
              <w:top w:val="single" w:color="auto" w:sz="4" w:space="0"/>
              <w:left w:val="single" w:color="auto" w:sz="4" w:space="0"/>
              <w:bottom w:val="single" w:color="auto" w:sz="4" w:space="0"/>
              <w:right w:val="single" w:color="auto" w:sz="4" w:space="0"/>
            </w:tcBorders>
          </w:tcPr>
          <w:p w14:paraId="759D2DF2">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建设单位：</w:t>
            </w:r>
          </w:p>
          <w:p w14:paraId="33A8213E">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108AFF18">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签字：</w:t>
            </w:r>
          </w:p>
          <w:p w14:paraId="501D4E2C">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3046544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highlight w:val="none"/>
              </w:rPr>
              <w:t xml:space="preserve">           年  月  日</w:t>
            </w:r>
          </w:p>
        </w:tc>
      </w:tr>
    </w:tbl>
    <w:p w14:paraId="46B5F2F9">
      <w:pPr>
        <w:widowControl/>
        <w:jc w:val="left"/>
        <w:rPr>
          <w:rFonts w:ascii="宋体" w:hAnsi="宋体" w:eastAsia="宋体" w:cs="宋体"/>
          <w:color w:val="auto"/>
          <w:spacing w:val="12"/>
          <w:kern w:val="10"/>
          <w:sz w:val="32"/>
          <w:szCs w:val="32"/>
          <w:highlight w:val="none"/>
        </w:rPr>
      </w:pPr>
    </w:p>
    <w:p w14:paraId="1653F572">
      <w:pPr>
        <w:rPr>
          <w:rFonts w:ascii="宋体" w:hAnsi="宋体" w:eastAsia="宋体" w:cs="宋体"/>
          <w:color w:val="auto"/>
          <w:highlight w:val="none"/>
        </w:rPr>
        <w:sectPr>
          <w:pgSz w:w="11906" w:h="16838"/>
          <w:pgMar w:top="1440" w:right="1418" w:bottom="1440" w:left="1418" w:header="851" w:footer="539" w:gutter="0"/>
          <w:pgNumType w:fmt="numberInDash"/>
          <w:cols w:space="720" w:num="1"/>
          <w:docGrid w:type="lines" w:linePitch="312" w:charSpace="0"/>
        </w:sectPr>
      </w:pPr>
    </w:p>
    <w:p w14:paraId="4C5CB93E">
      <w:pPr>
        <w:widowControl/>
        <w:jc w:val="left"/>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附</w:t>
      </w:r>
      <w:r>
        <w:rPr>
          <w:rFonts w:hint="eastAsia" w:ascii="宋体" w:hAnsi="宋体" w:eastAsia="宋体" w:cs="宋体"/>
          <w:color w:val="auto"/>
          <w:spacing w:val="12"/>
          <w:kern w:val="10"/>
          <w:sz w:val="32"/>
          <w:szCs w:val="32"/>
          <w:highlight w:val="none"/>
        </w:rPr>
        <w:t>表</w:t>
      </w:r>
      <w:r>
        <w:rPr>
          <w:rFonts w:hint="eastAsia" w:ascii="宋体" w:hAnsi="宋体" w:eastAsia="宋体" w:cs="宋体"/>
          <w:color w:val="auto"/>
          <w:kern w:val="0"/>
          <w:sz w:val="32"/>
          <w:szCs w:val="32"/>
          <w:highlight w:val="none"/>
        </w:rPr>
        <w:t>3</w:t>
      </w:r>
    </w:p>
    <w:p w14:paraId="5D0CAFE0">
      <w:pPr>
        <w:widowControl/>
        <w:jc w:val="center"/>
        <w:rPr>
          <w:rFonts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安全文明措施费使用计划明细表</w:t>
      </w:r>
    </w:p>
    <w:p w14:paraId="3DAED455">
      <w:pPr>
        <w:widowControl/>
        <w:jc w:val="left"/>
        <w:rPr>
          <w:rFonts w:ascii="宋体" w:hAnsi="宋体" w:eastAsia="宋体" w:cs="宋体"/>
          <w:color w:val="auto"/>
          <w:spacing w:val="12"/>
          <w:kern w:val="10"/>
          <w:highlight w:val="none"/>
        </w:rPr>
      </w:pPr>
      <w:r>
        <w:rPr>
          <w:rFonts w:hint="eastAsia" w:ascii="宋体" w:hAnsi="宋体" w:eastAsia="宋体" w:cs="宋体"/>
          <w:color w:val="auto"/>
          <w:kern w:val="0"/>
          <w:highlight w:val="none"/>
        </w:rPr>
        <w:t>项目名称：</w:t>
      </w:r>
    </w:p>
    <w:tbl>
      <w:tblPr>
        <w:tblStyle w:val="45"/>
        <w:tblW w:w="13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19"/>
        <w:gridCol w:w="1199"/>
        <w:gridCol w:w="159"/>
        <w:gridCol w:w="1742"/>
        <w:gridCol w:w="1559"/>
        <w:gridCol w:w="851"/>
        <w:gridCol w:w="475"/>
        <w:gridCol w:w="1084"/>
        <w:gridCol w:w="1559"/>
        <w:gridCol w:w="1985"/>
      </w:tblGrid>
      <w:tr w14:paraId="26A5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blHeader/>
          <w:jc w:val="center"/>
        </w:trPr>
        <w:tc>
          <w:tcPr>
            <w:tcW w:w="850" w:type="dxa"/>
            <w:vAlign w:val="center"/>
          </w:tcPr>
          <w:p w14:paraId="20EE466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5519" w:type="dxa"/>
            <w:gridSpan w:val="4"/>
            <w:vAlign w:val="center"/>
          </w:tcPr>
          <w:p w14:paraId="6B58DF5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项目（以下仅为填写范例）</w:t>
            </w:r>
          </w:p>
        </w:tc>
        <w:tc>
          <w:tcPr>
            <w:tcW w:w="1559" w:type="dxa"/>
            <w:vAlign w:val="center"/>
          </w:tcPr>
          <w:p w14:paraId="180C6DA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单价</w:t>
            </w:r>
          </w:p>
        </w:tc>
        <w:tc>
          <w:tcPr>
            <w:tcW w:w="851" w:type="dxa"/>
            <w:vAlign w:val="center"/>
          </w:tcPr>
          <w:p w14:paraId="138D2B9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数量</w:t>
            </w:r>
          </w:p>
        </w:tc>
        <w:tc>
          <w:tcPr>
            <w:tcW w:w="1559" w:type="dxa"/>
            <w:gridSpan w:val="2"/>
            <w:vAlign w:val="center"/>
          </w:tcPr>
          <w:p w14:paraId="2F71483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总费用</w:t>
            </w:r>
          </w:p>
        </w:tc>
        <w:tc>
          <w:tcPr>
            <w:tcW w:w="1559" w:type="dxa"/>
            <w:vAlign w:val="center"/>
          </w:tcPr>
          <w:p w14:paraId="5FD3632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计划使用时间（阶段）</w:t>
            </w:r>
          </w:p>
        </w:tc>
        <w:tc>
          <w:tcPr>
            <w:tcW w:w="1985" w:type="dxa"/>
            <w:vAlign w:val="center"/>
          </w:tcPr>
          <w:p w14:paraId="3F7159E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备注</w:t>
            </w:r>
          </w:p>
        </w:tc>
      </w:tr>
      <w:tr w14:paraId="49D9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14:paraId="0FE7CC6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1</w:t>
            </w:r>
          </w:p>
        </w:tc>
        <w:tc>
          <w:tcPr>
            <w:tcW w:w="2419" w:type="dxa"/>
            <w:vMerge w:val="restart"/>
            <w:vAlign w:val="center"/>
          </w:tcPr>
          <w:p w14:paraId="1F69B20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一、完善、改造和维护安全防护设施设备支出</w:t>
            </w:r>
          </w:p>
        </w:tc>
        <w:tc>
          <w:tcPr>
            <w:tcW w:w="1199" w:type="dxa"/>
            <w:vMerge w:val="restart"/>
            <w:vAlign w:val="center"/>
          </w:tcPr>
          <w:p w14:paraId="7AD66FF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安全网</w:t>
            </w:r>
          </w:p>
        </w:tc>
        <w:tc>
          <w:tcPr>
            <w:tcW w:w="1901" w:type="dxa"/>
            <w:gridSpan w:val="2"/>
            <w:vAlign w:val="center"/>
          </w:tcPr>
          <w:p w14:paraId="45CA3A5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材料费</w:t>
            </w:r>
          </w:p>
        </w:tc>
        <w:tc>
          <w:tcPr>
            <w:tcW w:w="1559" w:type="dxa"/>
            <w:vAlign w:val="center"/>
          </w:tcPr>
          <w:p w14:paraId="17DBBAB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7566053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7CD2F98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3A30131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3586152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6892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5B07927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2823242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46A3A44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7273D6B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人工费</w:t>
            </w:r>
          </w:p>
        </w:tc>
        <w:tc>
          <w:tcPr>
            <w:tcW w:w="1559" w:type="dxa"/>
            <w:vAlign w:val="center"/>
          </w:tcPr>
          <w:p w14:paraId="44723B3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45D09B3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1E2AA6E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0EE35EC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050991F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3DFD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14:paraId="510AA18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2</w:t>
            </w:r>
          </w:p>
        </w:tc>
        <w:tc>
          <w:tcPr>
            <w:tcW w:w="2419" w:type="dxa"/>
            <w:vMerge w:val="continue"/>
            <w:vAlign w:val="center"/>
          </w:tcPr>
          <w:p w14:paraId="12E5D7F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restart"/>
            <w:vAlign w:val="center"/>
          </w:tcPr>
          <w:p w14:paraId="05AA12C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临电设施</w:t>
            </w:r>
          </w:p>
        </w:tc>
        <w:tc>
          <w:tcPr>
            <w:tcW w:w="1901" w:type="dxa"/>
            <w:gridSpan w:val="2"/>
            <w:vAlign w:val="center"/>
          </w:tcPr>
          <w:p w14:paraId="44C4E9C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电线材料费</w:t>
            </w:r>
          </w:p>
        </w:tc>
        <w:tc>
          <w:tcPr>
            <w:tcW w:w="1559" w:type="dxa"/>
            <w:vAlign w:val="center"/>
          </w:tcPr>
          <w:p w14:paraId="5D84CA3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723EF67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76F9A5C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36D7833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27E5522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242F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15CE492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13C0F85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5085845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04F6F45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总配电箱材料费</w:t>
            </w:r>
          </w:p>
        </w:tc>
        <w:tc>
          <w:tcPr>
            <w:tcW w:w="1559" w:type="dxa"/>
            <w:vAlign w:val="center"/>
          </w:tcPr>
          <w:p w14:paraId="3392FC7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2C7F751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28CEF5D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4861AF5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03950CC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含箱内电器</w:t>
            </w:r>
          </w:p>
        </w:tc>
      </w:tr>
      <w:tr w14:paraId="7F6F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178F289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1485703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25076C3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4045C4A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分配电箱材料费</w:t>
            </w:r>
          </w:p>
        </w:tc>
        <w:tc>
          <w:tcPr>
            <w:tcW w:w="1559" w:type="dxa"/>
            <w:vAlign w:val="center"/>
          </w:tcPr>
          <w:p w14:paraId="3173793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4886A7C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07D69B4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36765F2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319D840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含箱内电器</w:t>
            </w:r>
          </w:p>
        </w:tc>
      </w:tr>
      <w:tr w14:paraId="5B4F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53EDA0C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7A3EF1B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266A07C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69CC0FF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开关箱）材料费</w:t>
            </w:r>
          </w:p>
        </w:tc>
        <w:tc>
          <w:tcPr>
            <w:tcW w:w="1559" w:type="dxa"/>
            <w:vAlign w:val="center"/>
          </w:tcPr>
          <w:p w14:paraId="11785BF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6951A9B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57956C8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51768CD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48A3A40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含箱内电器</w:t>
            </w:r>
          </w:p>
        </w:tc>
      </w:tr>
      <w:tr w14:paraId="01C6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26944DD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04624D6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25A19D7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3FABE31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电杆材料费</w:t>
            </w:r>
          </w:p>
        </w:tc>
        <w:tc>
          <w:tcPr>
            <w:tcW w:w="1559" w:type="dxa"/>
            <w:vAlign w:val="center"/>
          </w:tcPr>
          <w:p w14:paraId="4D6B764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01E2A85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3E1AF2D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288DE4B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21C5118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5A0E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6C085F2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79AF821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4811271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389D1AE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街码材料费</w:t>
            </w:r>
          </w:p>
        </w:tc>
        <w:tc>
          <w:tcPr>
            <w:tcW w:w="1559" w:type="dxa"/>
            <w:vAlign w:val="center"/>
          </w:tcPr>
          <w:p w14:paraId="1765CDB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6D334B5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41325F8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003598B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62D084F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0BD0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1F6D1F3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40143DE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13F0B46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4EDB9C8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配件材料费</w:t>
            </w:r>
          </w:p>
        </w:tc>
        <w:tc>
          <w:tcPr>
            <w:tcW w:w="1559" w:type="dxa"/>
            <w:vAlign w:val="center"/>
          </w:tcPr>
          <w:p w14:paraId="74B9EB6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5507223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48E4401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2D9201B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32FA946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1BF6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199FB4D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24615E6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19297F7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2A4055A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人工费</w:t>
            </w:r>
          </w:p>
        </w:tc>
        <w:tc>
          <w:tcPr>
            <w:tcW w:w="1559" w:type="dxa"/>
            <w:vAlign w:val="center"/>
          </w:tcPr>
          <w:p w14:paraId="05EA939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680F903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154410E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4980398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4C1B4D6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7879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14:paraId="6790023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3</w:t>
            </w:r>
          </w:p>
        </w:tc>
        <w:tc>
          <w:tcPr>
            <w:tcW w:w="2419" w:type="dxa"/>
            <w:vMerge w:val="restart"/>
            <w:vAlign w:val="center"/>
          </w:tcPr>
          <w:p w14:paraId="1F7F4B3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二、配备、维护、保养应急救援器材、设备支出和应急救援队伍建设与应急演练支出</w:t>
            </w:r>
          </w:p>
        </w:tc>
        <w:tc>
          <w:tcPr>
            <w:tcW w:w="1199" w:type="dxa"/>
            <w:vMerge w:val="restart"/>
            <w:vAlign w:val="center"/>
          </w:tcPr>
          <w:p w14:paraId="1C1A2A9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消防设施</w:t>
            </w:r>
          </w:p>
        </w:tc>
        <w:tc>
          <w:tcPr>
            <w:tcW w:w="1901" w:type="dxa"/>
            <w:gridSpan w:val="2"/>
            <w:vAlign w:val="center"/>
          </w:tcPr>
          <w:p w14:paraId="76E28D8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消防箱材料费</w:t>
            </w:r>
          </w:p>
        </w:tc>
        <w:tc>
          <w:tcPr>
            <w:tcW w:w="1559" w:type="dxa"/>
            <w:vAlign w:val="center"/>
          </w:tcPr>
          <w:p w14:paraId="34A0CA4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4227FC4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4A40FE3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74BD707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4913C23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3684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137A44F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1239F61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2AD2452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4F393C2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消防龙头材料费</w:t>
            </w:r>
          </w:p>
        </w:tc>
        <w:tc>
          <w:tcPr>
            <w:tcW w:w="1559" w:type="dxa"/>
            <w:vAlign w:val="center"/>
          </w:tcPr>
          <w:p w14:paraId="5EB871E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5E4348B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16AE7F0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4E0DEF3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655B09C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0B1B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69BDC33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11A5A33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7E908BD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1ABC513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消防水枪材料费</w:t>
            </w:r>
          </w:p>
        </w:tc>
        <w:tc>
          <w:tcPr>
            <w:tcW w:w="1559" w:type="dxa"/>
            <w:vAlign w:val="center"/>
          </w:tcPr>
          <w:p w14:paraId="3ABBA69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7D4E71A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6797B76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46777FE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34BAD43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4EA7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5A483A6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600D763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23578FD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388085C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消防带材料费</w:t>
            </w:r>
          </w:p>
        </w:tc>
        <w:tc>
          <w:tcPr>
            <w:tcW w:w="1559" w:type="dxa"/>
            <w:vAlign w:val="center"/>
          </w:tcPr>
          <w:p w14:paraId="2DB028A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2B3CC1C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7778AD4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0EF6830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7498DA1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1531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3CA7CC5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15A8D59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5CA7A5D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6CBF0A8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消防管材料费</w:t>
            </w:r>
          </w:p>
        </w:tc>
        <w:tc>
          <w:tcPr>
            <w:tcW w:w="1559" w:type="dxa"/>
            <w:vAlign w:val="center"/>
          </w:tcPr>
          <w:p w14:paraId="14760E9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6866DA7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4081D0C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17A5556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4C7B133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162A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0CFA8EB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784A2F2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4E93C59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36C3BAC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消防水泵材料费</w:t>
            </w:r>
          </w:p>
        </w:tc>
        <w:tc>
          <w:tcPr>
            <w:tcW w:w="1559" w:type="dxa"/>
            <w:vAlign w:val="center"/>
          </w:tcPr>
          <w:p w14:paraId="705224F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085B434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2B18F03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3F21689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36BE721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290C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46534E1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15E4CE0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12D90CB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761A47C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灭火器材料费</w:t>
            </w:r>
          </w:p>
        </w:tc>
        <w:tc>
          <w:tcPr>
            <w:tcW w:w="1559" w:type="dxa"/>
            <w:vAlign w:val="center"/>
          </w:tcPr>
          <w:p w14:paraId="5F11CBB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6A43D0F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249CF27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4B0B147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7AA4023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2568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14:paraId="70C8DE3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0011E9E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44454D2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64BA2F4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人工费</w:t>
            </w:r>
          </w:p>
        </w:tc>
        <w:tc>
          <w:tcPr>
            <w:tcW w:w="1559" w:type="dxa"/>
            <w:vAlign w:val="center"/>
          </w:tcPr>
          <w:p w14:paraId="6987B2D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5EDA4C0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776E077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473CD80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600EC96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4717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restart"/>
            <w:vAlign w:val="center"/>
          </w:tcPr>
          <w:p w14:paraId="21FC191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4</w:t>
            </w:r>
          </w:p>
        </w:tc>
        <w:tc>
          <w:tcPr>
            <w:tcW w:w="2419" w:type="dxa"/>
            <w:vMerge w:val="restart"/>
            <w:vAlign w:val="center"/>
          </w:tcPr>
          <w:p w14:paraId="2E3ECF0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八、安全设施及特种设备检测检验支出</w:t>
            </w:r>
          </w:p>
        </w:tc>
        <w:tc>
          <w:tcPr>
            <w:tcW w:w="1199" w:type="dxa"/>
            <w:vMerge w:val="restart"/>
            <w:vAlign w:val="center"/>
          </w:tcPr>
          <w:p w14:paraId="5216324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特种设备检测</w:t>
            </w:r>
          </w:p>
        </w:tc>
        <w:tc>
          <w:tcPr>
            <w:tcW w:w="1901" w:type="dxa"/>
            <w:gridSpan w:val="2"/>
            <w:vAlign w:val="center"/>
          </w:tcPr>
          <w:p w14:paraId="18CF540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施工升降机检测费</w:t>
            </w:r>
          </w:p>
        </w:tc>
        <w:tc>
          <w:tcPr>
            <w:tcW w:w="1559" w:type="dxa"/>
            <w:vAlign w:val="center"/>
          </w:tcPr>
          <w:p w14:paraId="3F598D3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516AEDA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206ED1A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1FD2B1C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128F97E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0741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14:paraId="6148017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6E821BC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493128F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3009423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物料提升机检测费</w:t>
            </w:r>
          </w:p>
        </w:tc>
        <w:tc>
          <w:tcPr>
            <w:tcW w:w="1559" w:type="dxa"/>
            <w:vAlign w:val="center"/>
          </w:tcPr>
          <w:p w14:paraId="54F5F16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7B5A623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548BF5D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27673BD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75130E6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2615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14:paraId="6F0A15C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4DE2180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3368A88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4643836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塔式起重机检测费</w:t>
            </w:r>
          </w:p>
        </w:tc>
        <w:tc>
          <w:tcPr>
            <w:tcW w:w="1559" w:type="dxa"/>
            <w:vAlign w:val="center"/>
          </w:tcPr>
          <w:p w14:paraId="40B0A70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5B5818A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667F8A3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6ACBF4E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601378D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42BB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14:paraId="43F12A4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419" w:type="dxa"/>
            <w:vMerge w:val="continue"/>
            <w:vAlign w:val="center"/>
          </w:tcPr>
          <w:p w14:paraId="7E45583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Merge w:val="continue"/>
            <w:vAlign w:val="center"/>
          </w:tcPr>
          <w:p w14:paraId="41DDB7D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01" w:type="dxa"/>
            <w:gridSpan w:val="2"/>
            <w:vAlign w:val="center"/>
          </w:tcPr>
          <w:p w14:paraId="1D11EED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安全设施材料费</w:t>
            </w:r>
          </w:p>
        </w:tc>
        <w:tc>
          <w:tcPr>
            <w:tcW w:w="1559" w:type="dxa"/>
            <w:vAlign w:val="center"/>
          </w:tcPr>
          <w:p w14:paraId="6BE6701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6C0B38D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410D2E8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1E72EAF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2271F3D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2B79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50" w:type="dxa"/>
            <w:vAlign w:val="center"/>
          </w:tcPr>
          <w:p w14:paraId="2A17825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5</w:t>
            </w:r>
          </w:p>
        </w:tc>
        <w:tc>
          <w:tcPr>
            <w:tcW w:w="2419" w:type="dxa"/>
            <w:vMerge w:val="continue"/>
            <w:vAlign w:val="center"/>
          </w:tcPr>
          <w:p w14:paraId="4976CD3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199" w:type="dxa"/>
            <w:vAlign w:val="center"/>
          </w:tcPr>
          <w:p w14:paraId="609CCD4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安全设施检测</w:t>
            </w:r>
          </w:p>
        </w:tc>
        <w:tc>
          <w:tcPr>
            <w:tcW w:w="1901" w:type="dxa"/>
            <w:gridSpan w:val="2"/>
            <w:vAlign w:val="center"/>
          </w:tcPr>
          <w:p w14:paraId="02142FC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安全网检测费</w:t>
            </w:r>
          </w:p>
        </w:tc>
        <w:tc>
          <w:tcPr>
            <w:tcW w:w="1559" w:type="dxa"/>
            <w:vAlign w:val="center"/>
          </w:tcPr>
          <w:p w14:paraId="609DDE3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51" w:type="dxa"/>
            <w:vAlign w:val="center"/>
          </w:tcPr>
          <w:p w14:paraId="1F97730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gridSpan w:val="2"/>
            <w:vAlign w:val="center"/>
          </w:tcPr>
          <w:p w14:paraId="2968960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59" w:type="dxa"/>
            <w:vAlign w:val="center"/>
          </w:tcPr>
          <w:p w14:paraId="0E26B09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985" w:type="dxa"/>
            <w:vAlign w:val="center"/>
          </w:tcPr>
          <w:p w14:paraId="4D32914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≤500张取2张，500～2000张取4张，＞2000张取6张；每组抽2张</w:t>
            </w:r>
          </w:p>
        </w:tc>
      </w:tr>
      <w:tr w14:paraId="60F3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627" w:type="dxa"/>
            <w:gridSpan w:val="4"/>
          </w:tcPr>
          <w:p w14:paraId="2AE7AA2D">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施工单位：</w:t>
            </w:r>
          </w:p>
          <w:p w14:paraId="307E2BD9">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7C4DD168">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签字：</w:t>
            </w:r>
          </w:p>
          <w:p w14:paraId="0EE2EC4A">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003B3B9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highlight w:val="none"/>
              </w:rPr>
              <w:t xml:space="preserve">                            年  月  日</w:t>
            </w:r>
          </w:p>
        </w:tc>
        <w:tc>
          <w:tcPr>
            <w:tcW w:w="4627" w:type="dxa"/>
            <w:gridSpan w:val="4"/>
          </w:tcPr>
          <w:p w14:paraId="6ABDEA33">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监理单位：</w:t>
            </w:r>
          </w:p>
          <w:p w14:paraId="1DE0FA78">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14E3EF42">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签字：</w:t>
            </w:r>
          </w:p>
          <w:p w14:paraId="298729B4">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2A9ACE5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highlight w:val="none"/>
              </w:rPr>
              <w:t xml:space="preserve">                           年  月  日</w:t>
            </w:r>
          </w:p>
        </w:tc>
        <w:tc>
          <w:tcPr>
            <w:tcW w:w="4628" w:type="dxa"/>
            <w:gridSpan w:val="3"/>
          </w:tcPr>
          <w:p w14:paraId="131131CD">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建设单位：</w:t>
            </w:r>
          </w:p>
          <w:p w14:paraId="5D5E45AD">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0C8791A6">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签字：</w:t>
            </w:r>
          </w:p>
          <w:p w14:paraId="7857B625">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2364A03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rPr>
            </w:pPr>
            <w:r>
              <w:rPr>
                <w:rFonts w:hint="eastAsia" w:ascii="宋体" w:hAnsi="宋体" w:eastAsia="宋体" w:cs="宋体"/>
                <w:color w:val="auto"/>
                <w:highlight w:val="none"/>
              </w:rPr>
              <w:t xml:space="preserve">                          年  月  日</w:t>
            </w:r>
          </w:p>
        </w:tc>
      </w:tr>
    </w:tbl>
    <w:p w14:paraId="06A4F327">
      <w:pPr>
        <w:widowControl/>
        <w:jc w:val="left"/>
        <w:rPr>
          <w:rFonts w:ascii="宋体" w:hAnsi="宋体" w:eastAsia="宋体" w:cs="宋体"/>
          <w:color w:val="auto"/>
          <w:spacing w:val="12"/>
          <w:kern w:val="10"/>
          <w:sz w:val="32"/>
          <w:szCs w:val="32"/>
          <w:highlight w:val="none"/>
        </w:rPr>
      </w:pPr>
    </w:p>
    <w:p w14:paraId="1D3D4635">
      <w:pPr>
        <w:rPr>
          <w:rFonts w:ascii="宋体" w:hAnsi="宋体" w:eastAsia="宋体" w:cs="宋体"/>
          <w:color w:val="auto"/>
          <w:highlight w:val="none"/>
        </w:rPr>
        <w:sectPr>
          <w:pgSz w:w="16838" w:h="11906" w:orient="landscape"/>
          <w:pgMar w:top="1418" w:right="1440" w:bottom="1418" w:left="1440" w:header="851" w:footer="539" w:gutter="0"/>
          <w:pgNumType w:fmt="numberInDash"/>
          <w:cols w:space="720" w:num="1"/>
          <w:docGrid w:type="lines" w:linePitch="312" w:charSpace="0"/>
        </w:sectPr>
      </w:pPr>
    </w:p>
    <w:p w14:paraId="6C5C45B1">
      <w:pPr>
        <w:spacing w:line="460" w:lineRule="exact"/>
        <w:rPr>
          <w:rFonts w:ascii="宋体" w:hAnsi="宋体" w:eastAsia="宋体" w:cs="宋体"/>
          <w:color w:val="auto"/>
          <w:spacing w:val="12"/>
          <w:kern w:val="10"/>
          <w:sz w:val="32"/>
          <w:szCs w:val="32"/>
          <w:highlight w:val="none"/>
        </w:rPr>
      </w:pPr>
      <w:r>
        <w:rPr>
          <w:rFonts w:hint="eastAsia" w:ascii="宋体" w:hAnsi="宋体" w:eastAsia="宋体" w:cs="宋体"/>
          <w:color w:val="auto"/>
          <w:spacing w:val="12"/>
          <w:kern w:val="10"/>
          <w:sz w:val="32"/>
          <w:szCs w:val="32"/>
          <w:highlight w:val="none"/>
        </w:rPr>
        <w:t>附表4</w:t>
      </w:r>
    </w:p>
    <w:p w14:paraId="73A671F4">
      <w:pPr>
        <w:jc w:val="center"/>
        <w:rPr>
          <w:rFonts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项目季度安全文明措施费使用计划表</w:t>
      </w:r>
    </w:p>
    <w:p w14:paraId="5022B1FD">
      <w:pPr>
        <w:spacing w:line="460" w:lineRule="exact"/>
        <w:rPr>
          <w:rFonts w:ascii="宋体" w:hAnsi="宋体" w:eastAsia="宋体" w:cs="宋体"/>
          <w:color w:val="auto"/>
          <w:kern w:val="0"/>
          <w:highlight w:val="none"/>
        </w:rPr>
      </w:pPr>
      <w:r>
        <w:rPr>
          <w:rFonts w:hint="eastAsia" w:ascii="宋体" w:hAnsi="宋体" w:eastAsia="宋体" w:cs="宋体"/>
          <w:color w:val="auto"/>
          <w:kern w:val="0"/>
          <w:highlight w:val="none"/>
        </w:rPr>
        <w:t>项目名称：                                                            20xx年第x季度</w:t>
      </w:r>
    </w:p>
    <w:tbl>
      <w:tblPr>
        <w:tblStyle w:val="45"/>
        <w:tblW w:w="9240" w:type="dxa"/>
        <w:jc w:val="center"/>
        <w:tblLayout w:type="fixed"/>
        <w:tblCellMar>
          <w:top w:w="0" w:type="dxa"/>
          <w:left w:w="108" w:type="dxa"/>
          <w:bottom w:w="0" w:type="dxa"/>
          <w:right w:w="108" w:type="dxa"/>
        </w:tblCellMar>
      </w:tblPr>
      <w:tblGrid>
        <w:gridCol w:w="4683"/>
        <w:gridCol w:w="1691"/>
        <w:gridCol w:w="851"/>
        <w:gridCol w:w="850"/>
        <w:gridCol w:w="1165"/>
      </w:tblGrid>
      <w:tr w14:paraId="42944602">
        <w:tblPrEx>
          <w:tblCellMar>
            <w:top w:w="0" w:type="dxa"/>
            <w:left w:w="108" w:type="dxa"/>
            <w:bottom w:w="0" w:type="dxa"/>
            <w:right w:w="108" w:type="dxa"/>
          </w:tblCellMar>
        </w:tblPrEx>
        <w:trPr>
          <w:trHeight w:val="441" w:hRule="atLeast"/>
          <w:tblHeader/>
          <w:jc w:val="center"/>
        </w:trPr>
        <w:tc>
          <w:tcPr>
            <w:tcW w:w="6374" w:type="dxa"/>
            <w:gridSpan w:val="2"/>
            <w:tcBorders>
              <w:top w:val="single" w:color="auto" w:sz="4" w:space="0"/>
              <w:left w:val="single" w:color="auto" w:sz="4" w:space="0"/>
              <w:bottom w:val="single" w:color="auto" w:sz="4" w:space="0"/>
              <w:right w:val="single" w:color="auto" w:sz="4" w:space="0"/>
            </w:tcBorders>
            <w:vAlign w:val="center"/>
          </w:tcPr>
          <w:p w14:paraId="44F29E0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项目</w:t>
            </w:r>
          </w:p>
        </w:tc>
        <w:tc>
          <w:tcPr>
            <w:tcW w:w="851" w:type="dxa"/>
            <w:tcBorders>
              <w:top w:val="single" w:color="auto" w:sz="4" w:space="0"/>
              <w:left w:val="nil"/>
              <w:bottom w:val="single" w:color="auto" w:sz="4" w:space="0"/>
              <w:right w:val="single" w:color="auto" w:sz="4" w:space="0"/>
            </w:tcBorders>
            <w:vAlign w:val="center"/>
          </w:tcPr>
          <w:p w14:paraId="4400909C">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总计划           用款</w:t>
            </w:r>
          </w:p>
        </w:tc>
        <w:tc>
          <w:tcPr>
            <w:tcW w:w="850" w:type="dxa"/>
            <w:tcBorders>
              <w:top w:val="single" w:color="auto" w:sz="4" w:space="0"/>
              <w:left w:val="nil"/>
              <w:bottom w:val="single" w:color="auto" w:sz="4" w:space="0"/>
              <w:right w:val="single" w:color="auto" w:sz="4" w:space="0"/>
            </w:tcBorders>
            <w:vAlign w:val="center"/>
          </w:tcPr>
          <w:p w14:paraId="1CD7F9A9">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已申请           用款</w:t>
            </w:r>
          </w:p>
        </w:tc>
        <w:tc>
          <w:tcPr>
            <w:tcW w:w="1165" w:type="dxa"/>
            <w:tcBorders>
              <w:top w:val="single" w:color="auto" w:sz="4" w:space="0"/>
              <w:left w:val="nil"/>
              <w:bottom w:val="single" w:color="auto" w:sz="4" w:space="0"/>
              <w:right w:val="single" w:color="auto" w:sz="4" w:space="0"/>
            </w:tcBorders>
            <w:vAlign w:val="center"/>
          </w:tcPr>
          <w:p w14:paraId="192E7E30">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本次申请           用款</w:t>
            </w:r>
          </w:p>
        </w:tc>
      </w:tr>
      <w:tr w14:paraId="4EAF94F7">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0CEFA100">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一、完善、改造和维护安全防护设施设备支出</w:t>
            </w:r>
          </w:p>
        </w:tc>
        <w:tc>
          <w:tcPr>
            <w:tcW w:w="851" w:type="dxa"/>
            <w:tcBorders>
              <w:top w:val="nil"/>
              <w:left w:val="nil"/>
              <w:bottom w:val="single" w:color="auto" w:sz="4" w:space="0"/>
              <w:right w:val="single" w:color="auto" w:sz="4" w:space="0"/>
            </w:tcBorders>
            <w:vAlign w:val="bottom"/>
          </w:tcPr>
          <w:p w14:paraId="7C65075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A0D68F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030ED17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p>
        </w:tc>
      </w:tr>
      <w:tr w14:paraId="65889D28">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3711B239">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（一）基坑临边防护和坑壁内支撑、基坑支护的变形监测以及危房鉴定加固费用</w:t>
            </w:r>
          </w:p>
        </w:tc>
        <w:tc>
          <w:tcPr>
            <w:tcW w:w="851" w:type="dxa"/>
            <w:tcBorders>
              <w:top w:val="nil"/>
              <w:left w:val="nil"/>
              <w:bottom w:val="single" w:color="auto" w:sz="4" w:space="0"/>
              <w:right w:val="single" w:color="auto" w:sz="4" w:space="0"/>
            </w:tcBorders>
            <w:vAlign w:val="bottom"/>
          </w:tcPr>
          <w:p w14:paraId="2F09871F">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63E03371">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03E24587">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7CAC8E2F">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044CFDD8">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1、临边防护（钢管）</w:t>
            </w:r>
          </w:p>
        </w:tc>
        <w:tc>
          <w:tcPr>
            <w:tcW w:w="851" w:type="dxa"/>
            <w:tcBorders>
              <w:top w:val="nil"/>
              <w:left w:val="nil"/>
              <w:bottom w:val="single" w:color="auto" w:sz="4" w:space="0"/>
              <w:right w:val="single" w:color="auto" w:sz="4" w:space="0"/>
            </w:tcBorders>
            <w:vAlign w:val="bottom"/>
          </w:tcPr>
          <w:p w14:paraId="48D343EA">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2F8A7DAE">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1B71E00">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76B570EB">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3116FADC">
            <w:pPr>
              <w:keepNext w:val="0"/>
              <w:keepLines w:val="0"/>
              <w:widowControl/>
              <w:suppressLineNumbers w:val="0"/>
              <w:spacing w:before="0" w:beforeAutospacing="0" w:after="0" w:afterAutospacing="0" w:line="240" w:lineRule="exact"/>
              <w:ind w:left="0" w:right="0" w:firstLine="315" w:firstLineChars="150"/>
              <w:rPr>
                <w:rFonts w:hint="default" w:ascii="宋体" w:hAnsi="宋体" w:eastAsia="宋体" w:cs="宋体"/>
                <w:color w:val="auto"/>
                <w:kern w:val="0"/>
                <w:highlight w:val="none"/>
              </w:rPr>
            </w:pPr>
            <w:r>
              <w:rPr>
                <w:rFonts w:hint="eastAsia" w:ascii="宋体" w:hAnsi="宋体" w:eastAsia="宋体" w:cs="宋体"/>
                <w:color w:val="auto"/>
                <w:kern w:val="0"/>
                <w:highlight w:val="none"/>
              </w:rPr>
              <w:t>临边防护（人工费）</w:t>
            </w:r>
          </w:p>
        </w:tc>
        <w:tc>
          <w:tcPr>
            <w:tcW w:w="851" w:type="dxa"/>
            <w:tcBorders>
              <w:top w:val="nil"/>
              <w:left w:val="nil"/>
              <w:bottom w:val="single" w:color="auto" w:sz="4" w:space="0"/>
              <w:right w:val="single" w:color="auto" w:sz="4" w:space="0"/>
            </w:tcBorders>
            <w:vAlign w:val="bottom"/>
          </w:tcPr>
          <w:p w14:paraId="1DDF4992">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0FDEEB8">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2A47DF14">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61AEF1CB">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616DEF07">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2、坑壁内支撑内支撑冠梁、坑壁锚固、坑壁表面混凝土喷浆等</w:t>
            </w:r>
          </w:p>
        </w:tc>
        <w:tc>
          <w:tcPr>
            <w:tcW w:w="851" w:type="dxa"/>
            <w:tcBorders>
              <w:top w:val="nil"/>
              <w:left w:val="nil"/>
              <w:bottom w:val="single" w:color="auto" w:sz="4" w:space="0"/>
              <w:right w:val="single" w:color="auto" w:sz="4" w:space="0"/>
            </w:tcBorders>
            <w:vAlign w:val="bottom"/>
          </w:tcPr>
          <w:p w14:paraId="2033CA8F">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312D88E">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6BAEE5D4">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7826C774">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6839F002">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3、基坑支护变形观测</w:t>
            </w:r>
          </w:p>
        </w:tc>
        <w:tc>
          <w:tcPr>
            <w:tcW w:w="851" w:type="dxa"/>
            <w:tcBorders>
              <w:top w:val="nil"/>
              <w:left w:val="nil"/>
              <w:bottom w:val="single" w:color="auto" w:sz="4" w:space="0"/>
              <w:right w:val="single" w:color="auto" w:sz="4" w:space="0"/>
            </w:tcBorders>
            <w:vAlign w:val="bottom"/>
          </w:tcPr>
          <w:p w14:paraId="4956DAAA">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7FB4C7B6">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A50373F">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4EDDA6CA">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3B30328C">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4、基坑应急救援物资（沙袋、抽水设施、砂土、及实际发生的机械租赁费等）</w:t>
            </w:r>
          </w:p>
        </w:tc>
        <w:tc>
          <w:tcPr>
            <w:tcW w:w="851" w:type="dxa"/>
            <w:tcBorders>
              <w:top w:val="nil"/>
              <w:left w:val="nil"/>
              <w:bottom w:val="single" w:color="auto" w:sz="4" w:space="0"/>
              <w:right w:val="single" w:color="auto" w:sz="4" w:space="0"/>
            </w:tcBorders>
            <w:vAlign w:val="bottom"/>
          </w:tcPr>
          <w:p w14:paraId="61F7E4C4">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503179E9">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64DBFAC2">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120ED7AF">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7E81840F">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（二）楼梯口、电梯口、通道口、预留洞口、阳台周边、楼层周边以及上下通道的临边安全防护费用</w:t>
            </w:r>
          </w:p>
        </w:tc>
        <w:tc>
          <w:tcPr>
            <w:tcW w:w="851" w:type="dxa"/>
            <w:tcBorders>
              <w:top w:val="nil"/>
              <w:left w:val="nil"/>
              <w:bottom w:val="single" w:color="auto" w:sz="4" w:space="0"/>
              <w:right w:val="single" w:color="auto" w:sz="4" w:space="0"/>
            </w:tcBorders>
            <w:vAlign w:val="bottom"/>
          </w:tcPr>
          <w:p w14:paraId="71C1A279">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1B1BEEDD">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1E70516F">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6344DC3D">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7F5A0998">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（三）安全设施防护设备（含警戒标志）费用；卸料平台的临边防护、层间安全门、防护棚等设施费用</w:t>
            </w:r>
          </w:p>
        </w:tc>
        <w:tc>
          <w:tcPr>
            <w:tcW w:w="851" w:type="dxa"/>
            <w:tcBorders>
              <w:top w:val="nil"/>
              <w:left w:val="nil"/>
              <w:bottom w:val="single" w:color="auto" w:sz="4" w:space="0"/>
              <w:right w:val="single" w:color="auto" w:sz="4" w:space="0"/>
            </w:tcBorders>
            <w:vAlign w:val="bottom"/>
          </w:tcPr>
          <w:p w14:paraId="3B7EE13A">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7502AE90">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60AEE4C1">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09801EF0">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B1870E2">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（四）施工机具和临时防雨工棚和外围护栏的安全保护设施费用</w:t>
            </w:r>
          </w:p>
        </w:tc>
        <w:tc>
          <w:tcPr>
            <w:tcW w:w="851" w:type="dxa"/>
            <w:tcBorders>
              <w:top w:val="nil"/>
              <w:left w:val="nil"/>
              <w:bottom w:val="single" w:color="auto" w:sz="4" w:space="0"/>
              <w:right w:val="single" w:color="auto" w:sz="4" w:space="0"/>
            </w:tcBorders>
            <w:vAlign w:val="bottom"/>
          </w:tcPr>
          <w:p w14:paraId="0B855C3F">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1B5CD1F0">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64D1E9DD">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43A1FA6A">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431428CA">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（五）隧道施工等地下作业中的通风、低压电配送等有关设施、监测费用和上下层间安全防护费用</w:t>
            </w:r>
          </w:p>
        </w:tc>
        <w:tc>
          <w:tcPr>
            <w:tcW w:w="851" w:type="dxa"/>
            <w:tcBorders>
              <w:top w:val="nil"/>
              <w:left w:val="nil"/>
              <w:bottom w:val="single" w:color="auto" w:sz="4" w:space="0"/>
              <w:right w:val="single" w:color="auto" w:sz="4" w:space="0"/>
            </w:tcBorders>
            <w:vAlign w:val="bottom"/>
          </w:tcPr>
          <w:p w14:paraId="57DCA20B">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2AA7CEB">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532AB524">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4E17E0E2">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3DF67BB0">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（六）用于水上、水下作业救生设备、器材购置和设置临边防护、警示设施费用</w:t>
            </w:r>
          </w:p>
        </w:tc>
        <w:tc>
          <w:tcPr>
            <w:tcW w:w="851" w:type="dxa"/>
            <w:tcBorders>
              <w:top w:val="nil"/>
              <w:left w:val="nil"/>
              <w:bottom w:val="single" w:color="auto" w:sz="4" w:space="0"/>
              <w:right w:val="single" w:color="auto" w:sz="4" w:space="0"/>
            </w:tcBorders>
            <w:vAlign w:val="bottom"/>
          </w:tcPr>
          <w:p w14:paraId="51612615">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1929B9BA">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2CB2BC31">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429818DF">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677F05D7">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（七）安全网的购置费用</w:t>
            </w:r>
          </w:p>
        </w:tc>
        <w:tc>
          <w:tcPr>
            <w:tcW w:w="851" w:type="dxa"/>
            <w:tcBorders>
              <w:top w:val="nil"/>
              <w:left w:val="nil"/>
              <w:bottom w:val="single" w:color="auto" w:sz="4" w:space="0"/>
              <w:right w:val="single" w:color="auto" w:sz="4" w:space="0"/>
            </w:tcBorders>
            <w:vAlign w:val="bottom"/>
          </w:tcPr>
          <w:p w14:paraId="2ACFED00">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268BD6D9">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6796CCAE">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059A2121">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745F4A0B">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（八）临时设施、施工道路、围墙搭设等费用</w:t>
            </w:r>
          </w:p>
        </w:tc>
        <w:tc>
          <w:tcPr>
            <w:tcW w:w="851" w:type="dxa"/>
            <w:tcBorders>
              <w:top w:val="nil"/>
              <w:left w:val="nil"/>
              <w:bottom w:val="single" w:color="auto" w:sz="4" w:space="0"/>
              <w:right w:val="single" w:color="auto" w:sz="4" w:space="0"/>
            </w:tcBorders>
            <w:vAlign w:val="bottom"/>
          </w:tcPr>
          <w:p w14:paraId="7B963A49">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54F80871">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041D2D18">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64071C25">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4EA545FD">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二、配备、维护、保养应急救援器材、设备支出和应急演练支出</w:t>
            </w:r>
          </w:p>
        </w:tc>
        <w:tc>
          <w:tcPr>
            <w:tcW w:w="851" w:type="dxa"/>
            <w:tcBorders>
              <w:top w:val="nil"/>
              <w:left w:val="nil"/>
              <w:bottom w:val="single" w:color="auto" w:sz="4" w:space="0"/>
              <w:right w:val="single" w:color="auto" w:sz="4" w:space="0"/>
            </w:tcBorders>
            <w:vAlign w:val="bottom"/>
          </w:tcPr>
          <w:p w14:paraId="3E4E817C">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625D5982">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51AA55EC">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7B45ECC3">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5841959C">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（一）消防设施和消防器材配置以及保健急救措施的费用</w:t>
            </w:r>
          </w:p>
        </w:tc>
        <w:tc>
          <w:tcPr>
            <w:tcW w:w="851" w:type="dxa"/>
            <w:tcBorders>
              <w:top w:val="nil"/>
              <w:left w:val="nil"/>
              <w:bottom w:val="single" w:color="auto" w:sz="4" w:space="0"/>
              <w:right w:val="single" w:color="auto" w:sz="4" w:space="0"/>
            </w:tcBorders>
            <w:vAlign w:val="bottom"/>
          </w:tcPr>
          <w:p w14:paraId="2B952121">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1B810C11">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1D3EC48A">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7BFC30F7">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1AE9CC0B">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（二）抢救应急措施设备费用，包括供水、燃气工程抢险工作中所需的特殊防护费用</w:t>
            </w:r>
          </w:p>
        </w:tc>
        <w:tc>
          <w:tcPr>
            <w:tcW w:w="851" w:type="dxa"/>
            <w:tcBorders>
              <w:top w:val="nil"/>
              <w:left w:val="nil"/>
              <w:bottom w:val="single" w:color="auto" w:sz="4" w:space="0"/>
              <w:right w:val="single" w:color="auto" w:sz="4" w:space="0"/>
            </w:tcBorders>
            <w:vAlign w:val="bottom"/>
          </w:tcPr>
          <w:p w14:paraId="6AF6D031">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6117BC74">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C96EBA5">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649C3354">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5C46D25A">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（三）变配电装置的三级配电箱、外电防护、二级保护的防触电系统购置费用</w:t>
            </w:r>
          </w:p>
        </w:tc>
        <w:tc>
          <w:tcPr>
            <w:tcW w:w="851" w:type="dxa"/>
            <w:tcBorders>
              <w:top w:val="nil"/>
              <w:left w:val="nil"/>
              <w:bottom w:val="single" w:color="auto" w:sz="4" w:space="0"/>
              <w:right w:val="single" w:color="auto" w:sz="4" w:space="0"/>
            </w:tcBorders>
            <w:vAlign w:val="bottom"/>
          </w:tcPr>
          <w:p w14:paraId="5EB8034B">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352DDBDA">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26DC4926">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45A620E6">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7259920E">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三、开展重大危险源和事故隐患评估、监控和整改支出</w:t>
            </w:r>
          </w:p>
        </w:tc>
        <w:tc>
          <w:tcPr>
            <w:tcW w:w="851" w:type="dxa"/>
            <w:tcBorders>
              <w:top w:val="nil"/>
              <w:left w:val="nil"/>
              <w:bottom w:val="single" w:color="auto" w:sz="4" w:space="0"/>
              <w:right w:val="single" w:color="auto" w:sz="4" w:space="0"/>
            </w:tcBorders>
            <w:vAlign w:val="bottom"/>
          </w:tcPr>
          <w:p w14:paraId="56E7B00A">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14259F75">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4F608B64">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687C66A6">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5D187527">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四、安全生产检查、评价、咨询和标准化建设支出</w:t>
            </w:r>
          </w:p>
        </w:tc>
        <w:tc>
          <w:tcPr>
            <w:tcW w:w="851" w:type="dxa"/>
            <w:tcBorders>
              <w:top w:val="nil"/>
              <w:left w:val="nil"/>
              <w:bottom w:val="single" w:color="auto" w:sz="4" w:space="0"/>
              <w:right w:val="single" w:color="auto" w:sz="4" w:space="0"/>
            </w:tcBorders>
            <w:vAlign w:val="bottom"/>
          </w:tcPr>
          <w:p w14:paraId="3EAADFB1">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0E65F41">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839F8C1">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55A32153">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5EEC7DB5">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（一）安全管理实施方案（制度）的编印费用</w:t>
            </w:r>
          </w:p>
        </w:tc>
        <w:tc>
          <w:tcPr>
            <w:tcW w:w="851" w:type="dxa"/>
            <w:tcBorders>
              <w:top w:val="nil"/>
              <w:left w:val="nil"/>
              <w:bottom w:val="single" w:color="auto" w:sz="4" w:space="0"/>
              <w:right w:val="single" w:color="auto" w:sz="4" w:space="0"/>
            </w:tcBorders>
            <w:vAlign w:val="bottom"/>
          </w:tcPr>
          <w:p w14:paraId="0BE13B11">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776F802">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5E452590">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r>
      <w:tr w14:paraId="02E948DB">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5F7DFB8">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（二）交通疏导、警示设施费用</w:t>
            </w:r>
          </w:p>
        </w:tc>
        <w:tc>
          <w:tcPr>
            <w:tcW w:w="851" w:type="dxa"/>
            <w:tcBorders>
              <w:top w:val="nil"/>
              <w:left w:val="nil"/>
              <w:bottom w:val="single" w:color="auto" w:sz="4" w:space="0"/>
              <w:right w:val="single" w:color="auto" w:sz="4" w:space="0"/>
            </w:tcBorders>
            <w:vAlign w:val="bottom"/>
          </w:tcPr>
          <w:p w14:paraId="4B6C4482">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3FE40738">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149133EE">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r>
      <w:tr w14:paraId="357E5A7F">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EAD8902">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五、配备和更新现场作业人员安全防护用品支出</w:t>
            </w:r>
          </w:p>
        </w:tc>
        <w:tc>
          <w:tcPr>
            <w:tcW w:w="851" w:type="dxa"/>
            <w:tcBorders>
              <w:top w:val="nil"/>
              <w:left w:val="nil"/>
              <w:bottom w:val="single" w:color="auto" w:sz="4" w:space="0"/>
              <w:right w:val="single" w:color="auto" w:sz="4" w:space="0"/>
            </w:tcBorders>
            <w:vAlign w:val="bottom"/>
          </w:tcPr>
          <w:p w14:paraId="30518665">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599DDC55">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03D86904">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24B91311">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1DDECC22">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六、安全生产宣传、教育、培训支出</w:t>
            </w:r>
          </w:p>
        </w:tc>
        <w:tc>
          <w:tcPr>
            <w:tcW w:w="851" w:type="dxa"/>
            <w:tcBorders>
              <w:top w:val="nil"/>
              <w:left w:val="nil"/>
              <w:bottom w:val="single" w:color="auto" w:sz="4" w:space="0"/>
              <w:right w:val="single" w:color="auto" w:sz="4" w:space="0"/>
            </w:tcBorders>
            <w:vAlign w:val="bottom"/>
          </w:tcPr>
          <w:p w14:paraId="1DBA5523">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5FF2768E">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142F7987">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r>
      <w:tr w14:paraId="3211C998">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8479EE6">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（一）安全标志的购置以及宣传栏的设置（包括报刊、宣教书籍、标语的购置）费用</w:t>
            </w:r>
          </w:p>
        </w:tc>
        <w:tc>
          <w:tcPr>
            <w:tcW w:w="851" w:type="dxa"/>
            <w:tcBorders>
              <w:top w:val="nil"/>
              <w:left w:val="nil"/>
              <w:bottom w:val="single" w:color="auto" w:sz="4" w:space="0"/>
              <w:right w:val="single" w:color="auto" w:sz="4" w:space="0"/>
            </w:tcBorders>
            <w:vAlign w:val="bottom"/>
          </w:tcPr>
          <w:p w14:paraId="1A1697B1">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30354967">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0E3FCC22">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73BECEB3">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7EE2B72A">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七、安全生产适用的新技术、新标准、新工艺、新装备的推广应用支出</w:t>
            </w:r>
          </w:p>
        </w:tc>
        <w:tc>
          <w:tcPr>
            <w:tcW w:w="851" w:type="dxa"/>
            <w:tcBorders>
              <w:top w:val="nil"/>
              <w:left w:val="nil"/>
              <w:bottom w:val="single" w:color="auto" w:sz="4" w:space="0"/>
              <w:right w:val="single" w:color="auto" w:sz="4" w:space="0"/>
            </w:tcBorders>
            <w:vAlign w:val="bottom"/>
          </w:tcPr>
          <w:p w14:paraId="7561B698">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218C1C08">
            <w:pPr>
              <w:keepNext w:val="0"/>
              <w:keepLines w:val="0"/>
              <w:widowControl/>
              <w:suppressLineNumbers w:val="0"/>
              <w:spacing w:before="0" w:beforeAutospacing="0" w:after="0" w:afterAutospacing="0" w:line="240" w:lineRule="exact"/>
              <w:ind w:left="0" w:right="0" w:firstLine="90" w:firstLineChars="50"/>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414748E2">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r>
      <w:tr w14:paraId="3DC7E927">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599D68DE">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八、安全设施及特种设备检测检验支出</w:t>
            </w:r>
          </w:p>
        </w:tc>
        <w:tc>
          <w:tcPr>
            <w:tcW w:w="851" w:type="dxa"/>
            <w:tcBorders>
              <w:top w:val="nil"/>
              <w:left w:val="nil"/>
              <w:bottom w:val="single" w:color="auto" w:sz="4" w:space="0"/>
              <w:right w:val="single" w:color="auto" w:sz="4" w:space="0"/>
            </w:tcBorders>
            <w:vAlign w:val="bottom"/>
          </w:tcPr>
          <w:p w14:paraId="55AD0BA9">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15DF1E79">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36F99AE7">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r>
      <w:tr w14:paraId="1A329124">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59627C0A">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（一）起重机、塔吊等起重吊装设备（含井字架、龙门架）与外用电梯的安全检测</w:t>
            </w:r>
          </w:p>
        </w:tc>
        <w:tc>
          <w:tcPr>
            <w:tcW w:w="851" w:type="dxa"/>
            <w:tcBorders>
              <w:top w:val="nil"/>
              <w:left w:val="nil"/>
              <w:bottom w:val="single" w:color="auto" w:sz="4" w:space="0"/>
              <w:right w:val="single" w:color="auto" w:sz="4" w:space="0"/>
            </w:tcBorders>
            <w:vAlign w:val="bottom"/>
          </w:tcPr>
          <w:p w14:paraId="681788A6">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1E99F6BB">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601D2264">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22909DC5">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50486110">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（二）安全带、安全帽的检测</w:t>
            </w:r>
          </w:p>
        </w:tc>
        <w:tc>
          <w:tcPr>
            <w:tcW w:w="851" w:type="dxa"/>
            <w:tcBorders>
              <w:top w:val="nil"/>
              <w:left w:val="nil"/>
              <w:bottom w:val="single" w:color="auto" w:sz="4" w:space="0"/>
              <w:right w:val="single" w:color="auto" w:sz="4" w:space="0"/>
            </w:tcBorders>
            <w:vAlign w:val="bottom"/>
          </w:tcPr>
          <w:p w14:paraId="7871B63A">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7E354945">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21EE8EBF">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0AE59FAD">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10C37712">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（三）安全网的检测</w:t>
            </w:r>
          </w:p>
        </w:tc>
        <w:tc>
          <w:tcPr>
            <w:tcW w:w="851" w:type="dxa"/>
            <w:tcBorders>
              <w:top w:val="nil"/>
              <w:left w:val="nil"/>
              <w:bottom w:val="single" w:color="auto" w:sz="4" w:space="0"/>
              <w:right w:val="single" w:color="auto" w:sz="4" w:space="0"/>
            </w:tcBorders>
            <w:vAlign w:val="bottom"/>
          </w:tcPr>
          <w:p w14:paraId="0615EBA0">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22E9D119">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5FBF7529">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05E8B9E6">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5DD26B67">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（四）脚手架构件的检测</w:t>
            </w:r>
          </w:p>
        </w:tc>
        <w:tc>
          <w:tcPr>
            <w:tcW w:w="851" w:type="dxa"/>
            <w:tcBorders>
              <w:top w:val="nil"/>
              <w:left w:val="nil"/>
              <w:bottom w:val="single" w:color="auto" w:sz="4" w:space="0"/>
              <w:right w:val="single" w:color="auto" w:sz="4" w:space="0"/>
            </w:tcBorders>
            <w:vAlign w:val="bottom"/>
          </w:tcPr>
          <w:p w14:paraId="0930F78A">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5AA9EF20">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4568F70E">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0BBC54B6">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0448C5AC">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九、安全生产责任保险支出</w:t>
            </w:r>
          </w:p>
        </w:tc>
        <w:tc>
          <w:tcPr>
            <w:tcW w:w="851" w:type="dxa"/>
            <w:tcBorders>
              <w:top w:val="nil"/>
              <w:left w:val="nil"/>
              <w:bottom w:val="single" w:color="auto" w:sz="4" w:space="0"/>
              <w:right w:val="single" w:color="auto" w:sz="4" w:space="0"/>
            </w:tcBorders>
            <w:vAlign w:val="bottom"/>
          </w:tcPr>
          <w:p w14:paraId="113ACB26">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69D07FB3">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57F4DBF2">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r>
      <w:tr w14:paraId="07A0E859">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4F08EDCE">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十、法律法规及相关标准规定按安全文明施工费计取的其他项目</w:t>
            </w:r>
          </w:p>
        </w:tc>
        <w:tc>
          <w:tcPr>
            <w:tcW w:w="851" w:type="dxa"/>
            <w:tcBorders>
              <w:top w:val="nil"/>
              <w:left w:val="nil"/>
              <w:bottom w:val="single" w:color="auto" w:sz="4" w:space="0"/>
              <w:right w:val="single" w:color="auto" w:sz="4" w:space="0"/>
            </w:tcBorders>
            <w:vAlign w:val="bottom"/>
          </w:tcPr>
          <w:p w14:paraId="4703C435">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182FAA92">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51EB10FD">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r>
      <w:tr w14:paraId="6D42C4C2">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644C4F80">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（一）脚手架工程费</w:t>
            </w:r>
          </w:p>
        </w:tc>
        <w:tc>
          <w:tcPr>
            <w:tcW w:w="851" w:type="dxa"/>
            <w:tcBorders>
              <w:top w:val="nil"/>
              <w:left w:val="nil"/>
              <w:bottom w:val="single" w:color="auto" w:sz="4" w:space="0"/>
              <w:right w:val="single" w:color="auto" w:sz="4" w:space="0"/>
            </w:tcBorders>
            <w:vAlign w:val="bottom"/>
          </w:tcPr>
          <w:p w14:paraId="14B56E48">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3E179649">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58D2ADDA">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r>
      <w:tr w14:paraId="7F1299AA">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518CE77">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（二）模板支撑架工程费（如清单中有计量）</w:t>
            </w:r>
          </w:p>
        </w:tc>
        <w:tc>
          <w:tcPr>
            <w:tcW w:w="851" w:type="dxa"/>
            <w:tcBorders>
              <w:top w:val="nil"/>
              <w:left w:val="nil"/>
              <w:bottom w:val="single" w:color="auto" w:sz="4" w:space="0"/>
              <w:right w:val="single" w:color="auto" w:sz="4" w:space="0"/>
            </w:tcBorders>
            <w:vAlign w:val="bottom"/>
          </w:tcPr>
          <w:p w14:paraId="43D1AF88">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695615F8">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2082AB9F">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r>
      <w:tr w14:paraId="5F441FE9">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58175E4E">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（三）起重设备基础工程费（如清单中有计量）</w:t>
            </w:r>
          </w:p>
        </w:tc>
        <w:tc>
          <w:tcPr>
            <w:tcW w:w="851" w:type="dxa"/>
            <w:tcBorders>
              <w:top w:val="nil"/>
              <w:left w:val="nil"/>
              <w:bottom w:val="single" w:color="auto" w:sz="4" w:space="0"/>
              <w:right w:val="single" w:color="auto" w:sz="4" w:space="0"/>
            </w:tcBorders>
            <w:vAlign w:val="bottom"/>
          </w:tcPr>
          <w:p w14:paraId="20860D15">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7FA32286">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066C3E39">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sz w:val="18"/>
                <w:szCs w:val="18"/>
                <w:highlight w:val="none"/>
              </w:rPr>
            </w:pPr>
          </w:p>
        </w:tc>
      </w:tr>
      <w:tr w14:paraId="56061ACE">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2724D18">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十一、其他与绿色施工、文明施工、环境保护及安全生产直接相关的支出（含支付给分包单位的安全生产费用）</w:t>
            </w:r>
          </w:p>
        </w:tc>
        <w:tc>
          <w:tcPr>
            <w:tcW w:w="851" w:type="dxa"/>
            <w:tcBorders>
              <w:top w:val="nil"/>
              <w:left w:val="nil"/>
              <w:bottom w:val="single" w:color="auto" w:sz="4" w:space="0"/>
              <w:right w:val="single" w:color="auto" w:sz="4" w:space="0"/>
            </w:tcBorders>
            <w:vAlign w:val="bottom"/>
          </w:tcPr>
          <w:p w14:paraId="2AF66B0A">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66D53D26">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5F28C289">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0991C52C">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14:paraId="2F008497">
            <w:pPr>
              <w:keepNext w:val="0"/>
              <w:keepLines w:val="0"/>
              <w:widowControl/>
              <w:suppressLineNumbers w:val="0"/>
              <w:spacing w:before="0" w:beforeAutospacing="0" w:after="0" w:afterAutospacing="0" w:line="240" w:lineRule="exact"/>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费用合计</w:t>
            </w:r>
          </w:p>
        </w:tc>
        <w:tc>
          <w:tcPr>
            <w:tcW w:w="851" w:type="dxa"/>
            <w:tcBorders>
              <w:top w:val="nil"/>
              <w:left w:val="nil"/>
              <w:bottom w:val="single" w:color="auto" w:sz="4" w:space="0"/>
              <w:right w:val="single" w:color="auto" w:sz="4" w:space="0"/>
            </w:tcBorders>
            <w:vAlign w:val="bottom"/>
          </w:tcPr>
          <w:p w14:paraId="25DC8762">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850" w:type="dxa"/>
            <w:tcBorders>
              <w:top w:val="nil"/>
              <w:left w:val="nil"/>
              <w:bottom w:val="single" w:color="auto" w:sz="4" w:space="0"/>
              <w:right w:val="single" w:color="auto" w:sz="4" w:space="0"/>
            </w:tcBorders>
            <w:vAlign w:val="bottom"/>
          </w:tcPr>
          <w:p w14:paraId="0365C32D">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c>
          <w:tcPr>
            <w:tcW w:w="1165" w:type="dxa"/>
            <w:tcBorders>
              <w:top w:val="nil"/>
              <w:left w:val="nil"/>
              <w:bottom w:val="single" w:color="auto" w:sz="4" w:space="0"/>
              <w:right w:val="single" w:color="auto" w:sz="4" w:space="0"/>
            </w:tcBorders>
            <w:vAlign w:val="bottom"/>
          </w:tcPr>
          <w:p w14:paraId="458540A4">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p>
        </w:tc>
      </w:tr>
      <w:tr w14:paraId="15E281BA">
        <w:tblPrEx>
          <w:tblCellMar>
            <w:top w:w="0" w:type="dxa"/>
            <w:left w:w="108" w:type="dxa"/>
            <w:bottom w:w="0" w:type="dxa"/>
            <w:right w:w="108" w:type="dxa"/>
          </w:tblCellMar>
        </w:tblPrEx>
        <w:trPr>
          <w:trHeight w:val="480" w:hRule="atLeast"/>
          <w:jc w:val="center"/>
        </w:trPr>
        <w:tc>
          <w:tcPr>
            <w:tcW w:w="4683" w:type="dxa"/>
            <w:tcBorders>
              <w:top w:val="nil"/>
              <w:left w:val="single" w:color="auto" w:sz="4" w:space="0"/>
              <w:bottom w:val="single" w:color="auto" w:sz="4" w:space="0"/>
              <w:right w:val="single" w:color="auto" w:sz="4" w:space="0"/>
            </w:tcBorders>
          </w:tcPr>
          <w:p w14:paraId="76C1D3BF">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施工单位：</w:t>
            </w:r>
          </w:p>
          <w:p w14:paraId="4D0AE2B1">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36E9CC5D">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签字：</w:t>
            </w:r>
          </w:p>
          <w:p w14:paraId="37556B20">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52CADDA1">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highlight w:val="none"/>
              </w:rPr>
              <w:t xml:space="preserve">                        年  月  日</w:t>
            </w:r>
          </w:p>
        </w:tc>
        <w:tc>
          <w:tcPr>
            <w:tcW w:w="4557" w:type="dxa"/>
            <w:gridSpan w:val="4"/>
            <w:tcBorders>
              <w:top w:val="nil"/>
              <w:left w:val="single" w:color="auto" w:sz="4" w:space="0"/>
              <w:bottom w:val="single" w:color="auto" w:sz="4" w:space="0"/>
              <w:right w:val="single" w:color="auto" w:sz="4" w:space="0"/>
            </w:tcBorders>
          </w:tcPr>
          <w:p w14:paraId="6B4A8766">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监理单位：</w:t>
            </w:r>
          </w:p>
          <w:p w14:paraId="587C2F4B">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631404F4">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签字：</w:t>
            </w:r>
          </w:p>
          <w:p w14:paraId="51844B2F">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0FFCCF9C">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highlight w:val="none"/>
              </w:rPr>
              <w:t xml:space="preserve">                        年  月  日</w:t>
            </w:r>
          </w:p>
        </w:tc>
      </w:tr>
    </w:tbl>
    <w:p w14:paraId="3081B36B">
      <w:pPr>
        <w:widowControl/>
        <w:jc w:val="left"/>
        <w:rPr>
          <w:rFonts w:ascii="宋体" w:hAnsi="宋体" w:eastAsia="宋体" w:cs="宋体"/>
          <w:color w:val="auto"/>
          <w:spacing w:val="12"/>
          <w:kern w:val="10"/>
          <w:sz w:val="32"/>
          <w:szCs w:val="32"/>
          <w:highlight w:val="none"/>
        </w:rPr>
      </w:pPr>
    </w:p>
    <w:p w14:paraId="0384AD3A">
      <w:pPr>
        <w:rPr>
          <w:rFonts w:ascii="宋体" w:hAnsi="宋体" w:eastAsia="宋体" w:cs="宋体"/>
          <w:color w:val="auto"/>
          <w:highlight w:val="none"/>
        </w:rPr>
        <w:sectPr>
          <w:pgSz w:w="11906" w:h="16838"/>
          <w:pgMar w:top="1440" w:right="1418" w:bottom="1440" w:left="1418" w:header="851" w:footer="539" w:gutter="0"/>
          <w:pgNumType w:fmt="numberInDash"/>
          <w:cols w:space="720" w:num="1"/>
          <w:docGrid w:type="lines" w:linePitch="312" w:charSpace="0"/>
        </w:sectPr>
      </w:pPr>
    </w:p>
    <w:p w14:paraId="3552403C">
      <w:pPr>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附</w:t>
      </w:r>
      <w:r>
        <w:rPr>
          <w:rFonts w:hint="eastAsia" w:ascii="宋体" w:hAnsi="宋体" w:eastAsia="宋体" w:cs="宋体"/>
          <w:color w:val="auto"/>
          <w:spacing w:val="12"/>
          <w:kern w:val="10"/>
          <w:sz w:val="32"/>
          <w:szCs w:val="32"/>
          <w:highlight w:val="none"/>
        </w:rPr>
        <w:t>表</w:t>
      </w:r>
      <w:r>
        <w:rPr>
          <w:rFonts w:hint="eastAsia" w:ascii="宋体" w:hAnsi="宋体" w:eastAsia="宋体" w:cs="宋体"/>
          <w:color w:val="auto"/>
          <w:kern w:val="0"/>
          <w:sz w:val="32"/>
          <w:szCs w:val="32"/>
          <w:highlight w:val="none"/>
        </w:rPr>
        <w:t>5</w:t>
      </w:r>
    </w:p>
    <w:p w14:paraId="0C66BF86">
      <w:pPr>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项目安全费用投入统计台帐</w:t>
      </w:r>
    </w:p>
    <w:tbl>
      <w:tblPr>
        <w:tblStyle w:val="45"/>
        <w:tblW w:w="14202" w:type="dxa"/>
        <w:tblInd w:w="0" w:type="dxa"/>
        <w:tblLayout w:type="fixed"/>
        <w:tblCellMar>
          <w:top w:w="0" w:type="dxa"/>
          <w:left w:w="108" w:type="dxa"/>
          <w:bottom w:w="0" w:type="dxa"/>
          <w:right w:w="108" w:type="dxa"/>
        </w:tblCellMar>
      </w:tblPr>
      <w:tblGrid>
        <w:gridCol w:w="404"/>
        <w:gridCol w:w="1032"/>
        <w:gridCol w:w="792"/>
        <w:gridCol w:w="940"/>
        <w:gridCol w:w="863"/>
        <w:gridCol w:w="1443"/>
        <w:gridCol w:w="1582"/>
        <w:gridCol w:w="721"/>
        <w:gridCol w:w="721"/>
        <w:gridCol w:w="719"/>
        <w:gridCol w:w="721"/>
        <w:gridCol w:w="719"/>
        <w:gridCol w:w="721"/>
        <w:gridCol w:w="721"/>
        <w:gridCol w:w="719"/>
        <w:gridCol w:w="577"/>
        <w:gridCol w:w="571"/>
        <w:gridCol w:w="236"/>
      </w:tblGrid>
      <w:tr w14:paraId="2EB79EBE">
        <w:tblPrEx>
          <w:tblCellMar>
            <w:top w:w="0" w:type="dxa"/>
            <w:left w:w="108" w:type="dxa"/>
            <w:bottom w:w="0" w:type="dxa"/>
            <w:right w:w="108" w:type="dxa"/>
          </w:tblCellMar>
        </w:tblPrEx>
        <w:trPr>
          <w:gridAfter w:val="1"/>
          <w:wAfter w:w="236" w:type="dxa"/>
          <w:trHeight w:val="285" w:hRule="atLeast"/>
        </w:trPr>
        <w:tc>
          <w:tcPr>
            <w:tcW w:w="7056" w:type="dxa"/>
            <w:gridSpan w:val="7"/>
            <w:tcBorders>
              <w:bottom w:val="single" w:color="auto" w:sz="4" w:space="0"/>
            </w:tcBorders>
            <w:vAlign w:val="center"/>
          </w:tcPr>
          <w:p w14:paraId="215BC92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highlight w:val="none"/>
              </w:rPr>
            </w:pPr>
            <w:r>
              <w:rPr>
                <w:rFonts w:hint="eastAsia" w:ascii="宋体" w:hAnsi="宋体" w:eastAsia="宋体" w:cs="宋体"/>
                <w:color w:val="auto"/>
                <w:kern w:val="0"/>
                <w:sz w:val="24"/>
                <w:highlight w:val="none"/>
              </w:rPr>
              <w:t>项目名称：</w:t>
            </w:r>
          </w:p>
        </w:tc>
        <w:tc>
          <w:tcPr>
            <w:tcW w:w="6910" w:type="dxa"/>
            <w:gridSpan w:val="10"/>
            <w:tcBorders>
              <w:bottom w:val="single" w:color="auto" w:sz="4" w:space="0"/>
            </w:tcBorders>
            <w:vAlign w:val="center"/>
          </w:tcPr>
          <w:p w14:paraId="1EB3C5E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sz w:val="24"/>
                <w:highlight w:val="none"/>
              </w:rPr>
              <w:t>统计时间：20xx年第X季度</w:t>
            </w:r>
          </w:p>
        </w:tc>
      </w:tr>
      <w:tr w14:paraId="0BC20D51">
        <w:tblPrEx>
          <w:tblCellMar>
            <w:top w:w="0" w:type="dxa"/>
            <w:left w:w="108" w:type="dxa"/>
            <w:bottom w:w="0" w:type="dxa"/>
            <w:right w:w="108" w:type="dxa"/>
          </w:tblCellMar>
        </w:tblPrEx>
        <w:trPr>
          <w:gridAfter w:val="1"/>
          <w:wAfter w:w="236" w:type="dxa"/>
          <w:trHeight w:val="285" w:hRule="atLeast"/>
        </w:trPr>
        <w:tc>
          <w:tcPr>
            <w:tcW w:w="404" w:type="dxa"/>
            <w:vMerge w:val="restart"/>
            <w:tcBorders>
              <w:top w:val="single" w:color="auto" w:sz="4" w:space="0"/>
              <w:left w:val="single" w:color="auto" w:sz="4" w:space="0"/>
              <w:bottom w:val="single" w:color="auto" w:sz="4" w:space="0"/>
              <w:right w:val="single" w:color="auto" w:sz="4" w:space="0"/>
            </w:tcBorders>
            <w:vAlign w:val="center"/>
          </w:tcPr>
          <w:p w14:paraId="212A306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1032" w:type="dxa"/>
            <w:vMerge w:val="restart"/>
            <w:tcBorders>
              <w:top w:val="single" w:color="auto" w:sz="4" w:space="0"/>
              <w:left w:val="single" w:color="auto" w:sz="4" w:space="0"/>
              <w:bottom w:val="single" w:color="auto" w:sz="4" w:space="0"/>
              <w:right w:val="single" w:color="auto" w:sz="4" w:space="0"/>
            </w:tcBorders>
            <w:vAlign w:val="center"/>
          </w:tcPr>
          <w:p w14:paraId="5F93D93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报账日期</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14:paraId="03A813A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发票编号</w:t>
            </w:r>
          </w:p>
        </w:tc>
        <w:tc>
          <w:tcPr>
            <w:tcW w:w="940" w:type="dxa"/>
            <w:vMerge w:val="restart"/>
            <w:tcBorders>
              <w:top w:val="single" w:color="auto" w:sz="4" w:space="0"/>
              <w:left w:val="single" w:color="auto" w:sz="4" w:space="0"/>
              <w:bottom w:val="single" w:color="auto" w:sz="4" w:space="0"/>
              <w:right w:val="single" w:color="auto" w:sz="4" w:space="0"/>
            </w:tcBorders>
            <w:vAlign w:val="center"/>
          </w:tcPr>
          <w:p w14:paraId="172CF55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发票内容</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50D4FD2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凭证号</w:t>
            </w:r>
          </w:p>
        </w:tc>
        <w:tc>
          <w:tcPr>
            <w:tcW w:w="3025" w:type="dxa"/>
            <w:gridSpan w:val="2"/>
            <w:vMerge w:val="restart"/>
            <w:tcBorders>
              <w:top w:val="single" w:color="auto" w:sz="4" w:space="0"/>
              <w:left w:val="single" w:color="auto" w:sz="4" w:space="0"/>
              <w:bottom w:val="single" w:color="auto" w:sz="4" w:space="0"/>
              <w:right w:val="single" w:color="auto" w:sz="4" w:space="0"/>
            </w:tcBorders>
            <w:vAlign w:val="center"/>
          </w:tcPr>
          <w:p w14:paraId="30BC866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安全文明措施费投入项目名称</w:t>
            </w:r>
          </w:p>
        </w:tc>
        <w:tc>
          <w:tcPr>
            <w:tcW w:w="6910" w:type="dxa"/>
            <w:gridSpan w:val="10"/>
            <w:tcBorders>
              <w:top w:val="single" w:color="auto" w:sz="4" w:space="0"/>
              <w:left w:val="nil"/>
              <w:bottom w:val="single" w:color="auto" w:sz="4" w:space="0"/>
              <w:right w:val="single" w:color="auto" w:sz="4" w:space="0"/>
            </w:tcBorders>
            <w:vAlign w:val="center"/>
          </w:tcPr>
          <w:p w14:paraId="073761B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本季项目实际支出费用(元)</w:t>
            </w:r>
          </w:p>
        </w:tc>
      </w:tr>
      <w:tr w14:paraId="20CA2D15">
        <w:tblPrEx>
          <w:tblCellMar>
            <w:top w:w="0" w:type="dxa"/>
            <w:left w:w="108" w:type="dxa"/>
            <w:bottom w:w="0" w:type="dxa"/>
            <w:right w:w="108" w:type="dxa"/>
          </w:tblCellMar>
        </w:tblPrEx>
        <w:trPr>
          <w:gridAfter w:val="1"/>
          <w:wAfter w:w="236" w:type="dxa"/>
          <w:trHeight w:val="312"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14:paraId="0321280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14:paraId="6FD930A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0CB51FB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2290236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4406CC5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14:paraId="4F6B63F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161" w:type="dxa"/>
            <w:gridSpan w:val="3"/>
            <w:vMerge w:val="restart"/>
            <w:tcBorders>
              <w:top w:val="single" w:color="auto" w:sz="4" w:space="0"/>
              <w:left w:val="single" w:color="auto" w:sz="4" w:space="0"/>
              <w:bottom w:val="single" w:color="auto" w:sz="4" w:space="0"/>
              <w:right w:val="single" w:color="auto" w:sz="4" w:space="0"/>
            </w:tcBorders>
            <w:vAlign w:val="center"/>
          </w:tcPr>
          <w:p w14:paraId="3A1D6D7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新购材料</w:t>
            </w:r>
          </w:p>
        </w:tc>
        <w:tc>
          <w:tcPr>
            <w:tcW w:w="2161" w:type="dxa"/>
            <w:gridSpan w:val="3"/>
            <w:vMerge w:val="restart"/>
            <w:tcBorders>
              <w:top w:val="single" w:color="auto" w:sz="4" w:space="0"/>
              <w:left w:val="single" w:color="auto" w:sz="4" w:space="0"/>
              <w:bottom w:val="single" w:color="auto" w:sz="4" w:space="0"/>
              <w:right w:val="single" w:color="auto" w:sz="4" w:space="0"/>
            </w:tcBorders>
            <w:vAlign w:val="center"/>
          </w:tcPr>
          <w:p w14:paraId="50A7140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内部调入材料</w:t>
            </w:r>
          </w:p>
        </w:tc>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14:paraId="15C5061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人工费</w:t>
            </w:r>
          </w:p>
        </w:tc>
        <w:tc>
          <w:tcPr>
            <w:tcW w:w="577" w:type="dxa"/>
            <w:vMerge w:val="restart"/>
            <w:tcBorders>
              <w:top w:val="single" w:color="auto" w:sz="4" w:space="0"/>
              <w:left w:val="single" w:color="auto" w:sz="4" w:space="0"/>
              <w:bottom w:val="single" w:color="auto" w:sz="4" w:space="0"/>
              <w:right w:val="single" w:color="auto" w:sz="4" w:space="0"/>
            </w:tcBorders>
            <w:vAlign w:val="center"/>
          </w:tcPr>
          <w:p w14:paraId="5A8011B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检测费</w:t>
            </w:r>
          </w:p>
        </w:tc>
        <w:tc>
          <w:tcPr>
            <w:tcW w:w="571" w:type="dxa"/>
            <w:vMerge w:val="restart"/>
            <w:tcBorders>
              <w:top w:val="single" w:color="auto" w:sz="4" w:space="0"/>
              <w:left w:val="single" w:color="auto" w:sz="4" w:space="0"/>
              <w:bottom w:val="single" w:color="auto" w:sz="4" w:space="0"/>
              <w:right w:val="single" w:color="auto" w:sz="4" w:space="0"/>
            </w:tcBorders>
            <w:vAlign w:val="center"/>
          </w:tcPr>
          <w:p w14:paraId="1D8ABAC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其他</w:t>
            </w:r>
          </w:p>
        </w:tc>
      </w:tr>
      <w:tr w14:paraId="5679E0E8">
        <w:tblPrEx>
          <w:tblCellMar>
            <w:top w:w="0" w:type="dxa"/>
            <w:left w:w="108" w:type="dxa"/>
            <w:bottom w:w="0" w:type="dxa"/>
            <w:right w:w="108" w:type="dxa"/>
          </w:tblCellMar>
        </w:tblPrEx>
        <w:trPr>
          <w:trHeight w:val="285"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14:paraId="6C18407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14:paraId="133DE67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0D0467E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1DC068E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5D42FC7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14:paraId="189CF37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161" w:type="dxa"/>
            <w:gridSpan w:val="3"/>
            <w:vMerge w:val="continue"/>
            <w:tcBorders>
              <w:top w:val="single" w:color="auto" w:sz="4" w:space="0"/>
              <w:left w:val="single" w:color="auto" w:sz="4" w:space="0"/>
              <w:bottom w:val="single" w:color="auto" w:sz="4" w:space="0"/>
              <w:right w:val="single" w:color="auto" w:sz="4" w:space="0"/>
            </w:tcBorders>
            <w:vAlign w:val="center"/>
          </w:tcPr>
          <w:p w14:paraId="0DA4821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161" w:type="dxa"/>
            <w:gridSpan w:val="3"/>
            <w:vMerge w:val="continue"/>
            <w:tcBorders>
              <w:top w:val="single" w:color="auto" w:sz="4" w:space="0"/>
              <w:left w:val="single" w:color="auto" w:sz="4" w:space="0"/>
              <w:bottom w:val="single" w:color="auto" w:sz="4" w:space="0"/>
              <w:right w:val="single" w:color="auto" w:sz="4" w:space="0"/>
            </w:tcBorders>
            <w:vAlign w:val="center"/>
          </w:tcPr>
          <w:p w14:paraId="71F9891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14:paraId="33F8FF2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316A074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2E8546D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tcBorders>
              <w:top w:val="nil"/>
              <w:left w:val="nil"/>
              <w:bottom w:val="nil"/>
              <w:right w:val="nil"/>
            </w:tcBorders>
            <w:vAlign w:val="center"/>
          </w:tcPr>
          <w:p w14:paraId="6DAAA50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0B6B8E5B">
        <w:tblPrEx>
          <w:tblCellMar>
            <w:top w:w="0" w:type="dxa"/>
            <w:left w:w="108" w:type="dxa"/>
            <w:bottom w:w="0" w:type="dxa"/>
            <w:right w:w="108" w:type="dxa"/>
          </w:tblCellMar>
        </w:tblPrEx>
        <w:trPr>
          <w:trHeight w:val="285"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14:paraId="355A62D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14:paraId="67BF0BA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2B362EF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3C354DD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5872F3B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14:paraId="626BBAB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14BAB43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单位</w:t>
            </w:r>
          </w:p>
        </w:tc>
        <w:tc>
          <w:tcPr>
            <w:tcW w:w="721" w:type="dxa"/>
            <w:tcBorders>
              <w:top w:val="nil"/>
              <w:left w:val="nil"/>
              <w:bottom w:val="single" w:color="auto" w:sz="4" w:space="0"/>
              <w:right w:val="single" w:color="auto" w:sz="4" w:space="0"/>
            </w:tcBorders>
            <w:vAlign w:val="center"/>
          </w:tcPr>
          <w:p w14:paraId="6904B38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数量</w:t>
            </w:r>
          </w:p>
        </w:tc>
        <w:tc>
          <w:tcPr>
            <w:tcW w:w="719" w:type="dxa"/>
            <w:tcBorders>
              <w:top w:val="nil"/>
              <w:left w:val="nil"/>
              <w:bottom w:val="single" w:color="auto" w:sz="4" w:space="0"/>
              <w:right w:val="single" w:color="auto" w:sz="4" w:space="0"/>
            </w:tcBorders>
            <w:vAlign w:val="center"/>
          </w:tcPr>
          <w:p w14:paraId="6014D5B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金额</w:t>
            </w:r>
          </w:p>
        </w:tc>
        <w:tc>
          <w:tcPr>
            <w:tcW w:w="721" w:type="dxa"/>
            <w:tcBorders>
              <w:top w:val="nil"/>
              <w:left w:val="nil"/>
              <w:bottom w:val="single" w:color="auto" w:sz="4" w:space="0"/>
              <w:right w:val="single" w:color="auto" w:sz="4" w:space="0"/>
            </w:tcBorders>
            <w:vAlign w:val="center"/>
          </w:tcPr>
          <w:p w14:paraId="4535D8B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单位</w:t>
            </w:r>
          </w:p>
        </w:tc>
        <w:tc>
          <w:tcPr>
            <w:tcW w:w="719" w:type="dxa"/>
            <w:tcBorders>
              <w:top w:val="nil"/>
              <w:left w:val="nil"/>
              <w:bottom w:val="single" w:color="auto" w:sz="4" w:space="0"/>
              <w:right w:val="single" w:color="auto" w:sz="4" w:space="0"/>
            </w:tcBorders>
            <w:vAlign w:val="center"/>
          </w:tcPr>
          <w:p w14:paraId="63DE863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数量</w:t>
            </w:r>
          </w:p>
        </w:tc>
        <w:tc>
          <w:tcPr>
            <w:tcW w:w="721" w:type="dxa"/>
            <w:tcBorders>
              <w:top w:val="nil"/>
              <w:left w:val="nil"/>
              <w:bottom w:val="single" w:color="auto" w:sz="4" w:space="0"/>
              <w:right w:val="single" w:color="auto" w:sz="4" w:space="0"/>
            </w:tcBorders>
            <w:vAlign w:val="center"/>
          </w:tcPr>
          <w:p w14:paraId="14D7FB5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金额</w:t>
            </w:r>
          </w:p>
        </w:tc>
        <w:tc>
          <w:tcPr>
            <w:tcW w:w="721" w:type="dxa"/>
            <w:tcBorders>
              <w:top w:val="nil"/>
              <w:left w:val="nil"/>
              <w:bottom w:val="single" w:color="auto" w:sz="4" w:space="0"/>
              <w:right w:val="single" w:color="auto" w:sz="4" w:space="0"/>
            </w:tcBorders>
            <w:vAlign w:val="center"/>
          </w:tcPr>
          <w:p w14:paraId="4FE2568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人/工日</w:t>
            </w:r>
          </w:p>
        </w:tc>
        <w:tc>
          <w:tcPr>
            <w:tcW w:w="719" w:type="dxa"/>
            <w:tcBorders>
              <w:top w:val="nil"/>
              <w:left w:val="nil"/>
              <w:bottom w:val="single" w:color="auto" w:sz="4" w:space="0"/>
              <w:right w:val="single" w:color="auto" w:sz="4" w:space="0"/>
            </w:tcBorders>
            <w:vAlign w:val="center"/>
          </w:tcPr>
          <w:p w14:paraId="29A52B2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金额</w:t>
            </w:r>
          </w:p>
        </w:tc>
        <w:tc>
          <w:tcPr>
            <w:tcW w:w="577" w:type="dxa"/>
            <w:vMerge w:val="continue"/>
            <w:tcBorders>
              <w:top w:val="nil"/>
              <w:left w:val="single" w:color="auto" w:sz="4" w:space="0"/>
              <w:bottom w:val="single" w:color="auto" w:sz="4" w:space="0"/>
              <w:right w:val="single" w:color="auto" w:sz="4" w:space="0"/>
            </w:tcBorders>
            <w:vAlign w:val="center"/>
          </w:tcPr>
          <w:p w14:paraId="55FD5A7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7B7BA59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36ABE94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6AC5791D">
        <w:tblPrEx>
          <w:tblCellMar>
            <w:top w:w="0" w:type="dxa"/>
            <w:left w:w="108" w:type="dxa"/>
            <w:bottom w:w="0" w:type="dxa"/>
            <w:right w:w="108" w:type="dxa"/>
          </w:tblCellMar>
        </w:tblPrEx>
        <w:trPr>
          <w:trHeight w:val="1125" w:hRule="atLeast"/>
        </w:trPr>
        <w:tc>
          <w:tcPr>
            <w:tcW w:w="404" w:type="dxa"/>
            <w:tcBorders>
              <w:top w:val="nil"/>
              <w:left w:val="single" w:color="auto" w:sz="4" w:space="0"/>
              <w:bottom w:val="single" w:color="auto" w:sz="4" w:space="0"/>
              <w:right w:val="single" w:color="auto" w:sz="4" w:space="0"/>
            </w:tcBorders>
            <w:vAlign w:val="center"/>
          </w:tcPr>
          <w:p w14:paraId="174B9D8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1</w:t>
            </w:r>
          </w:p>
        </w:tc>
        <w:tc>
          <w:tcPr>
            <w:tcW w:w="1032" w:type="dxa"/>
            <w:tcBorders>
              <w:top w:val="nil"/>
              <w:left w:val="nil"/>
              <w:bottom w:val="single" w:color="auto" w:sz="4" w:space="0"/>
              <w:right w:val="single" w:color="auto" w:sz="4" w:space="0"/>
            </w:tcBorders>
            <w:vAlign w:val="center"/>
          </w:tcPr>
          <w:p w14:paraId="719B33D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6BC793C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466E568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卷闸门</w:t>
            </w:r>
          </w:p>
        </w:tc>
        <w:tc>
          <w:tcPr>
            <w:tcW w:w="863" w:type="dxa"/>
            <w:tcBorders>
              <w:top w:val="single" w:color="auto" w:sz="4" w:space="0"/>
              <w:left w:val="nil"/>
              <w:bottom w:val="single" w:color="auto" w:sz="4" w:space="0"/>
              <w:right w:val="single" w:color="auto" w:sz="4" w:space="0"/>
            </w:tcBorders>
            <w:vAlign w:val="center"/>
          </w:tcPr>
          <w:p w14:paraId="672CAED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vMerge w:val="restart"/>
            <w:tcBorders>
              <w:top w:val="nil"/>
              <w:left w:val="single" w:color="auto" w:sz="4" w:space="0"/>
              <w:bottom w:val="single" w:color="000000" w:sz="4" w:space="0"/>
              <w:right w:val="single" w:color="auto" w:sz="4" w:space="0"/>
            </w:tcBorders>
            <w:vAlign w:val="center"/>
          </w:tcPr>
          <w:p w14:paraId="4369E62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一、完善、改造和维护安全防护设施设备支出</w:t>
            </w:r>
          </w:p>
        </w:tc>
        <w:tc>
          <w:tcPr>
            <w:tcW w:w="1582" w:type="dxa"/>
            <w:tcBorders>
              <w:top w:val="nil"/>
              <w:left w:val="nil"/>
              <w:bottom w:val="single" w:color="auto" w:sz="4" w:space="0"/>
              <w:right w:val="single" w:color="auto" w:sz="4" w:space="0"/>
            </w:tcBorders>
            <w:vAlign w:val="center"/>
          </w:tcPr>
          <w:p w14:paraId="435A7B4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（三）安全设施防护设备（含警戒标志）费用；卸料平台的临边防护、层间安全门、防护棚等设施费用</w:t>
            </w:r>
          </w:p>
        </w:tc>
        <w:tc>
          <w:tcPr>
            <w:tcW w:w="721" w:type="dxa"/>
            <w:tcBorders>
              <w:top w:val="nil"/>
              <w:left w:val="nil"/>
              <w:bottom w:val="single" w:color="auto" w:sz="4" w:space="0"/>
              <w:right w:val="single" w:color="auto" w:sz="4" w:space="0"/>
            </w:tcBorders>
            <w:vAlign w:val="center"/>
          </w:tcPr>
          <w:p w14:paraId="0696880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6A0C465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19CB3A2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13EA449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0ABC87F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2CF575B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89E4CD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1AD7F22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tcBorders>
              <w:top w:val="nil"/>
              <w:left w:val="nil"/>
              <w:bottom w:val="single" w:color="auto" w:sz="4" w:space="0"/>
              <w:right w:val="single" w:color="auto" w:sz="4" w:space="0"/>
            </w:tcBorders>
            <w:vAlign w:val="center"/>
          </w:tcPr>
          <w:p w14:paraId="660CB61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tcBorders>
              <w:top w:val="nil"/>
              <w:left w:val="nil"/>
              <w:bottom w:val="single" w:color="auto" w:sz="4" w:space="0"/>
              <w:right w:val="single" w:color="auto" w:sz="4" w:space="0"/>
            </w:tcBorders>
            <w:vAlign w:val="center"/>
          </w:tcPr>
          <w:p w14:paraId="4516EF7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2CF6FCB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70BCD408">
        <w:tblPrEx>
          <w:tblCellMar>
            <w:top w:w="0" w:type="dxa"/>
            <w:left w:w="108" w:type="dxa"/>
            <w:bottom w:w="0" w:type="dxa"/>
            <w:right w:w="108" w:type="dxa"/>
          </w:tblCellMar>
        </w:tblPrEx>
        <w:trPr>
          <w:trHeight w:val="285" w:hRule="atLeast"/>
        </w:trPr>
        <w:tc>
          <w:tcPr>
            <w:tcW w:w="404" w:type="dxa"/>
            <w:vMerge w:val="restart"/>
            <w:tcBorders>
              <w:top w:val="nil"/>
              <w:left w:val="single" w:color="auto" w:sz="4" w:space="0"/>
              <w:bottom w:val="single" w:color="auto" w:sz="4" w:space="0"/>
              <w:right w:val="single" w:color="auto" w:sz="4" w:space="0"/>
            </w:tcBorders>
            <w:vAlign w:val="center"/>
          </w:tcPr>
          <w:p w14:paraId="10766CB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2</w:t>
            </w:r>
          </w:p>
        </w:tc>
        <w:tc>
          <w:tcPr>
            <w:tcW w:w="1032" w:type="dxa"/>
            <w:tcBorders>
              <w:top w:val="nil"/>
              <w:left w:val="nil"/>
              <w:bottom w:val="single" w:color="auto" w:sz="4" w:space="0"/>
              <w:right w:val="single" w:color="auto" w:sz="4" w:space="0"/>
            </w:tcBorders>
            <w:vAlign w:val="center"/>
          </w:tcPr>
          <w:p w14:paraId="1C454C0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324EE4F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74F38E4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其他机械设备</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475B0AB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610C6E8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82" w:type="dxa"/>
            <w:vMerge w:val="restart"/>
            <w:tcBorders>
              <w:top w:val="nil"/>
              <w:left w:val="single" w:color="auto" w:sz="4" w:space="0"/>
              <w:bottom w:val="single" w:color="000000" w:sz="4" w:space="0"/>
              <w:right w:val="single" w:color="auto" w:sz="4" w:space="0"/>
            </w:tcBorders>
            <w:vAlign w:val="center"/>
          </w:tcPr>
          <w:p w14:paraId="4832A9A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（八）临时设施、施工道路、围墙搭设等费用</w:t>
            </w:r>
          </w:p>
        </w:tc>
        <w:tc>
          <w:tcPr>
            <w:tcW w:w="721" w:type="dxa"/>
            <w:tcBorders>
              <w:top w:val="nil"/>
              <w:left w:val="nil"/>
              <w:bottom w:val="single" w:color="auto" w:sz="4" w:space="0"/>
              <w:right w:val="single" w:color="auto" w:sz="4" w:space="0"/>
            </w:tcBorders>
            <w:vAlign w:val="center"/>
          </w:tcPr>
          <w:p w14:paraId="6EDD85D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个</w:t>
            </w:r>
          </w:p>
        </w:tc>
        <w:tc>
          <w:tcPr>
            <w:tcW w:w="721" w:type="dxa"/>
            <w:tcBorders>
              <w:top w:val="nil"/>
              <w:left w:val="nil"/>
              <w:bottom w:val="single" w:color="auto" w:sz="4" w:space="0"/>
              <w:right w:val="single" w:color="auto" w:sz="4" w:space="0"/>
            </w:tcBorders>
            <w:vAlign w:val="center"/>
          </w:tcPr>
          <w:p w14:paraId="0AD139B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53C24B7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510CCD6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restart"/>
            <w:tcBorders>
              <w:top w:val="nil"/>
              <w:left w:val="single" w:color="auto" w:sz="4" w:space="0"/>
              <w:bottom w:val="single" w:color="auto" w:sz="4" w:space="0"/>
              <w:right w:val="single" w:color="auto" w:sz="4" w:space="0"/>
            </w:tcBorders>
            <w:vAlign w:val="center"/>
          </w:tcPr>
          <w:p w14:paraId="19C6F91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47E1E99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1987737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restart"/>
            <w:tcBorders>
              <w:top w:val="nil"/>
              <w:left w:val="single" w:color="auto" w:sz="4" w:space="0"/>
              <w:bottom w:val="single" w:color="auto" w:sz="4" w:space="0"/>
              <w:right w:val="single" w:color="auto" w:sz="4" w:space="0"/>
            </w:tcBorders>
            <w:vAlign w:val="center"/>
          </w:tcPr>
          <w:p w14:paraId="6C632FF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vMerge w:val="restart"/>
            <w:tcBorders>
              <w:top w:val="nil"/>
              <w:left w:val="single" w:color="auto" w:sz="4" w:space="0"/>
              <w:bottom w:val="single" w:color="auto" w:sz="4" w:space="0"/>
              <w:right w:val="single" w:color="auto" w:sz="4" w:space="0"/>
            </w:tcBorders>
            <w:vAlign w:val="center"/>
          </w:tcPr>
          <w:p w14:paraId="4734C30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vMerge w:val="restart"/>
            <w:tcBorders>
              <w:top w:val="nil"/>
              <w:left w:val="single" w:color="auto" w:sz="4" w:space="0"/>
              <w:bottom w:val="single" w:color="auto" w:sz="4" w:space="0"/>
              <w:right w:val="single" w:color="auto" w:sz="4" w:space="0"/>
            </w:tcBorders>
            <w:vAlign w:val="center"/>
          </w:tcPr>
          <w:p w14:paraId="259588D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5C24599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1044CA59">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0E362A5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0C62AB0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403708E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61B9A22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4CE100A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2B54DF5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0061886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572D56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批</w:t>
            </w:r>
          </w:p>
        </w:tc>
        <w:tc>
          <w:tcPr>
            <w:tcW w:w="721" w:type="dxa"/>
            <w:tcBorders>
              <w:top w:val="nil"/>
              <w:left w:val="nil"/>
              <w:bottom w:val="single" w:color="auto" w:sz="4" w:space="0"/>
              <w:right w:val="single" w:color="auto" w:sz="4" w:space="0"/>
            </w:tcBorders>
            <w:vAlign w:val="center"/>
          </w:tcPr>
          <w:p w14:paraId="0C2195D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5F29A45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484A5A9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6E8F235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3B4CEA8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5B0ED40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0682749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20746B8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2680671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5D5DC69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6BB0D2C2">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66A8062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232D858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42B7569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1278A94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铁桶</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38F1BC1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7EE8C40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1999D9A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E74983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个</w:t>
            </w:r>
          </w:p>
        </w:tc>
        <w:tc>
          <w:tcPr>
            <w:tcW w:w="721" w:type="dxa"/>
            <w:tcBorders>
              <w:top w:val="nil"/>
              <w:left w:val="nil"/>
              <w:bottom w:val="single" w:color="auto" w:sz="4" w:space="0"/>
              <w:right w:val="single" w:color="auto" w:sz="4" w:space="0"/>
            </w:tcBorders>
            <w:vAlign w:val="center"/>
          </w:tcPr>
          <w:p w14:paraId="6661F76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6308081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6D4D17F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4E6C963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4F9E2D6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14E513D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3B3BBE4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1711E3C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437229F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13C413B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3DBD6046">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67E6BDF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392F5E2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5A53809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000000" w:sz="4" w:space="0"/>
            </w:tcBorders>
            <w:vAlign w:val="center"/>
          </w:tcPr>
          <w:p w14:paraId="39ECA7E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水泥</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6EA45A7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7BD5716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57F651B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1B40798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吨</w:t>
            </w:r>
          </w:p>
        </w:tc>
        <w:tc>
          <w:tcPr>
            <w:tcW w:w="721" w:type="dxa"/>
            <w:tcBorders>
              <w:top w:val="nil"/>
              <w:left w:val="nil"/>
              <w:bottom w:val="single" w:color="auto" w:sz="4" w:space="0"/>
              <w:right w:val="single" w:color="auto" w:sz="4" w:space="0"/>
            </w:tcBorders>
            <w:vAlign w:val="center"/>
          </w:tcPr>
          <w:p w14:paraId="240BFB4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66BD01C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0A3F83B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3AE7677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6B10232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48CED5A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5712605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5373F20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52B4FE6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42953ED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4222D0C4">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4A9A171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08C1EC0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121B739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312EF96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租赁费</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4679EA9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7EC697D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4881469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033EF11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A29D43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31AEEAD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039D12B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6CA602D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6B36A1E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65C53C7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387061D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255B9BF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20C49A2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4B50E84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1BAD97BC">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38A2475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265AE89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62E5778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1AF9E52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0044C12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2A9160E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7FDA960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797DDF2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0DB3F7E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75F8A57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2E393FC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7A0897F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35EBBA8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16F208D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06ECE62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42AC41D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4176385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6DAA870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7890420D">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6B7274F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0F2B9C3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557C220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14408D7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配件</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4294113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194C495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4B60D14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559EFA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批</w:t>
            </w:r>
          </w:p>
        </w:tc>
        <w:tc>
          <w:tcPr>
            <w:tcW w:w="721" w:type="dxa"/>
            <w:tcBorders>
              <w:top w:val="nil"/>
              <w:left w:val="nil"/>
              <w:bottom w:val="single" w:color="auto" w:sz="4" w:space="0"/>
              <w:right w:val="single" w:color="auto" w:sz="4" w:space="0"/>
            </w:tcBorders>
            <w:vAlign w:val="center"/>
          </w:tcPr>
          <w:p w14:paraId="523F80D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0430A74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06A1120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2E103F9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49DF9C4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63FB454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5550871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1980F72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6328CBB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37FBF29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24E8D5AB">
        <w:tblPrEx>
          <w:tblCellMar>
            <w:top w:w="0" w:type="dxa"/>
            <w:left w:w="108" w:type="dxa"/>
            <w:bottom w:w="0" w:type="dxa"/>
            <w:right w:w="108" w:type="dxa"/>
          </w:tblCellMar>
        </w:tblPrEx>
        <w:trPr>
          <w:trHeight w:val="675" w:hRule="atLeast"/>
        </w:trPr>
        <w:tc>
          <w:tcPr>
            <w:tcW w:w="404" w:type="dxa"/>
            <w:tcBorders>
              <w:top w:val="nil"/>
              <w:left w:val="single" w:color="auto" w:sz="4" w:space="0"/>
              <w:bottom w:val="single" w:color="auto" w:sz="4" w:space="0"/>
              <w:right w:val="single" w:color="auto" w:sz="4" w:space="0"/>
            </w:tcBorders>
            <w:vAlign w:val="center"/>
          </w:tcPr>
          <w:p w14:paraId="4B2C05C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3</w:t>
            </w:r>
          </w:p>
        </w:tc>
        <w:tc>
          <w:tcPr>
            <w:tcW w:w="1032" w:type="dxa"/>
            <w:tcBorders>
              <w:top w:val="nil"/>
              <w:left w:val="nil"/>
              <w:bottom w:val="single" w:color="auto" w:sz="4" w:space="0"/>
              <w:right w:val="single" w:color="auto" w:sz="4" w:space="0"/>
            </w:tcBorders>
            <w:vAlign w:val="center"/>
          </w:tcPr>
          <w:p w14:paraId="273259D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53552DF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3FE6F87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高清旋转球</w:t>
            </w:r>
          </w:p>
        </w:tc>
        <w:tc>
          <w:tcPr>
            <w:tcW w:w="863" w:type="dxa"/>
            <w:tcBorders>
              <w:top w:val="single" w:color="auto" w:sz="4" w:space="0"/>
              <w:left w:val="nil"/>
              <w:bottom w:val="single" w:color="auto" w:sz="4" w:space="0"/>
              <w:right w:val="single" w:color="auto" w:sz="4" w:space="0"/>
            </w:tcBorders>
            <w:vAlign w:val="center"/>
          </w:tcPr>
          <w:p w14:paraId="6FF2233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tcBorders>
              <w:top w:val="nil"/>
              <w:left w:val="nil"/>
              <w:bottom w:val="single" w:color="auto" w:sz="4" w:space="0"/>
              <w:right w:val="single" w:color="auto" w:sz="4" w:space="0"/>
            </w:tcBorders>
            <w:vAlign w:val="center"/>
          </w:tcPr>
          <w:p w14:paraId="3E2A231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七、安全生产适用的新技术、新标准、新工艺、新装备的推广应用支出</w:t>
            </w:r>
          </w:p>
        </w:tc>
        <w:tc>
          <w:tcPr>
            <w:tcW w:w="1582" w:type="dxa"/>
            <w:tcBorders>
              <w:top w:val="nil"/>
              <w:left w:val="nil"/>
              <w:bottom w:val="single" w:color="auto" w:sz="4" w:space="0"/>
              <w:right w:val="single" w:color="auto" w:sz="4" w:space="0"/>
            </w:tcBorders>
            <w:vAlign w:val="center"/>
          </w:tcPr>
          <w:p w14:paraId="4954FF0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w:t>
            </w:r>
          </w:p>
        </w:tc>
        <w:tc>
          <w:tcPr>
            <w:tcW w:w="721" w:type="dxa"/>
            <w:tcBorders>
              <w:top w:val="nil"/>
              <w:left w:val="nil"/>
              <w:bottom w:val="single" w:color="auto" w:sz="4" w:space="0"/>
              <w:right w:val="single" w:color="auto" w:sz="4" w:space="0"/>
            </w:tcBorders>
            <w:vAlign w:val="center"/>
          </w:tcPr>
          <w:p w14:paraId="73AC640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套</w:t>
            </w:r>
          </w:p>
        </w:tc>
        <w:tc>
          <w:tcPr>
            <w:tcW w:w="721" w:type="dxa"/>
            <w:tcBorders>
              <w:top w:val="nil"/>
              <w:left w:val="nil"/>
              <w:bottom w:val="single" w:color="auto" w:sz="4" w:space="0"/>
              <w:right w:val="single" w:color="auto" w:sz="4" w:space="0"/>
            </w:tcBorders>
            <w:vAlign w:val="center"/>
          </w:tcPr>
          <w:p w14:paraId="2C25C3B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3D24AE4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7B8160B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73CF47D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2D436EC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4645866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6EEE2C6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tcBorders>
              <w:top w:val="nil"/>
              <w:left w:val="nil"/>
              <w:bottom w:val="single" w:color="auto" w:sz="4" w:space="0"/>
              <w:right w:val="single" w:color="auto" w:sz="4" w:space="0"/>
            </w:tcBorders>
            <w:vAlign w:val="center"/>
          </w:tcPr>
          <w:p w14:paraId="6FA2408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tcBorders>
              <w:top w:val="nil"/>
              <w:left w:val="nil"/>
              <w:bottom w:val="single" w:color="auto" w:sz="4" w:space="0"/>
              <w:right w:val="single" w:color="auto" w:sz="4" w:space="0"/>
            </w:tcBorders>
            <w:vAlign w:val="center"/>
          </w:tcPr>
          <w:p w14:paraId="5B4F967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33AC812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38499CEE">
        <w:tblPrEx>
          <w:tblCellMar>
            <w:top w:w="0" w:type="dxa"/>
            <w:left w:w="108" w:type="dxa"/>
            <w:bottom w:w="0" w:type="dxa"/>
            <w:right w:w="108" w:type="dxa"/>
          </w:tblCellMar>
        </w:tblPrEx>
        <w:trPr>
          <w:trHeight w:val="285" w:hRule="atLeast"/>
        </w:trPr>
        <w:tc>
          <w:tcPr>
            <w:tcW w:w="404" w:type="dxa"/>
            <w:vMerge w:val="restart"/>
            <w:tcBorders>
              <w:top w:val="nil"/>
              <w:left w:val="single" w:color="auto" w:sz="4" w:space="0"/>
              <w:bottom w:val="single" w:color="auto" w:sz="4" w:space="0"/>
              <w:right w:val="single" w:color="auto" w:sz="4" w:space="0"/>
            </w:tcBorders>
            <w:vAlign w:val="center"/>
          </w:tcPr>
          <w:p w14:paraId="7CDFDBA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4</w:t>
            </w:r>
          </w:p>
        </w:tc>
        <w:tc>
          <w:tcPr>
            <w:tcW w:w="1032" w:type="dxa"/>
            <w:tcBorders>
              <w:top w:val="nil"/>
              <w:left w:val="nil"/>
              <w:bottom w:val="single" w:color="auto" w:sz="4" w:space="0"/>
              <w:right w:val="single" w:color="auto" w:sz="4" w:space="0"/>
            </w:tcBorders>
            <w:vAlign w:val="center"/>
          </w:tcPr>
          <w:p w14:paraId="193A919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371EF97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vMerge w:val="restart"/>
            <w:tcBorders>
              <w:top w:val="single" w:color="auto" w:sz="4" w:space="0"/>
              <w:left w:val="single" w:color="auto" w:sz="4" w:space="0"/>
              <w:bottom w:val="single" w:color="auto" w:sz="4" w:space="0"/>
              <w:right w:val="single" w:color="auto" w:sz="4" w:space="0"/>
            </w:tcBorders>
            <w:vAlign w:val="center"/>
          </w:tcPr>
          <w:p w14:paraId="413D2EF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检测费</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39DAADD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vMerge w:val="restart"/>
            <w:tcBorders>
              <w:top w:val="nil"/>
              <w:left w:val="single" w:color="auto" w:sz="4" w:space="0"/>
              <w:bottom w:val="single" w:color="000000" w:sz="4" w:space="0"/>
              <w:right w:val="single" w:color="auto" w:sz="4" w:space="0"/>
            </w:tcBorders>
            <w:vAlign w:val="center"/>
          </w:tcPr>
          <w:p w14:paraId="66CC713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八、安全设施及特种设备检测检验支出</w:t>
            </w:r>
          </w:p>
        </w:tc>
        <w:tc>
          <w:tcPr>
            <w:tcW w:w="1582" w:type="dxa"/>
            <w:vMerge w:val="restart"/>
            <w:tcBorders>
              <w:top w:val="nil"/>
              <w:left w:val="single" w:color="auto" w:sz="4" w:space="0"/>
              <w:bottom w:val="single" w:color="000000" w:sz="4" w:space="0"/>
              <w:right w:val="single" w:color="auto" w:sz="4" w:space="0"/>
            </w:tcBorders>
            <w:vAlign w:val="center"/>
          </w:tcPr>
          <w:p w14:paraId="4581311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（三）安全网的检测</w:t>
            </w:r>
          </w:p>
        </w:tc>
        <w:tc>
          <w:tcPr>
            <w:tcW w:w="721" w:type="dxa"/>
            <w:vMerge w:val="restart"/>
            <w:tcBorders>
              <w:top w:val="nil"/>
              <w:left w:val="single" w:color="auto" w:sz="4" w:space="0"/>
              <w:bottom w:val="single" w:color="auto" w:sz="4" w:space="0"/>
              <w:right w:val="single" w:color="auto" w:sz="4" w:space="0"/>
            </w:tcBorders>
            <w:vAlign w:val="center"/>
          </w:tcPr>
          <w:p w14:paraId="21D209A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2AC3483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7C63C74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003C91E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restart"/>
            <w:tcBorders>
              <w:top w:val="nil"/>
              <w:left w:val="single" w:color="auto" w:sz="4" w:space="0"/>
              <w:bottom w:val="single" w:color="auto" w:sz="4" w:space="0"/>
              <w:right w:val="single" w:color="auto" w:sz="4" w:space="0"/>
            </w:tcBorders>
            <w:vAlign w:val="center"/>
          </w:tcPr>
          <w:p w14:paraId="1D46A5E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0496746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restart"/>
            <w:tcBorders>
              <w:top w:val="nil"/>
              <w:left w:val="single" w:color="auto" w:sz="4" w:space="0"/>
              <w:bottom w:val="single" w:color="auto" w:sz="4" w:space="0"/>
              <w:right w:val="single" w:color="auto" w:sz="4" w:space="0"/>
            </w:tcBorders>
            <w:vAlign w:val="center"/>
          </w:tcPr>
          <w:p w14:paraId="68605B0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restart"/>
            <w:tcBorders>
              <w:top w:val="nil"/>
              <w:left w:val="single" w:color="auto" w:sz="4" w:space="0"/>
              <w:bottom w:val="single" w:color="auto" w:sz="4" w:space="0"/>
              <w:right w:val="single" w:color="auto" w:sz="4" w:space="0"/>
            </w:tcBorders>
            <w:vAlign w:val="center"/>
          </w:tcPr>
          <w:p w14:paraId="08E02D7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vMerge w:val="restart"/>
            <w:tcBorders>
              <w:top w:val="nil"/>
              <w:left w:val="single" w:color="auto" w:sz="4" w:space="0"/>
              <w:bottom w:val="single" w:color="auto" w:sz="4" w:space="0"/>
              <w:right w:val="single" w:color="auto" w:sz="4" w:space="0"/>
            </w:tcBorders>
            <w:vAlign w:val="center"/>
          </w:tcPr>
          <w:p w14:paraId="504B775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vMerge w:val="restart"/>
            <w:tcBorders>
              <w:top w:val="nil"/>
              <w:left w:val="single" w:color="auto" w:sz="4" w:space="0"/>
              <w:bottom w:val="single" w:color="auto" w:sz="4" w:space="0"/>
              <w:right w:val="single" w:color="auto" w:sz="4" w:space="0"/>
            </w:tcBorders>
            <w:vAlign w:val="center"/>
          </w:tcPr>
          <w:p w14:paraId="5397FF5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00D2668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202088C9">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1288B43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7F53201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36CA133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3DE1B66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54A3E1D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5E975F7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39A7BD6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4286AC5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123DCC3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6DA9A1F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655AF7C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68A383B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53390C9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1B82766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59D760B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1FDFEA2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03FE5BC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63133E1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4BD5B63D">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14:paraId="796958A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000A6FB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164BB0A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6A03AF7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0747AF5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vMerge w:val="continue"/>
            <w:tcBorders>
              <w:top w:val="nil"/>
              <w:left w:val="single" w:color="auto" w:sz="4" w:space="0"/>
              <w:bottom w:val="single" w:color="000000" w:sz="4" w:space="0"/>
              <w:right w:val="single" w:color="auto" w:sz="4" w:space="0"/>
            </w:tcBorders>
            <w:vAlign w:val="center"/>
          </w:tcPr>
          <w:p w14:paraId="058564F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82" w:type="dxa"/>
            <w:vMerge w:val="continue"/>
            <w:tcBorders>
              <w:top w:val="nil"/>
              <w:left w:val="single" w:color="auto" w:sz="4" w:space="0"/>
              <w:bottom w:val="single" w:color="000000" w:sz="4" w:space="0"/>
              <w:right w:val="single" w:color="auto" w:sz="4" w:space="0"/>
            </w:tcBorders>
            <w:vAlign w:val="center"/>
          </w:tcPr>
          <w:p w14:paraId="6E2E455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41BDB1F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7717C2A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528F486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654C8A2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76F3AE9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1AFD505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vMerge w:val="continue"/>
            <w:tcBorders>
              <w:top w:val="nil"/>
              <w:left w:val="single" w:color="auto" w:sz="4" w:space="0"/>
              <w:bottom w:val="single" w:color="auto" w:sz="4" w:space="0"/>
              <w:right w:val="single" w:color="auto" w:sz="4" w:space="0"/>
            </w:tcBorders>
            <w:vAlign w:val="center"/>
          </w:tcPr>
          <w:p w14:paraId="27C1F61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vMerge w:val="continue"/>
            <w:tcBorders>
              <w:top w:val="nil"/>
              <w:left w:val="single" w:color="auto" w:sz="4" w:space="0"/>
              <w:bottom w:val="single" w:color="auto" w:sz="4" w:space="0"/>
              <w:right w:val="single" w:color="auto" w:sz="4" w:space="0"/>
            </w:tcBorders>
            <w:vAlign w:val="center"/>
          </w:tcPr>
          <w:p w14:paraId="3890C77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vMerge w:val="continue"/>
            <w:tcBorders>
              <w:top w:val="nil"/>
              <w:left w:val="single" w:color="auto" w:sz="4" w:space="0"/>
              <w:bottom w:val="single" w:color="auto" w:sz="4" w:space="0"/>
              <w:right w:val="single" w:color="auto" w:sz="4" w:space="0"/>
            </w:tcBorders>
            <w:vAlign w:val="center"/>
          </w:tcPr>
          <w:p w14:paraId="4814DDB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vMerge w:val="continue"/>
            <w:tcBorders>
              <w:top w:val="nil"/>
              <w:left w:val="single" w:color="auto" w:sz="4" w:space="0"/>
              <w:bottom w:val="single" w:color="auto" w:sz="4" w:space="0"/>
              <w:right w:val="single" w:color="auto" w:sz="4" w:space="0"/>
            </w:tcBorders>
            <w:vAlign w:val="center"/>
          </w:tcPr>
          <w:p w14:paraId="64B330B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4E23235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67C4E7D3">
        <w:tblPrEx>
          <w:tblCellMar>
            <w:top w:w="0" w:type="dxa"/>
            <w:left w:w="108" w:type="dxa"/>
            <w:bottom w:w="0" w:type="dxa"/>
            <w:right w:w="108" w:type="dxa"/>
          </w:tblCellMar>
        </w:tblPrEx>
        <w:trPr>
          <w:trHeight w:val="285" w:hRule="atLeast"/>
        </w:trPr>
        <w:tc>
          <w:tcPr>
            <w:tcW w:w="404" w:type="dxa"/>
            <w:tcBorders>
              <w:top w:val="nil"/>
              <w:left w:val="single" w:color="auto" w:sz="4" w:space="0"/>
              <w:bottom w:val="single" w:color="auto" w:sz="4" w:space="0"/>
              <w:right w:val="single" w:color="auto" w:sz="4" w:space="0"/>
            </w:tcBorders>
            <w:vAlign w:val="center"/>
          </w:tcPr>
          <w:p w14:paraId="5AF4B75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5</w:t>
            </w:r>
          </w:p>
        </w:tc>
        <w:tc>
          <w:tcPr>
            <w:tcW w:w="1032" w:type="dxa"/>
            <w:tcBorders>
              <w:top w:val="nil"/>
              <w:left w:val="nil"/>
              <w:bottom w:val="single" w:color="auto" w:sz="4" w:space="0"/>
              <w:right w:val="single" w:color="auto" w:sz="4" w:space="0"/>
            </w:tcBorders>
            <w:vAlign w:val="center"/>
          </w:tcPr>
          <w:p w14:paraId="5E427A5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14597AF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487CA28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63" w:type="dxa"/>
            <w:tcBorders>
              <w:top w:val="single" w:color="auto" w:sz="4" w:space="0"/>
              <w:left w:val="nil"/>
              <w:bottom w:val="single" w:color="auto" w:sz="4" w:space="0"/>
              <w:right w:val="single" w:color="auto" w:sz="4" w:space="0"/>
            </w:tcBorders>
            <w:vAlign w:val="center"/>
          </w:tcPr>
          <w:p w14:paraId="70102CE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tcBorders>
              <w:top w:val="nil"/>
              <w:left w:val="nil"/>
              <w:bottom w:val="single" w:color="auto" w:sz="4" w:space="0"/>
              <w:right w:val="single" w:color="auto" w:sz="4" w:space="0"/>
            </w:tcBorders>
            <w:vAlign w:val="center"/>
          </w:tcPr>
          <w:p w14:paraId="4A88952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w:t>
            </w:r>
          </w:p>
        </w:tc>
        <w:tc>
          <w:tcPr>
            <w:tcW w:w="1582" w:type="dxa"/>
            <w:tcBorders>
              <w:top w:val="nil"/>
              <w:left w:val="nil"/>
              <w:bottom w:val="single" w:color="auto" w:sz="4" w:space="0"/>
              <w:right w:val="single" w:color="auto" w:sz="4" w:space="0"/>
            </w:tcBorders>
            <w:vAlign w:val="center"/>
          </w:tcPr>
          <w:p w14:paraId="6FEAD03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083A5B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75D26B9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01E866A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7594C93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5A72C83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4F58CBB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58B6AE4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453DDB3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tcBorders>
              <w:top w:val="nil"/>
              <w:left w:val="nil"/>
              <w:bottom w:val="single" w:color="auto" w:sz="4" w:space="0"/>
              <w:right w:val="single" w:color="auto" w:sz="4" w:space="0"/>
            </w:tcBorders>
            <w:vAlign w:val="center"/>
          </w:tcPr>
          <w:p w14:paraId="55C4328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tcBorders>
              <w:top w:val="nil"/>
              <w:left w:val="nil"/>
              <w:bottom w:val="single" w:color="auto" w:sz="4" w:space="0"/>
              <w:right w:val="single" w:color="auto" w:sz="4" w:space="0"/>
            </w:tcBorders>
            <w:vAlign w:val="center"/>
          </w:tcPr>
          <w:p w14:paraId="454885C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03E4DFD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2F9AACA4">
        <w:tblPrEx>
          <w:tblCellMar>
            <w:top w:w="0" w:type="dxa"/>
            <w:left w:w="108" w:type="dxa"/>
            <w:bottom w:w="0" w:type="dxa"/>
            <w:right w:w="108" w:type="dxa"/>
          </w:tblCellMar>
        </w:tblPrEx>
        <w:trPr>
          <w:trHeight w:val="285" w:hRule="atLeast"/>
        </w:trPr>
        <w:tc>
          <w:tcPr>
            <w:tcW w:w="404" w:type="dxa"/>
            <w:tcBorders>
              <w:top w:val="nil"/>
              <w:left w:val="single" w:color="auto" w:sz="4" w:space="0"/>
              <w:bottom w:val="single" w:color="auto" w:sz="4" w:space="0"/>
              <w:right w:val="single" w:color="auto" w:sz="4" w:space="0"/>
            </w:tcBorders>
            <w:vAlign w:val="center"/>
          </w:tcPr>
          <w:p w14:paraId="2BB3846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032" w:type="dxa"/>
            <w:tcBorders>
              <w:top w:val="nil"/>
              <w:left w:val="nil"/>
              <w:bottom w:val="single" w:color="auto" w:sz="4" w:space="0"/>
              <w:right w:val="single" w:color="auto" w:sz="4" w:space="0"/>
            </w:tcBorders>
            <w:vAlign w:val="center"/>
          </w:tcPr>
          <w:p w14:paraId="5F996B4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92" w:type="dxa"/>
            <w:tcBorders>
              <w:top w:val="single" w:color="auto" w:sz="4" w:space="0"/>
              <w:left w:val="nil"/>
              <w:bottom w:val="single" w:color="auto" w:sz="4" w:space="0"/>
              <w:right w:val="single" w:color="auto" w:sz="4" w:space="0"/>
            </w:tcBorders>
            <w:vAlign w:val="center"/>
          </w:tcPr>
          <w:p w14:paraId="7E92383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940" w:type="dxa"/>
            <w:tcBorders>
              <w:top w:val="single" w:color="auto" w:sz="4" w:space="0"/>
              <w:left w:val="nil"/>
              <w:bottom w:val="single" w:color="auto" w:sz="4" w:space="0"/>
              <w:right w:val="single" w:color="auto" w:sz="4" w:space="0"/>
            </w:tcBorders>
            <w:vAlign w:val="center"/>
          </w:tcPr>
          <w:p w14:paraId="02F996A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863" w:type="dxa"/>
            <w:tcBorders>
              <w:top w:val="single" w:color="auto" w:sz="4" w:space="0"/>
              <w:left w:val="nil"/>
              <w:bottom w:val="single" w:color="auto" w:sz="4" w:space="0"/>
              <w:right w:val="single" w:color="auto" w:sz="4" w:space="0"/>
            </w:tcBorders>
            <w:vAlign w:val="center"/>
          </w:tcPr>
          <w:p w14:paraId="52842DB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443" w:type="dxa"/>
            <w:tcBorders>
              <w:top w:val="nil"/>
              <w:left w:val="nil"/>
              <w:bottom w:val="single" w:color="auto" w:sz="4" w:space="0"/>
              <w:right w:val="single" w:color="auto" w:sz="4" w:space="0"/>
            </w:tcBorders>
            <w:vAlign w:val="center"/>
          </w:tcPr>
          <w:p w14:paraId="32ADF55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1582" w:type="dxa"/>
            <w:tcBorders>
              <w:top w:val="nil"/>
              <w:left w:val="nil"/>
              <w:bottom w:val="single" w:color="auto" w:sz="4" w:space="0"/>
              <w:right w:val="single" w:color="auto" w:sz="4" w:space="0"/>
            </w:tcBorders>
            <w:vAlign w:val="center"/>
          </w:tcPr>
          <w:p w14:paraId="7D3C910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15A46C3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78A6107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35DAF1B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AD0C7E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7C67245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30D0986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21" w:type="dxa"/>
            <w:tcBorders>
              <w:top w:val="nil"/>
              <w:left w:val="nil"/>
              <w:bottom w:val="single" w:color="auto" w:sz="4" w:space="0"/>
              <w:right w:val="single" w:color="auto" w:sz="4" w:space="0"/>
            </w:tcBorders>
            <w:vAlign w:val="center"/>
          </w:tcPr>
          <w:p w14:paraId="26AB290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719" w:type="dxa"/>
            <w:tcBorders>
              <w:top w:val="nil"/>
              <w:left w:val="nil"/>
              <w:bottom w:val="single" w:color="auto" w:sz="4" w:space="0"/>
              <w:right w:val="single" w:color="auto" w:sz="4" w:space="0"/>
            </w:tcBorders>
            <w:vAlign w:val="center"/>
          </w:tcPr>
          <w:p w14:paraId="7EEA0DF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7" w:type="dxa"/>
            <w:tcBorders>
              <w:top w:val="nil"/>
              <w:left w:val="nil"/>
              <w:bottom w:val="single" w:color="auto" w:sz="4" w:space="0"/>
              <w:right w:val="single" w:color="auto" w:sz="4" w:space="0"/>
            </w:tcBorders>
            <w:vAlign w:val="center"/>
          </w:tcPr>
          <w:p w14:paraId="5615D2C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571" w:type="dxa"/>
            <w:tcBorders>
              <w:top w:val="nil"/>
              <w:left w:val="nil"/>
              <w:bottom w:val="single" w:color="auto" w:sz="4" w:space="0"/>
              <w:right w:val="single" w:color="auto" w:sz="4" w:space="0"/>
            </w:tcBorders>
            <w:vAlign w:val="center"/>
          </w:tcPr>
          <w:p w14:paraId="1BFCC55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3567654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r w14:paraId="41CFFB3E">
        <w:tblPrEx>
          <w:tblCellMar>
            <w:top w:w="0" w:type="dxa"/>
            <w:left w:w="108" w:type="dxa"/>
            <w:bottom w:w="0" w:type="dxa"/>
            <w:right w:w="108" w:type="dxa"/>
          </w:tblCellMar>
        </w:tblPrEx>
        <w:trPr>
          <w:trHeight w:val="285" w:hRule="atLeast"/>
        </w:trPr>
        <w:tc>
          <w:tcPr>
            <w:tcW w:w="7056" w:type="dxa"/>
            <w:gridSpan w:val="7"/>
            <w:tcBorders>
              <w:top w:val="single" w:color="auto" w:sz="4" w:space="0"/>
              <w:left w:val="single" w:color="auto" w:sz="4" w:space="0"/>
              <w:bottom w:val="single" w:color="auto" w:sz="4" w:space="0"/>
              <w:right w:val="single" w:color="auto" w:sz="4" w:space="0"/>
            </w:tcBorders>
            <w:vAlign w:val="center"/>
          </w:tcPr>
          <w:p w14:paraId="5222149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总 支 出</w:t>
            </w:r>
          </w:p>
        </w:tc>
        <w:tc>
          <w:tcPr>
            <w:tcW w:w="6910" w:type="dxa"/>
            <w:gridSpan w:val="10"/>
            <w:tcBorders>
              <w:top w:val="single" w:color="auto" w:sz="4" w:space="0"/>
              <w:left w:val="nil"/>
              <w:bottom w:val="single" w:color="auto" w:sz="4" w:space="0"/>
              <w:right w:val="single" w:color="auto" w:sz="4" w:space="0"/>
            </w:tcBorders>
            <w:vAlign w:val="center"/>
          </w:tcPr>
          <w:p w14:paraId="5FA7FE2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c>
          <w:tcPr>
            <w:tcW w:w="236" w:type="dxa"/>
            <w:vAlign w:val="center"/>
          </w:tcPr>
          <w:p w14:paraId="084CF58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bl>
    <w:p w14:paraId="0BFD3358">
      <w:pPr>
        <w:rPr>
          <w:rFonts w:ascii="宋体" w:hAnsi="宋体" w:eastAsia="宋体" w:cs="宋体"/>
          <w:color w:val="auto"/>
          <w:highlight w:val="none"/>
        </w:rPr>
      </w:pPr>
      <w:r>
        <w:rPr>
          <w:rFonts w:hint="eastAsia" w:ascii="宋体" w:hAnsi="宋体" w:eastAsia="宋体" w:cs="宋体"/>
          <w:color w:val="auto"/>
          <w:highlight w:val="none"/>
        </w:rPr>
        <w:t>制表：                  安全经理：                        安全监理：                        总监（安全副总监）：</w:t>
      </w:r>
    </w:p>
    <w:p w14:paraId="1CF5DCAE">
      <w:pPr>
        <w:rPr>
          <w:rFonts w:ascii="宋体" w:hAnsi="宋体" w:eastAsia="宋体" w:cs="宋体"/>
          <w:color w:val="auto"/>
          <w:spacing w:val="12"/>
          <w:kern w:val="10"/>
          <w:sz w:val="32"/>
          <w:szCs w:val="32"/>
          <w:highlight w:val="none"/>
        </w:rPr>
      </w:pPr>
    </w:p>
    <w:p w14:paraId="5305A11B">
      <w:pPr>
        <w:widowControl/>
        <w:jc w:val="left"/>
        <w:rPr>
          <w:rFonts w:ascii="宋体" w:hAnsi="宋体" w:eastAsia="宋体" w:cs="宋体"/>
          <w:color w:val="auto"/>
          <w:spacing w:val="12"/>
          <w:kern w:val="10"/>
          <w:sz w:val="32"/>
          <w:szCs w:val="32"/>
          <w:highlight w:val="none"/>
        </w:rPr>
      </w:pPr>
    </w:p>
    <w:p w14:paraId="6B30A0A8">
      <w:pPr>
        <w:rPr>
          <w:rFonts w:ascii="宋体" w:hAnsi="宋体" w:eastAsia="宋体" w:cs="宋体"/>
          <w:color w:val="auto"/>
          <w:highlight w:val="none"/>
        </w:rPr>
        <w:sectPr>
          <w:pgSz w:w="16838" w:h="11906" w:orient="landscape"/>
          <w:pgMar w:top="1418" w:right="1440" w:bottom="1418" w:left="1440" w:header="851" w:footer="539" w:gutter="0"/>
          <w:pgNumType w:fmt="numberInDash"/>
          <w:cols w:space="720" w:num="1"/>
          <w:docGrid w:type="lines" w:linePitch="312" w:charSpace="0"/>
        </w:sectPr>
      </w:pPr>
    </w:p>
    <w:p w14:paraId="67757A3D">
      <w:pPr>
        <w:rPr>
          <w:rFonts w:ascii="宋体" w:hAnsi="宋体" w:eastAsia="宋体" w:cs="宋体"/>
          <w:color w:val="auto"/>
          <w:spacing w:val="12"/>
          <w:kern w:val="10"/>
          <w:sz w:val="32"/>
          <w:szCs w:val="32"/>
          <w:highlight w:val="none"/>
        </w:rPr>
      </w:pPr>
      <w:r>
        <w:rPr>
          <w:rFonts w:hint="eastAsia" w:ascii="宋体" w:hAnsi="宋体" w:eastAsia="宋体" w:cs="宋体"/>
          <w:color w:val="auto"/>
          <w:spacing w:val="12"/>
          <w:kern w:val="10"/>
          <w:sz w:val="32"/>
          <w:szCs w:val="32"/>
          <w:highlight w:val="none"/>
        </w:rPr>
        <w:t>附表6：</w:t>
      </w:r>
    </w:p>
    <w:p w14:paraId="34A037E4">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安全投入工程量现场确认单</w:t>
      </w:r>
    </w:p>
    <w:p w14:paraId="2536182C">
      <w:pPr>
        <w:ind w:right="720" w:firstLine="6480" w:firstLineChars="36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计量编号：</w:t>
      </w:r>
    </w:p>
    <w:tbl>
      <w:tblPr>
        <w:tblStyle w:val="4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63"/>
        <w:gridCol w:w="277"/>
        <w:gridCol w:w="1414"/>
        <w:gridCol w:w="2827"/>
        <w:gridCol w:w="31"/>
      </w:tblGrid>
      <w:tr w14:paraId="5347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5" w:type="dxa"/>
            <w:vAlign w:val="center"/>
          </w:tcPr>
          <w:p w14:paraId="0EB31E77">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合同名称</w:t>
            </w:r>
          </w:p>
        </w:tc>
        <w:tc>
          <w:tcPr>
            <w:tcW w:w="7512" w:type="dxa"/>
            <w:gridSpan w:val="5"/>
            <w:vAlign w:val="center"/>
          </w:tcPr>
          <w:p w14:paraId="005BA2BD">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rPr>
            </w:pPr>
          </w:p>
        </w:tc>
      </w:tr>
      <w:tr w14:paraId="148F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55" w:hRule="atLeast"/>
          <w:jc w:val="center"/>
        </w:trPr>
        <w:tc>
          <w:tcPr>
            <w:tcW w:w="1555" w:type="dxa"/>
            <w:vAlign w:val="center"/>
          </w:tcPr>
          <w:p w14:paraId="315F33C7">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施工单位</w:t>
            </w:r>
          </w:p>
        </w:tc>
        <w:tc>
          <w:tcPr>
            <w:tcW w:w="7481" w:type="dxa"/>
            <w:gridSpan w:val="4"/>
            <w:vAlign w:val="center"/>
          </w:tcPr>
          <w:p w14:paraId="46DD807C">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rPr>
            </w:pPr>
          </w:p>
        </w:tc>
      </w:tr>
      <w:tr w14:paraId="5D5A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0" w:hRule="atLeast"/>
          <w:jc w:val="center"/>
        </w:trPr>
        <w:tc>
          <w:tcPr>
            <w:tcW w:w="1555" w:type="dxa"/>
            <w:vAlign w:val="center"/>
          </w:tcPr>
          <w:p w14:paraId="7D04CF00">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工程名称</w:t>
            </w:r>
          </w:p>
        </w:tc>
        <w:tc>
          <w:tcPr>
            <w:tcW w:w="7481" w:type="dxa"/>
            <w:gridSpan w:val="4"/>
            <w:vAlign w:val="center"/>
          </w:tcPr>
          <w:p w14:paraId="2DEBCEDC">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rPr>
            </w:pPr>
          </w:p>
        </w:tc>
      </w:tr>
      <w:tr w14:paraId="479F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6" w:hRule="atLeast"/>
          <w:jc w:val="center"/>
        </w:trPr>
        <w:tc>
          <w:tcPr>
            <w:tcW w:w="1555" w:type="dxa"/>
            <w:vAlign w:val="center"/>
          </w:tcPr>
          <w:p w14:paraId="1FC36E92">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分部分项工程</w:t>
            </w:r>
          </w:p>
        </w:tc>
        <w:tc>
          <w:tcPr>
            <w:tcW w:w="3240" w:type="dxa"/>
            <w:gridSpan w:val="2"/>
            <w:vAlign w:val="center"/>
          </w:tcPr>
          <w:p w14:paraId="15BE37F9">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rPr>
            </w:pPr>
          </w:p>
        </w:tc>
        <w:tc>
          <w:tcPr>
            <w:tcW w:w="1414" w:type="dxa"/>
            <w:vAlign w:val="center"/>
          </w:tcPr>
          <w:p w14:paraId="4CB95C0F">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安全投入内容</w:t>
            </w:r>
          </w:p>
        </w:tc>
        <w:tc>
          <w:tcPr>
            <w:tcW w:w="2827" w:type="dxa"/>
            <w:vAlign w:val="center"/>
          </w:tcPr>
          <w:p w14:paraId="25BAAD43">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highlight w:val="none"/>
              </w:rPr>
            </w:pPr>
          </w:p>
        </w:tc>
      </w:tr>
      <w:tr w14:paraId="07EF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223" w:hRule="atLeast"/>
          <w:jc w:val="center"/>
        </w:trPr>
        <w:tc>
          <w:tcPr>
            <w:tcW w:w="9036" w:type="dxa"/>
            <w:gridSpan w:val="5"/>
          </w:tcPr>
          <w:p w14:paraId="6F5CCD46">
            <w:pPr>
              <w:keepNext w:val="0"/>
              <w:keepLines w:val="0"/>
              <w:suppressLineNumbers w:val="0"/>
              <w:spacing w:before="0" w:beforeAutospacing="0" w:after="0" w:afterAutospacing="0"/>
              <w:ind w:left="0" w:right="0"/>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施工依据：</w:t>
            </w:r>
          </w:p>
        </w:tc>
      </w:tr>
      <w:tr w14:paraId="69D3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7001" w:hRule="atLeast"/>
          <w:jc w:val="center"/>
        </w:trPr>
        <w:tc>
          <w:tcPr>
            <w:tcW w:w="9036" w:type="dxa"/>
            <w:gridSpan w:val="5"/>
          </w:tcPr>
          <w:p w14:paraId="69641C7D">
            <w:pPr>
              <w:keepNext w:val="0"/>
              <w:keepLines w:val="0"/>
              <w:suppressLineNumbers w:val="0"/>
              <w:spacing w:before="0" w:beforeAutospacing="0" w:after="0" w:afterAutospacing="0"/>
              <w:ind w:left="0" w:right="0"/>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现场确认内容及工程量：（附件：计量依据、工程量计算过程及附图）</w:t>
            </w:r>
          </w:p>
        </w:tc>
      </w:tr>
      <w:tr w14:paraId="11ED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184" w:hRule="atLeast"/>
          <w:jc w:val="center"/>
        </w:trPr>
        <w:tc>
          <w:tcPr>
            <w:tcW w:w="4518" w:type="dxa"/>
            <w:gridSpan w:val="2"/>
          </w:tcPr>
          <w:p w14:paraId="26ABCF6E">
            <w:pPr>
              <w:keepNext w:val="0"/>
              <w:keepLines w:val="0"/>
              <w:suppressLineNumbers w:val="0"/>
              <w:spacing w:before="0" w:beforeAutospacing="0" w:after="0" w:afterAutospacing="0"/>
              <w:ind w:left="0" w:right="0"/>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施工单位：</w:t>
            </w:r>
          </w:p>
          <w:p w14:paraId="4C89CBB6">
            <w:pPr>
              <w:keepNext w:val="0"/>
              <w:keepLines w:val="0"/>
              <w:suppressLineNumbers w:val="0"/>
              <w:spacing w:before="0" w:beforeAutospacing="0" w:after="0" w:afterAutospacing="0"/>
              <w:ind w:left="0" w:right="0"/>
              <w:rPr>
                <w:rFonts w:hint="default" w:ascii="宋体" w:hAnsi="宋体" w:eastAsia="宋体" w:cs="宋体"/>
                <w:color w:val="auto"/>
                <w:sz w:val="18"/>
                <w:szCs w:val="18"/>
                <w:highlight w:val="none"/>
              </w:rPr>
            </w:pPr>
          </w:p>
          <w:p w14:paraId="466CA831">
            <w:pPr>
              <w:keepNext w:val="0"/>
              <w:keepLines w:val="0"/>
              <w:suppressLineNumbers w:val="0"/>
              <w:spacing w:before="0" w:beforeAutospacing="0" w:after="0" w:afterAutospacing="0"/>
              <w:ind w:left="0" w:right="0"/>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签字：</w:t>
            </w:r>
          </w:p>
          <w:p w14:paraId="0423FF62">
            <w:pPr>
              <w:keepNext w:val="0"/>
              <w:keepLines w:val="0"/>
              <w:suppressLineNumbers w:val="0"/>
              <w:spacing w:before="0" w:beforeAutospacing="0" w:after="0" w:afterAutospacing="0"/>
              <w:ind w:left="0" w:right="0"/>
              <w:rPr>
                <w:rFonts w:hint="default" w:ascii="宋体" w:hAnsi="宋体" w:eastAsia="宋体" w:cs="宋体"/>
                <w:color w:val="auto"/>
                <w:sz w:val="18"/>
                <w:szCs w:val="18"/>
                <w:highlight w:val="none"/>
              </w:rPr>
            </w:pPr>
          </w:p>
          <w:p w14:paraId="0B327E72">
            <w:pPr>
              <w:keepNext w:val="0"/>
              <w:keepLines w:val="0"/>
              <w:suppressLineNumbers w:val="0"/>
              <w:spacing w:before="0" w:beforeAutospacing="0" w:after="0" w:afterAutospacing="0"/>
              <w:ind w:left="0" w:right="0"/>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年  月  日</w:t>
            </w:r>
          </w:p>
        </w:tc>
        <w:tc>
          <w:tcPr>
            <w:tcW w:w="4518" w:type="dxa"/>
            <w:gridSpan w:val="3"/>
          </w:tcPr>
          <w:p w14:paraId="4CDFB920">
            <w:pPr>
              <w:keepNext w:val="0"/>
              <w:keepLines w:val="0"/>
              <w:suppressLineNumbers w:val="0"/>
              <w:spacing w:before="0" w:beforeAutospacing="0" w:after="0" w:afterAutospacing="0"/>
              <w:ind w:left="0" w:right="0"/>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监理单位：</w:t>
            </w:r>
          </w:p>
          <w:p w14:paraId="7B41508D">
            <w:pPr>
              <w:keepNext w:val="0"/>
              <w:keepLines w:val="0"/>
              <w:suppressLineNumbers w:val="0"/>
              <w:spacing w:before="0" w:beforeAutospacing="0" w:after="0" w:afterAutospacing="0"/>
              <w:ind w:left="0" w:right="0"/>
              <w:rPr>
                <w:rFonts w:hint="default" w:ascii="宋体" w:hAnsi="宋体" w:eastAsia="宋体" w:cs="宋体"/>
                <w:color w:val="auto"/>
                <w:sz w:val="18"/>
                <w:szCs w:val="18"/>
                <w:highlight w:val="none"/>
              </w:rPr>
            </w:pPr>
          </w:p>
          <w:p w14:paraId="77B5C227">
            <w:pPr>
              <w:keepNext w:val="0"/>
              <w:keepLines w:val="0"/>
              <w:suppressLineNumbers w:val="0"/>
              <w:spacing w:before="0" w:beforeAutospacing="0" w:after="0" w:afterAutospacing="0"/>
              <w:ind w:left="0" w:right="0"/>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签字：</w:t>
            </w:r>
          </w:p>
          <w:p w14:paraId="1853807A">
            <w:pPr>
              <w:keepNext w:val="0"/>
              <w:keepLines w:val="0"/>
              <w:suppressLineNumbers w:val="0"/>
              <w:spacing w:before="0" w:beforeAutospacing="0" w:after="0" w:afterAutospacing="0"/>
              <w:ind w:left="0" w:right="0"/>
              <w:rPr>
                <w:rFonts w:hint="default" w:ascii="宋体" w:hAnsi="宋体" w:eastAsia="宋体" w:cs="宋体"/>
                <w:color w:val="auto"/>
                <w:sz w:val="18"/>
                <w:szCs w:val="18"/>
                <w:highlight w:val="none"/>
              </w:rPr>
            </w:pPr>
          </w:p>
          <w:p w14:paraId="11337A2C">
            <w:pPr>
              <w:keepNext w:val="0"/>
              <w:keepLines w:val="0"/>
              <w:suppressLineNumbers w:val="0"/>
              <w:spacing w:before="0" w:beforeAutospacing="0" w:after="0" w:afterAutospacing="0"/>
              <w:ind w:left="0" w:right="0" w:firstLine="3060" w:firstLineChars="1700"/>
              <w:rPr>
                <w:rFonts w:hint="default" w:ascii="宋体" w:hAnsi="宋体" w:eastAsia="宋体" w:cs="宋体"/>
                <w:color w:val="auto"/>
                <w:sz w:val="18"/>
                <w:szCs w:val="18"/>
                <w:highlight w:val="none"/>
              </w:rPr>
            </w:pPr>
            <w:r>
              <w:rPr>
                <w:rFonts w:hint="eastAsia" w:ascii="宋体" w:hAnsi="宋体" w:eastAsia="宋体" w:cs="宋体"/>
                <w:color w:val="auto"/>
                <w:sz w:val="18"/>
                <w:szCs w:val="18"/>
                <w:highlight w:val="none"/>
              </w:rPr>
              <w:t>年  月  日</w:t>
            </w:r>
          </w:p>
        </w:tc>
      </w:tr>
    </w:tbl>
    <w:p w14:paraId="4024F533">
      <w:pPr>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说明：本表仅对施工单位已完成质量合格工程量的确认，工程计量按合同条款执行</w:t>
      </w:r>
    </w:p>
    <w:p w14:paraId="24F602BD">
      <w:pPr>
        <w:rPr>
          <w:rFonts w:ascii="宋体" w:hAnsi="宋体" w:eastAsia="宋体" w:cs="宋体"/>
          <w:color w:val="auto"/>
          <w:highlight w:val="none"/>
        </w:rPr>
        <w:sectPr>
          <w:pgSz w:w="11906" w:h="16838"/>
          <w:pgMar w:top="1440" w:right="1418" w:bottom="1440" w:left="1418" w:header="851" w:footer="992" w:gutter="0"/>
          <w:pgNumType w:fmt="numberInDash"/>
          <w:cols w:space="720" w:num="1"/>
          <w:docGrid w:linePitch="312" w:charSpace="0"/>
        </w:sectPr>
      </w:pPr>
    </w:p>
    <w:p w14:paraId="4B336D04">
      <w:pPr>
        <w:ind w:firstLine="1600" w:firstLineChars="5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附</w:t>
      </w:r>
      <w:r>
        <w:rPr>
          <w:rFonts w:hint="eastAsia" w:ascii="宋体" w:hAnsi="宋体" w:eastAsia="宋体" w:cs="宋体"/>
          <w:color w:val="auto"/>
          <w:spacing w:val="12"/>
          <w:kern w:val="10"/>
          <w:sz w:val="32"/>
          <w:szCs w:val="32"/>
          <w:highlight w:val="none"/>
        </w:rPr>
        <w:t>表</w:t>
      </w:r>
      <w:r>
        <w:rPr>
          <w:rFonts w:hint="eastAsia" w:ascii="宋体" w:hAnsi="宋体" w:eastAsia="宋体" w:cs="宋体"/>
          <w:color w:val="auto"/>
          <w:sz w:val="32"/>
          <w:szCs w:val="32"/>
          <w:highlight w:val="none"/>
        </w:rPr>
        <w:t>7</w:t>
      </w:r>
    </w:p>
    <w:p w14:paraId="7DF6CE8A">
      <w:pPr>
        <w:jc w:val="center"/>
        <w:rPr>
          <w:rFonts w:ascii="宋体" w:hAnsi="宋体" w:eastAsia="宋体" w:cs="宋体"/>
          <w:b/>
          <w:color w:val="auto"/>
          <w:highlight w:val="none"/>
        </w:rPr>
      </w:pPr>
      <w:r>
        <w:rPr>
          <w:rFonts w:hint="eastAsia" w:ascii="宋体" w:hAnsi="宋体" w:eastAsia="宋体" w:cs="宋体"/>
          <w:b/>
          <w:color w:val="auto"/>
          <w:highlight w:val="none"/>
        </w:rPr>
        <w:t>安全文明措施费使用审查表</w:t>
      </w:r>
    </w:p>
    <w:p w14:paraId="4EA3695C">
      <w:pPr>
        <w:ind w:firstLine="1470" w:firstLineChars="700"/>
        <w:rPr>
          <w:rFonts w:ascii="宋体" w:hAnsi="宋体" w:eastAsia="宋体" w:cs="宋体"/>
          <w:bCs/>
          <w:color w:val="auto"/>
          <w:highlight w:val="none"/>
        </w:rPr>
      </w:pPr>
      <w:r>
        <w:rPr>
          <w:rFonts w:hint="eastAsia" w:ascii="宋体" w:hAnsi="宋体" w:eastAsia="宋体" w:cs="宋体"/>
          <w:bCs/>
          <w:color w:val="auto"/>
          <w:highlight w:val="none"/>
        </w:rPr>
        <w:t>工程名称：                                       合同号：                                       制表日期：      年   月   日</w:t>
      </w:r>
    </w:p>
    <w:tbl>
      <w:tblPr>
        <w:tblStyle w:val="45"/>
        <w:tblW w:w="13690" w:type="dxa"/>
        <w:jc w:val="right"/>
        <w:tblLayout w:type="fixed"/>
        <w:tblCellMar>
          <w:top w:w="0" w:type="dxa"/>
          <w:left w:w="108" w:type="dxa"/>
          <w:bottom w:w="0" w:type="dxa"/>
          <w:right w:w="108" w:type="dxa"/>
        </w:tblCellMar>
      </w:tblPr>
      <w:tblGrid>
        <w:gridCol w:w="704"/>
        <w:gridCol w:w="3544"/>
        <w:gridCol w:w="4311"/>
        <w:gridCol w:w="1985"/>
        <w:gridCol w:w="1701"/>
        <w:gridCol w:w="1445"/>
      </w:tblGrid>
      <w:tr w14:paraId="44A29924">
        <w:tblPrEx>
          <w:tblCellMar>
            <w:top w:w="0" w:type="dxa"/>
            <w:left w:w="108" w:type="dxa"/>
            <w:bottom w:w="0" w:type="dxa"/>
            <w:right w:w="108" w:type="dxa"/>
          </w:tblCellMar>
        </w:tblPrEx>
        <w:trPr>
          <w:trHeight w:val="384" w:hRule="atLeast"/>
          <w:tblHeader/>
          <w:jc w:val="right"/>
        </w:trPr>
        <w:tc>
          <w:tcPr>
            <w:tcW w:w="704" w:type="dxa"/>
            <w:tcBorders>
              <w:top w:val="single" w:color="auto" w:sz="4" w:space="0"/>
              <w:left w:val="single" w:color="auto" w:sz="4" w:space="0"/>
              <w:bottom w:val="single" w:color="auto" w:sz="4" w:space="0"/>
              <w:right w:val="single" w:color="auto" w:sz="4" w:space="0"/>
            </w:tcBorders>
            <w:vAlign w:val="center"/>
          </w:tcPr>
          <w:p w14:paraId="5B78AAB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3544" w:type="dxa"/>
            <w:tcBorders>
              <w:top w:val="single" w:color="auto" w:sz="4" w:space="0"/>
              <w:left w:val="nil"/>
              <w:bottom w:val="single" w:color="auto" w:sz="4" w:space="0"/>
              <w:right w:val="single" w:color="auto" w:sz="4" w:space="0"/>
            </w:tcBorders>
            <w:vAlign w:val="center"/>
          </w:tcPr>
          <w:p w14:paraId="5BA3093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项目名称</w:t>
            </w:r>
          </w:p>
        </w:tc>
        <w:tc>
          <w:tcPr>
            <w:tcW w:w="4311" w:type="dxa"/>
            <w:tcBorders>
              <w:top w:val="single" w:color="auto" w:sz="4" w:space="0"/>
              <w:left w:val="nil"/>
              <w:bottom w:val="single" w:color="auto" w:sz="4" w:space="0"/>
              <w:right w:val="single" w:color="auto" w:sz="4" w:space="0"/>
            </w:tcBorders>
            <w:vAlign w:val="center"/>
          </w:tcPr>
          <w:p w14:paraId="732838F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本期安全工作开展情况及费用支出情况</w:t>
            </w:r>
          </w:p>
        </w:tc>
        <w:tc>
          <w:tcPr>
            <w:tcW w:w="1985" w:type="dxa"/>
            <w:tcBorders>
              <w:top w:val="single" w:color="auto" w:sz="4" w:space="0"/>
              <w:left w:val="nil"/>
              <w:bottom w:val="single" w:color="auto" w:sz="4" w:space="0"/>
              <w:right w:val="single" w:color="auto" w:sz="4" w:space="0"/>
            </w:tcBorders>
            <w:vAlign w:val="center"/>
          </w:tcPr>
          <w:p w14:paraId="06CFF58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审核支出(元)</w:t>
            </w:r>
          </w:p>
        </w:tc>
        <w:tc>
          <w:tcPr>
            <w:tcW w:w="1701" w:type="dxa"/>
            <w:tcBorders>
              <w:top w:val="single" w:color="auto" w:sz="4" w:space="0"/>
              <w:left w:val="nil"/>
              <w:bottom w:val="single" w:color="auto" w:sz="4" w:space="0"/>
              <w:right w:val="single" w:color="auto" w:sz="4" w:space="0"/>
            </w:tcBorders>
            <w:vAlign w:val="center"/>
          </w:tcPr>
          <w:p w14:paraId="17813EC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结余情况(元)</w:t>
            </w:r>
          </w:p>
        </w:tc>
        <w:tc>
          <w:tcPr>
            <w:tcW w:w="1445" w:type="dxa"/>
            <w:tcBorders>
              <w:top w:val="single" w:color="auto" w:sz="4" w:space="0"/>
              <w:left w:val="nil"/>
              <w:bottom w:val="single" w:color="auto" w:sz="4" w:space="0"/>
              <w:right w:val="single" w:color="auto" w:sz="4" w:space="0"/>
            </w:tcBorders>
            <w:vAlign w:val="center"/>
          </w:tcPr>
          <w:p w14:paraId="6DDCF3A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备  注</w:t>
            </w:r>
          </w:p>
        </w:tc>
      </w:tr>
      <w:tr w14:paraId="57502D77">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7C01AE2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1</w:t>
            </w:r>
          </w:p>
        </w:tc>
        <w:tc>
          <w:tcPr>
            <w:tcW w:w="3544" w:type="dxa"/>
            <w:tcBorders>
              <w:top w:val="nil"/>
              <w:left w:val="nil"/>
              <w:bottom w:val="single" w:color="auto" w:sz="4" w:space="0"/>
              <w:right w:val="single" w:color="auto" w:sz="4" w:space="0"/>
            </w:tcBorders>
            <w:vAlign w:val="center"/>
          </w:tcPr>
          <w:p w14:paraId="3F2BADE7">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完善、改造和维护安全防护设施设备支出</w:t>
            </w:r>
          </w:p>
        </w:tc>
        <w:tc>
          <w:tcPr>
            <w:tcW w:w="4311" w:type="dxa"/>
            <w:tcBorders>
              <w:top w:val="nil"/>
              <w:left w:val="nil"/>
              <w:bottom w:val="single" w:color="auto" w:sz="4" w:space="0"/>
              <w:right w:val="single" w:color="auto" w:sz="4" w:space="0"/>
            </w:tcBorders>
            <w:vAlign w:val="center"/>
          </w:tcPr>
          <w:p w14:paraId="4A71C3E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3E139B3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37BCC11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57C7E49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r>
      <w:tr w14:paraId="5BFA51E0">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4D8A038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2</w:t>
            </w:r>
          </w:p>
        </w:tc>
        <w:tc>
          <w:tcPr>
            <w:tcW w:w="3544" w:type="dxa"/>
            <w:tcBorders>
              <w:top w:val="nil"/>
              <w:left w:val="nil"/>
              <w:bottom w:val="single" w:color="auto" w:sz="4" w:space="0"/>
              <w:right w:val="single" w:color="auto" w:sz="4" w:space="0"/>
            </w:tcBorders>
            <w:vAlign w:val="center"/>
          </w:tcPr>
          <w:p w14:paraId="570C8597">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配备、维护、保养应急救援器材、设备支出和应急救援队伍建设与应急演练支出</w:t>
            </w:r>
          </w:p>
        </w:tc>
        <w:tc>
          <w:tcPr>
            <w:tcW w:w="4311" w:type="dxa"/>
            <w:tcBorders>
              <w:top w:val="nil"/>
              <w:left w:val="nil"/>
              <w:bottom w:val="single" w:color="auto" w:sz="4" w:space="0"/>
              <w:right w:val="single" w:color="auto" w:sz="4" w:space="0"/>
            </w:tcBorders>
            <w:vAlign w:val="center"/>
          </w:tcPr>
          <w:p w14:paraId="26CE77C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7E25F53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6E69446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71F8C5A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r>
      <w:tr w14:paraId="672ACA24">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06D3797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3</w:t>
            </w:r>
          </w:p>
        </w:tc>
        <w:tc>
          <w:tcPr>
            <w:tcW w:w="3544" w:type="dxa"/>
            <w:tcBorders>
              <w:top w:val="nil"/>
              <w:left w:val="nil"/>
              <w:bottom w:val="single" w:color="auto" w:sz="4" w:space="0"/>
              <w:right w:val="single" w:color="auto" w:sz="4" w:space="0"/>
            </w:tcBorders>
            <w:vAlign w:val="center"/>
          </w:tcPr>
          <w:p w14:paraId="1566FF26">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开展重大危险源和事故隐患评估、监测监控和整改支出</w:t>
            </w:r>
          </w:p>
        </w:tc>
        <w:tc>
          <w:tcPr>
            <w:tcW w:w="4311" w:type="dxa"/>
            <w:tcBorders>
              <w:top w:val="nil"/>
              <w:left w:val="nil"/>
              <w:bottom w:val="single" w:color="auto" w:sz="4" w:space="0"/>
              <w:right w:val="single" w:color="auto" w:sz="4" w:space="0"/>
            </w:tcBorders>
            <w:vAlign w:val="center"/>
          </w:tcPr>
          <w:p w14:paraId="04F276E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0EFF446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3116CAC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62EF08A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r>
      <w:tr w14:paraId="6ACAC04D">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3CC5CB7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4</w:t>
            </w:r>
          </w:p>
        </w:tc>
        <w:tc>
          <w:tcPr>
            <w:tcW w:w="3544" w:type="dxa"/>
            <w:tcBorders>
              <w:top w:val="nil"/>
              <w:left w:val="nil"/>
              <w:bottom w:val="single" w:color="auto" w:sz="4" w:space="0"/>
              <w:right w:val="single" w:color="auto" w:sz="4" w:space="0"/>
            </w:tcBorders>
            <w:vAlign w:val="center"/>
          </w:tcPr>
          <w:p w14:paraId="63F9EA48">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安全生产检查、评价（不包括新建、改建、扩建项目安全评价）、咨询和标准化建设支出</w:t>
            </w:r>
          </w:p>
        </w:tc>
        <w:tc>
          <w:tcPr>
            <w:tcW w:w="4311" w:type="dxa"/>
            <w:tcBorders>
              <w:top w:val="nil"/>
              <w:left w:val="nil"/>
              <w:bottom w:val="single" w:color="auto" w:sz="4" w:space="0"/>
              <w:right w:val="single" w:color="auto" w:sz="4" w:space="0"/>
            </w:tcBorders>
            <w:vAlign w:val="center"/>
          </w:tcPr>
          <w:p w14:paraId="74B798A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294CE8A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10AABC3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20E23C4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r>
      <w:tr w14:paraId="799217C3">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6E46A13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5</w:t>
            </w:r>
          </w:p>
        </w:tc>
        <w:tc>
          <w:tcPr>
            <w:tcW w:w="3544" w:type="dxa"/>
            <w:tcBorders>
              <w:top w:val="nil"/>
              <w:left w:val="nil"/>
              <w:bottom w:val="single" w:color="auto" w:sz="4" w:space="0"/>
              <w:right w:val="single" w:color="auto" w:sz="4" w:space="0"/>
            </w:tcBorders>
            <w:vAlign w:val="center"/>
          </w:tcPr>
          <w:p w14:paraId="2BB7D21A">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配备和更新现场作业人员安全防护用品支出</w:t>
            </w:r>
          </w:p>
        </w:tc>
        <w:tc>
          <w:tcPr>
            <w:tcW w:w="4311" w:type="dxa"/>
            <w:tcBorders>
              <w:top w:val="nil"/>
              <w:left w:val="nil"/>
              <w:bottom w:val="single" w:color="auto" w:sz="4" w:space="0"/>
              <w:right w:val="single" w:color="auto" w:sz="4" w:space="0"/>
            </w:tcBorders>
            <w:vAlign w:val="center"/>
          </w:tcPr>
          <w:p w14:paraId="34C08BB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6D32412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16692B2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009192A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r>
      <w:tr w14:paraId="2CCCD114">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5EB25CF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6</w:t>
            </w:r>
          </w:p>
        </w:tc>
        <w:tc>
          <w:tcPr>
            <w:tcW w:w="3544" w:type="dxa"/>
            <w:tcBorders>
              <w:top w:val="nil"/>
              <w:left w:val="nil"/>
              <w:bottom w:val="single" w:color="auto" w:sz="4" w:space="0"/>
              <w:right w:val="single" w:color="auto" w:sz="4" w:space="0"/>
            </w:tcBorders>
            <w:vAlign w:val="center"/>
          </w:tcPr>
          <w:p w14:paraId="05DDEC19">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安全生产宣传、教育、培训支出</w:t>
            </w:r>
          </w:p>
        </w:tc>
        <w:tc>
          <w:tcPr>
            <w:tcW w:w="4311" w:type="dxa"/>
            <w:tcBorders>
              <w:top w:val="nil"/>
              <w:left w:val="nil"/>
              <w:bottom w:val="single" w:color="auto" w:sz="4" w:space="0"/>
              <w:right w:val="single" w:color="auto" w:sz="4" w:space="0"/>
            </w:tcBorders>
            <w:vAlign w:val="center"/>
          </w:tcPr>
          <w:p w14:paraId="1FE9033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132F2ED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58C8443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7EABA98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r>
      <w:tr w14:paraId="543B48DC">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14:paraId="216E5B3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7</w:t>
            </w:r>
          </w:p>
        </w:tc>
        <w:tc>
          <w:tcPr>
            <w:tcW w:w="3544" w:type="dxa"/>
            <w:tcBorders>
              <w:top w:val="nil"/>
              <w:left w:val="nil"/>
              <w:bottom w:val="single" w:color="auto" w:sz="4" w:space="0"/>
              <w:right w:val="single" w:color="auto" w:sz="4" w:space="0"/>
            </w:tcBorders>
            <w:vAlign w:val="center"/>
          </w:tcPr>
          <w:p w14:paraId="72591468">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安全生产适用的新技术、新标准、新工艺、新装备的推广应用支出</w:t>
            </w:r>
          </w:p>
        </w:tc>
        <w:tc>
          <w:tcPr>
            <w:tcW w:w="4311" w:type="dxa"/>
            <w:tcBorders>
              <w:top w:val="nil"/>
              <w:left w:val="nil"/>
              <w:bottom w:val="single" w:color="auto" w:sz="4" w:space="0"/>
              <w:right w:val="single" w:color="auto" w:sz="4" w:space="0"/>
            </w:tcBorders>
            <w:vAlign w:val="center"/>
          </w:tcPr>
          <w:p w14:paraId="4E15DB1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nil"/>
              <w:left w:val="nil"/>
              <w:bottom w:val="single" w:color="auto" w:sz="4" w:space="0"/>
              <w:right w:val="single" w:color="auto" w:sz="4" w:space="0"/>
            </w:tcBorders>
            <w:vAlign w:val="center"/>
          </w:tcPr>
          <w:p w14:paraId="4920DEB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nil"/>
              <w:left w:val="nil"/>
              <w:bottom w:val="single" w:color="auto" w:sz="4" w:space="0"/>
              <w:right w:val="single" w:color="auto" w:sz="4" w:space="0"/>
            </w:tcBorders>
            <w:vAlign w:val="center"/>
          </w:tcPr>
          <w:p w14:paraId="5DC67FF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nil"/>
              <w:left w:val="nil"/>
              <w:bottom w:val="single" w:color="auto" w:sz="4" w:space="0"/>
              <w:right w:val="single" w:color="auto" w:sz="4" w:space="0"/>
            </w:tcBorders>
            <w:vAlign w:val="center"/>
          </w:tcPr>
          <w:p w14:paraId="1341987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r>
      <w:tr w14:paraId="670EABA9">
        <w:tblPrEx>
          <w:tblCellMar>
            <w:top w:w="0" w:type="dxa"/>
            <w:left w:w="108" w:type="dxa"/>
            <w:bottom w:w="0" w:type="dxa"/>
            <w:right w:w="108" w:type="dxa"/>
          </w:tblCellMar>
        </w:tblPrEx>
        <w:trPr>
          <w:trHeight w:val="1216" w:hRule="atLeast"/>
          <w:jc w:val="right"/>
        </w:trPr>
        <w:tc>
          <w:tcPr>
            <w:tcW w:w="704" w:type="dxa"/>
            <w:tcBorders>
              <w:top w:val="single" w:color="auto" w:sz="4" w:space="0"/>
              <w:left w:val="single" w:color="auto" w:sz="4" w:space="0"/>
              <w:bottom w:val="single" w:color="auto" w:sz="4" w:space="0"/>
              <w:right w:val="single" w:color="auto" w:sz="4" w:space="0"/>
            </w:tcBorders>
            <w:vAlign w:val="center"/>
          </w:tcPr>
          <w:p w14:paraId="41220A3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8</w:t>
            </w:r>
          </w:p>
        </w:tc>
        <w:tc>
          <w:tcPr>
            <w:tcW w:w="3544" w:type="dxa"/>
            <w:tcBorders>
              <w:top w:val="single" w:color="auto" w:sz="4" w:space="0"/>
              <w:left w:val="single" w:color="auto" w:sz="4" w:space="0"/>
              <w:bottom w:val="single" w:color="auto" w:sz="4" w:space="0"/>
              <w:right w:val="single" w:color="auto" w:sz="4" w:space="0"/>
            </w:tcBorders>
            <w:vAlign w:val="center"/>
          </w:tcPr>
          <w:p w14:paraId="747C5B34">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安全设施及特种设备检测检验支出</w:t>
            </w:r>
          </w:p>
        </w:tc>
        <w:tc>
          <w:tcPr>
            <w:tcW w:w="4311" w:type="dxa"/>
            <w:tcBorders>
              <w:top w:val="single" w:color="auto" w:sz="4" w:space="0"/>
              <w:left w:val="single" w:color="auto" w:sz="4" w:space="0"/>
              <w:bottom w:val="single" w:color="auto" w:sz="4" w:space="0"/>
              <w:right w:val="single" w:color="auto" w:sz="4" w:space="0"/>
            </w:tcBorders>
            <w:vAlign w:val="center"/>
          </w:tcPr>
          <w:p w14:paraId="0ADBA83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single" w:color="auto" w:sz="4" w:space="0"/>
              <w:left w:val="single" w:color="auto" w:sz="4" w:space="0"/>
              <w:bottom w:val="single" w:color="auto" w:sz="4" w:space="0"/>
              <w:right w:val="single" w:color="auto" w:sz="4" w:space="0"/>
            </w:tcBorders>
            <w:vAlign w:val="center"/>
          </w:tcPr>
          <w:p w14:paraId="424A42F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single" w:color="auto" w:sz="4" w:space="0"/>
              <w:left w:val="single" w:color="auto" w:sz="4" w:space="0"/>
              <w:bottom w:val="single" w:color="auto" w:sz="4" w:space="0"/>
              <w:right w:val="single" w:color="auto" w:sz="4" w:space="0"/>
            </w:tcBorders>
            <w:vAlign w:val="center"/>
          </w:tcPr>
          <w:p w14:paraId="546FA5F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single" w:color="auto" w:sz="4" w:space="0"/>
              <w:left w:val="single" w:color="auto" w:sz="4" w:space="0"/>
              <w:bottom w:val="single" w:color="auto" w:sz="4" w:space="0"/>
              <w:right w:val="single" w:color="auto" w:sz="4" w:space="0"/>
            </w:tcBorders>
            <w:vAlign w:val="center"/>
          </w:tcPr>
          <w:p w14:paraId="61405EB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r>
      <w:tr w14:paraId="2EFE4FCB">
        <w:tblPrEx>
          <w:tblCellMar>
            <w:top w:w="0" w:type="dxa"/>
            <w:left w:w="108" w:type="dxa"/>
            <w:bottom w:w="0" w:type="dxa"/>
            <w:right w:w="108" w:type="dxa"/>
          </w:tblCellMar>
        </w:tblPrEx>
        <w:trPr>
          <w:trHeight w:val="587" w:hRule="atLeast"/>
          <w:jc w:val="right"/>
        </w:trPr>
        <w:tc>
          <w:tcPr>
            <w:tcW w:w="704" w:type="dxa"/>
            <w:tcBorders>
              <w:top w:val="single" w:color="auto" w:sz="4" w:space="0"/>
              <w:left w:val="single" w:color="auto" w:sz="4" w:space="0"/>
              <w:bottom w:val="single" w:color="auto" w:sz="4" w:space="0"/>
              <w:right w:val="single" w:color="auto" w:sz="4" w:space="0"/>
            </w:tcBorders>
            <w:vAlign w:val="center"/>
          </w:tcPr>
          <w:p w14:paraId="680972F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9</w:t>
            </w:r>
          </w:p>
        </w:tc>
        <w:tc>
          <w:tcPr>
            <w:tcW w:w="3544" w:type="dxa"/>
            <w:tcBorders>
              <w:top w:val="single" w:color="auto" w:sz="4" w:space="0"/>
              <w:left w:val="single" w:color="auto" w:sz="4" w:space="0"/>
              <w:bottom w:val="single" w:color="auto" w:sz="4" w:space="0"/>
              <w:right w:val="single" w:color="auto" w:sz="4" w:space="0"/>
            </w:tcBorders>
            <w:vAlign w:val="center"/>
          </w:tcPr>
          <w:p w14:paraId="4A4A54F3">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安全生产责任保险支出</w:t>
            </w:r>
          </w:p>
        </w:tc>
        <w:tc>
          <w:tcPr>
            <w:tcW w:w="4311" w:type="dxa"/>
            <w:tcBorders>
              <w:top w:val="single" w:color="auto" w:sz="4" w:space="0"/>
              <w:left w:val="single" w:color="auto" w:sz="4" w:space="0"/>
              <w:bottom w:val="single" w:color="auto" w:sz="4" w:space="0"/>
              <w:right w:val="single" w:color="auto" w:sz="4" w:space="0"/>
            </w:tcBorders>
            <w:vAlign w:val="center"/>
          </w:tcPr>
          <w:p w14:paraId="2BC77F3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single" w:color="auto" w:sz="4" w:space="0"/>
              <w:left w:val="single" w:color="auto" w:sz="4" w:space="0"/>
              <w:bottom w:val="single" w:color="auto" w:sz="4" w:space="0"/>
              <w:right w:val="single" w:color="auto" w:sz="4" w:space="0"/>
            </w:tcBorders>
            <w:vAlign w:val="center"/>
          </w:tcPr>
          <w:p w14:paraId="36700A1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single" w:color="auto" w:sz="4" w:space="0"/>
              <w:left w:val="single" w:color="auto" w:sz="4" w:space="0"/>
              <w:bottom w:val="single" w:color="auto" w:sz="4" w:space="0"/>
              <w:right w:val="single" w:color="auto" w:sz="4" w:space="0"/>
            </w:tcBorders>
            <w:vAlign w:val="center"/>
          </w:tcPr>
          <w:p w14:paraId="0716718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single" w:color="auto" w:sz="4" w:space="0"/>
              <w:left w:val="single" w:color="auto" w:sz="4" w:space="0"/>
              <w:bottom w:val="single" w:color="auto" w:sz="4" w:space="0"/>
              <w:right w:val="single" w:color="auto" w:sz="4" w:space="0"/>
            </w:tcBorders>
            <w:vAlign w:val="center"/>
          </w:tcPr>
          <w:p w14:paraId="100AB53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r>
      <w:tr w14:paraId="3AAA31ED">
        <w:tblPrEx>
          <w:tblCellMar>
            <w:top w:w="0" w:type="dxa"/>
            <w:left w:w="108" w:type="dxa"/>
            <w:bottom w:w="0" w:type="dxa"/>
            <w:right w:w="108" w:type="dxa"/>
          </w:tblCellMar>
        </w:tblPrEx>
        <w:trPr>
          <w:trHeight w:val="1216" w:hRule="atLeast"/>
          <w:jc w:val="right"/>
        </w:trPr>
        <w:tc>
          <w:tcPr>
            <w:tcW w:w="704" w:type="dxa"/>
            <w:tcBorders>
              <w:top w:val="single" w:color="auto" w:sz="4" w:space="0"/>
              <w:left w:val="single" w:color="auto" w:sz="4" w:space="0"/>
              <w:bottom w:val="single" w:color="auto" w:sz="4" w:space="0"/>
              <w:right w:val="single" w:color="auto" w:sz="4" w:space="0"/>
            </w:tcBorders>
            <w:vAlign w:val="center"/>
          </w:tcPr>
          <w:p w14:paraId="77320F1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10</w:t>
            </w:r>
          </w:p>
        </w:tc>
        <w:tc>
          <w:tcPr>
            <w:tcW w:w="3544" w:type="dxa"/>
            <w:tcBorders>
              <w:top w:val="single" w:color="auto" w:sz="4" w:space="0"/>
              <w:left w:val="single" w:color="auto" w:sz="4" w:space="0"/>
              <w:bottom w:val="single" w:color="auto" w:sz="4" w:space="0"/>
              <w:right w:val="single" w:color="auto" w:sz="4" w:space="0"/>
            </w:tcBorders>
            <w:vAlign w:val="center"/>
          </w:tcPr>
          <w:p w14:paraId="08BFC1E4">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法律法规及相关标准规定按安全文明施工费计取的其他项目</w:t>
            </w:r>
          </w:p>
        </w:tc>
        <w:tc>
          <w:tcPr>
            <w:tcW w:w="4311" w:type="dxa"/>
            <w:tcBorders>
              <w:top w:val="single" w:color="auto" w:sz="4" w:space="0"/>
              <w:left w:val="single" w:color="auto" w:sz="4" w:space="0"/>
              <w:bottom w:val="single" w:color="auto" w:sz="4" w:space="0"/>
              <w:right w:val="single" w:color="auto" w:sz="4" w:space="0"/>
            </w:tcBorders>
            <w:vAlign w:val="center"/>
          </w:tcPr>
          <w:p w14:paraId="709DA92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single" w:color="auto" w:sz="4" w:space="0"/>
              <w:left w:val="single" w:color="auto" w:sz="4" w:space="0"/>
              <w:bottom w:val="single" w:color="auto" w:sz="4" w:space="0"/>
              <w:right w:val="single" w:color="auto" w:sz="4" w:space="0"/>
            </w:tcBorders>
            <w:vAlign w:val="center"/>
          </w:tcPr>
          <w:p w14:paraId="3FD7465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single" w:color="auto" w:sz="4" w:space="0"/>
              <w:left w:val="single" w:color="auto" w:sz="4" w:space="0"/>
              <w:bottom w:val="single" w:color="auto" w:sz="4" w:space="0"/>
              <w:right w:val="single" w:color="auto" w:sz="4" w:space="0"/>
            </w:tcBorders>
            <w:vAlign w:val="center"/>
          </w:tcPr>
          <w:p w14:paraId="7196BAA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single" w:color="auto" w:sz="4" w:space="0"/>
              <w:left w:val="single" w:color="auto" w:sz="4" w:space="0"/>
              <w:bottom w:val="single" w:color="auto" w:sz="4" w:space="0"/>
              <w:right w:val="single" w:color="auto" w:sz="4" w:space="0"/>
            </w:tcBorders>
            <w:vAlign w:val="center"/>
          </w:tcPr>
          <w:p w14:paraId="3161966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r>
      <w:tr w14:paraId="2F82F6A6">
        <w:tblPrEx>
          <w:tblCellMar>
            <w:top w:w="0" w:type="dxa"/>
            <w:left w:w="108" w:type="dxa"/>
            <w:bottom w:w="0" w:type="dxa"/>
            <w:right w:w="108" w:type="dxa"/>
          </w:tblCellMar>
        </w:tblPrEx>
        <w:trPr>
          <w:trHeight w:val="1216" w:hRule="atLeast"/>
          <w:jc w:val="right"/>
        </w:trPr>
        <w:tc>
          <w:tcPr>
            <w:tcW w:w="704" w:type="dxa"/>
            <w:tcBorders>
              <w:top w:val="single" w:color="auto" w:sz="4" w:space="0"/>
              <w:left w:val="single" w:color="auto" w:sz="4" w:space="0"/>
              <w:bottom w:val="single" w:color="auto" w:sz="4" w:space="0"/>
              <w:right w:val="single" w:color="auto" w:sz="4" w:space="0"/>
            </w:tcBorders>
            <w:vAlign w:val="center"/>
          </w:tcPr>
          <w:p w14:paraId="1DDFA57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11</w:t>
            </w:r>
          </w:p>
        </w:tc>
        <w:tc>
          <w:tcPr>
            <w:tcW w:w="3544" w:type="dxa"/>
            <w:tcBorders>
              <w:top w:val="single" w:color="auto" w:sz="4" w:space="0"/>
              <w:left w:val="single" w:color="auto" w:sz="4" w:space="0"/>
              <w:bottom w:val="single" w:color="auto" w:sz="4" w:space="0"/>
              <w:right w:val="single" w:color="auto" w:sz="4" w:space="0"/>
            </w:tcBorders>
            <w:vAlign w:val="center"/>
          </w:tcPr>
          <w:p w14:paraId="5B849BEF">
            <w:pPr>
              <w:keepNext w:val="0"/>
              <w:keepLines w:val="0"/>
              <w:widowControl/>
              <w:suppressLineNumbers w:val="0"/>
              <w:spacing w:before="0" w:beforeAutospacing="0" w:after="0" w:afterAutospacing="0"/>
              <w:ind w:left="0" w:right="0"/>
              <w:rPr>
                <w:rFonts w:hint="default" w:ascii="宋体" w:hAnsi="宋体" w:eastAsia="宋体" w:cs="宋体"/>
                <w:color w:val="auto"/>
                <w:kern w:val="0"/>
                <w:highlight w:val="none"/>
              </w:rPr>
            </w:pPr>
            <w:r>
              <w:rPr>
                <w:rFonts w:hint="eastAsia" w:ascii="宋体" w:hAnsi="宋体" w:eastAsia="宋体" w:cs="宋体"/>
                <w:color w:val="auto"/>
                <w:kern w:val="0"/>
                <w:highlight w:val="none"/>
              </w:rPr>
              <w:t>其他与绿色施工、文明施工、环境保护及安全生产直接相关的支出</w:t>
            </w:r>
          </w:p>
        </w:tc>
        <w:tc>
          <w:tcPr>
            <w:tcW w:w="4311" w:type="dxa"/>
            <w:tcBorders>
              <w:top w:val="single" w:color="auto" w:sz="4" w:space="0"/>
              <w:left w:val="single" w:color="auto" w:sz="4" w:space="0"/>
              <w:bottom w:val="single" w:color="auto" w:sz="4" w:space="0"/>
              <w:right w:val="single" w:color="auto" w:sz="4" w:space="0"/>
            </w:tcBorders>
            <w:vAlign w:val="center"/>
          </w:tcPr>
          <w:p w14:paraId="7C3BF08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985" w:type="dxa"/>
            <w:tcBorders>
              <w:top w:val="single" w:color="auto" w:sz="4" w:space="0"/>
              <w:left w:val="single" w:color="auto" w:sz="4" w:space="0"/>
              <w:bottom w:val="single" w:color="auto" w:sz="4" w:space="0"/>
              <w:right w:val="single" w:color="auto" w:sz="4" w:space="0"/>
            </w:tcBorders>
            <w:vAlign w:val="center"/>
          </w:tcPr>
          <w:p w14:paraId="5EF4F5A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701" w:type="dxa"/>
            <w:tcBorders>
              <w:top w:val="single" w:color="auto" w:sz="4" w:space="0"/>
              <w:left w:val="single" w:color="auto" w:sz="4" w:space="0"/>
              <w:bottom w:val="single" w:color="auto" w:sz="4" w:space="0"/>
              <w:right w:val="single" w:color="auto" w:sz="4" w:space="0"/>
            </w:tcBorders>
            <w:vAlign w:val="center"/>
          </w:tcPr>
          <w:p w14:paraId="7D29594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c>
          <w:tcPr>
            <w:tcW w:w="1445" w:type="dxa"/>
            <w:tcBorders>
              <w:top w:val="single" w:color="auto" w:sz="4" w:space="0"/>
              <w:left w:val="single" w:color="auto" w:sz="4" w:space="0"/>
              <w:bottom w:val="single" w:color="auto" w:sz="4" w:space="0"/>
              <w:right w:val="single" w:color="auto" w:sz="4" w:space="0"/>
            </w:tcBorders>
            <w:vAlign w:val="center"/>
          </w:tcPr>
          <w:p w14:paraId="76503A1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　</w:t>
            </w:r>
          </w:p>
        </w:tc>
      </w:tr>
      <w:tr w14:paraId="18BE2932">
        <w:tblPrEx>
          <w:tblCellMar>
            <w:top w:w="0" w:type="dxa"/>
            <w:left w:w="108" w:type="dxa"/>
            <w:bottom w:w="0" w:type="dxa"/>
            <w:right w:w="108" w:type="dxa"/>
          </w:tblCellMar>
        </w:tblPrEx>
        <w:trPr>
          <w:trHeight w:val="527" w:hRule="atLeast"/>
          <w:jc w:val="right"/>
        </w:trPr>
        <w:tc>
          <w:tcPr>
            <w:tcW w:w="8559" w:type="dxa"/>
            <w:gridSpan w:val="3"/>
            <w:tcBorders>
              <w:top w:val="single" w:color="auto" w:sz="4" w:space="0"/>
              <w:left w:val="single" w:color="auto" w:sz="4" w:space="0"/>
              <w:bottom w:val="single" w:color="auto" w:sz="4" w:space="0"/>
              <w:right w:val="single" w:color="auto" w:sz="4" w:space="0"/>
            </w:tcBorders>
            <w:vAlign w:val="center"/>
          </w:tcPr>
          <w:p w14:paraId="2FD03F0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r>
              <w:rPr>
                <w:rFonts w:hint="eastAsia" w:ascii="宋体" w:hAnsi="宋体" w:eastAsia="宋体" w:cs="宋体"/>
                <w:color w:val="auto"/>
                <w:kern w:val="0"/>
                <w:highlight w:val="none"/>
              </w:rPr>
              <w:t>合计</w:t>
            </w:r>
          </w:p>
        </w:tc>
        <w:tc>
          <w:tcPr>
            <w:tcW w:w="1985" w:type="dxa"/>
            <w:tcBorders>
              <w:top w:val="single" w:color="auto" w:sz="4" w:space="0"/>
              <w:left w:val="single" w:color="auto" w:sz="4" w:space="0"/>
              <w:bottom w:val="single" w:color="auto" w:sz="4" w:space="0"/>
              <w:right w:val="single" w:color="auto" w:sz="4" w:space="0"/>
            </w:tcBorders>
            <w:vAlign w:val="center"/>
          </w:tcPr>
          <w:p w14:paraId="1822FE7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F1CEF6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0C35CE2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highlight w:val="none"/>
              </w:rPr>
            </w:pPr>
          </w:p>
        </w:tc>
      </w:tr>
    </w:tbl>
    <w:p w14:paraId="18241D12">
      <w:pPr>
        <w:ind w:firstLine="1260" w:firstLineChars="600"/>
        <w:rPr>
          <w:rFonts w:ascii="宋体" w:hAnsi="宋体" w:eastAsia="宋体" w:cs="宋体"/>
          <w:color w:val="auto"/>
          <w:highlight w:val="none"/>
        </w:rPr>
      </w:pPr>
      <w:r>
        <w:rPr>
          <w:rFonts w:hint="eastAsia" w:ascii="宋体" w:hAnsi="宋体" w:eastAsia="宋体" w:cs="宋体"/>
          <w:color w:val="auto"/>
          <w:highlight w:val="none"/>
        </w:rPr>
        <w:t>制表：                  安全经理：                        安全监理：                        总监（安全副总监）：</w:t>
      </w:r>
    </w:p>
    <w:p w14:paraId="6B5CB7F0">
      <w:pPr>
        <w:ind w:left="2310" w:leftChars="600" w:hanging="1050" w:hangingChars="500"/>
        <w:rPr>
          <w:rFonts w:ascii="宋体" w:hAnsi="宋体" w:eastAsia="宋体" w:cs="宋体"/>
          <w:color w:val="auto"/>
          <w:highlight w:val="none"/>
        </w:rPr>
      </w:pPr>
      <w:r>
        <w:rPr>
          <w:rFonts w:hint="eastAsia" w:ascii="宋体" w:hAnsi="宋体" w:eastAsia="宋体" w:cs="宋体"/>
          <w:color w:val="auto"/>
          <w:highlight w:val="none"/>
        </w:rPr>
        <w:t>填表说明：施工单位在提交本审查表时，请附具“安全投入工程量现场确认单”等当期所完成的安全生产措施项目清单，及必要的证明文件。该部分内容由安全监理审核。</w:t>
      </w:r>
    </w:p>
    <w:p w14:paraId="3DAF2CF7">
      <w:pPr>
        <w:rPr>
          <w:rFonts w:ascii="宋体" w:hAnsi="宋体" w:eastAsia="宋体" w:cs="宋体"/>
          <w:color w:val="auto"/>
          <w:highlight w:val="none"/>
        </w:rPr>
      </w:pPr>
    </w:p>
    <w:p w14:paraId="6AE9C854">
      <w:pPr>
        <w:pStyle w:val="6"/>
        <w:ind w:firstLine="0" w:firstLineChars="0"/>
        <w:rPr>
          <w:color w:val="auto"/>
          <w:highlight w:val="none"/>
        </w:rPr>
      </w:pPr>
    </w:p>
    <w:sectPr>
      <w:pgSz w:w="16840" w:h="11920" w:orient="landscape"/>
      <w:pgMar w:top="880" w:right="1560" w:bottom="880" w:left="2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Segoe UI Historic">
    <w:panose1 w:val="020B0502040204020203"/>
    <w:charset w:val="00"/>
    <w:family w:val="auto"/>
    <w:pitch w:val="default"/>
    <w:sig w:usb0="800001EF" w:usb1="02000002" w:usb2="0060C080" w:usb3="00000002" w:csb0="00000001" w:csb1="40000000"/>
  </w:font>
  <w:font w:name="SMAKIQ+å®ä½">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KSOFBE25B2F9">
    <w:panose1 w:val="02000000000000000000"/>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1981">
    <w:pPr>
      <w:pStyle w:val="29"/>
      <w:jc w:val="center"/>
    </w:pPr>
  </w:p>
  <w:p w14:paraId="0739D9F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B1C7C">
    <w:pPr>
      <w:pStyle w:val="29"/>
      <w:framePr w:wrap="around" w:vAnchor="text" w:hAnchor="margin" w:xAlign="center" w:y="1"/>
    </w:pPr>
    <w:r>
      <w:fldChar w:fldCharType="begin"/>
    </w:r>
    <w:r>
      <w:rPr>
        <w:rStyle w:val="49"/>
      </w:rPr>
      <w:instrText xml:space="preserve">PAGE  </w:instrText>
    </w:r>
    <w:r>
      <w:fldChar w:fldCharType="separate"/>
    </w:r>
    <w:r>
      <w:rPr>
        <w:rStyle w:val="49"/>
      </w:rPr>
      <w:t>1</w:t>
    </w:r>
    <w:r>
      <w:fldChar w:fldCharType="end"/>
    </w:r>
  </w:p>
  <w:p w14:paraId="4015AF20">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7853">
    <w:pPr>
      <w:pStyle w:val="2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406400" cy="131445"/>
              <wp:effectExtent l="0" t="0" r="0" b="0"/>
              <wp:wrapNone/>
              <wp:docPr id="4097" name="000274"/>
              <wp:cNvGraphicFramePr/>
              <a:graphic xmlns:a="http://schemas.openxmlformats.org/drawingml/2006/main">
                <a:graphicData uri="http://schemas.microsoft.com/office/word/2010/wordprocessingShape">
                  <wps:wsp>
                    <wps:cNvSpPr/>
                    <wps:spPr>
                      <a:xfrm>
                        <a:off x="0" y="0"/>
                        <a:ext cx="406400" cy="131445"/>
                      </a:xfrm>
                      <a:prstGeom prst="rect">
                        <a:avLst/>
                      </a:prstGeom>
                      <a:ln>
                        <a:noFill/>
                      </a:ln>
                    </wps:spPr>
                    <wps:txbx>
                      <w:txbxContent>
                        <w:p w14:paraId="3D62C75A">
                          <w:pPr>
                            <w:pStyle w:val="29"/>
                          </w:pPr>
                          <w:r>
                            <w:fldChar w:fldCharType="begin"/>
                          </w:r>
                          <w:r>
                            <w:instrText xml:space="preserve"> PAGE  \* MERGEFORMAT </w:instrText>
                          </w:r>
                          <w:r>
                            <w:fldChar w:fldCharType="separate"/>
                          </w:r>
                          <w:r>
                            <w:t>- 3 -</w:t>
                          </w:r>
                          <w:r>
                            <w:fldChar w:fldCharType="end"/>
                          </w:r>
                        </w:p>
                      </w:txbxContent>
                    </wps:txbx>
                    <wps:bodyPr wrap="square" lIns="0" tIns="0" rIns="0" bIns="0"/>
                  </wps:wsp>
                </a:graphicData>
              </a:graphic>
            </wp:anchor>
          </w:drawing>
        </mc:Choice>
        <mc:Fallback>
          <w:pict>
            <v:rect id="000274" o:spid="_x0000_s1026" o:spt="1" style="position:absolute;left:0pt;margin-top:0pt;height:10.35pt;width:32pt;mso-position-horizontal:center;mso-position-horizontal-relative:margin;z-index:251659264;mso-width-relative:page;mso-height-relative:page;" filled="f" stroked="f" coordsize="21600,21600" o:gfxdata="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7sOC29UAAAADAQAADwAAAAAA&#10;AAABACAAAAAiAAAAZHJzL2Rvd25yZXYueG1sUEsBAhQAFAAAAAgAh07iQEIcQcWkAQAAXAMAAA4A&#10;AAAAAAAAAQAgAAAAJAEAAGRycy9lMm9Eb2MueG1sUEsFBgAAAAAGAAYAWQEAADoFAAAAAA==&#10;">
              <v:fill on="f" focussize="0,0"/>
              <v:stroke on="f"/>
              <v:imagedata o:title=""/>
              <o:lock v:ext="edit" aspectratio="f"/>
              <v:textbox inset="0mm,0mm,0mm,0mm">
                <w:txbxContent>
                  <w:p w14:paraId="3D62C75A">
                    <w:pPr>
                      <w:pStyle w:val="29"/>
                    </w:pPr>
                    <w:r>
                      <w:fldChar w:fldCharType="begin"/>
                    </w:r>
                    <w:r>
                      <w:instrText xml:space="preserve"> PAGE  \* MERGEFORMAT </w:instrText>
                    </w:r>
                    <w:r>
                      <w:fldChar w:fldCharType="separate"/>
                    </w:r>
                    <w:r>
                      <w:t>- 3 -</w:t>
                    </w:r>
                    <w:r>
                      <w:fldChar w:fldCharType="end"/>
                    </w:r>
                  </w:p>
                </w:txbxContent>
              </v:textbox>
            </v:rect>
          </w:pict>
        </mc:Fallback>
      </mc:AlternateContent>
    </w:r>
  </w:p>
  <w:p w14:paraId="1AFB44D0">
    <w:pPr>
      <w:pStyle w:val="29"/>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D4AB0">
    <w:pPr>
      <w:pStyle w:val="2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00027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09756E">
                          <w:pPr>
                            <w:pStyle w:val="29"/>
                          </w:pPr>
                          <w:r>
                            <w:fldChar w:fldCharType="begin"/>
                          </w:r>
                          <w:r>
                            <w:instrText xml:space="preserve"> PAGE  \* MERGEFORMAT </w:instrText>
                          </w:r>
                          <w:r>
                            <w:fldChar w:fldCharType="separate"/>
                          </w:r>
                          <w:r>
                            <w:t>- 2 -</w:t>
                          </w:r>
                          <w:r>
                            <w:fldChar w:fldCharType="end"/>
                          </w:r>
                        </w:p>
                      </w:txbxContent>
                    </wps:txbx>
                    <wps:bodyPr wrap="none" lIns="0" tIns="0" rIns="0" bIns="0"/>
                  </wps:wsp>
                </a:graphicData>
              </a:graphic>
            </wp:anchor>
          </w:drawing>
        </mc:Choice>
        <mc:Fallback>
          <w:pict>
            <v:rect id="00027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F1pNZ0gAAAAUBAAAPAAAAAAAAAAEAIAAA&#10;ACIAAABkcnMvZG93bnJldi54bWxQSwECFAAUAAAACACHTuJAVTbe4aABAABcAwAADgAAAAAAAAAB&#10;ACAAAAAhAQAAZHJzL2Uyb0RvYy54bWxQSwUGAAAAAAYABgBZAQAAMwUAAAAA&#10;">
              <v:fill on="f" focussize="0,0"/>
              <v:stroke on="f"/>
              <v:imagedata o:title=""/>
              <o:lock v:ext="edit" aspectratio="f"/>
              <v:textbox inset="0mm,0mm,0mm,0mm">
                <w:txbxContent>
                  <w:p w14:paraId="3A09756E">
                    <w:pPr>
                      <w:pStyle w:val="29"/>
                    </w:pPr>
                    <w:r>
                      <w:fldChar w:fldCharType="begin"/>
                    </w:r>
                    <w:r>
                      <w:instrText xml:space="preserve"> PAGE  \* MERGEFORMAT </w:instrText>
                    </w:r>
                    <w:r>
                      <w:fldChar w:fldCharType="separate"/>
                    </w:r>
                    <w:r>
                      <w:t>- 2 -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B343">
    <w:pPr>
      <w:tabs>
        <w:tab w:val="left" w:pos="14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ind w:left="481" w:firstLine="0"/>
      </w:pPr>
    </w:lvl>
  </w:abstractNum>
  <w:abstractNum w:abstractNumId="1">
    <w:nsid w:val="00000001"/>
    <w:multiLevelType w:val="multilevel"/>
    <w:tmpl w:val="00000001"/>
    <w:lvl w:ilvl="0" w:tentative="0">
      <w:start w:val="25"/>
      <w:numFmt w:val="decimal"/>
      <w:pStyle w:val="132"/>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2">
    <w:nsid w:val="00000002"/>
    <w:multiLevelType w:val="multilevel"/>
    <w:tmpl w:val="00000002"/>
    <w:lvl w:ilvl="0" w:tentative="0">
      <w:start w:val="1"/>
      <w:numFmt w:val="decimal"/>
      <w:lvlText w:val="（%1）"/>
      <w:lvlJc w:val="left"/>
      <w:pPr>
        <w:tabs>
          <w:tab w:val="left" w:pos="1301"/>
        </w:tabs>
        <w:ind w:left="1301" w:hanging="720"/>
      </w:pPr>
      <w:rPr>
        <w:rFonts w:hint="default" w:ascii="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_x0002_.%3._x0004_%2%4"/>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z w:val="28"/>
      </w:rPr>
    </w:lvl>
    <w:lvl w:ilvl="5" w:tentative="0">
      <w:start w:val="1"/>
      <w:numFmt w:val="decimal"/>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00000004"/>
    <w:multiLevelType w:val="multilevel"/>
    <w:tmpl w:val="00000004"/>
    <w:lvl w:ilvl="0" w:tentative="0">
      <w:start w:val="1"/>
      <w:numFmt w:val="decimalEnclosedCircle"/>
      <w:lvlText w:val="%1"/>
      <w:lvlJc w:val="left"/>
      <w:pPr>
        <w:ind w:left="780" w:hanging="360"/>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5"/>
    <w:multiLevelType w:val="multilevel"/>
    <w:tmpl w:val="00000005"/>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6"/>
    <w:multiLevelType w:val="multilevel"/>
    <w:tmpl w:val="00000006"/>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7"/>
    <w:multiLevelType w:val="multilevel"/>
    <w:tmpl w:val="00000007"/>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08"/>
    <w:multiLevelType w:val="multilevel"/>
    <w:tmpl w:val="0000000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09"/>
    <w:multiLevelType w:val="multilevel"/>
    <w:tmpl w:val="00000009"/>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0A"/>
    <w:multiLevelType w:val="multilevel"/>
    <w:tmpl w:val="0000000A"/>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000000B"/>
    <w:multiLevelType w:val="multilevel"/>
    <w:tmpl w:val="0000000B"/>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000000C"/>
    <w:multiLevelType w:val="multilevel"/>
    <w:tmpl w:val="0000000C"/>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00000D"/>
    <w:multiLevelType w:val="singleLevel"/>
    <w:tmpl w:val="0000000D"/>
    <w:lvl w:ilvl="0" w:tentative="0">
      <w:start w:val="2"/>
      <w:numFmt w:val="decimal"/>
      <w:suff w:val="nothing"/>
      <w:lvlText w:val="%1、"/>
      <w:lvlJc w:val="left"/>
    </w:lvl>
  </w:abstractNum>
  <w:abstractNum w:abstractNumId="14">
    <w:nsid w:val="0000000E"/>
    <w:multiLevelType w:val="multilevel"/>
    <w:tmpl w:val="000000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0000000F"/>
    <w:multiLevelType w:val="multilevel"/>
    <w:tmpl w:val="0000000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00000011"/>
    <w:multiLevelType w:val="multilevel"/>
    <w:tmpl w:val="0000001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00000012"/>
    <w:multiLevelType w:val="multilevel"/>
    <w:tmpl w:val="00000012"/>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00000013"/>
    <w:multiLevelType w:val="multilevel"/>
    <w:tmpl w:val="00000013"/>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00000014"/>
    <w:multiLevelType w:val="multilevel"/>
    <w:tmpl w:val="00000014"/>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00000015"/>
    <w:multiLevelType w:val="singleLevel"/>
    <w:tmpl w:val="00000015"/>
    <w:lvl w:ilvl="0" w:tentative="0">
      <w:start w:val="10"/>
      <w:numFmt w:val="chineseCounting"/>
      <w:suff w:val="nothing"/>
      <w:lvlText w:val="%1、"/>
      <w:lvlJc w:val="left"/>
    </w:lvl>
  </w:abstractNum>
  <w:abstractNum w:abstractNumId="21">
    <w:nsid w:val="00000016"/>
    <w:multiLevelType w:val="multilevel"/>
    <w:tmpl w:val="00000016"/>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00000017"/>
    <w:multiLevelType w:val="multilevel"/>
    <w:tmpl w:val="00000017"/>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00000018"/>
    <w:multiLevelType w:val="multilevel"/>
    <w:tmpl w:val="00000018"/>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00000019"/>
    <w:multiLevelType w:val="singleLevel"/>
    <w:tmpl w:val="00000019"/>
    <w:lvl w:ilvl="0" w:tentative="0">
      <w:start w:val="4"/>
      <w:numFmt w:val="decimal"/>
      <w:suff w:val="nothing"/>
      <w:lvlText w:val="%1、"/>
      <w:lvlJc w:val="left"/>
    </w:lvl>
  </w:abstractNum>
  <w:abstractNum w:abstractNumId="25">
    <w:nsid w:val="0000001A"/>
    <w:multiLevelType w:val="multilevel"/>
    <w:tmpl w:val="0000001A"/>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0000001B"/>
    <w:multiLevelType w:val="multilevel"/>
    <w:tmpl w:val="0000001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0000001C"/>
    <w:multiLevelType w:val="multilevel"/>
    <w:tmpl w:val="0000001C"/>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8">
    <w:nsid w:val="0000001D"/>
    <w:multiLevelType w:val="multilevel"/>
    <w:tmpl w:val="0000001D"/>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0000001E"/>
    <w:multiLevelType w:val="multilevel"/>
    <w:tmpl w:val="0000001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0000001F"/>
    <w:multiLevelType w:val="multilevel"/>
    <w:tmpl w:val="0000001F"/>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00000020"/>
    <w:multiLevelType w:val="multilevel"/>
    <w:tmpl w:val="00000020"/>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2">
    <w:nsid w:val="00000021"/>
    <w:multiLevelType w:val="singleLevel"/>
    <w:tmpl w:val="00000021"/>
    <w:lvl w:ilvl="0" w:tentative="0">
      <w:start w:val="1"/>
      <w:numFmt w:val="decimal"/>
      <w:suff w:val="nothing"/>
      <w:lvlText w:val="%1、"/>
      <w:lvlJc w:val="left"/>
    </w:lvl>
  </w:abstractNum>
  <w:abstractNum w:abstractNumId="33">
    <w:nsid w:val="00000022"/>
    <w:multiLevelType w:val="multilevel"/>
    <w:tmpl w:val="00000022"/>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13"/>
  </w:num>
  <w:num w:numId="4">
    <w:abstractNumId w:val="2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
  </w:num>
  <w:num w:numId="31">
    <w:abstractNumId w:val="4"/>
  </w:num>
  <w:num w:numId="32">
    <w:abstractNumId w:val="24"/>
  </w:num>
  <w:num w:numId="33">
    <w:abstractNumId w:val="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trackRevisions w:val="1"/>
  <w:documentProtection w:enforcement="0"/>
  <w:defaultTabStop w:val="720"/>
  <w:drawingGridHorizontalSpacing w:val="105"/>
  <w:drawingGridVerticalSpacing w:val="156"/>
  <w:displayHorizontalDrawingGridEvery w:val="1"/>
  <w:displayVerticalDrawingGridEvery w:val="1"/>
  <w:doNotShadeFormData w:val="1"/>
  <w:noPunctuationKerning w:val="1"/>
  <w:characterSpacingControl w:val="doNotCompress"/>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NTljNmZmNWIwMTllNTJmZmMzNTg2M2ZmZTVhMWEifQ=="/>
  </w:docVars>
  <w:rsids>
    <w:rsidRoot w:val="00000000"/>
    <w:rsid w:val="020C2B67"/>
    <w:rsid w:val="039B791C"/>
    <w:rsid w:val="041B4730"/>
    <w:rsid w:val="085F071F"/>
    <w:rsid w:val="0BB12978"/>
    <w:rsid w:val="0E711752"/>
    <w:rsid w:val="1060012B"/>
    <w:rsid w:val="12986424"/>
    <w:rsid w:val="12F40BBD"/>
    <w:rsid w:val="14941384"/>
    <w:rsid w:val="17ED5188"/>
    <w:rsid w:val="19132CF7"/>
    <w:rsid w:val="194D2A26"/>
    <w:rsid w:val="19BE6937"/>
    <w:rsid w:val="1E9F4BDB"/>
    <w:rsid w:val="1FB42D86"/>
    <w:rsid w:val="20FF7332"/>
    <w:rsid w:val="23316FD0"/>
    <w:rsid w:val="24FF70E9"/>
    <w:rsid w:val="25B30B82"/>
    <w:rsid w:val="27DC3946"/>
    <w:rsid w:val="2A257E60"/>
    <w:rsid w:val="2B230073"/>
    <w:rsid w:val="2BAC2118"/>
    <w:rsid w:val="2E6D7F83"/>
    <w:rsid w:val="2F5705C4"/>
    <w:rsid w:val="32E86445"/>
    <w:rsid w:val="34640306"/>
    <w:rsid w:val="357524AF"/>
    <w:rsid w:val="3699519F"/>
    <w:rsid w:val="39D3650A"/>
    <w:rsid w:val="3A43784C"/>
    <w:rsid w:val="3A937440"/>
    <w:rsid w:val="3BE64680"/>
    <w:rsid w:val="3CE6489E"/>
    <w:rsid w:val="3E777221"/>
    <w:rsid w:val="40B8783E"/>
    <w:rsid w:val="40F923BC"/>
    <w:rsid w:val="41BD4425"/>
    <w:rsid w:val="46AC47D5"/>
    <w:rsid w:val="492F5513"/>
    <w:rsid w:val="4B83046D"/>
    <w:rsid w:val="4DB0533F"/>
    <w:rsid w:val="4DF660C3"/>
    <w:rsid w:val="4F3178D8"/>
    <w:rsid w:val="50372E05"/>
    <w:rsid w:val="53717B52"/>
    <w:rsid w:val="541C10C9"/>
    <w:rsid w:val="546700C1"/>
    <w:rsid w:val="547F4FD0"/>
    <w:rsid w:val="55575999"/>
    <w:rsid w:val="56DB4737"/>
    <w:rsid w:val="592665D1"/>
    <w:rsid w:val="60025ECE"/>
    <w:rsid w:val="62360A39"/>
    <w:rsid w:val="66FB4226"/>
    <w:rsid w:val="6790153F"/>
    <w:rsid w:val="6D320FF1"/>
    <w:rsid w:val="6DF95D01"/>
    <w:rsid w:val="6E517CCA"/>
    <w:rsid w:val="709D754D"/>
    <w:rsid w:val="717E67AC"/>
    <w:rsid w:val="72DF6D51"/>
    <w:rsid w:val="74C043BE"/>
    <w:rsid w:val="75A44ED9"/>
    <w:rsid w:val="76974B9D"/>
    <w:rsid w:val="77BD19DE"/>
    <w:rsid w:val="7841103A"/>
    <w:rsid w:val="7C983453"/>
    <w:rsid w:val="7D7E5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link w:val="5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8"/>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9"/>
    <w:qFormat/>
    <w:uiPriority w:val="99"/>
    <w:pPr>
      <w:keepNext/>
      <w:keepLines/>
      <w:spacing w:before="260" w:after="260" w:line="416" w:lineRule="auto"/>
      <w:outlineLvl w:val="2"/>
    </w:pPr>
    <w:rPr>
      <w:b/>
      <w:bCs/>
      <w:sz w:val="32"/>
      <w:szCs w:val="32"/>
    </w:rPr>
  </w:style>
  <w:style w:type="paragraph" w:styleId="5">
    <w:name w:val="heading 4"/>
    <w:basedOn w:val="4"/>
    <w:next w:val="6"/>
    <w:link w:val="60"/>
    <w:qFormat/>
    <w:uiPriority w:val="99"/>
    <w:pPr>
      <w:keepNext w:val="0"/>
      <w:keepLines w:val="0"/>
      <w:numPr>
        <w:ilvl w:val="3"/>
        <w:numId w:val="1"/>
      </w:numPr>
      <w:tabs>
        <w:tab w:val="left" w:pos="900"/>
        <w:tab w:val="left" w:pos="1080"/>
      </w:tabs>
      <w:spacing w:before="156" w:beforeLines="50" w:after="156" w:afterLines="50" w:line="360" w:lineRule="auto"/>
      <w:ind w:firstLine="200" w:firstLineChars="200"/>
      <w:jc w:val="center"/>
      <w:outlineLvl w:val="3"/>
    </w:pPr>
    <w:rPr>
      <w:rFonts w:ascii="Arial" w:hAnsi="Arial" w:eastAsia="黑体"/>
      <w:sz w:val="24"/>
      <w:szCs w:val="24"/>
    </w:rPr>
  </w:style>
  <w:style w:type="paragraph" w:styleId="8">
    <w:name w:val="heading 5"/>
    <w:basedOn w:val="5"/>
    <w:next w:val="6"/>
    <w:link w:val="61"/>
    <w:qFormat/>
    <w:uiPriority w:val="99"/>
    <w:pPr>
      <w:numPr>
        <w:ilvl w:val="4"/>
        <w:numId w:val="0"/>
      </w:numPr>
      <w:spacing w:line="240" w:lineRule="exact"/>
      <w:outlineLvl w:val="4"/>
    </w:pPr>
  </w:style>
  <w:style w:type="paragraph" w:styleId="9">
    <w:name w:val="heading 6"/>
    <w:basedOn w:val="1"/>
    <w:next w:val="1"/>
    <w:link w:val="62"/>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lang w:eastAsia="en-US"/>
    </w:rPr>
  </w:style>
  <w:style w:type="paragraph" w:styleId="10">
    <w:name w:val="heading 7"/>
    <w:basedOn w:val="1"/>
    <w:next w:val="6"/>
    <w:link w:val="63"/>
    <w:qFormat/>
    <w:uiPriority w:val="99"/>
    <w:pPr>
      <w:keepNext/>
      <w:keepLines/>
      <w:numPr>
        <w:ilvl w:val="6"/>
        <w:numId w:val="1"/>
      </w:numPr>
      <w:spacing w:before="240" w:after="64" w:line="320" w:lineRule="auto"/>
      <w:outlineLvl w:val="6"/>
    </w:pPr>
    <w:rPr>
      <w:b/>
      <w:sz w:val="24"/>
      <w:szCs w:val="20"/>
    </w:rPr>
  </w:style>
  <w:style w:type="paragraph" w:styleId="11">
    <w:name w:val="heading 8"/>
    <w:basedOn w:val="1"/>
    <w:next w:val="6"/>
    <w:link w:val="64"/>
    <w:qFormat/>
    <w:uiPriority w:val="99"/>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6"/>
    <w:link w:val="65"/>
    <w:qFormat/>
    <w:uiPriority w:val="99"/>
    <w:pPr>
      <w:keepNext/>
      <w:keepLines/>
      <w:numPr>
        <w:ilvl w:val="8"/>
        <w:numId w:val="1"/>
      </w:numPr>
      <w:spacing w:before="240" w:after="64" w:line="320" w:lineRule="auto"/>
      <w:outlineLvl w:val="8"/>
    </w:pPr>
    <w:rPr>
      <w:rFonts w:ascii="Arial" w:hAnsi="Arial" w:eastAsia="黑体"/>
      <w:szCs w:val="20"/>
    </w:rPr>
  </w:style>
  <w:style w:type="character" w:default="1" w:styleId="47">
    <w:name w:val="Default Paragraph Font"/>
    <w:qFormat/>
    <w:uiPriority w:val="1"/>
  </w:style>
  <w:style w:type="table" w:default="1" w:styleId="45">
    <w:name w:val="Normal Table"/>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styleId="7">
    <w:name w:val="toc 4"/>
    <w:basedOn w:val="1"/>
    <w:next w:val="1"/>
    <w:qFormat/>
    <w:uiPriority w:val="39"/>
    <w:pPr>
      <w:ind w:left="630"/>
      <w:jc w:val="left"/>
    </w:pPr>
    <w:rPr>
      <w:rFonts w:ascii="Calibri" w:hAnsi="Calibri" w:cs="Calibri"/>
      <w:sz w:val="18"/>
      <w:szCs w:val="18"/>
    </w:r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List Bullet"/>
    <w:basedOn w:val="1"/>
    <w:qFormat/>
    <w:uiPriority w:val="99"/>
    <w:pPr>
      <w:tabs>
        <w:tab w:val="left" w:pos="360"/>
      </w:tabs>
      <w:ind w:left="360" w:hanging="360"/>
    </w:pPr>
    <w:rPr>
      <w:kern w:val="0"/>
      <w:sz w:val="24"/>
      <w:lang w:eastAsia="en-US"/>
    </w:rPr>
  </w:style>
  <w:style w:type="paragraph" w:styleId="15">
    <w:name w:val="Document Map"/>
    <w:basedOn w:val="1"/>
    <w:link w:val="66"/>
    <w:qFormat/>
    <w:uiPriority w:val="99"/>
    <w:pPr>
      <w:shd w:val="clear" w:color="auto" w:fill="000080"/>
    </w:pPr>
  </w:style>
  <w:style w:type="paragraph" w:styleId="16">
    <w:name w:val="annotation text"/>
    <w:basedOn w:val="1"/>
    <w:next w:val="17"/>
    <w:link w:val="67"/>
    <w:qFormat/>
    <w:uiPriority w:val="99"/>
    <w:pPr>
      <w:jc w:val="left"/>
    </w:pPr>
  </w:style>
  <w:style w:type="paragraph" w:styleId="17">
    <w:name w:val="Balloon Text"/>
    <w:basedOn w:val="1"/>
    <w:link w:val="68"/>
    <w:qFormat/>
    <w:uiPriority w:val="99"/>
    <w:rPr>
      <w:sz w:val="18"/>
      <w:szCs w:val="18"/>
    </w:rPr>
  </w:style>
  <w:style w:type="paragraph" w:styleId="18">
    <w:name w:val="Body Text 3"/>
    <w:basedOn w:val="1"/>
    <w:link w:val="69"/>
    <w:qFormat/>
    <w:uiPriority w:val="99"/>
    <w:pPr>
      <w:spacing w:after="120"/>
    </w:pPr>
    <w:rPr>
      <w:kern w:val="0"/>
      <w:sz w:val="16"/>
      <w:szCs w:val="16"/>
    </w:rPr>
  </w:style>
  <w:style w:type="paragraph" w:styleId="19">
    <w:name w:val="Body Text"/>
    <w:basedOn w:val="1"/>
    <w:link w:val="70"/>
    <w:qFormat/>
    <w:uiPriority w:val="99"/>
    <w:pPr>
      <w:spacing w:after="120"/>
    </w:pPr>
  </w:style>
  <w:style w:type="paragraph" w:styleId="20">
    <w:name w:val="Body Text Indent"/>
    <w:basedOn w:val="1"/>
    <w:link w:val="71"/>
    <w:qFormat/>
    <w:uiPriority w:val="99"/>
    <w:pPr>
      <w:ind w:firstLine="630"/>
    </w:pPr>
    <w:rPr>
      <w:rFonts w:ascii="宋体"/>
      <w:kern w:val="0"/>
      <w:sz w:val="32"/>
      <w:szCs w:val="20"/>
    </w:rPr>
  </w:style>
  <w:style w:type="paragraph" w:styleId="21">
    <w:name w:val="List Bullet 2"/>
    <w:basedOn w:val="14"/>
    <w:qFormat/>
    <w:uiPriority w:val="99"/>
    <w:pPr>
      <w:widowControl/>
      <w:tabs>
        <w:tab w:val="left" w:pos="432"/>
      </w:tabs>
      <w:spacing w:after="220" w:line="220" w:lineRule="atLeast"/>
      <w:ind w:left="2160" w:right="720" w:hanging="432"/>
      <w:jc w:val="left"/>
    </w:pPr>
    <w:rPr>
      <w:szCs w:val="20"/>
    </w:rPr>
  </w:style>
  <w:style w:type="paragraph" w:styleId="22">
    <w:name w:val="toc 5"/>
    <w:basedOn w:val="1"/>
    <w:next w:val="1"/>
    <w:qFormat/>
    <w:uiPriority w:val="39"/>
    <w:pPr>
      <w:ind w:left="840"/>
      <w:jc w:val="left"/>
    </w:pPr>
    <w:rPr>
      <w:rFonts w:ascii="Calibri" w:hAnsi="Calibri" w:cs="Calibri"/>
      <w:sz w:val="18"/>
      <w:szCs w:val="18"/>
    </w:rPr>
  </w:style>
  <w:style w:type="paragraph" w:styleId="23">
    <w:name w:val="toc 3"/>
    <w:basedOn w:val="1"/>
    <w:next w:val="1"/>
    <w:qFormat/>
    <w:uiPriority w:val="39"/>
    <w:pPr>
      <w:ind w:left="840" w:leftChars="400"/>
    </w:pPr>
  </w:style>
  <w:style w:type="paragraph" w:styleId="24">
    <w:name w:val="Plain Text"/>
    <w:basedOn w:val="1"/>
    <w:next w:val="1"/>
    <w:link w:val="72"/>
    <w:qFormat/>
    <w:uiPriority w:val="0"/>
    <w:rPr>
      <w:rFonts w:ascii="宋体" w:hAnsi="Courier New" w:eastAsia="楷体_GB2312"/>
      <w:szCs w:val="20"/>
    </w:rPr>
  </w:style>
  <w:style w:type="paragraph" w:styleId="25">
    <w:name w:val="toc 8"/>
    <w:basedOn w:val="1"/>
    <w:next w:val="1"/>
    <w:qFormat/>
    <w:uiPriority w:val="39"/>
    <w:pPr>
      <w:ind w:left="1470"/>
      <w:jc w:val="left"/>
    </w:pPr>
    <w:rPr>
      <w:rFonts w:ascii="Calibri" w:hAnsi="Calibri" w:cs="Calibri"/>
      <w:sz w:val="18"/>
      <w:szCs w:val="18"/>
    </w:rPr>
  </w:style>
  <w:style w:type="paragraph" w:styleId="26">
    <w:name w:val="Date"/>
    <w:basedOn w:val="1"/>
    <w:next w:val="1"/>
    <w:link w:val="73"/>
    <w:qFormat/>
    <w:uiPriority w:val="99"/>
    <w:pPr>
      <w:ind w:left="100" w:leftChars="2500"/>
    </w:pPr>
  </w:style>
  <w:style w:type="paragraph" w:styleId="27">
    <w:name w:val="Body Text Indent 2"/>
    <w:basedOn w:val="1"/>
    <w:link w:val="74"/>
    <w:qFormat/>
    <w:uiPriority w:val="99"/>
    <w:pPr>
      <w:tabs>
        <w:tab w:val="left" w:pos="4970"/>
      </w:tabs>
      <w:spacing w:line="360" w:lineRule="auto"/>
      <w:ind w:firstLine="480" w:firstLineChars="200"/>
    </w:pPr>
    <w:rPr>
      <w:kern w:val="0"/>
      <w:sz w:val="24"/>
    </w:rPr>
  </w:style>
  <w:style w:type="paragraph" w:styleId="28">
    <w:name w:val="endnote text"/>
    <w:basedOn w:val="1"/>
    <w:link w:val="75"/>
    <w:qFormat/>
    <w:uiPriority w:val="0"/>
    <w:pPr>
      <w:snapToGrid w:val="0"/>
      <w:jc w:val="left"/>
    </w:pPr>
    <w:rPr>
      <w:kern w:val="0"/>
      <w:sz w:val="20"/>
    </w:rPr>
  </w:style>
  <w:style w:type="paragraph" w:styleId="29">
    <w:name w:val="footer"/>
    <w:basedOn w:val="1"/>
    <w:link w:val="76"/>
    <w:qFormat/>
    <w:uiPriority w:val="99"/>
    <w:pPr>
      <w:tabs>
        <w:tab w:val="center" w:pos="4153"/>
        <w:tab w:val="right" w:pos="8306"/>
      </w:tabs>
      <w:snapToGrid w:val="0"/>
      <w:jc w:val="left"/>
    </w:pPr>
    <w:rPr>
      <w:sz w:val="18"/>
      <w:szCs w:val="18"/>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Subtitle"/>
    <w:basedOn w:val="1"/>
    <w:next w:val="1"/>
    <w:link w:val="56"/>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footnote text"/>
    <w:basedOn w:val="1"/>
    <w:link w:val="78"/>
    <w:qFormat/>
    <w:uiPriority w:val="0"/>
    <w:pPr>
      <w:snapToGrid w:val="0"/>
      <w:jc w:val="left"/>
    </w:pPr>
    <w:rPr>
      <w:kern w:val="0"/>
      <w:sz w:val="18"/>
      <w:szCs w:val="18"/>
    </w:rPr>
  </w:style>
  <w:style w:type="paragraph" w:styleId="34">
    <w:name w:val="toc 6"/>
    <w:basedOn w:val="1"/>
    <w:next w:val="1"/>
    <w:qFormat/>
    <w:uiPriority w:val="39"/>
    <w:pPr>
      <w:ind w:left="1050"/>
      <w:jc w:val="left"/>
    </w:pPr>
    <w:rPr>
      <w:rFonts w:ascii="Calibri" w:hAnsi="Calibri" w:cs="Calibri"/>
      <w:sz w:val="18"/>
      <w:szCs w:val="18"/>
    </w:rPr>
  </w:style>
  <w:style w:type="paragraph" w:styleId="35">
    <w:name w:val="Body Text Indent 3"/>
    <w:basedOn w:val="1"/>
    <w:link w:val="79"/>
    <w:qFormat/>
    <w:uiPriority w:val="99"/>
    <w:pPr>
      <w:spacing w:line="360" w:lineRule="auto"/>
      <w:ind w:left="1978" w:leftChars="942"/>
    </w:pPr>
    <w:rPr>
      <w:rFonts w:hAnsi="宋体"/>
      <w:kern w:val="0"/>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qFormat/>
    <w:uiPriority w:val="39"/>
    <w:pPr>
      <w:ind w:left="420" w:leftChars="200"/>
    </w:pPr>
  </w:style>
  <w:style w:type="paragraph" w:styleId="38">
    <w:name w:val="toc 9"/>
    <w:basedOn w:val="1"/>
    <w:next w:val="1"/>
    <w:qFormat/>
    <w:uiPriority w:val="39"/>
    <w:pPr>
      <w:ind w:left="1680"/>
      <w:jc w:val="left"/>
    </w:pPr>
    <w:rPr>
      <w:rFonts w:ascii="Calibri" w:hAnsi="Calibri" w:cs="Calibri"/>
      <w:sz w:val="18"/>
      <w:szCs w:val="18"/>
    </w:rPr>
  </w:style>
  <w:style w:type="paragraph" w:styleId="39">
    <w:name w:val="Body Text 2"/>
    <w:basedOn w:val="1"/>
    <w:link w:val="80"/>
    <w:qFormat/>
    <w:uiPriority w:val="99"/>
    <w:rPr>
      <w:rFonts w:eastAsia="楷体_GB2312"/>
      <w:b/>
      <w:bCs/>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Title"/>
    <w:basedOn w:val="1"/>
    <w:next w:val="1"/>
    <w:link w:val="81"/>
    <w:qFormat/>
    <w:uiPriority w:val="99"/>
    <w:pPr>
      <w:spacing w:before="240" w:after="60"/>
      <w:jc w:val="center"/>
      <w:outlineLvl w:val="0"/>
    </w:pPr>
    <w:rPr>
      <w:rFonts w:ascii="Arial" w:hAnsi="Arial" w:cs="Arial"/>
      <w:b/>
      <w:bCs/>
      <w:sz w:val="32"/>
      <w:szCs w:val="32"/>
    </w:rPr>
  </w:style>
  <w:style w:type="paragraph" w:styleId="42">
    <w:name w:val="annotation subject"/>
    <w:basedOn w:val="16"/>
    <w:next w:val="16"/>
    <w:link w:val="82"/>
    <w:qFormat/>
    <w:uiPriority w:val="99"/>
    <w:rPr>
      <w:b/>
      <w:bCs/>
    </w:rPr>
  </w:style>
  <w:style w:type="paragraph" w:styleId="43">
    <w:name w:val="Body Text First Indent"/>
    <w:basedOn w:val="19"/>
    <w:qFormat/>
    <w:uiPriority w:val="0"/>
    <w:pPr>
      <w:ind w:firstLine="420" w:firstLineChars="100"/>
    </w:pPr>
  </w:style>
  <w:style w:type="paragraph" w:styleId="44">
    <w:name w:val="Body Text First Indent 2"/>
    <w:basedOn w:val="20"/>
    <w:qFormat/>
    <w:uiPriority w:val="0"/>
    <w:pPr>
      <w:spacing w:after="120"/>
      <w:ind w:left="420" w:leftChars="200" w:firstLine="420" w:firstLineChars="200"/>
    </w:pPr>
    <w:rPr>
      <w:rFonts w:ascii="Calibri" w:hAnsi="Calibri"/>
      <w:kern w:val="2"/>
      <w:sz w:val="21"/>
      <w:szCs w:val="24"/>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99"/>
  </w:style>
  <w:style w:type="character" w:styleId="50">
    <w:name w:val="FollowedHyperlink"/>
    <w:qFormat/>
    <w:uiPriority w:val="99"/>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paragraph" w:customStyle="1" w:styleId="54">
    <w:name w:val="正文缩进1"/>
    <w:basedOn w:val="55"/>
    <w:qFormat/>
    <w:uiPriority w:val="0"/>
    <w:pPr>
      <w:ind w:firstLine="624"/>
      <w:jc w:val="left"/>
    </w:pPr>
  </w:style>
  <w:style w:type="paragraph" w:customStyle="1" w:styleId="55">
    <w:name w:val="正文1"/>
    <w:next w:val="54"/>
    <w:qFormat/>
    <w:uiPriority w:val="0"/>
    <w:pPr>
      <w:widowControl w:val="0"/>
      <w:jc w:val="both"/>
    </w:pPr>
    <w:rPr>
      <w:rFonts w:hint="eastAsia" w:ascii="Times New Roman" w:hAnsi="Times New Roman" w:eastAsia="宋体" w:cs="Times New Roman"/>
      <w:kern w:val="2"/>
      <w:sz w:val="21"/>
      <w:szCs w:val="22"/>
      <w:lang w:val="en-US" w:eastAsia="zh-CN" w:bidi="ar-SA"/>
    </w:rPr>
  </w:style>
  <w:style w:type="character" w:customStyle="1" w:styleId="56">
    <w:name w:val="副标题 Char"/>
    <w:link w:val="32"/>
    <w:qFormat/>
    <w:uiPriority w:val="99"/>
    <w:rPr>
      <w:rFonts w:ascii="Calibri Light" w:hAnsi="Calibri Light" w:cs="Calibri Light"/>
      <w:b/>
      <w:bCs/>
      <w:kern w:val="28"/>
      <w:sz w:val="32"/>
      <w:szCs w:val="32"/>
    </w:rPr>
  </w:style>
  <w:style w:type="character" w:customStyle="1" w:styleId="57">
    <w:name w:val="标题 1 Char"/>
    <w:link w:val="2"/>
    <w:qFormat/>
    <w:uiPriority w:val="99"/>
    <w:rPr>
      <w:rFonts w:eastAsia="宋体"/>
      <w:b/>
      <w:bCs/>
      <w:kern w:val="44"/>
      <w:sz w:val="44"/>
      <w:szCs w:val="44"/>
      <w:lang w:val="en-US" w:eastAsia="zh-CN" w:bidi="ar-SA"/>
    </w:rPr>
  </w:style>
  <w:style w:type="character" w:customStyle="1" w:styleId="58">
    <w:name w:val="标题 2 Char"/>
    <w:link w:val="3"/>
    <w:qFormat/>
    <w:uiPriority w:val="99"/>
    <w:rPr>
      <w:rFonts w:ascii="Arial" w:hAnsi="Arial" w:eastAsia="黑体"/>
      <w:b/>
      <w:bCs/>
      <w:kern w:val="2"/>
      <w:sz w:val="32"/>
      <w:szCs w:val="32"/>
      <w:lang w:val="en-US" w:eastAsia="zh-CN" w:bidi="ar-SA"/>
    </w:rPr>
  </w:style>
  <w:style w:type="character" w:customStyle="1" w:styleId="59">
    <w:name w:val="标题 3 Char"/>
    <w:link w:val="4"/>
    <w:qFormat/>
    <w:uiPriority w:val="99"/>
    <w:rPr>
      <w:rFonts w:eastAsia="宋体"/>
      <w:b/>
      <w:bCs/>
      <w:kern w:val="2"/>
      <w:sz w:val="32"/>
      <w:szCs w:val="32"/>
      <w:lang w:val="en-US" w:eastAsia="zh-CN" w:bidi="ar-SA"/>
    </w:rPr>
  </w:style>
  <w:style w:type="character" w:customStyle="1" w:styleId="60">
    <w:name w:val="标题 4 Char"/>
    <w:link w:val="5"/>
    <w:qFormat/>
    <w:uiPriority w:val="99"/>
    <w:rPr>
      <w:rFonts w:ascii="Arial" w:hAnsi="Arial" w:eastAsia="黑体"/>
      <w:b/>
      <w:bCs/>
      <w:kern w:val="2"/>
      <w:sz w:val="24"/>
      <w:szCs w:val="24"/>
      <w:lang w:val="en-US" w:eastAsia="zh-CN" w:bidi="ar-SA"/>
    </w:rPr>
  </w:style>
  <w:style w:type="character" w:customStyle="1" w:styleId="61">
    <w:name w:val="标题 5 Char"/>
    <w:link w:val="8"/>
    <w:qFormat/>
    <w:uiPriority w:val="99"/>
    <w:rPr>
      <w:rFonts w:ascii="Arial" w:hAnsi="Arial" w:eastAsia="黑体"/>
      <w:b/>
      <w:bCs/>
      <w:kern w:val="2"/>
      <w:sz w:val="24"/>
      <w:szCs w:val="24"/>
      <w:lang w:val="en-US" w:eastAsia="zh-CN" w:bidi="ar-SA"/>
    </w:rPr>
  </w:style>
  <w:style w:type="character" w:customStyle="1" w:styleId="62">
    <w:name w:val="标题 6 Char"/>
    <w:link w:val="9"/>
    <w:qFormat/>
    <w:uiPriority w:val="99"/>
    <w:rPr>
      <w:rFonts w:ascii="Arial" w:hAnsi="Arial" w:eastAsia="黑体"/>
      <w:b/>
      <w:bCs/>
      <w:sz w:val="24"/>
      <w:szCs w:val="24"/>
      <w:lang w:val="en-US" w:eastAsia="en-US" w:bidi="ar-SA"/>
    </w:rPr>
  </w:style>
  <w:style w:type="character" w:customStyle="1" w:styleId="63">
    <w:name w:val="标题 7 Char"/>
    <w:link w:val="10"/>
    <w:qFormat/>
    <w:uiPriority w:val="99"/>
    <w:rPr>
      <w:rFonts w:eastAsia="宋体"/>
      <w:b/>
      <w:kern w:val="2"/>
      <w:sz w:val="24"/>
      <w:lang w:val="en-US" w:eastAsia="zh-CN" w:bidi="ar-SA"/>
    </w:rPr>
  </w:style>
  <w:style w:type="character" w:customStyle="1" w:styleId="64">
    <w:name w:val="标题 8 Char"/>
    <w:link w:val="11"/>
    <w:qFormat/>
    <w:uiPriority w:val="99"/>
    <w:rPr>
      <w:rFonts w:ascii="Arial" w:hAnsi="Arial" w:eastAsia="黑体"/>
      <w:kern w:val="2"/>
      <w:sz w:val="24"/>
      <w:lang w:val="en-US" w:eastAsia="zh-CN" w:bidi="ar-SA"/>
    </w:rPr>
  </w:style>
  <w:style w:type="character" w:customStyle="1" w:styleId="65">
    <w:name w:val="标题 9 Char"/>
    <w:link w:val="12"/>
    <w:qFormat/>
    <w:uiPriority w:val="99"/>
    <w:rPr>
      <w:rFonts w:ascii="Arial" w:hAnsi="Arial" w:eastAsia="黑体"/>
      <w:kern w:val="2"/>
      <w:sz w:val="21"/>
      <w:lang w:val="en-US" w:eastAsia="zh-CN" w:bidi="ar-SA"/>
    </w:rPr>
  </w:style>
  <w:style w:type="character" w:customStyle="1" w:styleId="66">
    <w:name w:val="文档结构图 Char"/>
    <w:link w:val="15"/>
    <w:qFormat/>
    <w:uiPriority w:val="99"/>
    <w:rPr>
      <w:rFonts w:eastAsia="宋体"/>
      <w:kern w:val="2"/>
      <w:sz w:val="21"/>
      <w:szCs w:val="24"/>
      <w:lang w:val="en-US" w:eastAsia="zh-CN" w:bidi="ar-SA"/>
    </w:rPr>
  </w:style>
  <w:style w:type="character" w:customStyle="1" w:styleId="67">
    <w:name w:val="批注文字 Char"/>
    <w:link w:val="16"/>
    <w:qFormat/>
    <w:uiPriority w:val="99"/>
    <w:rPr>
      <w:kern w:val="2"/>
      <w:sz w:val="21"/>
      <w:szCs w:val="24"/>
    </w:rPr>
  </w:style>
  <w:style w:type="character" w:customStyle="1" w:styleId="68">
    <w:name w:val="批注框文本 Char"/>
    <w:link w:val="17"/>
    <w:qFormat/>
    <w:uiPriority w:val="99"/>
    <w:rPr>
      <w:kern w:val="2"/>
      <w:sz w:val="18"/>
      <w:szCs w:val="18"/>
    </w:rPr>
  </w:style>
  <w:style w:type="character" w:customStyle="1" w:styleId="69">
    <w:name w:val="正文文本 3 Char"/>
    <w:link w:val="18"/>
    <w:qFormat/>
    <w:uiPriority w:val="99"/>
    <w:rPr>
      <w:sz w:val="16"/>
      <w:szCs w:val="16"/>
    </w:rPr>
  </w:style>
  <w:style w:type="character" w:customStyle="1" w:styleId="70">
    <w:name w:val="正文文本 Char"/>
    <w:link w:val="19"/>
    <w:qFormat/>
    <w:uiPriority w:val="99"/>
    <w:rPr>
      <w:rFonts w:eastAsia="宋体"/>
      <w:kern w:val="2"/>
      <w:sz w:val="21"/>
      <w:szCs w:val="24"/>
      <w:lang w:val="en-US" w:eastAsia="zh-CN" w:bidi="ar-SA"/>
    </w:rPr>
  </w:style>
  <w:style w:type="character" w:customStyle="1" w:styleId="71">
    <w:name w:val="正文文本缩进 Char"/>
    <w:link w:val="20"/>
    <w:qFormat/>
    <w:uiPriority w:val="99"/>
    <w:rPr>
      <w:rFonts w:ascii="宋体" w:eastAsia="宋体"/>
      <w:sz w:val="32"/>
      <w:lang w:bidi="ar-SA"/>
    </w:rPr>
  </w:style>
  <w:style w:type="character" w:customStyle="1" w:styleId="72">
    <w:name w:val="纯文本 Char1"/>
    <w:link w:val="24"/>
    <w:qFormat/>
    <w:uiPriority w:val="0"/>
    <w:rPr>
      <w:rFonts w:ascii="宋体" w:hAnsi="Courier New" w:eastAsia="楷体_GB2312"/>
      <w:kern w:val="2"/>
      <w:sz w:val="21"/>
      <w:lang w:val="en-US" w:eastAsia="zh-CN" w:bidi="ar-SA"/>
    </w:rPr>
  </w:style>
  <w:style w:type="character" w:customStyle="1" w:styleId="73">
    <w:name w:val="日期 Char"/>
    <w:link w:val="26"/>
    <w:qFormat/>
    <w:uiPriority w:val="99"/>
    <w:rPr>
      <w:kern w:val="2"/>
      <w:sz w:val="21"/>
      <w:szCs w:val="24"/>
    </w:rPr>
  </w:style>
  <w:style w:type="character" w:customStyle="1" w:styleId="74">
    <w:name w:val="正文文本缩进 2 Char"/>
    <w:link w:val="27"/>
    <w:qFormat/>
    <w:uiPriority w:val="99"/>
    <w:rPr>
      <w:sz w:val="24"/>
      <w:szCs w:val="24"/>
    </w:rPr>
  </w:style>
  <w:style w:type="character" w:customStyle="1" w:styleId="75">
    <w:name w:val="尾注文本 Char"/>
    <w:link w:val="28"/>
    <w:qFormat/>
    <w:uiPriority w:val="0"/>
    <w:rPr>
      <w:rFonts w:eastAsia="宋体"/>
      <w:szCs w:val="24"/>
      <w:lang w:bidi="ar-SA"/>
    </w:rPr>
  </w:style>
  <w:style w:type="character" w:customStyle="1" w:styleId="76">
    <w:name w:val="页脚 Char"/>
    <w:link w:val="29"/>
    <w:qFormat/>
    <w:uiPriority w:val="99"/>
    <w:rPr>
      <w:kern w:val="2"/>
      <w:sz w:val="18"/>
      <w:szCs w:val="18"/>
    </w:rPr>
  </w:style>
  <w:style w:type="character" w:customStyle="1" w:styleId="77">
    <w:name w:val="页眉 Char"/>
    <w:link w:val="30"/>
    <w:qFormat/>
    <w:uiPriority w:val="99"/>
    <w:rPr>
      <w:kern w:val="2"/>
      <w:sz w:val="18"/>
      <w:szCs w:val="18"/>
    </w:rPr>
  </w:style>
  <w:style w:type="character" w:customStyle="1" w:styleId="78">
    <w:name w:val="脚注文本 Char"/>
    <w:link w:val="33"/>
    <w:qFormat/>
    <w:uiPriority w:val="0"/>
    <w:rPr>
      <w:rFonts w:eastAsia="宋体"/>
      <w:sz w:val="18"/>
      <w:szCs w:val="18"/>
      <w:lang w:bidi="ar-SA"/>
    </w:rPr>
  </w:style>
  <w:style w:type="character" w:customStyle="1" w:styleId="79">
    <w:name w:val="正文文本缩进 3 Char"/>
    <w:link w:val="35"/>
    <w:qFormat/>
    <w:uiPriority w:val="99"/>
    <w:rPr>
      <w:rFonts w:hAnsi="宋体"/>
      <w:sz w:val="24"/>
      <w:szCs w:val="24"/>
    </w:rPr>
  </w:style>
  <w:style w:type="character" w:customStyle="1" w:styleId="80">
    <w:name w:val="正文文本 2 Char"/>
    <w:link w:val="39"/>
    <w:qFormat/>
    <w:uiPriority w:val="99"/>
    <w:rPr>
      <w:rFonts w:eastAsia="楷体_GB2312"/>
      <w:b/>
      <w:bCs/>
      <w:szCs w:val="24"/>
    </w:rPr>
  </w:style>
  <w:style w:type="character" w:customStyle="1" w:styleId="81">
    <w:name w:val="标题 Char"/>
    <w:link w:val="41"/>
    <w:qFormat/>
    <w:uiPriority w:val="99"/>
    <w:rPr>
      <w:rFonts w:ascii="Arial" w:hAnsi="Arial" w:cs="Arial"/>
      <w:b/>
      <w:bCs/>
      <w:kern w:val="2"/>
      <w:sz w:val="32"/>
      <w:szCs w:val="32"/>
    </w:rPr>
  </w:style>
  <w:style w:type="character" w:customStyle="1" w:styleId="82">
    <w:name w:val="批注主题 Char"/>
    <w:link w:val="42"/>
    <w:qFormat/>
    <w:uiPriority w:val="99"/>
    <w:rPr>
      <w:b/>
      <w:bCs/>
      <w:kern w:val="2"/>
      <w:sz w:val="21"/>
      <w:szCs w:val="24"/>
    </w:rPr>
  </w:style>
  <w:style w:type="paragraph" w:customStyle="1" w:styleId="83">
    <w:name w:val="合同一级标题"/>
    <w:basedOn w:val="2"/>
    <w:next w:val="2"/>
    <w:qFormat/>
    <w:uiPriority w:val="0"/>
    <w:pPr>
      <w:spacing w:before="0" w:after="0" w:line="240" w:lineRule="auto"/>
      <w:jc w:val="center"/>
    </w:pPr>
    <w:rPr>
      <w:rFonts w:ascii="黑体" w:hAnsi="黑体" w:eastAsia="黑体"/>
      <w:b w:val="0"/>
      <w:kern w:val="0"/>
      <w:sz w:val="36"/>
    </w:rPr>
  </w:style>
  <w:style w:type="character" w:customStyle="1" w:styleId="84">
    <w:name w:val="Char Char14"/>
    <w:qFormat/>
    <w:uiPriority w:val="0"/>
    <w:rPr>
      <w:rFonts w:ascii="宋体" w:hAnsi="Times New Roman" w:eastAsia="宋体" w:cs="Times New Roman"/>
      <w:sz w:val="32"/>
      <w:szCs w:val="20"/>
    </w:rPr>
  </w:style>
  <w:style w:type="paragraph" w:customStyle="1" w:styleId="85">
    <w:name w:val="font0"/>
    <w:basedOn w:val="1"/>
    <w:qFormat/>
    <w:uiPriority w:val="99"/>
    <w:pPr>
      <w:widowControl/>
      <w:spacing w:before="100" w:beforeAutospacing="1" w:after="100" w:afterAutospacing="1"/>
      <w:jc w:val="left"/>
    </w:pPr>
    <w:rPr>
      <w:rFonts w:hint="eastAsia" w:ascii="宋体" w:hAnsi="宋体"/>
      <w:kern w:val="0"/>
      <w:sz w:val="24"/>
      <w:lang w:eastAsia="en-US"/>
    </w:rPr>
  </w:style>
  <w:style w:type="paragraph" w:customStyle="1" w:styleId="86">
    <w:name w:val="合同二级标题"/>
    <w:basedOn w:val="3"/>
    <w:qFormat/>
    <w:uiPriority w:val="0"/>
    <w:pPr>
      <w:autoSpaceDE w:val="0"/>
      <w:autoSpaceDN w:val="0"/>
      <w:adjustRightInd w:val="0"/>
      <w:spacing w:before="100" w:beforeAutospacing="1" w:after="100" w:afterAutospacing="1" w:line="240" w:lineRule="auto"/>
      <w:jc w:val="center"/>
    </w:pPr>
    <w:rPr>
      <w:rFonts w:ascii="宋体" w:cs="宋体"/>
      <w:b w:val="0"/>
      <w:kern w:val="0"/>
    </w:rPr>
  </w:style>
  <w:style w:type="paragraph" w:customStyle="1" w:styleId="87">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88">
    <w:name w:val="CM6"/>
    <w:basedOn w:val="89"/>
    <w:next w:val="89"/>
    <w:qFormat/>
    <w:uiPriority w:val="99"/>
    <w:pPr>
      <w:spacing w:line="428" w:lineRule="atLeast"/>
    </w:pPr>
    <w:rPr>
      <w:rFonts w:ascii="Times New Roman" w:cs="Times New Roman"/>
      <w:color w:val="auto"/>
    </w:rPr>
  </w:style>
  <w:style w:type="paragraph" w:customStyle="1" w:styleId="89">
    <w:name w:val="Default"/>
    <w:next w:val="30"/>
    <w:qFormat/>
    <w:uiPriority w:val="0"/>
    <w:pPr>
      <w:widowControl w:val="0"/>
      <w:autoSpaceDE w:val="0"/>
      <w:autoSpaceDN w:val="0"/>
      <w:adjustRightInd w:val="0"/>
    </w:pPr>
    <w:rPr>
      <w:rFonts w:ascii="宋体" w:hAnsi="等线" w:eastAsia="等线" w:cs="宋体"/>
      <w:color w:val="000000"/>
      <w:kern w:val="2"/>
      <w:sz w:val="24"/>
      <w:szCs w:val="24"/>
      <w:lang w:val="en-US" w:eastAsia="zh-CN" w:bidi="ar-SA"/>
    </w:rPr>
  </w:style>
  <w:style w:type="paragraph" w:customStyle="1" w:styleId="90">
    <w:name w:val="p0"/>
    <w:basedOn w:val="1"/>
    <w:next w:val="1"/>
    <w:link w:val="91"/>
    <w:qFormat/>
    <w:uiPriority w:val="99"/>
    <w:pPr>
      <w:widowControl/>
    </w:pPr>
    <w:rPr>
      <w:kern w:val="0"/>
      <w:szCs w:val="21"/>
    </w:rPr>
  </w:style>
  <w:style w:type="character" w:customStyle="1" w:styleId="91">
    <w:name w:val="p0 Char Char"/>
    <w:link w:val="90"/>
    <w:qFormat/>
    <w:uiPriority w:val="99"/>
    <w:rPr>
      <w:sz w:val="21"/>
      <w:szCs w:val="21"/>
    </w:rPr>
  </w:style>
  <w:style w:type="paragraph" w:customStyle="1" w:styleId="92">
    <w:name w:val="正文 New"/>
    <w:qFormat/>
    <w:uiPriority w:val="0"/>
    <w:pPr>
      <w:widowControl w:val="0"/>
      <w:jc w:val="both"/>
    </w:pPr>
    <w:rPr>
      <w:rFonts w:ascii="等线" w:hAnsi="等线" w:eastAsia="等线" w:cs="Times New Roman"/>
      <w:kern w:val="2"/>
      <w:sz w:val="21"/>
      <w:szCs w:val="22"/>
      <w:lang w:val="en-US" w:eastAsia="zh-CN" w:bidi="ar-SA"/>
    </w:rPr>
  </w:style>
  <w:style w:type="paragraph" w:customStyle="1" w:styleId="93">
    <w:name w:val="文二"/>
    <w:basedOn w:val="1"/>
    <w:qFormat/>
    <w:uiPriority w:val="0"/>
    <w:pPr>
      <w:jc w:val="left"/>
    </w:pPr>
    <w:rPr>
      <w:rFonts w:ascii="宋体" w:hAnsi="宋体"/>
      <w:szCs w:val="21"/>
    </w:rPr>
  </w:style>
  <w:style w:type="paragraph" w:customStyle="1" w:styleId="94">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lang w:eastAsia="en-US"/>
    </w:rPr>
  </w:style>
  <w:style w:type="paragraph" w:customStyle="1" w:styleId="95">
    <w:name w:val="正文 New New"/>
    <w:qFormat/>
    <w:uiPriority w:val="0"/>
    <w:pPr>
      <w:widowControl w:val="0"/>
      <w:jc w:val="both"/>
    </w:pPr>
    <w:rPr>
      <w:rFonts w:ascii="等线" w:hAnsi="等线" w:eastAsia="等线" w:cs="Times New Roman"/>
      <w:kern w:val="2"/>
      <w:sz w:val="21"/>
      <w:szCs w:val="24"/>
      <w:lang w:val="en-US" w:eastAsia="zh-CN" w:bidi="ar-SA"/>
    </w:rPr>
  </w:style>
  <w:style w:type="paragraph" w:customStyle="1" w:styleId="96">
    <w:name w:val="CM5"/>
    <w:basedOn w:val="89"/>
    <w:next w:val="89"/>
    <w:qFormat/>
    <w:uiPriority w:val="99"/>
    <w:pPr>
      <w:spacing w:line="428" w:lineRule="atLeast"/>
    </w:pPr>
    <w:rPr>
      <w:rFonts w:ascii="Times New Roman" w:cs="Times New Roman"/>
      <w:color w:val="auto"/>
    </w:rPr>
  </w:style>
  <w:style w:type="paragraph" w:customStyle="1" w:styleId="97">
    <w:name w:val="修订1"/>
    <w:qFormat/>
    <w:uiPriority w:val="99"/>
    <w:rPr>
      <w:rFonts w:ascii="等线" w:hAnsi="等线" w:eastAsia="等线" w:cs="Times New Roman"/>
      <w:kern w:val="2"/>
      <w:sz w:val="21"/>
      <w:szCs w:val="24"/>
      <w:lang w:val="en-US" w:eastAsia="zh-CN" w:bidi="ar-SA"/>
    </w:rPr>
  </w:style>
  <w:style w:type="paragraph" w:customStyle="1" w:styleId="98">
    <w:name w:val="List Paragraph1"/>
    <w:basedOn w:val="1"/>
    <w:qFormat/>
    <w:uiPriority w:val="99"/>
    <w:pPr>
      <w:ind w:firstLine="420" w:firstLineChars="200"/>
    </w:pPr>
    <w:rPr>
      <w:rFonts w:ascii="Calibri" w:hAnsi="Calibri" w:cs="Calibri"/>
      <w:szCs w:val="21"/>
    </w:rPr>
  </w:style>
  <w:style w:type="character" w:customStyle="1" w:styleId="99">
    <w:name w:val="textcontents"/>
    <w:qFormat/>
    <w:uiPriority w:val="99"/>
  </w:style>
  <w:style w:type="paragraph" w:customStyle="1" w:styleId="100">
    <w:name w:val="Char1"/>
    <w:basedOn w:val="1"/>
    <w:qFormat/>
    <w:uiPriority w:val="0"/>
  </w:style>
  <w:style w:type="paragraph" w:customStyle="1" w:styleId="101">
    <w:name w:val="Char Char Char Char Char Char Char"/>
    <w:basedOn w:val="1"/>
    <w:next w:val="1"/>
    <w:qFormat/>
    <w:uiPriority w:val="99"/>
    <w:pPr>
      <w:widowControl/>
      <w:spacing w:after="160" w:line="240" w:lineRule="exact"/>
      <w:jc w:val="left"/>
    </w:pPr>
    <w:rPr>
      <w:rFonts w:ascii="Arial" w:hAnsi="Arial" w:cs="Arial"/>
      <w:b/>
      <w:bCs/>
      <w:kern w:val="0"/>
      <w:sz w:val="24"/>
      <w:lang w:eastAsia="en-US"/>
    </w:rPr>
  </w:style>
  <w:style w:type="paragraph" w:customStyle="1" w:styleId="102">
    <w:name w:val="Normal_0"/>
    <w:qFormat/>
    <w:uiPriority w:val="0"/>
    <w:rPr>
      <w:rFonts w:ascii="等线" w:hAnsi="等线" w:eastAsia="等线" w:cs="Times New Roman"/>
      <w:kern w:val="2"/>
      <w:sz w:val="24"/>
      <w:szCs w:val="24"/>
      <w:lang w:val="en-US" w:eastAsia="en-US" w:bidi="ar-SA"/>
    </w:rPr>
  </w:style>
  <w:style w:type="character" w:customStyle="1" w:styleId="103">
    <w:name w:val="Char Char10"/>
    <w:qFormat/>
    <w:uiPriority w:val="99"/>
    <w:rPr>
      <w:rFonts w:ascii="宋体" w:hAnsi="Courier New" w:eastAsia="宋体" w:cs="宋体"/>
      <w:kern w:val="2"/>
      <w:sz w:val="24"/>
      <w:szCs w:val="24"/>
      <w:lang w:val="en-US" w:eastAsia="zh-CN"/>
    </w:rPr>
  </w:style>
  <w:style w:type="character" w:customStyle="1" w:styleId="104">
    <w:name w:val="Char Char9"/>
    <w:qFormat/>
    <w:uiPriority w:val="0"/>
    <w:rPr>
      <w:rFonts w:ascii="Times New Roman" w:hAnsi="Times New Roman" w:eastAsia="宋体" w:cs="Times New Roman"/>
      <w:sz w:val="18"/>
      <w:szCs w:val="18"/>
    </w:rPr>
  </w:style>
  <w:style w:type="paragraph" w:customStyle="1" w:styleId="105">
    <w:name w:val="标题3-个人"/>
    <w:basedOn w:val="4"/>
    <w:qFormat/>
    <w:uiPriority w:val="0"/>
    <w:pPr>
      <w:spacing w:before="0" w:after="0" w:line="360" w:lineRule="auto"/>
      <w:ind w:right="238"/>
    </w:pPr>
  </w:style>
  <w:style w:type="character" w:customStyle="1" w:styleId="106">
    <w:name w:val="text_neiye_31"/>
    <w:qFormat/>
    <w:uiPriority w:val="0"/>
    <w:rPr>
      <w:rFonts w:hint="eastAsia" w:ascii="仿宋_GB2312" w:eastAsia="仿宋_GB2312"/>
      <w:color w:val="000000"/>
      <w:sz w:val="30"/>
      <w:szCs w:val="30"/>
    </w:rPr>
  </w:style>
  <w:style w:type="character" w:customStyle="1" w:styleId="107">
    <w:name w:val="Intense Quote Char_b0194978-bce0-428d-ac92-e0b1990ec4c4"/>
    <w:link w:val="108"/>
    <w:qFormat/>
    <w:uiPriority w:val="99"/>
    <w:rPr>
      <w:b/>
      <w:bCs/>
      <w:i/>
      <w:iCs/>
      <w:color w:val="4F81BD"/>
      <w:sz w:val="22"/>
      <w:szCs w:val="22"/>
    </w:rPr>
  </w:style>
  <w:style w:type="paragraph" w:customStyle="1" w:styleId="108">
    <w:name w:val="明显引用1"/>
    <w:basedOn w:val="1"/>
    <w:next w:val="1"/>
    <w:link w:val="107"/>
    <w:qFormat/>
    <w:uiPriority w:val="99"/>
    <w:pPr>
      <w:pBdr>
        <w:bottom w:val="single" w:color="4F81BD" w:sz="4" w:space="4"/>
      </w:pBdr>
      <w:spacing w:before="200" w:after="280"/>
      <w:ind w:left="936" w:right="936"/>
    </w:pPr>
    <w:rPr>
      <w:b/>
      <w:bCs/>
      <w:i/>
      <w:iCs/>
      <w:color w:val="4F81BD"/>
      <w:kern w:val="0"/>
      <w:sz w:val="22"/>
      <w:szCs w:val="22"/>
    </w:rPr>
  </w:style>
  <w:style w:type="character" w:customStyle="1" w:styleId="109">
    <w:name w:val="text_neiye_21"/>
    <w:qFormat/>
    <w:uiPriority w:val="0"/>
    <w:rPr>
      <w:rFonts w:hint="eastAsia" w:ascii="方正小标宋简体" w:eastAsia="方正小标宋简体"/>
      <w:color w:val="000000"/>
      <w:sz w:val="42"/>
      <w:szCs w:val="42"/>
    </w:rPr>
  </w:style>
  <w:style w:type="paragraph" w:customStyle="1" w:styleId="110">
    <w:name w:val="默认段落字体 Para Char"/>
    <w:basedOn w:val="1"/>
    <w:qFormat/>
    <w:uiPriority w:val="0"/>
  </w:style>
  <w:style w:type="character" w:customStyle="1" w:styleId="111">
    <w:name w:val="text_neiye_32"/>
    <w:qFormat/>
    <w:uiPriority w:val="0"/>
    <w:rPr>
      <w:rFonts w:hint="eastAsia" w:ascii="仿宋_GB2312" w:eastAsia="仿宋_GB2312"/>
      <w:color w:val="000000"/>
      <w:sz w:val="30"/>
      <w:szCs w:val="30"/>
    </w:rPr>
  </w:style>
  <w:style w:type="paragraph" w:customStyle="1" w:styleId="112">
    <w:name w:val="章节三"/>
    <w:basedOn w:val="1"/>
    <w:next w:val="1"/>
    <w:qFormat/>
    <w:uiPriority w:val="0"/>
    <w:pPr>
      <w:topLinePunct/>
      <w:adjustRightInd w:val="0"/>
      <w:snapToGrid w:val="0"/>
      <w:spacing w:beforeLines="50" w:afterLines="50"/>
      <w:jc w:val="left"/>
      <w:outlineLvl w:val="2"/>
    </w:pPr>
    <w:rPr>
      <w:rFonts w:ascii="黑体" w:hAnsi="宋体" w:eastAsia="黑体" w:cs="黑体"/>
      <w:b/>
      <w:bCs/>
      <w:spacing w:val="4"/>
      <w:kern w:val="0"/>
      <w:sz w:val="24"/>
    </w:rPr>
  </w:style>
  <w:style w:type="paragraph" w:customStyle="1" w:styleId="113">
    <w:name w:val="CM35"/>
    <w:basedOn w:val="89"/>
    <w:next w:val="89"/>
    <w:qFormat/>
    <w:uiPriority w:val="99"/>
    <w:rPr>
      <w:rFonts w:ascii="Times New Roman" w:cs="Times New Roman"/>
      <w:color w:val="auto"/>
    </w:rPr>
  </w:style>
  <w:style w:type="paragraph" w:customStyle="1" w:styleId="114">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115">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6">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character" w:customStyle="1" w:styleId="117">
    <w:name w:val="15"/>
    <w:qFormat/>
    <w:uiPriority w:val="99"/>
    <w:rPr>
      <w:rFonts w:ascii="Times New Roman" w:hAnsi="Times New Roman" w:cs="Times New Roman"/>
      <w:color w:val="auto"/>
      <w:u w:val="none"/>
    </w:rPr>
  </w:style>
  <w:style w:type="paragraph" w:customStyle="1" w:styleId="118">
    <w:name w:val="合同三级标题"/>
    <w:basedOn w:val="4"/>
    <w:qFormat/>
    <w:uiPriority w:val="0"/>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character" w:customStyle="1" w:styleId="119">
    <w:name w:val="apple-converted-space"/>
    <w:qFormat/>
    <w:uiPriority w:val="0"/>
  </w:style>
  <w:style w:type="character" w:customStyle="1" w:styleId="120">
    <w:name w:val="apple-style-span"/>
    <w:qFormat/>
    <w:uiPriority w:val="0"/>
  </w:style>
  <w:style w:type="character" w:customStyle="1" w:styleId="121">
    <w:name w:val="Char Char11"/>
    <w:qFormat/>
    <w:uiPriority w:val="0"/>
    <w:rPr>
      <w:rFonts w:ascii="Times New Roman" w:hAnsi="Times New Roman" w:eastAsia="宋体" w:cs="Times New Roman"/>
      <w:sz w:val="18"/>
      <w:szCs w:val="18"/>
    </w:rPr>
  </w:style>
  <w:style w:type="paragraph" w:customStyle="1" w:styleId="122">
    <w:name w:val="p15"/>
    <w:basedOn w:val="1"/>
    <w:qFormat/>
    <w:uiPriority w:val="0"/>
    <w:pPr>
      <w:widowControl/>
    </w:pPr>
    <w:rPr>
      <w:rFonts w:ascii="宋体" w:hAnsi="宋体" w:cs="宋体"/>
      <w:kern w:val="0"/>
      <w:szCs w:val="21"/>
    </w:rPr>
  </w:style>
  <w:style w:type="character" w:customStyle="1" w:styleId="123">
    <w:name w:val="Char Char7"/>
    <w:qFormat/>
    <w:uiPriority w:val="0"/>
    <w:rPr>
      <w:kern w:val="2"/>
      <w:sz w:val="18"/>
      <w:szCs w:val="18"/>
    </w:rPr>
  </w:style>
  <w:style w:type="paragraph" w:styleId="124">
    <w:name w:val="List Paragraph"/>
    <w:basedOn w:val="1"/>
    <w:qFormat/>
    <w:uiPriority w:val="34"/>
    <w:pPr>
      <w:ind w:firstLine="420" w:firstLineChars="200"/>
    </w:pPr>
  </w:style>
  <w:style w:type="paragraph" w:customStyle="1" w:styleId="125">
    <w:name w:val="_Style 4"/>
    <w:basedOn w:val="2"/>
    <w:next w:val="1"/>
    <w:qFormat/>
    <w:uiPriority w:val="99"/>
    <w:pPr>
      <w:spacing w:line="576" w:lineRule="auto"/>
      <w:outlineLvl w:val="9"/>
    </w:pPr>
    <w:rPr>
      <w:rFonts w:ascii="Calibri" w:hAnsi="Calibri" w:cs="Calibri"/>
    </w:rPr>
  </w:style>
  <w:style w:type="character" w:customStyle="1" w:styleId="126">
    <w:name w:val="Char Char3"/>
    <w:qFormat/>
    <w:uiPriority w:val="99"/>
    <w:rPr>
      <w:rFonts w:ascii="宋体" w:hAnsi="宋体" w:eastAsia="宋体" w:cs="宋体"/>
      <w:sz w:val="18"/>
      <w:szCs w:val="18"/>
      <w:lang w:val="en-US" w:eastAsia="zh-CN"/>
    </w:rPr>
  </w:style>
  <w:style w:type="paragraph" w:customStyle="1" w:styleId="127">
    <w:name w:val="表内容"/>
    <w:basedOn w:val="1"/>
    <w:qFormat/>
    <w:uiPriority w:val="0"/>
    <w:pPr>
      <w:spacing w:line="480" w:lineRule="auto"/>
      <w:jc w:val="center"/>
    </w:pPr>
    <w:rPr>
      <w:rFonts w:eastAsia="楷体"/>
      <w:sz w:val="24"/>
      <w:szCs w:val="20"/>
    </w:rPr>
  </w:style>
  <w:style w:type="paragraph" w:customStyle="1" w:styleId="128">
    <w:name w:val="文一"/>
    <w:basedOn w:val="1"/>
    <w:next w:val="1"/>
    <w:qFormat/>
    <w:uiPriority w:val="99"/>
    <w:pPr>
      <w:topLinePunct/>
      <w:adjustRightInd w:val="0"/>
      <w:snapToGrid w:val="0"/>
      <w:spacing w:line="360" w:lineRule="auto"/>
      <w:ind w:firstLine="200" w:firstLineChars="200"/>
    </w:pPr>
    <w:rPr>
      <w:spacing w:val="4"/>
      <w:kern w:val="0"/>
      <w:sz w:val="24"/>
    </w:rPr>
  </w:style>
  <w:style w:type="paragraph" w:customStyle="1" w:styleId="129">
    <w:name w:val="CM25"/>
    <w:basedOn w:val="89"/>
    <w:next w:val="89"/>
    <w:qFormat/>
    <w:uiPriority w:val="99"/>
    <w:pPr>
      <w:spacing w:line="426" w:lineRule="atLeast"/>
    </w:pPr>
    <w:rPr>
      <w:rFonts w:ascii="Times New Roman" w:cs="Times New Roman"/>
      <w:color w:val="auto"/>
    </w:rPr>
  </w:style>
  <w:style w:type="paragraph" w:customStyle="1" w:styleId="130">
    <w:name w:val="Normal_1"/>
    <w:qFormat/>
    <w:uiPriority w:val="0"/>
    <w:rPr>
      <w:rFonts w:ascii="等线" w:hAnsi="等线" w:eastAsia="等线" w:cs="Times New Roman"/>
      <w:kern w:val="2"/>
      <w:sz w:val="24"/>
      <w:szCs w:val="24"/>
      <w:lang w:val="en-US" w:eastAsia="en-US" w:bidi="ar-SA"/>
    </w:rPr>
  </w:style>
  <w:style w:type="paragraph" w:customStyle="1" w:styleId="131">
    <w:name w:val="CM39"/>
    <w:basedOn w:val="89"/>
    <w:next w:val="89"/>
    <w:qFormat/>
    <w:uiPriority w:val="99"/>
    <w:rPr>
      <w:rFonts w:ascii="Times New Roman" w:cs="Times New Roman"/>
      <w:color w:val="auto"/>
    </w:rPr>
  </w:style>
  <w:style w:type="paragraph" w:customStyle="1" w:styleId="132">
    <w:name w:val="Char"/>
    <w:basedOn w:val="1"/>
    <w:qFormat/>
    <w:uiPriority w:val="0"/>
    <w:pPr>
      <w:numPr>
        <w:ilvl w:val="0"/>
        <w:numId w:val="2"/>
      </w:numPr>
    </w:pPr>
    <w:rPr>
      <w:sz w:val="24"/>
    </w:rPr>
  </w:style>
  <w:style w:type="paragraph" w:customStyle="1" w:styleId="133">
    <w:name w:val="正文_1"/>
    <w:qFormat/>
    <w:uiPriority w:val="0"/>
    <w:pPr>
      <w:widowControl w:val="0"/>
      <w:jc w:val="both"/>
    </w:pPr>
    <w:rPr>
      <w:rFonts w:ascii="等线" w:hAnsi="等线" w:eastAsia="楷体_GB2312" w:cs="Times New Roman"/>
      <w:kern w:val="2"/>
      <w:sz w:val="21"/>
      <w:szCs w:val="22"/>
      <w:lang w:val="en-US" w:eastAsia="zh-CN" w:bidi="ar-SA"/>
    </w:rPr>
  </w:style>
  <w:style w:type="paragraph" w:customStyle="1" w:styleId="134">
    <w:name w:val="_Style 8"/>
    <w:basedOn w:val="1"/>
    <w:next w:val="124"/>
    <w:qFormat/>
    <w:uiPriority w:val="34"/>
    <w:pPr>
      <w:adjustRightInd w:val="0"/>
      <w:snapToGrid w:val="0"/>
      <w:spacing w:line="312" w:lineRule="auto"/>
      <w:ind w:firstLine="420" w:firstLineChars="200"/>
    </w:pPr>
    <w:rPr>
      <w:sz w:val="20"/>
      <w:szCs w:val="20"/>
    </w:rPr>
  </w:style>
  <w:style w:type="character" w:customStyle="1" w:styleId="135">
    <w:name w:val="textcontents1"/>
    <w:qFormat/>
    <w:uiPriority w:val="99"/>
    <w:rPr>
      <w:color w:val="000000"/>
      <w:sz w:val="22"/>
      <w:szCs w:val="22"/>
    </w:rPr>
  </w:style>
  <w:style w:type="paragraph" w:customStyle="1" w:styleId="136">
    <w:name w:val="CM31"/>
    <w:basedOn w:val="89"/>
    <w:next w:val="89"/>
    <w:qFormat/>
    <w:uiPriority w:val="99"/>
    <w:pPr>
      <w:spacing w:line="426" w:lineRule="atLeast"/>
    </w:pPr>
    <w:rPr>
      <w:rFonts w:ascii="Times New Roman" w:cs="Times New Roman"/>
      <w:color w:val="auto"/>
    </w:rPr>
  </w:style>
  <w:style w:type="character" w:customStyle="1" w:styleId="137">
    <w:name w:val="纯文本 Char"/>
    <w:qFormat/>
    <w:uiPriority w:val="0"/>
    <w:rPr>
      <w:rFonts w:ascii="宋体" w:hAnsi="Courier New" w:eastAsia="宋体" w:cs="Times New Roman"/>
      <w:szCs w:val="20"/>
    </w:rPr>
  </w:style>
  <w:style w:type="paragraph" w:customStyle="1" w:styleId="138">
    <w:name w:val="正文首行缩进 21"/>
    <w:basedOn w:val="20"/>
    <w:qFormat/>
    <w:uiPriority w:val="0"/>
    <w:pPr>
      <w:spacing w:before="100" w:beforeAutospacing="1" w:after="120"/>
      <w:ind w:left="420" w:leftChars="200" w:firstLine="420" w:firstLineChars="200"/>
    </w:pPr>
    <w:rPr>
      <w:rFonts w:hAnsi="宋体" w:cs="宋体"/>
      <w:kern w:val="2"/>
      <w:sz w:val="21"/>
      <w:szCs w:val="21"/>
    </w:rPr>
  </w:style>
  <w:style w:type="paragraph" w:customStyle="1" w:styleId="139">
    <w:name w:val="_Style 6"/>
    <w:basedOn w:val="1"/>
    <w:next w:val="124"/>
    <w:qFormat/>
    <w:uiPriority w:val="34"/>
    <w:pPr>
      <w:adjustRightInd w:val="0"/>
      <w:snapToGrid w:val="0"/>
      <w:spacing w:line="312" w:lineRule="auto"/>
      <w:ind w:firstLine="420" w:firstLineChars="200"/>
    </w:pPr>
    <w:rPr>
      <w:sz w:val="20"/>
      <w:szCs w:val="20"/>
    </w:rPr>
  </w:style>
  <w:style w:type="paragraph" w:customStyle="1" w:styleId="140">
    <w:name w:val="Body Text First Indent1"/>
    <w:basedOn w:val="19"/>
    <w:qFormat/>
    <w:uiPriority w:val="0"/>
    <w:pPr>
      <w:ind w:firstLine="420"/>
    </w:pPr>
    <w:rPr>
      <w:kern w:val="0"/>
      <w:sz w:val="20"/>
    </w:rPr>
  </w:style>
  <w:style w:type="paragraph" w:customStyle="1" w:styleId="141">
    <w:name w:val="x_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2">
    <w:name w:val="Char2"/>
    <w:basedOn w:val="1"/>
    <w:qFormat/>
    <w:uiPriority w:val="0"/>
    <w:pPr>
      <w:widowControl/>
      <w:spacing w:after="160" w:line="240" w:lineRule="exact"/>
      <w:ind w:left="-109" w:leftChars="-52"/>
      <w:jc w:val="left"/>
    </w:pPr>
  </w:style>
  <w:style w:type="paragraph" w:customStyle="1" w:styleId="143">
    <w:name w:val="Revision_8f946cd6-2ee4-4991-9d2a-940cea9464d3"/>
    <w:qFormat/>
    <w:uiPriority w:val="99"/>
    <w:rPr>
      <w:rFonts w:ascii="等线" w:hAnsi="等线" w:eastAsia="等线" w:cs="Times New Roman"/>
      <w:kern w:val="2"/>
      <w:sz w:val="21"/>
      <w:szCs w:val="24"/>
      <w:lang w:val="en-US" w:eastAsia="zh-CN" w:bidi="ar-SA"/>
    </w:rPr>
  </w:style>
  <w:style w:type="paragraph" w:customStyle="1" w:styleId="144">
    <w:name w:val="使用正文"/>
    <w:basedOn w:val="1"/>
    <w:qFormat/>
    <w:uiPriority w:val="0"/>
    <w:pPr>
      <w:spacing w:line="360" w:lineRule="auto"/>
      <w:ind w:firstLine="480" w:firstLineChars="200"/>
    </w:pPr>
    <w:rPr>
      <w:rFonts w:ascii="宋体" w:hAnsi="宋体" w:cs="Calibri"/>
      <w:kern w:val="0"/>
      <w:sz w:val="24"/>
    </w:rPr>
  </w:style>
  <w:style w:type="character" w:customStyle="1" w:styleId="145">
    <w:name w:val="font41"/>
    <w:qFormat/>
    <w:uiPriority w:val="0"/>
    <w:rPr>
      <w:rFonts w:hint="eastAsia" w:ascii="宋体" w:hAnsi="宋体" w:eastAsia="宋体" w:cs="宋体"/>
      <w:b/>
      <w:bCs/>
      <w:color w:val="000000"/>
      <w:sz w:val="24"/>
      <w:szCs w:val="24"/>
      <w:u w:val="none"/>
    </w:rPr>
  </w:style>
  <w:style w:type="character" w:customStyle="1" w:styleId="146">
    <w:name w:val="font01"/>
    <w:qFormat/>
    <w:uiPriority w:val="0"/>
    <w:rPr>
      <w:rFonts w:hint="eastAsia" w:ascii="宋体" w:hAnsi="宋体" w:eastAsia="宋体" w:cs="宋体"/>
      <w:color w:val="000000"/>
      <w:sz w:val="24"/>
      <w:szCs w:val="24"/>
      <w:u w:val="none"/>
    </w:rPr>
  </w:style>
  <w:style w:type="character" w:customStyle="1" w:styleId="147">
    <w:name w:val="font21"/>
    <w:qFormat/>
    <w:uiPriority w:val="0"/>
    <w:rPr>
      <w:rFonts w:hint="default" w:ascii="Times New Roman" w:hAnsi="Times New Roman" w:cs="Times New Roman"/>
      <w:color w:val="000000"/>
      <w:sz w:val="24"/>
      <w:szCs w:val="24"/>
      <w:u w:val="none"/>
    </w:rPr>
  </w:style>
  <w:style w:type="character" w:customStyle="1" w:styleId="148">
    <w:name w:val="font71"/>
    <w:qFormat/>
    <w:uiPriority w:val="0"/>
    <w:rPr>
      <w:rFonts w:hint="eastAsia" w:ascii="宋体" w:hAnsi="宋体" w:eastAsia="宋体" w:cs="宋体"/>
      <w:color w:val="000000"/>
      <w:sz w:val="18"/>
      <w:szCs w:val="18"/>
      <w:u w:val="none"/>
    </w:rPr>
  </w:style>
  <w:style w:type="character" w:customStyle="1" w:styleId="149">
    <w:name w:val="font51"/>
    <w:qFormat/>
    <w:uiPriority w:val="0"/>
    <w:rPr>
      <w:rFonts w:hint="default" w:ascii="Times New Roman" w:hAnsi="Times New Roman" w:cs="Times New Roman"/>
      <w:color w:val="000000"/>
      <w:sz w:val="18"/>
      <w:szCs w:val="18"/>
      <w:u w:val="none"/>
    </w:rPr>
  </w:style>
  <w:style w:type="character" w:customStyle="1" w:styleId="150">
    <w:name w:val="font31"/>
    <w:qFormat/>
    <w:uiPriority w:val="0"/>
    <w:rPr>
      <w:rFonts w:hint="eastAsia" w:ascii="宋体" w:hAnsi="宋体" w:eastAsia="宋体" w:cs="宋体"/>
      <w:b/>
      <w:bCs/>
      <w:color w:val="000000"/>
      <w:sz w:val="22"/>
      <w:szCs w:val="22"/>
      <w:u w:val="none"/>
    </w:rPr>
  </w:style>
  <w:style w:type="character" w:customStyle="1" w:styleId="151">
    <w:name w:val="font61"/>
    <w:qFormat/>
    <w:uiPriority w:val="0"/>
    <w:rPr>
      <w:rFonts w:hint="eastAsia" w:ascii="宋体" w:hAnsi="宋体" w:eastAsia="宋体" w:cs="宋体"/>
      <w:color w:val="000000"/>
      <w:sz w:val="20"/>
      <w:szCs w:val="20"/>
      <w:u w:val="none"/>
    </w:rPr>
  </w:style>
  <w:style w:type="character" w:customStyle="1" w:styleId="152">
    <w:name w:val="font11"/>
    <w:qFormat/>
    <w:uiPriority w:val="0"/>
    <w:rPr>
      <w:rFonts w:hint="eastAsia" w:ascii="黑体" w:hAnsi="宋体" w:eastAsia="黑体" w:cs="黑体"/>
      <w:b/>
      <w:bCs/>
      <w:color w:val="000000"/>
      <w:sz w:val="22"/>
      <w:szCs w:val="22"/>
      <w:u w:val="none"/>
    </w:rPr>
  </w:style>
  <w:style w:type="character" w:customStyle="1" w:styleId="153">
    <w:name w:val="font81"/>
    <w:qFormat/>
    <w:uiPriority w:val="0"/>
    <w:rPr>
      <w:rFonts w:hint="eastAsia" w:ascii="黑体" w:hAnsi="宋体" w:eastAsia="黑体" w:cs="黑体"/>
      <w:color w:val="FF0000"/>
      <w:sz w:val="24"/>
      <w:szCs w:val="24"/>
      <w:u w:val="none"/>
    </w:rPr>
  </w:style>
  <w:style w:type="paragraph" w:customStyle="1" w:styleId="154">
    <w:name w:val="Normal_9"/>
    <w:qFormat/>
    <w:uiPriority w:val="0"/>
    <w:pPr>
      <w:spacing w:before="120" w:after="240"/>
      <w:jc w:val="both"/>
    </w:pPr>
    <w:rPr>
      <w:rFonts w:ascii="Calibri" w:hAnsi="Calibri" w:eastAsia="宋体" w:cs="Times New Roman"/>
      <w:sz w:val="22"/>
      <w:szCs w:val="22"/>
      <w:lang w:val="en-US" w:eastAsia="en-US" w:bidi="ar-SA"/>
    </w:rPr>
  </w:style>
  <w:style w:type="paragraph" w:customStyle="1" w:styleId="155">
    <w:name w:val="Body text|1"/>
    <w:basedOn w:val="1"/>
    <w:qFormat/>
    <w:uiPriority w:val="0"/>
    <w:pPr>
      <w:spacing w:line="480" w:lineRule="auto"/>
    </w:pPr>
    <w:rPr>
      <w:rFonts w:ascii="宋体" w:hAnsi="宋体" w:eastAsia="宋体" w:cs="宋体"/>
      <w:sz w:val="17"/>
      <w:szCs w:val="17"/>
      <w:lang w:val="zh-TW" w:eastAsia="zh-TW" w:bidi="zh-TW"/>
    </w:rPr>
  </w:style>
  <w:style w:type="paragraph" w:customStyle="1" w:styleId="156">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245</Pages>
  <Words>17681</Words>
  <Characters>18269</Characters>
  <Paragraphs>6659</Paragraphs>
  <TotalTime>3</TotalTime>
  <ScaleCrop>false</ScaleCrop>
  <LinksUpToDate>false</LinksUpToDate>
  <CharactersWithSpaces>20222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2023-07-04T18:56:00Z</dcterms:created>
  <dc:creator>Acer</dc:creator>
  <cp:lastModifiedBy>ycl</cp:lastModifiedBy>
  <cp:lastPrinted>2024-08-20T07:52:00Z</cp:lastPrinted>
  <dcterms:modified xsi:type="dcterms:W3CDTF">2025-11-21T01:05:53Z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368A6D4FEEF9483E81C3B693B05B4CB3_13</vt:lpwstr>
  </property>
  <property fmtid="{D5CDD505-2E9C-101B-9397-08002B2CF9AE}" pid="4" name="KSOTemplateDocerSaveRecord">
    <vt:lpwstr>eyJoZGlkIjoiYjI4ZDgzNWU1MTQzZjlkYmE5YmRkYmY2NDZjZjRkNDIiLCJ1c2VySWQiOiI1NDUzNTYzMjcifQ==</vt:lpwstr>
  </property>
</Properties>
</file>