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0E8E">
      <w:pPr>
        <w:ind w:firstLine="315" w:firstLineChars="15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11</w:t>
      </w:r>
      <w:r>
        <w:rPr>
          <w:rFonts w:hint="default" w:ascii="Times New Roman" w:hAnsi="Times New Roman" w:cs="Times New Roman"/>
          <w:color w:val="auto"/>
          <w:szCs w:val="21"/>
          <w:highlight w:val="none"/>
        </w:rPr>
        <w:t>月发布</w:t>
      </w:r>
    </w:p>
    <w:p w14:paraId="04E98872">
      <w:pPr>
        <w:rPr>
          <w:rFonts w:hint="default" w:ascii="Times New Roman" w:hAnsi="Times New Roman" w:cs="Times New Roman"/>
          <w:b/>
          <w:color w:val="auto"/>
          <w:sz w:val="52"/>
          <w:szCs w:val="52"/>
          <w:highlight w:val="none"/>
        </w:rPr>
      </w:pPr>
    </w:p>
    <w:p w14:paraId="78DD26DA">
      <w:pPr>
        <w:pStyle w:val="9"/>
        <w:rPr>
          <w:rFonts w:ascii="Times New Roman" w:hAnsi="Times New Roman" w:cs="Times New Roman"/>
          <w:color w:val="auto"/>
          <w:highlight w:val="none"/>
        </w:rPr>
      </w:pPr>
    </w:p>
    <w:p w14:paraId="57796455">
      <w:pPr>
        <w:spacing w:line="360" w:lineRule="auto"/>
        <w:jc w:val="center"/>
        <w:rPr>
          <w:rFonts w:hint="default" w:ascii="Times New Roman" w:hAnsi="Times New Roman" w:cs="Times New Roman"/>
          <w:b/>
          <w:color w:val="auto"/>
          <w:sz w:val="52"/>
          <w:szCs w:val="52"/>
          <w:highlight w:val="none"/>
        </w:rPr>
      </w:pPr>
      <w:r>
        <w:rPr>
          <w:rFonts w:hint="eastAsia" w:ascii="Times New Roman" w:hAnsi="Times New Roman" w:cs="Times New Roman"/>
          <w:b/>
          <w:color w:val="auto"/>
          <w:kern w:val="2"/>
          <w:sz w:val="44"/>
          <w:szCs w:val="44"/>
          <w:highlight w:val="none"/>
          <w:lang w:eastAsia="zh-CN"/>
        </w:rPr>
        <w:t>广州市黄埔区云埔街火村社区莲潭经济合作社城中村改造项目（簕竹片区）复建02地块勘察初步设计</w:t>
      </w:r>
    </w:p>
    <w:p w14:paraId="4C60D227">
      <w:pPr>
        <w:pStyle w:val="9"/>
        <w:rPr>
          <w:rFonts w:hint="default" w:ascii="Times New Roman" w:hAnsi="Times New Roman" w:cs="Times New Roman"/>
          <w:color w:val="auto"/>
          <w:highlight w:val="none"/>
        </w:rPr>
      </w:pPr>
    </w:p>
    <w:p w14:paraId="066DF7C3">
      <w:pPr>
        <w:pStyle w:val="9"/>
        <w:rPr>
          <w:rFonts w:ascii="Times New Roman" w:hAnsi="Times New Roman" w:cs="Times New Roman"/>
          <w:color w:val="auto"/>
          <w:highlight w:val="none"/>
        </w:rPr>
      </w:pPr>
    </w:p>
    <w:p w14:paraId="39C844F5">
      <w:pPr>
        <w:spacing w:line="360" w:lineRule="auto"/>
        <w:jc w:val="center"/>
        <w:outlineLvl w:val="0"/>
        <w:rPr>
          <w:rFonts w:ascii="Times New Roman" w:hAnsi="Times New Roman" w:cs="Times New Roman"/>
          <w:b/>
          <w:color w:val="auto"/>
          <w:sz w:val="52"/>
          <w:szCs w:val="52"/>
          <w:highlight w:val="none"/>
        </w:rPr>
      </w:pPr>
      <w:bookmarkStart w:id="0" w:name="_Toc12159"/>
      <w:bookmarkStart w:id="1" w:name="_Toc16273"/>
      <w:bookmarkStart w:id="2" w:name="_Toc16377"/>
      <w:r>
        <w:rPr>
          <w:rFonts w:hint="default" w:ascii="Times New Roman" w:hAnsi="Times New Roman" w:cs="Times New Roman"/>
          <w:b/>
          <w:color w:val="auto"/>
          <w:sz w:val="52"/>
          <w:szCs w:val="52"/>
          <w:highlight w:val="none"/>
        </w:rPr>
        <w:t>招标文件</w:t>
      </w:r>
      <w:bookmarkEnd w:id="0"/>
      <w:bookmarkEnd w:id="1"/>
      <w:bookmarkEnd w:id="2"/>
    </w:p>
    <w:p w14:paraId="3B72A070">
      <w:pPr>
        <w:spacing w:line="360" w:lineRule="auto"/>
        <w:rPr>
          <w:rFonts w:ascii="Times New Roman" w:hAnsi="Times New Roman" w:cs="Times New Roman"/>
          <w:color w:val="auto"/>
          <w:szCs w:val="21"/>
          <w:highlight w:val="none"/>
        </w:rPr>
      </w:pPr>
    </w:p>
    <w:p w14:paraId="787F66A8">
      <w:pPr>
        <w:spacing w:line="360" w:lineRule="auto"/>
        <w:rPr>
          <w:rFonts w:ascii="Times New Roman" w:hAnsi="Times New Roman" w:cs="Times New Roman"/>
          <w:color w:val="auto"/>
          <w:szCs w:val="21"/>
          <w:highlight w:val="none"/>
        </w:rPr>
      </w:pPr>
    </w:p>
    <w:p w14:paraId="0E546E27">
      <w:pPr>
        <w:spacing w:line="360" w:lineRule="auto"/>
        <w:rPr>
          <w:rFonts w:ascii="Times New Roman" w:hAnsi="Times New Roman" w:cs="Times New Roman"/>
          <w:color w:val="auto"/>
          <w:szCs w:val="21"/>
          <w:highlight w:val="none"/>
        </w:rPr>
      </w:pPr>
    </w:p>
    <w:p w14:paraId="200D628A">
      <w:pPr>
        <w:spacing w:line="360" w:lineRule="auto"/>
        <w:rPr>
          <w:rFonts w:ascii="Times New Roman" w:hAnsi="Times New Roman" w:cs="Times New Roman"/>
          <w:color w:val="auto"/>
          <w:szCs w:val="21"/>
          <w:highlight w:val="none"/>
        </w:rPr>
      </w:pPr>
    </w:p>
    <w:p w14:paraId="0A7A04D5">
      <w:pPr>
        <w:pStyle w:val="18"/>
        <w:ind w:firstLine="400"/>
        <w:rPr>
          <w:rFonts w:ascii="Times New Roman" w:hAnsi="Times New Roman" w:cs="Times New Roman"/>
          <w:color w:val="auto"/>
          <w:szCs w:val="21"/>
          <w:highlight w:val="none"/>
        </w:rPr>
      </w:pPr>
    </w:p>
    <w:p w14:paraId="478AEC07">
      <w:pPr>
        <w:pStyle w:val="18"/>
        <w:ind w:firstLine="400"/>
        <w:rPr>
          <w:rFonts w:ascii="Times New Roman" w:hAnsi="Times New Roman" w:cs="Times New Roman"/>
          <w:color w:val="auto"/>
          <w:szCs w:val="21"/>
          <w:highlight w:val="none"/>
        </w:rPr>
      </w:pPr>
    </w:p>
    <w:p w14:paraId="3D383403">
      <w:pPr>
        <w:spacing w:line="360" w:lineRule="auto"/>
        <w:rPr>
          <w:rFonts w:ascii="Times New Roman" w:hAnsi="Times New Roman" w:cs="Times New Roman"/>
          <w:color w:val="auto"/>
          <w:szCs w:val="21"/>
          <w:highlight w:val="none"/>
        </w:rPr>
      </w:pPr>
    </w:p>
    <w:p w14:paraId="5C6B180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2068340D">
      <w:pPr>
        <w:spacing w:line="360" w:lineRule="auto"/>
        <w:ind w:left="630" w:hanging="630" w:hangingChars="300"/>
        <w:rPr>
          <w:rFonts w:hint="eastAsia" w:ascii="Times New Roman" w:hAnsi="Times New Roman" w:cs="Times New Roman"/>
          <w:b w:val="0"/>
          <w:color w:val="auto"/>
          <w:sz w:val="21"/>
          <w:szCs w:val="21"/>
          <w:highlight w:val="none"/>
          <w:u w:val="none"/>
          <w:lang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广州开城联晟城市开发投资有限公司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eastAsia="zh-CN" w:bidi="ar"/>
        </w:rPr>
        <w:t>广州筑正工程建设管理有限</w:t>
      </w:r>
    </w:p>
    <w:p w14:paraId="27FF3939">
      <w:pPr>
        <w:spacing w:line="360" w:lineRule="auto"/>
        <w:ind w:left="630" w:leftChars="300" w:firstLine="6090" w:firstLineChars="2900"/>
        <w:rPr>
          <w:rFonts w:hint="default" w:ascii="Times New Roman" w:hAnsi="Times New Roman" w:cs="Times New Roman"/>
          <w:color w:val="auto"/>
          <w:szCs w:val="21"/>
          <w:highlight w:val="none"/>
          <w:u w:val="none"/>
        </w:rPr>
      </w:pPr>
      <w:r>
        <w:rPr>
          <w:rFonts w:hint="eastAsia" w:ascii="Times New Roman" w:hAnsi="Times New Roman" w:cs="Times New Roman"/>
          <w:b w:val="0"/>
          <w:color w:val="auto"/>
          <w:sz w:val="21"/>
          <w:szCs w:val="21"/>
          <w:highlight w:val="none"/>
          <w:u w:val="none"/>
          <w:lang w:eastAsia="zh-CN" w:bidi="ar"/>
        </w:rPr>
        <w:t>公司</w:t>
      </w:r>
    </w:p>
    <w:p w14:paraId="6BEAD1D2">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default" w:ascii="Times New Roman" w:hAnsi="Times New Roman" w:cs="Times New Roman"/>
          <w:color w:val="auto"/>
          <w:szCs w:val="21"/>
          <w:highlight w:val="none"/>
          <w:u w:val="none"/>
          <w:lang w:val="en-US" w:eastAsia="zh-CN" w:bidi="ar"/>
        </w:rPr>
        <w:t>魏工</w:t>
      </w:r>
      <w:r>
        <w:rPr>
          <w:rFonts w:hint="default" w:ascii="Times New Roman" w:hAnsi="Times New Roman" w:cs="Times New Roman"/>
          <w:color w:val="auto"/>
          <w:szCs w:val="21"/>
          <w:highlight w:val="none"/>
          <w:u w:val="none"/>
          <w:lang w:eastAsia="zh-CN" w:bidi="ar"/>
        </w:rPr>
        <w:t>、</w:t>
      </w:r>
      <w:r>
        <w:rPr>
          <w:rFonts w:hint="default" w:ascii="Times New Roman" w:hAnsi="Times New Roman" w:cs="Times New Roman"/>
          <w:color w:val="auto"/>
          <w:szCs w:val="21"/>
          <w:highlight w:val="none"/>
          <w:u w:val="none"/>
          <w:lang w:val="en-US" w:eastAsia="zh-CN" w:bidi="ar"/>
        </w:rPr>
        <w:t>陈工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杨工</w:t>
      </w:r>
    </w:p>
    <w:p w14:paraId="6D96A78E">
      <w:pPr>
        <w:spacing w:line="360" w:lineRule="auto"/>
        <w:ind w:left="4830" w:hanging="4830" w:hangingChars="2300"/>
        <w:rPr>
          <w:rFonts w:hint="default" w:ascii="Times New Roman" w:hAnsi="Times New Roman" w:cs="Times New Roman"/>
          <w:color w:val="auto"/>
          <w:spacing w:val="0"/>
          <w:szCs w:val="21"/>
          <w:highlight w:val="none"/>
          <w:u w:val="none"/>
          <w:lang w:bidi="ar"/>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w:t>
      </w:r>
      <w:r>
        <w:rPr>
          <w:rFonts w:hint="eastAsia" w:ascii="Times New Roman" w:hAnsi="Times New Roman" w:cs="Times New Roman"/>
          <w:color w:val="auto"/>
          <w:spacing w:val="0"/>
          <w:szCs w:val="21"/>
          <w:highlight w:val="none"/>
          <w:u w:val="none"/>
          <w:lang w:eastAsia="zh-CN" w:bidi="ar"/>
        </w:rPr>
        <w:t>黄</w:t>
      </w:r>
      <w:r>
        <w:rPr>
          <w:rFonts w:hint="default" w:ascii="Times New Roman" w:hAnsi="Times New Roman" w:cs="Times New Roman"/>
          <w:color w:val="auto"/>
          <w:spacing w:val="0"/>
          <w:szCs w:val="21"/>
          <w:highlight w:val="none"/>
          <w:u w:val="none"/>
          <w:lang w:bidi="ar"/>
        </w:rPr>
        <w:t>埔区知凤街9号知识城大厦7楼</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zCs w:val="21"/>
          <w:highlight w:val="none"/>
          <w:u w:val="none"/>
          <w:lang w:bidi="ar"/>
        </w:rPr>
        <w:t>地址：广州市</w:t>
      </w:r>
      <w:r>
        <w:rPr>
          <w:rFonts w:hint="eastAsia" w:ascii="Times New Roman" w:hAnsi="Times New Roman" w:cs="Times New Roman"/>
          <w:color w:val="auto"/>
          <w:szCs w:val="21"/>
          <w:highlight w:val="none"/>
          <w:u w:val="none"/>
          <w:lang w:eastAsia="zh-CN" w:bidi="ar"/>
        </w:rPr>
        <w:t>黄</w:t>
      </w:r>
      <w:r>
        <w:rPr>
          <w:rFonts w:hint="default" w:ascii="Times New Roman" w:hAnsi="Times New Roman" w:cs="Times New Roman"/>
          <w:color w:val="auto"/>
          <w:szCs w:val="21"/>
          <w:highlight w:val="none"/>
          <w:u w:val="none"/>
          <w:lang w:bidi="ar"/>
        </w:rPr>
        <w:t>埔区水西路197号萝岗敏捷广场</w:t>
      </w:r>
    </w:p>
    <w:p w14:paraId="3450BF34">
      <w:pPr>
        <w:spacing w:line="360" w:lineRule="auto"/>
        <w:ind w:left="4809" w:leftChars="290" w:hanging="4200" w:hangingChars="2000"/>
        <w:rPr>
          <w:rFonts w:ascii="Times New Roman" w:hAnsi="Times New Roman" w:cs="Times New Roman"/>
          <w:color w:val="auto"/>
          <w:szCs w:val="21"/>
          <w:highlight w:val="none"/>
          <w:u w:val="none"/>
        </w:rPr>
      </w:pPr>
      <w:r>
        <w:rPr>
          <w:rFonts w:hint="default" w:ascii="Times New Roman" w:hAnsi="Times New Roman" w:cs="Times New Roman"/>
          <w:color w:val="auto"/>
          <w:spacing w:val="0"/>
          <w:szCs w:val="21"/>
          <w:highlight w:val="none"/>
          <w:u w:val="none"/>
          <w:lang w:bidi="ar"/>
        </w:rPr>
        <w:t>01-06室</w:t>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 xml:space="preserve"> D3栋18楼</w:t>
      </w:r>
    </w:p>
    <w:p w14:paraId="229AE4FF">
      <w:pPr>
        <w:spacing w:line="360" w:lineRule="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邮政编码：510000</w:t>
      </w:r>
    </w:p>
    <w:p w14:paraId="539FFBF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highlight w:val="none"/>
          <w:lang w:eastAsia="zh-CN"/>
        </w:rPr>
        <w:t>020-82165699-814</w:t>
      </w:r>
    </w:p>
    <w:p w14:paraId="41332BC8">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bidi="ar"/>
        </w:rPr>
        <w:t>/</w:t>
      </w:r>
    </w:p>
    <w:p w14:paraId="5A839F7E">
      <w:pPr>
        <w:spacing w:line="360" w:lineRule="auto"/>
        <w:rPr>
          <w:rFonts w:hint="eastAsia"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电子邮箱：</w:t>
      </w:r>
      <w:r>
        <w:rPr>
          <w:rFonts w:hint="eastAsia" w:ascii="Times New Roman" w:hAnsi="Times New Roman" w:cs="Times New Roman"/>
          <w:color w:val="auto"/>
          <w:spacing w:val="0"/>
          <w:sz w:val="21"/>
          <w:szCs w:val="22"/>
          <w:highlight w:val="none"/>
          <w:lang w:eastAsia="zh-CN"/>
        </w:rPr>
        <w:t>truzem@163.com</w:t>
      </w:r>
    </w:p>
    <w:p w14:paraId="1BF5381E">
      <w:pPr>
        <w:spacing w:line="360" w:lineRule="auto"/>
        <w:rPr>
          <w:rFonts w:ascii="Times New Roman" w:hAnsi="Times New Roman" w:cs="Times New Roman"/>
          <w:color w:val="auto"/>
          <w:szCs w:val="21"/>
          <w:highlight w:val="none"/>
          <w:u w:val="single"/>
        </w:rPr>
      </w:pPr>
    </w:p>
    <w:p w14:paraId="1C36CA50">
      <w:pPr>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1A60344C">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（本页无正文）</w:t>
      </w:r>
    </w:p>
    <w:p w14:paraId="42E3E81A">
      <w:pPr>
        <w:pStyle w:val="2"/>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ascii="Times New Roman" w:hAnsi="Times New Roman" w:cs="Times New Roman"/>
          <w:b/>
          <w:color w:val="auto"/>
          <w:sz w:val="32"/>
          <w:szCs w:val="32"/>
          <w:highlight w:val="none"/>
        </w:rPr>
      </w:pPr>
      <w:bookmarkStart w:id="3" w:name="_Toc9546"/>
      <w:bookmarkStart w:id="4" w:name="_Toc19464"/>
      <w:bookmarkStart w:id="5" w:name="_Toc23884"/>
      <w:r>
        <w:rPr>
          <w:rFonts w:hint="default" w:ascii="Times New Roman" w:hAnsi="Times New Roman" w:cs="Times New Roman"/>
          <w:b/>
          <w:color w:val="auto"/>
          <w:sz w:val="32"/>
          <w:szCs w:val="32"/>
          <w:highlight w:val="none"/>
        </w:rPr>
        <w:t>招标文件修改表</w:t>
      </w:r>
      <w:bookmarkEnd w:id="3"/>
      <w:bookmarkEnd w:id="4"/>
      <w:bookmarkEnd w:id="5"/>
    </w:p>
    <w:p w14:paraId="564911A1">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p w14:paraId="1529330B">
      <w:pPr>
        <w:ind w:firstLine="420"/>
        <w:rPr>
          <w:rFonts w:ascii="Times New Roman" w:hAnsi="Times New Roman" w:cs="Times New Roman"/>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343"/>
        <w:gridCol w:w="3965"/>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82709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A61493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343" w:type="dxa"/>
            <w:tcBorders>
              <w:top w:val="single" w:color="auto" w:sz="4" w:space="0"/>
              <w:left w:val="single" w:color="auto" w:sz="4" w:space="0"/>
              <w:bottom w:val="single" w:color="auto" w:sz="4" w:space="0"/>
              <w:right w:val="single" w:color="auto" w:sz="4" w:space="0"/>
            </w:tcBorders>
            <w:noWrap w:val="0"/>
            <w:vAlign w:val="top"/>
          </w:tcPr>
          <w:p w14:paraId="3798C46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965" w:type="dxa"/>
            <w:tcBorders>
              <w:top w:val="single" w:color="auto" w:sz="4" w:space="0"/>
              <w:left w:val="single" w:color="auto" w:sz="4" w:space="0"/>
              <w:bottom w:val="single" w:color="auto" w:sz="4" w:space="0"/>
              <w:right w:val="single" w:color="auto" w:sz="4" w:space="0"/>
            </w:tcBorders>
            <w:noWrap w:val="0"/>
            <w:vAlign w:val="top"/>
          </w:tcPr>
          <w:p w14:paraId="5F6C32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4618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CE33C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2DAF56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1108AFA">
            <w:pPr>
              <w:jc w:val="center"/>
              <w:rPr>
                <w:rFonts w:hint="eastAsia" w:ascii="宋体" w:hAnsi="宋体" w:cs="宋体"/>
                <w:color w:val="auto"/>
                <w:szCs w:val="21"/>
                <w:highlight w:val="none"/>
              </w:rPr>
            </w:pPr>
            <w:r>
              <w:rPr>
                <w:rFonts w:hint="eastAsia" w:ascii="宋体" w:hAnsi="宋体" w:cs="宋体"/>
                <w:color w:val="auto"/>
                <w:szCs w:val="21"/>
                <w:highlight w:val="none"/>
              </w:rPr>
              <w:t>修改详见《招标公告》</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80B6C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9CA0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343" w:type="dxa"/>
            <w:tcBorders>
              <w:top w:val="single" w:color="auto" w:sz="4" w:space="0"/>
              <w:left w:val="single" w:color="auto" w:sz="4" w:space="0"/>
              <w:bottom w:val="single" w:color="auto" w:sz="4" w:space="0"/>
              <w:right w:val="single" w:color="auto" w:sz="4" w:space="0"/>
            </w:tcBorders>
            <w:noWrap w:val="0"/>
            <w:vAlign w:val="top"/>
          </w:tcPr>
          <w:p w14:paraId="334428A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420C84A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34BC4F2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5A211B3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965" w:type="dxa"/>
            <w:tcBorders>
              <w:top w:val="single" w:color="auto" w:sz="4" w:space="0"/>
              <w:left w:val="single" w:color="auto" w:sz="4" w:space="0"/>
              <w:bottom w:val="single" w:color="auto" w:sz="4" w:space="0"/>
              <w:right w:val="single" w:color="auto" w:sz="4" w:space="0"/>
            </w:tcBorders>
            <w:noWrap w:val="0"/>
            <w:vAlign w:val="top"/>
          </w:tcPr>
          <w:p w14:paraId="7F3041E0">
            <w:pPr>
              <w:rPr>
                <w:rFonts w:hint="eastAsia" w:ascii="宋体" w:hAnsi="宋体" w:cs="宋体"/>
                <w:color w:val="auto"/>
                <w:szCs w:val="21"/>
                <w:highlight w:val="none"/>
              </w:rPr>
            </w:pPr>
            <w:r>
              <w:rPr>
                <w:rFonts w:hint="eastAsia" w:ascii="宋体" w:hAnsi="宋体" w:cs="宋体"/>
                <w:color w:val="auto"/>
                <w:szCs w:val="21"/>
                <w:highlight w:val="none"/>
              </w:rPr>
              <w:t>3.1    现场考察</w:t>
            </w:r>
          </w:p>
          <w:p w14:paraId="528F301F">
            <w:pPr>
              <w:rPr>
                <w:rFonts w:hint="eastAsia" w:ascii="宋体" w:hAnsi="宋体" w:cs="宋体"/>
                <w:color w:val="auto"/>
                <w:sz w:val="21"/>
                <w:szCs w:val="21"/>
                <w:highlight w:val="none"/>
              </w:rPr>
            </w:pPr>
            <w:r>
              <w:rPr>
                <w:rFonts w:hint="eastAsia" w:ascii="宋体" w:hAnsi="宋体" w:cs="宋体"/>
                <w:color w:val="auto"/>
                <w:szCs w:val="21"/>
                <w:highlight w:val="none"/>
              </w:rPr>
              <w:t xml:space="preserve">3.1.1  </w:t>
            </w:r>
            <w:r>
              <w:rPr>
                <w:rFonts w:hint="eastAsia" w:ascii="宋体" w:hAnsi="宋体" w:cs="宋体"/>
                <w:color w:val="auto"/>
                <w:szCs w:val="21"/>
                <w:highlight w:val="none"/>
                <w:u w:val="single"/>
              </w:rPr>
              <w:t>现场</w:t>
            </w:r>
            <w:r>
              <w:rPr>
                <w:rFonts w:hint="eastAsia" w:ascii="宋体" w:hAnsi="宋体" w:cs="宋体"/>
                <w:color w:val="auto"/>
                <w:sz w:val="21"/>
                <w:szCs w:val="21"/>
                <w:highlight w:val="none"/>
                <w:u w:val="single"/>
              </w:rPr>
              <w:t>考察由投标人自行考察，招标人不统一安排现场考察。</w:t>
            </w:r>
          </w:p>
          <w:p w14:paraId="76364CBF">
            <w:pPr>
              <w:rPr>
                <w:rFonts w:hint="eastAsia" w:ascii="宋体" w:hAnsi="宋体" w:cs="宋体"/>
                <w:color w:val="auto"/>
                <w:szCs w:val="21"/>
                <w:highlight w:val="none"/>
              </w:rPr>
            </w:pPr>
            <w:r>
              <w:rPr>
                <w:rFonts w:hint="eastAsia" w:ascii="宋体" w:hAnsi="宋体" w:cs="宋体"/>
                <w:color w:val="auto"/>
                <w:sz w:val="21"/>
                <w:szCs w:val="21"/>
                <w:highlight w:val="none"/>
                <w:u w:val="single"/>
              </w:rPr>
              <w:t>3.1.2  投标人及其代表必须承担那些进入现场后，由于自身的行为所造成的人身伤害（不管是否致命）、财产损失或损坏，</w:t>
            </w:r>
            <w:r>
              <w:rPr>
                <w:rFonts w:hint="eastAsia" w:ascii="宋体" w:hAnsi="宋体" w:cs="宋体"/>
                <w:color w:val="auto"/>
                <w:szCs w:val="21"/>
                <w:highlight w:val="none"/>
                <w:u w:val="single"/>
              </w:rPr>
              <w:t>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08A43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65A202">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27644CA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6C02465F">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投标人应认真审阅招标文件和有关资料，尽力澄清一切疑点，</w:t>
            </w:r>
            <w:r>
              <w:rPr>
                <w:rFonts w:hint="eastAsia" w:ascii="宋体" w:hAnsi="宋体" w:cs="宋体"/>
                <w:b/>
                <w:color w:val="auto"/>
                <w:szCs w:val="21"/>
                <w:highlight w:val="none"/>
                <w:u w:val="single"/>
              </w:rPr>
              <w:t>自行</w:t>
            </w:r>
            <w:r>
              <w:rPr>
                <w:rFonts w:hint="eastAsia" w:ascii="宋体" w:hAnsi="宋体" w:cs="宋体"/>
                <w:color w:val="auto"/>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140D33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31AB7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17704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47AFD5C">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：投标人需要澄清的问题应</w:t>
            </w:r>
            <w:r>
              <w:rPr>
                <w:rFonts w:hint="eastAsia" w:ascii="宋体" w:hAnsi="宋体" w:cs="宋体"/>
                <w:color w:val="auto"/>
                <w:szCs w:val="21"/>
                <w:highlight w:val="none"/>
                <w:u w:val="single"/>
              </w:rPr>
              <w:t>在投标截止时间18个日历天前</w:t>
            </w:r>
            <w:r>
              <w:rPr>
                <w:rFonts w:hint="eastAsia" w:ascii="宋体" w:hAnsi="宋体" w:cs="宋体"/>
                <w:color w:val="auto"/>
                <w:szCs w:val="21"/>
                <w:highlight w:val="none"/>
              </w:rPr>
              <w:t>，按交易平台的操作指引上传至交易平台网站。招标人应在递交投标文件截止时间</w:t>
            </w:r>
            <w:r>
              <w:rPr>
                <w:rFonts w:hint="eastAsia" w:ascii="宋体" w:hAnsi="宋体" w:cs="宋体"/>
                <w:color w:val="auto"/>
                <w:szCs w:val="21"/>
                <w:highlight w:val="none"/>
                <w:u w:val="single"/>
              </w:rPr>
              <w:t>15个日历天前</w:t>
            </w:r>
            <w:r>
              <w:rPr>
                <w:rFonts w:hint="eastAsia" w:ascii="宋体" w:hAnsi="宋体" w:cs="宋体"/>
                <w:color w:val="auto"/>
                <w:szCs w:val="21"/>
                <w:highlight w:val="none"/>
              </w:rPr>
              <w:t>解答投标人对招标文件提出的疑问，</w:t>
            </w:r>
            <w:r>
              <w:rPr>
                <w:rFonts w:hint="eastAsia" w:ascii="宋体" w:hAnsi="宋体" w:cs="宋体"/>
                <w:color w:val="auto"/>
                <w:szCs w:val="21"/>
                <w:highlight w:val="none"/>
                <w:u w:val="single"/>
              </w:rPr>
              <w:t>形成答疑纪要，在广州交易集团有限公司（广州公共资源交易中心）网站项目查询中本项目详情页里面发布。</w:t>
            </w:r>
            <w:r>
              <w:rPr>
                <w:rFonts w:hint="eastAsia" w:ascii="宋体" w:hAnsi="宋体" w:cs="宋体"/>
                <w:color w:val="auto"/>
                <w:szCs w:val="21"/>
                <w:highlight w:val="none"/>
              </w:rPr>
              <w:t>不足15日的，招标人应当顺延投标文件的截止时间。</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5899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D26E3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41B0DD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5A2F268">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：网上答疑的具体操作详见交易平台发布的相关操作指引。</w:t>
            </w:r>
            <w:r>
              <w:rPr>
                <w:rFonts w:hint="eastAsia" w:ascii="宋体" w:hAnsi="宋体" w:cs="宋体"/>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0848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AF58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3FE2F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2140D95">
            <w:pPr>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eastAsia" w:ascii="宋体" w:hAnsi="宋体" w:cs="宋体"/>
                <w:color w:val="auto"/>
                <w:szCs w:val="21"/>
                <w:highlight w:val="none"/>
                <w:u w:val="singl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eastAsia" w:ascii="宋体" w:hAnsi="宋体" w:cs="宋体"/>
                <w:color w:val="auto"/>
                <w:szCs w:val="21"/>
                <w:highlight w:val="none"/>
                <w:u w:val="single"/>
                <w:lang w:val="en-US" w:eastAsia="zh-CN"/>
              </w:rPr>
              <w:t>投标文件</w:t>
            </w:r>
            <w:r>
              <w:rPr>
                <w:rFonts w:hint="eastAsia" w:ascii="宋体" w:hAnsi="宋体" w:cs="宋体"/>
                <w:color w:val="auto"/>
                <w:szCs w:val="21"/>
                <w:highlight w:val="none"/>
                <w:u w:val="single"/>
              </w:rPr>
              <w:t>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04F9A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0D174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D20492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ECF7009">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：投标人通过下载招标文件的</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8494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4C970C">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343" w:type="dxa"/>
            <w:tcBorders>
              <w:top w:val="single" w:color="auto" w:sz="4" w:space="0"/>
              <w:left w:val="single" w:color="auto" w:sz="4" w:space="0"/>
              <w:bottom w:val="single" w:color="auto" w:sz="4" w:space="0"/>
              <w:right w:val="single" w:color="auto" w:sz="4" w:space="0"/>
            </w:tcBorders>
            <w:noWrap w:val="0"/>
            <w:vAlign w:val="top"/>
          </w:tcPr>
          <w:p w14:paraId="4F008834">
            <w:pPr>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47C0FF7">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965" w:type="dxa"/>
            <w:tcBorders>
              <w:top w:val="single" w:color="auto" w:sz="4" w:space="0"/>
              <w:left w:val="single" w:color="auto" w:sz="4" w:space="0"/>
              <w:bottom w:val="single" w:color="auto" w:sz="4" w:space="0"/>
              <w:right w:val="single" w:color="auto" w:sz="4" w:space="0"/>
            </w:tcBorders>
            <w:noWrap w:val="0"/>
            <w:vAlign w:val="top"/>
          </w:tcPr>
          <w:p w14:paraId="65690D1E">
            <w:pPr>
              <w:ind w:hanging="9"/>
              <w:jc w:val="left"/>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w:t>
            </w:r>
          </w:p>
          <w:p w14:paraId="568A2B57">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投标人可制作非加密的电子投标文件刻入光盘（或U盘）（</w:t>
            </w:r>
            <w:r>
              <w:rPr>
                <w:rFonts w:hint="eastAsia" w:ascii="宋体" w:hAnsi="宋体" w:cs="宋体"/>
                <w:color w:val="auto"/>
                <w:szCs w:val="21"/>
                <w:highlight w:val="none"/>
                <w:u w:val="single"/>
              </w:rPr>
              <w:t>总信封</w:t>
            </w:r>
            <w:r>
              <w:rPr>
                <w:rFonts w:hint="eastAsia" w:ascii="宋体" w:hAnsi="宋体" w:cs="宋体"/>
                <w:color w:val="auto"/>
                <w:szCs w:val="21"/>
                <w:highlight w:val="none"/>
              </w:rPr>
              <w:t>1份</w:t>
            </w:r>
            <w:r>
              <w:rPr>
                <w:rFonts w:hint="eastAsia" w:ascii="宋体" w:hAnsi="宋体" w:cs="宋体"/>
                <w:color w:val="auto"/>
                <w:szCs w:val="21"/>
                <w:highlight w:val="none"/>
                <w:u w:val="single"/>
              </w:rPr>
              <w:t>，内含2个光盘（或U盘））：</w:t>
            </w:r>
            <w:r>
              <w:rPr>
                <w:rFonts w:hint="eastAsia" w:ascii="宋体" w:hAnsi="宋体" w:cs="宋体"/>
                <w:b/>
                <w:color w:val="auto"/>
                <w:szCs w:val="21"/>
                <w:highlight w:val="none"/>
                <w:u w:val="single"/>
              </w:rPr>
              <w:t>光盘</w:t>
            </w:r>
            <w:r>
              <w:rPr>
                <w:rFonts w:hint="eastAsia" w:ascii="宋体" w:hAnsi="宋体" w:cs="宋体"/>
                <w:b/>
                <w:bCs/>
                <w:color w:val="auto"/>
                <w:szCs w:val="21"/>
                <w:highlight w:val="none"/>
                <w:u w:val="single"/>
              </w:rPr>
              <w:t>（或U盘）</w:t>
            </w:r>
            <w:r>
              <w:rPr>
                <w:rFonts w:hint="eastAsia" w:ascii="宋体" w:hAnsi="宋体" w:cs="宋体"/>
                <w:b/>
                <w:color w:val="auto"/>
                <w:szCs w:val="21"/>
                <w:highlight w:val="none"/>
                <w:u w:val="single"/>
              </w:rPr>
              <w:t>分类如下</w:t>
            </w:r>
            <w:r>
              <w:rPr>
                <w:rFonts w:hint="eastAsia" w:ascii="宋体" w:hAnsi="宋体" w:cs="宋体"/>
                <w:color w:val="auto"/>
                <w:szCs w:val="21"/>
                <w:highlight w:val="none"/>
                <w:u w:val="single"/>
              </w:rPr>
              <w:t>：①勘察</w:t>
            </w:r>
            <w:r>
              <w:rPr>
                <w:rFonts w:hint="eastAsia" w:ascii="宋体" w:hAnsi="宋体" w:cs="宋体"/>
                <w:color w:val="auto"/>
                <w:szCs w:val="21"/>
                <w:highlight w:val="none"/>
                <w:u w:val="single"/>
                <w:lang w:val="en-US" w:eastAsia="zh-CN"/>
              </w:rPr>
              <w:t>初步</w:t>
            </w:r>
            <w:r>
              <w:rPr>
                <w:rFonts w:hint="eastAsia" w:ascii="宋体" w:hAnsi="宋体" w:cs="宋体"/>
                <w:color w:val="auto"/>
                <w:szCs w:val="21"/>
                <w:highlight w:val="none"/>
                <w:u w:val="single"/>
              </w:rPr>
              <w:t>设计方案（暗标，单独密封在密封袋中，不得标注或做任何可以辨认投标人及专业技术人员身份的名称、印章、商标、图形等），②用于揭晓勘察</w:t>
            </w:r>
            <w:r>
              <w:rPr>
                <w:rFonts w:hint="eastAsia" w:ascii="宋体" w:hAnsi="宋体" w:cs="宋体"/>
                <w:color w:val="auto"/>
                <w:szCs w:val="21"/>
                <w:highlight w:val="none"/>
                <w:u w:val="single"/>
                <w:lang w:val="en-US" w:eastAsia="zh-CN"/>
              </w:rPr>
              <w:t>初步</w:t>
            </w:r>
            <w:r>
              <w:rPr>
                <w:rFonts w:hint="eastAsia" w:ascii="宋体" w:hAnsi="宋体" w:cs="宋体"/>
                <w:color w:val="auto"/>
                <w:szCs w:val="21"/>
                <w:highlight w:val="none"/>
                <w:u w:val="single"/>
              </w:rPr>
              <w:t>设计方案的可识别投标人身份的文件，③开标信封</w:t>
            </w:r>
            <w:r>
              <w:rPr>
                <w:rFonts w:hint="eastAsia" w:ascii="宋体" w:hAnsi="宋体" w:cs="宋体"/>
                <w:b/>
                <w:color w:val="auto"/>
                <w:szCs w:val="21"/>
                <w:highlight w:val="none"/>
                <w:u w:val="single"/>
              </w:rPr>
              <w:t>（开标信封需包含的内容详见备注）</w:t>
            </w:r>
            <w:r>
              <w:rPr>
                <w:rFonts w:hint="eastAsia" w:ascii="宋体" w:hAnsi="宋体" w:cs="宋体"/>
                <w:color w:val="auto"/>
                <w:szCs w:val="21"/>
                <w:highlight w:val="none"/>
                <w:u w:val="single"/>
              </w:rPr>
              <w:t>、资格审查文件及其他文件（如有）、报价文件。</w:t>
            </w:r>
            <w:r>
              <w:rPr>
                <w:rFonts w:hint="eastAsia" w:ascii="宋体" w:hAnsi="宋体" w:cs="宋体"/>
                <w:color w:val="auto"/>
                <w:szCs w:val="21"/>
                <w:highlight w:val="none"/>
              </w:rPr>
              <w:t>在招标公告规定的时间、地点</w:t>
            </w:r>
            <w:r>
              <w:rPr>
                <w:rFonts w:hint="eastAsia" w:ascii="宋体" w:hAnsi="宋体" w:cs="宋体"/>
                <w:bCs/>
                <w:color w:val="auto"/>
                <w:szCs w:val="21"/>
                <w:highlight w:val="none"/>
                <w:u w:val="single"/>
              </w:rPr>
              <w:t>凭法定代表人（境外企业的企业负责人）证明书原件、法定代表人（境外企业的企业负责人）授权委托证明书原件（非法定代表人办理手续时提供）、本人身份证原件</w:t>
            </w:r>
            <w:r>
              <w:rPr>
                <w:rFonts w:hint="eastAsia" w:ascii="宋体" w:hAnsi="宋体" w:cs="宋体"/>
                <w:color w:val="auto"/>
                <w:szCs w:val="21"/>
                <w:highlight w:val="none"/>
              </w:rPr>
              <w:t>提交备用。刻录好的投标文件光盘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密封在密封袋中，并在封口处加盖投标人单位公章</w:t>
            </w:r>
            <w:r>
              <w:rPr>
                <w:rFonts w:hint="eastAsia" w:ascii="宋体" w:hAnsi="宋体" w:cs="宋体"/>
                <w:color w:val="auto"/>
                <w:szCs w:val="21"/>
                <w:highlight w:val="none"/>
                <w:u w:val="single"/>
              </w:rPr>
              <w:t>（设计方案光盘（或U盘）除外）</w:t>
            </w:r>
            <w:r>
              <w:rPr>
                <w:rFonts w:hint="eastAsia" w:ascii="宋体" w:hAnsi="宋体" w:cs="宋体"/>
                <w:color w:val="auto"/>
                <w:szCs w:val="21"/>
                <w:highlight w:val="none"/>
              </w:rPr>
              <w:t>。密封袋上应写明项目名称和招标人名称</w:t>
            </w:r>
            <w:r>
              <w:rPr>
                <w:rFonts w:hint="eastAsia" w:ascii="宋体" w:hAnsi="宋体" w:cs="宋体"/>
                <w:color w:val="auto"/>
                <w:szCs w:val="21"/>
                <w:highlight w:val="none"/>
                <w:u w:val="single"/>
              </w:rPr>
              <w:t>（设计方案光盘（或U盘）除外）</w:t>
            </w:r>
            <w:r>
              <w:rPr>
                <w:rFonts w:hint="eastAsia" w:ascii="宋体" w:hAnsi="宋体" w:cs="宋体"/>
                <w:color w:val="auto"/>
                <w:szCs w:val="21"/>
                <w:highlight w:val="none"/>
              </w:rPr>
              <w:t>。递交的投标文件光盘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（备用）不得加密。备用光盘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无法读取或导入的，则视为未提交投标文件光盘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（备用）。如果投标人没有按规定通过交易平台网上递交电子投标文件的，不再读取提交的光盘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。投标人也可不提交投标文件光盘</w:t>
            </w:r>
            <w:r>
              <w:rPr>
                <w:rFonts w:hint="eastAsia" w:ascii="宋体" w:hAnsi="宋体" w:cs="宋体"/>
                <w:color w:val="auto"/>
                <w:szCs w:val="21"/>
                <w:highlight w:val="none"/>
                <w:u w:val="single"/>
              </w:rPr>
              <w:t>（或U盘）</w:t>
            </w:r>
            <w:r>
              <w:rPr>
                <w:rFonts w:hint="eastAsia" w:ascii="宋体" w:hAnsi="宋体" w:cs="宋体"/>
                <w:color w:val="auto"/>
                <w:szCs w:val="21"/>
                <w:highlight w:val="none"/>
              </w:rPr>
              <w:t>（备用）。</w:t>
            </w:r>
          </w:p>
          <w:p w14:paraId="3DCD60A3">
            <w:pPr>
              <w:rPr>
                <w:rFonts w:hint="eastAsia" w:ascii="宋体" w:hAnsi="宋体" w:cs="宋体"/>
                <w:b/>
                <w:color w:val="auto"/>
                <w:szCs w:val="21"/>
                <w:highlight w:val="none"/>
              </w:rPr>
            </w:pPr>
            <w:r>
              <w:rPr>
                <w:rFonts w:hint="eastAsia" w:ascii="宋体" w:hAnsi="宋体" w:cs="宋体"/>
                <w:b/>
                <w:color w:val="auto"/>
                <w:szCs w:val="21"/>
                <w:highlight w:val="none"/>
                <w:u w:val="singl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393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FBD9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3AE921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3C3B6E4">
            <w:pPr>
              <w:rPr>
                <w:rFonts w:hint="eastAsia" w:ascii="宋体" w:hAnsi="宋体" w:cs="宋体"/>
                <w:color w:val="auto"/>
                <w:szCs w:val="21"/>
                <w:highlight w:val="none"/>
                <w:u w:val="single"/>
              </w:rPr>
            </w:pPr>
            <w:r>
              <w:rPr>
                <w:rFonts w:hint="eastAsia" w:ascii="宋体" w:hAnsi="宋体" w:cs="宋体"/>
                <w:b/>
                <w:color w:val="auto"/>
                <w:szCs w:val="21"/>
                <w:highlight w:val="none"/>
              </w:rPr>
              <w:t>修改</w:t>
            </w:r>
            <w:r>
              <w:rPr>
                <w:rFonts w:hint="eastAsia" w:ascii="宋体" w:hAnsi="宋体" w:cs="宋体"/>
                <w:color w:val="auto"/>
                <w:szCs w:val="21"/>
                <w:highlight w:val="none"/>
                <w:u w:val="single"/>
              </w:rPr>
              <w:t>：投标人需要提交投标保证金。本项目投标保证金的金额：</w:t>
            </w:r>
            <w:r>
              <w:rPr>
                <w:rFonts w:hint="eastAsia" w:ascii="宋体" w:hAnsi="宋体" w:cs="宋体"/>
                <w:b/>
                <w:bCs/>
                <w:color w:val="auto"/>
                <w:szCs w:val="21"/>
                <w:highlight w:val="none"/>
                <w:u w:val="single"/>
              </w:rPr>
              <w:t>5万元</w:t>
            </w:r>
            <w:r>
              <w:rPr>
                <w:rFonts w:hint="eastAsia" w:ascii="宋体" w:hAnsi="宋体" w:cs="宋体"/>
                <w:color w:val="auto"/>
                <w:szCs w:val="21"/>
                <w:highlight w:val="none"/>
                <w:u w:val="single"/>
              </w:rPr>
              <w:t>人民币，缴纳时间在投标截止时间之前。</w:t>
            </w:r>
          </w:p>
          <w:p w14:paraId="17022451">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注：投标保证金有效期应当与投标文件有效期一致。</w:t>
            </w:r>
          </w:p>
          <w:p w14:paraId="7E0714C9">
            <w:pPr>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eastAsia" w:ascii="宋体" w:hAnsi="宋体" w:cs="宋体"/>
                <w:color w:val="auto"/>
                <w:szCs w:val="21"/>
                <w:highlight w:val="none"/>
                <w:u w:val="single"/>
              </w:rPr>
            </w:pPr>
            <w:r>
              <w:rPr>
                <w:rFonts w:hint="eastAsia" w:ascii="宋体" w:hAnsi="宋体" w:cs="宋体"/>
                <w:color w:val="auto"/>
                <w:szCs w:val="21"/>
                <w:highlight w:val="none"/>
                <w:u w:val="single"/>
              </w:rPr>
              <w:t>收取方式：</w:t>
            </w:r>
          </w:p>
          <w:p w14:paraId="1EF6853D">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（1）如采用现金、支票或者银行汇票、银行本票、银行电汇、银行转账形式提交的，由广州交易集团有限公司代收，投标保证金须从投标人基本账户递交；</w:t>
            </w:r>
          </w:p>
          <w:p w14:paraId="6FAA07A5">
            <w:pPr>
              <w:rPr>
                <w:rFonts w:hint="eastAsia" w:ascii="宋体" w:hAnsi="宋体" w:cs="宋体"/>
                <w:color w:val="auto"/>
                <w:szCs w:val="21"/>
                <w:highlight w:val="none"/>
                <w:u w:val="single"/>
              </w:rPr>
            </w:pPr>
            <w:r>
              <w:rPr>
                <w:rFonts w:hint="eastAsia" w:ascii="宋体" w:hAnsi="宋体" w:cs="宋体"/>
                <w:color w:val="auto"/>
                <w:szCs w:val="21"/>
                <w:highlight w:val="none"/>
                <w:u w:val="single"/>
              </w:rPr>
              <w:t>收款单位：广州交易集团有限公司</w:t>
            </w:r>
          </w:p>
          <w:p w14:paraId="58B80D4E">
            <w:pPr>
              <w:rPr>
                <w:rFonts w:hint="eastAsia" w:ascii="宋体" w:hAnsi="宋体" w:cs="宋体"/>
                <w:color w:val="auto"/>
                <w:szCs w:val="21"/>
                <w:highlight w:val="none"/>
                <w:u w:val="single"/>
              </w:rPr>
            </w:pPr>
            <w:r>
              <w:rPr>
                <w:rFonts w:hint="eastAsia" w:ascii="宋体" w:hAnsi="宋体" w:cs="宋体"/>
                <w:color w:val="auto"/>
                <w:szCs w:val="21"/>
                <w:highlight w:val="none"/>
                <w:u w:val="single"/>
              </w:rPr>
              <w:t>银行账号：44001583404059333333</w:t>
            </w:r>
          </w:p>
          <w:p w14:paraId="6883FD8C">
            <w:pPr>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开户银行：中国建设银行广州天润路支行</w:t>
            </w:r>
          </w:p>
          <w:p w14:paraId="45B5AC08">
            <w:pPr>
              <w:rPr>
                <w:rFonts w:hint="eastAsia" w:ascii="宋体" w:hAnsi="宋体" w:cs="宋体"/>
                <w:color w:val="auto"/>
                <w:szCs w:val="21"/>
                <w:highlight w:val="none"/>
                <w:u w:val="single"/>
              </w:rPr>
            </w:pPr>
            <w:r>
              <w:rPr>
                <w:rFonts w:hint="eastAsia" w:ascii="宋体" w:hAnsi="宋体" w:cs="宋体"/>
                <w:color w:val="auto"/>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eastAsia" w:ascii="宋体" w:hAnsi="宋体" w:cs="宋体"/>
                <w:color w:val="auto"/>
                <w:szCs w:val="21"/>
                <w:highlight w:val="none"/>
                <w:u w:val="single"/>
              </w:rPr>
            </w:pPr>
            <w:r>
              <w:rPr>
                <w:rFonts w:hint="eastAsia" w:ascii="宋体" w:hAnsi="宋体" w:cs="宋体"/>
                <w:color w:val="auto"/>
                <w:szCs w:val="21"/>
                <w:highlight w:val="none"/>
                <w:u w:val="single"/>
              </w:rPr>
              <w:t>（3）采用电子形式的保函、担保或保证保险提交投标保证金的，开具及递交以广州交易集团有限公司（广州公共资源交易中心）的相关操作指引为准。</w:t>
            </w:r>
          </w:p>
          <w:p w14:paraId="3AFC1AA6">
            <w:pPr>
              <w:rPr>
                <w:rFonts w:hint="eastAsia" w:ascii="宋体" w:hAnsi="宋体" w:cs="宋体"/>
                <w:color w:val="auto"/>
                <w:szCs w:val="21"/>
                <w:highlight w:val="none"/>
                <w:u w:val="single"/>
              </w:rPr>
            </w:pPr>
            <w:r>
              <w:rPr>
                <w:rFonts w:hint="eastAsia" w:ascii="宋体" w:hAnsi="宋体" w:cs="宋体"/>
                <w:color w:val="auto"/>
                <w:szCs w:val="21"/>
                <w:highlight w:val="none"/>
                <w:u w:val="single"/>
              </w:rPr>
              <w:t>（4）如联合体投标，投标保证金由联合体牵头方缴纳。</w:t>
            </w:r>
          </w:p>
          <w:p w14:paraId="14BEA3E0">
            <w:pPr>
              <w:rPr>
                <w:rFonts w:hint="eastAsia" w:ascii="宋体" w:hAnsi="宋体" w:cs="宋体"/>
                <w:color w:val="auto"/>
                <w:szCs w:val="21"/>
                <w:highlight w:val="none"/>
                <w:u w:val="single"/>
              </w:rPr>
            </w:pPr>
            <w:r>
              <w:rPr>
                <w:rFonts w:hint="eastAsia" w:ascii="宋体" w:hAnsi="宋体" w:cs="宋体"/>
                <w:color w:val="auto"/>
                <w:szCs w:val="21"/>
                <w:highlight w:val="none"/>
                <w:u w:val="single"/>
              </w:rPr>
              <w:t>注：①对于未能按要求交纳投标保证金的投标人，招标人将视为不响应招标文件而予以拒绝，责任由投标人自负。</w:t>
            </w:r>
          </w:p>
          <w:p w14:paraId="01ADBCC3">
            <w:pPr>
              <w:rPr>
                <w:rFonts w:hint="eastAsia" w:ascii="宋体" w:hAnsi="宋体" w:cs="宋体"/>
                <w:color w:val="auto"/>
                <w:szCs w:val="21"/>
                <w:highlight w:val="none"/>
                <w:u w:val="single"/>
              </w:rPr>
            </w:pPr>
            <w:r>
              <w:rPr>
                <w:rFonts w:hint="eastAsia" w:ascii="宋体" w:hAnsi="宋体" w:cs="宋体"/>
                <w:color w:val="auto"/>
                <w:szCs w:val="21"/>
                <w:highlight w:val="none"/>
                <w:u w:val="single"/>
              </w:rPr>
              <w:t>②投标保证金有效期应长于或等于投标有效期，若投标有效期延长的，投标保证金有效期应相应延长，且延长后的有效期应满足前述要求。</w:t>
            </w:r>
          </w:p>
          <w:p w14:paraId="6A7ACAF4">
            <w:pPr>
              <w:rPr>
                <w:rFonts w:hint="eastAsia" w:ascii="宋体" w:hAnsi="宋体" w:cs="宋体"/>
                <w:color w:val="auto"/>
                <w:szCs w:val="21"/>
                <w:highlight w:val="none"/>
              </w:rPr>
            </w:pPr>
            <w:r>
              <w:rPr>
                <w:rFonts w:hint="eastAsia" w:ascii="宋体" w:hAnsi="宋体" w:cs="宋体"/>
                <w:color w:val="auto"/>
                <w:szCs w:val="21"/>
                <w:highlight w:val="none"/>
                <w:u w:val="singl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733466">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728A59">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6843AE4F">
            <w:pPr>
              <w:snapToGrid w:val="0"/>
              <w:rPr>
                <w:rFonts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6EEE5A4">
            <w:pPr>
              <w:snapToGrid w:val="0"/>
              <w:rPr>
                <w:rFonts w:hint="eastAsia"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：投标有效期90日历天，从提交投标文件截止日起计算</w:t>
            </w:r>
            <w:r>
              <w:rPr>
                <w:rFonts w:hint="eastAsia" w:ascii="宋体" w:hAnsi="宋体" w:cs="宋体"/>
                <w:color w:val="auto"/>
                <w:szCs w:val="21"/>
                <w:highlight w:val="none"/>
                <w:u w:val="single"/>
              </w:rPr>
              <w:t>，如出现异议或投诉，则投标有效期自动延长至异议或投诉处理结束。</w:t>
            </w:r>
            <w:r>
              <w:rPr>
                <w:rFonts w:hint="eastAsia" w:ascii="宋体" w:hAnsi="宋体" w:cs="宋体"/>
                <w:color w:val="auto"/>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29326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EA07AD">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343" w:type="dxa"/>
            <w:tcBorders>
              <w:top w:val="single" w:color="auto" w:sz="4" w:space="0"/>
              <w:left w:val="nil"/>
              <w:bottom w:val="single" w:color="auto" w:sz="4" w:space="0"/>
              <w:right w:val="single" w:color="auto" w:sz="4" w:space="0"/>
            </w:tcBorders>
            <w:noWrap w:val="0"/>
            <w:vAlign w:val="center"/>
          </w:tcPr>
          <w:p w14:paraId="592D61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29D085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5B5B97C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37D3321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267F9B9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68B06891">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569ABE8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1A62EA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FAD59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CFFD2B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6B40DD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577ECD9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0DA8F86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380A0BE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025D7C7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59F2917B">
            <w:pPr>
              <w:snapToGrid w:val="0"/>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965" w:type="dxa"/>
            <w:tcBorders>
              <w:top w:val="single" w:color="auto" w:sz="4" w:space="0"/>
              <w:left w:val="nil"/>
              <w:bottom w:val="single" w:color="auto" w:sz="4" w:space="0"/>
              <w:right w:val="single" w:color="auto" w:sz="4" w:space="0"/>
            </w:tcBorders>
            <w:noWrap w:val="0"/>
            <w:vAlign w:val="center"/>
          </w:tcPr>
          <w:p w14:paraId="3F6ED306">
            <w:pPr>
              <w:rPr>
                <w:rFonts w:hint="eastAsia"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3.11</w:t>
            </w:r>
            <w:r>
              <w:rPr>
                <w:rFonts w:hint="eastAsia" w:ascii="宋体" w:hAnsi="宋体" w:cs="宋体"/>
                <w:b/>
                <w:color w:val="auto"/>
                <w:szCs w:val="21"/>
                <w:highlight w:val="none"/>
              </w:rPr>
              <w:t>投标人不得存在下列情形之一：</w:t>
            </w:r>
          </w:p>
          <w:p w14:paraId="4E11CE59">
            <w:pPr>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7F06B97D">
            <w:pPr>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1D86988">
            <w:pPr>
              <w:rPr>
                <w:rFonts w:hint="eastAsia"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67BC18E8">
            <w:pPr>
              <w:rPr>
                <w:rFonts w:hint="eastAsia"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35BA636B">
            <w:pPr>
              <w:rPr>
                <w:rFonts w:hint="eastAsia" w:ascii="宋体" w:hAnsi="宋体" w:cs="宋体"/>
                <w:color w:val="auto"/>
                <w:szCs w:val="21"/>
                <w:highlight w:val="none"/>
              </w:rPr>
            </w:pPr>
            <w:r>
              <w:rPr>
                <w:rFonts w:hint="eastAsia" w:ascii="宋体" w:hAnsi="宋体" w:cs="宋体"/>
                <w:color w:val="auto"/>
                <w:szCs w:val="21"/>
                <w:highlight w:val="none"/>
              </w:rPr>
              <w:t>（5）为本招标项目的代建人；</w:t>
            </w:r>
          </w:p>
          <w:p w14:paraId="7499EA46">
            <w:pPr>
              <w:rPr>
                <w:rFonts w:hint="eastAsia" w:ascii="宋体" w:hAnsi="宋体" w:cs="宋体"/>
                <w:color w:val="auto"/>
                <w:szCs w:val="21"/>
                <w:highlight w:val="none"/>
              </w:rPr>
            </w:pPr>
            <w:r>
              <w:rPr>
                <w:rFonts w:hint="eastAsia" w:ascii="宋体" w:hAnsi="宋体" w:cs="宋体"/>
                <w:color w:val="auto"/>
                <w:szCs w:val="21"/>
                <w:highlight w:val="none"/>
              </w:rPr>
              <w:t>（6）为本招标项目的招标代理机构；</w:t>
            </w:r>
          </w:p>
          <w:p w14:paraId="387CA023">
            <w:pPr>
              <w:rPr>
                <w:rFonts w:hint="eastAsia"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09F23E21">
            <w:pPr>
              <w:rPr>
                <w:rFonts w:hint="eastAsia"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68D6A767">
            <w:pPr>
              <w:rPr>
                <w:rFonts w:hint="eastAsia" w:ascii="宋体" w:hAnsi="宋体" w:cs="宋体"/>
                <w:color w:val="auto"/>
                <w:szCs w:val="21"/>
                <w:highlight w:val="none"/>
                <w:u w:val="single"/>
              </w:rPr>
            </w:pPr>
            <w:r>
              <w:rPr>
                <w:rFonts w:hint="eastAsia" w:ascii="宋体" w:hAnsi="宋体" w:cs="宋体"/>
                <w:color w:val="auto"/>
                <w:szCs w:val="21"/>
                <w:highlight w:val="none"/>
              </w:rPr>
              <w:t>（9）被依法暂停或者取消投标资格；</w:t>
            </w:r>
            <w:r>
              <w:rPr>
                <w:rFonts w:hint="eastAsia" w:ascii="宋体" w:hAnsi="宋体" w:cs="宋体"/>
                <w:color w:val="auto"/>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hint="eastAsia"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r>
              <w:rPr>
                <w:rFonts w:hint="eastAsia" w:ascii="宋体" w:hAnsi="宋体" w:cs="宋体"/>
                <w:color w:val="auto"/>
                <w:szCs w:val="21"/>
                <w:highlight w:val="none"/>
                <w:u w:val="single"/>
              </w:rPr>
              <w:t>（本项事实应当以根据《中华人民共和国行政处罚法》依法作出并已经生效的行政处罚决定为认定依据。）</w:t>
            </w:r>
            <w:r>
              <w:rPr>
                <w:rFonts w:hint="eastAsia" w:ascii="宋体" w:hAnsi="宋体" w:cs="宋体"/>
                <w:color w:val="auto"/>
                <w:szCs w:val="21"/>
                <w:highlight w:val="none"/>
              </w:rPr>
              <w:t>；</w:t>
            </w:r>
          </w:p>
          <w:p w14:paraId="79A49CF0">
            <w:pPr>
              <w:rPr>
                <w:rFonts w:hint="eastAsia"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14:paraId="16409A27">
            <w:pPr>
              <w:snapToGrid w:val="0"/>
              <w:rPr>
                <w:rFonts w:hint="eastAsia" w:ascii="宋体" w:hAnsi="宋体" w:cs="宋体"/>
                <w:color w:val="auto"/>
                <w:szCs w:val="21"/>
                <w:highlight w:val="none"/>
              </w:rPr>
            </w:pPr>
            <w:r>
              <w:rPr>
                <w:rFonts w:hint="eastAsia" w:ascii="宋体" w:hAnsi="宋体" w:cs="宋体"/>
                <w:color w:val="auto"/>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2AEC8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6FD908">
            <w:pPr>
              <w:snapToGrid w:val="0"/>
              <w:spacing w:line="360" w:lineRule="auto"/>
              <w:ind w:firstLine="210" w:firstLineChars="100"/>
              <w:rPr>
                <w:rFonts w:hint="default" w:ascii="Times New Roman" w:hAnsi="Times New Roman" w:cs="Times New Roman"/>
                <w:color w:val="auto"/>
                <w:szCs w:val="21"/>
                <w:highlight w:val="none"/>
              </w:rPr>
            </w:pPr>
          </w:p>
        </w:tc>
        <w:tc>
          <w:tcPr>
            <w:tcW w:w="3343" w:type="dxa"/>
            <w:tcBorders>
              <w:top w:val="single" w:color="auto" w:sz="4" w:space="0"/>
              <w:left w:val="nil"/>
              <w:bottom w:val="single" w:color="auto" w:sz="4" w:space="0"/>
              <w:right w:val="single" w:color="auto" w:sz="4" w:space="0"/>
            </w:tcBorders>
            <w:noWrap w:val="0"/>
            <w:vAlign w:val="center"/>
          </w:tcPr>
          <w:p w14:paraId="16AC6AAC">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AF3DACB">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3C18D1D3">
            <w:pPr>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(b)《投标书》包含有招标人不能接受的偏差，并且投标人拒绝书面撤回偏差；</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965" w:type="dxa"/>
            <w:tcBorders>
              <w:top w:val="single" w:color="auto" w:sz="4" w:space="0"/>
              <w:left w:val="nil"/>
              <w:bottom w:val="single" w:color="auto" w:sz="4" w:space="0"/>
              <w:right w:val="single" w:color="auto" w:sz="4" w:space="0"/>
            </w:tcBorders>
            <w:noWrap w:val="0"/>
            <w:vAlign w:val="center"/>
          </w:tcPr>
          <w:p w14:paraId="42ED27A4">
            <w:pPr>
              <w:ind w:left="373" w:hanging="373" w:hangingChars="177"/>
              <w:rPr>
                <w:rFonts w:hint="eastAsia" w:ascii="宋体" w:hAnsi="宋体" w:cs="宋体"/>
                <w:b/>
                <w:color w:val="auto"/>
                <w:szCs w:val="21"/>
                <w:highlight w:val="none"/>
              </w:rPr>
            </w:pPr>
            <w:r>
              <w:rPr>
                <w:rFonts w:hint="eastAsia" w:ascii="宋体" w:hAnsi="宋体" w:cs="宋体"/>
                <w:b/>
                <w:color w:val="auto"/>
                <w:szCs w:val="21"/>
                <w:highlight w:val="none"/>
              </w:rPr>
              <w:t>修改：</w:t>
            </w:r>
          </w:p>
          <w:p w14:paraId="742AB384">
            <w:pPr>
              <w:snapToGrid w:val="0"/>
              <w:rPr>
                <w:rFonts w:hint="eastAsia" w:ascii="宋体" w:hAnsi="宋体" w:cs="宋体"/>
                <w:color w:val="auto"/>
                <w:szCs w:val="21"/>
                <w:highlight w:val="none"/>
              </w:rPr>
            </w:pPr>
            <w:r>
              <w:rPr>
                <w:rFonts w:hint="eastAsia" w:ascii="宋体" w:hAnsi="宋体" w:cs="宋体"/>
                <w:color w:val="auto"/>
                <w:szCs w:val="21"/>
                <w:highlight w:val="none"/>
              </w:rPr>
              <w:t>4.1.2  有下列情况之一的，评标委员会应当否决其投标：</w:t>
            </w:r>
          </w:p>
          <w:p w14:paraId="057EBDDB">
            <w:pPr>
              <w:snapToGrid w:val="0"/>
              <w:rPr>
                <w:rFonts w:hint="eastAsia" w:ascii="宋体" w:hAnsi="宋体" w:cs="宋体"/>
                <w:color w:val="auto"/>
                <w:szCs w:val="21"/>
                <w:highlight w:val="none"/>
              </w:rPr>
            </w:pPr>
            <w:r>
              <w:rPr>
                <w:rFonts w:hint="eastAsia" w:ascii="宋体" w:hAnsi="宋体" w:cs="宋体"/>
                <w:color w:val="auto"/>
                <w:szCs w:val="21"/>
                <w:highlight w:val="none"/>
              </w:rPr>
              <w:t>(a) 《投标书》未加盖</w:t>
            </w:r>
            <w:r>
              <w:rPr>
                <w:rFonts w:hint="eastAsia" w:ascii="宋体" w:hAnsi="宋体" w:cs="宋体"/>
                <w:color w:val="auto"/>
                <w:szCs w:val="21"/>
                <w:highlight w:val="none"/>
                <w:u w:val="single"/>
              </w:rPr>
              <w:t>投标人电子印章</w:t>
            </w:r>
            <w:r>
              <w:rPr>
                <w:rFonts w:hint="eastAsia" w:ascii="宋体" w:hAnsi="宋体" w:cs="宋体"/>
                <w:color w:val="auto"/>
                <w:szCs w:val="21"/>
                <w:highlight w:val="none"/>
              </w:rPr>
              <w:t>，也未经法定代表人</w:t>
            </w:r>
            <w:r>
              <w:rPr>
                <w:rFonts w:hint="eastAsia" w:ascii="宋体" w:hAnsi="宋体" w:cs="宋体"/>
                <w:color w:val="auto"/>
                <w:szCs w:val="21"/>
                <w:highlight w:val="none"/>
                <w:u w:val="single"/>
              </w:rPr>
              <w:t>、委托代理人及项目负责人签字（或盖章）</w:t>
            </w:r>
            <w:r>
              <w:rPr>
                <w:rFonts w:hint="eastAsia" w:ascii="宋体" w:hAnsi="宋体" w:cs="宋体"/>
                <w:color w:val="auto"/>
                <w:szCs w:val="21"/>
                <w:highlight w:val="none"/>
              </w:rPr>
              <w:t>；</w:t>
            </w:r>
          </w:p>
          <w:p w14:paraId="0F3B4335">
            <w:pPr>
              <w:snapToGrid w:val="0"/>
              <w:rPr>
                <w:rFonts w:hint="eastAsia" w:ascii="宋体" w:hAnsi="宋体" w:cs="宋体"/>
                <w:color w:val="auto"/>
                <w:szCs w:val="21"/>
                <w:highlight w:val="none"/>
              </w:rPr>
            </w:pPr>
            <w:r>
              <w:rPr>
                <w:rFonts w:hint="eastAsia" w:ascii="宋体" w:hAnsi="宋体" w:cs="宋体"/>
                <w:color w:val="auto"/>
                <w:szCs w:val="21"/>
                <w:highlight w:val="none"/>
              </w:rPr>
              <w:t>(b) 《投标书》包含有招标人不能接受的偏差，并且投标人拒绝书面撤回偏差；</w:t>
            </w:r>
            <w:r>
              <w:rPr>
                <w:rFonts w:hint="eastAsia" w:ascii="宋体" w:hAnsi="宋体" w:cs="宋体"/>
                <w:color w:val="auto"/>
                <w:szCs w:val="21"/>
                <w:highlight w:val="none"/>
              </w:rPr>
              <w:br w:type="textWrapping"/>
            </w:r>
            <w:r>
              <w:rPr>
                <w:rFonts w:hint="eastAsia" w:ascii="宋体" w:hAnsi="宋体" w:cs="宋体"/>
                <w:color w:val="auto"/>
                <w:szCs w:val="21"/>
                <w:highlight w:val="none"/>
              </w:rPr>
              <w:t>(c) 《投标人声明》未按规定格式填写或未加盖投标人电子印章；</w:t>
            </w:r>
          </w:p>
          <w:p w14:paraId="58746FC2">
            <w:pPr>
              <w:snapToGrid w:val="0"/>
              <w:rPr>
                <w:rFonts w:hint="eastAsia" w:ascii="宋体" w:hAnsi="宋体" w:cs="宋体"/>
                <w:color w:val="auto"/>
                <w:szCs w:val="21"/>
                <w:highlight w:val="none"/>
              </w:rPr>
            </w:pPr>
            <w:r>
              <w:rPr>
                <w:rFonts w:hint="eastAsia" w:ascii="宋体" w:hAnsi="宋体" w:cs="宋体"/>
                <w:color w:val="auto"/>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ADA684">
            <w:pPr>
              <w:numPr>
                <w:ilvl w:val="0"/>
                <w:numId w:val="1"/>
              </w:numPr>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7FB03">
            <w:pPr>
              <w:snapToGrid w:val="0"/>
              <w:spacing w:line="360" w:lineRule="auto"/>
              <w:ind w:firstLine="210" w:firstLineChars="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343" w:type="dxa"/>
            <w:tcBorders>
              <w:top w:val="single" w:color="auto" w:sz="4" w:space="0"/>
              <w:left w:val="nil"/>
              <w:bottom w:val="single" w:color="auto" w:sz="4" w:space="0"/>
              <w:right w:val="single" w:color="auto" w:sz="4" w:space="0"/>
            </w:tcBorders>
            <w:noWrap w:val="0"/>
            <w:vAlign w:val="center"/>
          </w:tcPr>
          <w:p w14:paraId="0F85BEC0">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4.1.3  </w:t>
            </w:r>
            <w:r>
              <w:rPr>
                <w:rFonts w:hint="default" w:ascii="Times New Roman" w:hAnsi="Times New Roman" w:cs="Times New Roman"/>
                <w:color w:val="auto"/>
                <w:szCs w:val="21"/>
                <w:highlight w:val="none"/>
              </w:rPr>
              <w:t>投标文件有下列情况之一的，评标委员会应当否决其投标：</w:t>
            </w:r>
          </w:p>
          <w:p w14:paraId="6E4EF5E0">
            <w:pPr>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(a) </w:t>
            </w:r>
            <w:r>
              <w:rPr>
                <w:rFonts w:hint="default" w:ascii="Times New Roman" w:hAnsi="Times New Roman" w:cs="Times New Roman"/>
                <w:color w:val="auto"/>
                <w:szCs w:val="21"/>
                <w:highlight w:val="none"/>
              </w:rPr>
              <w:t>投标人与其他投标人加密打包投标文件电脑机器特征码一致的；</w:t>
            </w:r>
          </w:p>
          <w:p w14:paraId="7C39907D">
            <w:pPr>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(b) </w:t>
            </w:r>
            <w:r>
              <w:rPr>
                <w:rFonts w:hint="default" w:ascii="Times New Roman" w:hAnsi="Times New Roman" w:cs="Times New Roman"/>
                <w:color w:val="auto"/>
                <w:szCs w:val="21"/>
                <w:highlight w:val="none"/>
              </w:rPr>
              <w:t>投标人在设计方案内标注名称、印章、商标、图形等记认符号，使人辨认出投标人或其专业技术人员的身份；</w:t>
            </w:r>
          </w:p>
          <w:p w14:paraId="4B2896B3">
            <w:pP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(c)</w:t>
            </w:r>
            <w:r>
              <w:rPr>
                <w:rFonts w:hint="default" w:ascii="Times New Roman" w:hAnsi="Times New Roman" w:cs="Times New Roman"/>
                <w:color w:val="auto"/>
                <w:szCs w:val="21"/>
                <w:highlight w:val="none"/>
              </w:rPr>
              <w:t>投标人之间存在《广东省实施</w:t>
            </w:r>
            <w:r>
              <w:rPr>
                <w:rFonts w:ascii="Times New Roman" w:hAnsi="Times New Roman" w:cs="Times New Roman"/>
                <w:color w:val="auto"/>
                <w:szCs w:val="21"/>
                <w:highlight w:val="none"/>
              </w:rPr>
              <w:t>&lt;</w:t>
            </w:r>
            <w:r>
              <w:rPr>
                <w:rFonts w:hint="default" w:ascii="Times New Roman" w:hAnsi="Times New Roman" w:cs="Times New Roman"/>
                <w:color w:val="auto"/>
                <w:szCs w:val="21"/>
                <w:highlight w:val="none"/>
              </w:rPr>
              <w:t>中华人民共和国招标投标法</w:t>
            </w:r>
            <w:r>
              <w:rPr>
                <w:rFonts w:ascii="Times New Roman" w:hAnsi="Times New Roman" w:cs="Times New Roman"/>
                <w:color w:val="auto"/>
                <w:szCs w:val="21"/>
                <w:highlight w:val="none"/>
              </w:rPr>
              <w:t>&gt;</w:t>
            </w:r>
            <w:r>
              <w:rPr>
                <w:rFonts w:hint="default" w:ascii="Times New Roman" w:hAnsi="Times New Roman" w:cs="Times New Roman"/>
                <w:color w:val="auto"/>
                <w:szCs w:val="21"/>
                <w:highlight w:val="none"/>
              </w:rPr>
              <w:t>》第十六条所禁止的情形的；</w:t>
            </w:r>
          </w:p>
          <w:p w14:paraId="5DA4A9F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rPr>
              <w:t>d</w:t>
            </w:r>
            <w:r>
              <w:rPr>
                <w:rFonts w:hint="default" w:ascii="Times New Roman" w:hAnsi="Times New Roman" w:cs="Times New Roman"/>
                <w:color w:val="auto"/>
                <w:szCs w:val="21"/>
                <w:highlight w:val="none"/>
              </w:rPr>
              <w:t>）投标报价高于最高投标限价的。</w:t>
            </w:r>
          </w:p>
        </w:tc>
        <w:tc>
          <w:tcPr>
            <w:tcW w:w="3965" w:type="dxa"/>
            <w:tcBorders>
              <w:top w:val="single" w:color="auto" w:sz="4" w:space="0"/>
              <w:left w:val="nil"/>
              <w:bottom w:val="single" w:color="auto" w:sz="4" w:space="0"/>
              <w:right w:val="single" w:color="auto" w:sz="4" w:space="0"/>
            </w:tcBorders>
            <w:noWrap w:val="0"/>
            <w:vAlign w:val="center"/>
          </w:tcPr>
          <w:p w14:paraId="5980F5D7">
            <w:pPr>
              <w:ind w:left="373" w:hanging="373" w:hangingChars="177"/>
              <w:rPr>
                <w:rFonts w:hint="eastAsia" w:ascii="宋体" w:hAnsi="宋体" w:cs="宋体"/>
                <w:b/>
                <w:color w:val="auto"/>
                <w:szCs w:val="21"/>
                <w:highlight w:val="none"/>
              </w:rPr>
            </w:pPr>
            <w:r>
              <w:rPr>
                <w:rFonts w:hint="eastAsia" w:ascii="宋体" w:hAnsi="宋体" w:cs="宋体"/>
                <w:b/>
                <w:color w:val="auto"/>
                <w:szCs w:val="21"/>
                <w:highlight w:val="none"/>
              </w:rPr>
              <w:t>修改：</w:t>
            </w:r>
          </w:p>
          <w:p w14:paraId="1F1440BF">
            <w:pPr>
              <w:rPr>
                <w:rFonts w:hint="eastAsia" w:ascii="宋体" w:hAnsi="宋体" w:cs="宋体"/>
                <w:color w:val="auto"/>
                <w:sz w:val="21"/>
                <w:szCs w:val="21"/>
                <w:highlight w:val="none"/>
              </w:rPr>
            </w:pPr>
            <w:r>
              <w:rPr>
                <w:rFonts w:hint="eastAsia" w:ascii="宋体" w:hAnsi="宋体" w:cs="宋体"/>
                <w:color w:val="auto"/>
                <w:szCs w:val="21"/>
                <w:highlight w:val="none"/>
              </w:rPr>
              <w:t xml:space="preserve">4.1.3  </w:t>
            </w:r>
            <w:r>
              <w:rPr>
                <w:rFonts w:hint="eastAsia" w:ascii="宋体" w:hAnsi="宋体" w:cs="宋体"/>
                <w:color w:val="auto"/>
                <w:sz w:val="21"/>
                <w:szCs w:val="21"/>
                <w:highlight w:val="none"/>
              </w:rPr>
              <w:t>投标文件有下列情况之一的，评标委员会应当否决其投标：</w:t>
            </w:r>
          </w:p>
          <w:p w14:paraId="58EB3A30">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(a) 投标人与</w:t>
            </w:r>
            <w:r>
              <w:rPr>
                <w:rFonts w:hint="eastAsia" w:ascii="宋体" w:hAnsi="宋体" w:cs="宋体"/>
                <w:b/>
                <w:bCs/>
                <w:color w:val="auto"/>
                <w:sz w:val="21"/>
                <w:szCs w:val="21"/>
                <w:highlight w:val="none"/>
                <w:u w:val="single"/>
              </w:rPr>
              <w:t>本项目</w:t>
            </w:r>
            <w:r>
              <w:rPr>
                <w:rFonts w:hint="eastAsia" w:ascii="宋体" w:hAnsi="宋体" w:cs="宋体"/>
                <w:color w:val="auto"/>
                <w:sz w:val="21"/>
                <w:szCs w:val="21"/>
                <w:highlight w:val="none"/>
              </w:rPr>
              <w:t>其他投标人加密打包投标文件电脑机器特征码一致的；</w:t>
            </w:r>
          </w:p>
          <w:p w14:paraId="2E7D46BF">
            <w:pPr>
              <w:rPr>
                <w:rFonts w:hint="eastAsia" w:ascii="宋体" w:hAnsi="宋体" w:cs="宋体"/>
                <w:color w:val="auto"/>
                <w:sz w:val="21"/>
                <w:szCs w:val="21"/>
                <w:highlight w:val="none"/>
              </w:rPr>
            </w:pPr>
            <w:r>
              <w:rPr>
                <w:rFonts w:hint="eastAsia" w:ascii="宋体" w:hAnsi="宋体" w:cs="宋体"/>
                <w:color w:val="auto"/>
                <w:sz w:val="21"/>
                <w:szCs w:val="21"/>
                <w:highlight w:val="none"/>
              </w:rPr>
              <w:t>(b) 投标人在设计方案内标注名称、印章、商标、图形等记认符号，使人辨认出投标人或其专业技术人员的身份；</w:t>
            </w:r>
          </w:p>
          <w:p w14:paraId="4A19085E">
            <w:pPr>
              <w:rPr>
                <w:rFonts w:hint="eastAsia" w:ascii="宋体" w:hAnsi="宋体" w:cs="宋体"/>
                <w:color w:val="auto"/>
                <w:szCs w:val="21"/>
                <w:highlight w:val="none"/>
              </w:rPr>
            </w:pPr>
            <w:r>
              <w:rPr>
                <w:rFonts w:hint="eastAsia" w:ascii="宋体" w:hAnsi="宋体" w:cs="宋体"/>
                <w:color w:val="auto"/>
                <w:sz w:val="21"/>
                <w:szCs w:val="21"/>
                <w:highlight w:val="none"/>
              </w:rPr>
              <w:t>(c)投标人之间存在《广东省实施&lt;中</w:t>
            </w:r>
            <w:r>
              <w:rPr>
                <w:rFonts w:hint="eastAsia" w:ascii="宋体" w:hAnsi="宋体" w:cs="宋体"/>
                <w:color w:val="auto"/>
                <w:szCs w:val="21"/>
                <w:highlight w:val="none"/>
              </w:rPr>
              <w:t>华人民共和国招标投标法&gt;</w:t>
            </w:r>
            <w:r>
              <w:rPr>
                <w:rFonts w:hint="eastAsia" w:ascii="宋体" w:hAnsi="宋体" w:cs="宋体"/>
                <w:color w:val="auto"/>
                <w:szCs w:val="21"/>
                <w:highlight w:val="none"/>
                <w:u w:val="none"/>
              </w:rPr>
              <w:t>办法</w:t>
            </w:r>
            <w:r>
              <w:rPr>
                <w:rFonts w:hint="eastAsia" w:ascii="宋体" w:hAnsi="宋体" w:cs="宋体"/>
                <w:color w:val="auto"/>
                <w:szCs w:val="21"/>
                <w:highlight w:val="none"/>
              </w:rPr>
              <w:t>》第十六条所禁止的情形的；</w:t>
            </w:r>
          </w:p>
          <w:p w14:paraId="481CF5B1">
            <w:pPr>
              <w:rPr>
                <w:rFonts w:hint="eastAsia" w:ascii="宋体" w:hAnsi="宋体" w:cs="宋体"/>
                <w:color w:val="auto"/>
                <w:szCs w:val="21"/>
                <w:highlight w:val="none"/>
                <w:u w:val="single"/>
              </w:rPr>
            </w:pPr>
            <w:r>
              <w:rPr>
                <w:rFonts w:hint="eastAsia" w:ascii="宋体" w:hAnsi="宋体" w:cs="宋体"/>
                <w:color w:val="auto"/>
                <w:szCs w:val="21"/>
                <w:highlight w:val="none"/>
              </w:rPr>
              <w:t>(d)</w:t>
            </w:r>
            <w:r>
              <w:rPr>
                <w:rFonts w:hint="eastAsia" w:ascii="宋体" w:hAnsi="宋体" w:cs="宋体"/>
                <w:color w:val="auto"/>
                <w:szCs w:val="21"/>
                <w:highlight w:val="none"/>
                <w:u w:val="single"/>
              </w:rPr>
              <w:t>投标总报价高于最高投标限价总价的或各分项投标报价高于各分项最高投标限价的。</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26E73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234AB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36855AE">
            <w:pPr>
              <w:rPr>
                <w:rFonts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3C35DD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0D371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D5326">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02D19F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0C982A5">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若在评标期间</w:t>
            </w:r>
            <w:r>
              <w:rPr>
                <w:rFonts w:hint="default" w:ascii="Times New Roman" w:hAnsi="Times New Roman" w:cs="Times New Roman"/>
                <w:b/>
                <w:color w:val="auto"/>
                <w:szCs w:val="21"/>
                <w:highlight w:val="none"/>
                <w:u w:val="single"/>
              </w:rPr>
              <w:t>（设计方案评审阶段除外）</w:t>
            </w:r>
            <w:r>
              <w:rPr>
                <w:rFonts w:hint="default" w:ascii="Times New Roman" w:hAnsi="Times New Roman" w:cs="Times New Roman"/>
                <w:color w:val="auto"/>
                <w:szCs w:val="21"/>
                <w:highlight w:val="none"/>
                <w:u w:val="single"/>
              </w:rPr>
              <w:t>，经评标委员会两人以上（含两人）以书面形式提出</w:t>
            </w:r>
            <w:r>
              <w:rPr>
                <w:rFonts w:hint="default" w:ascii="Times New Roman" w:hAnsi="Times New Roman" w:cs="Times New Roman"/>
                <w:color w:val="auto"/>
                <w:szCs w:val="21"/>
                <w:highlight w:val="none"/>
                <w:u w:val="single"/>
                <w:lang w:val="en-US"/>
              </w:rPr>
              <w:t>动</w:t>
            </w:r>
            <w:r>
              <w:rPr>
                <w:rFonts w:hint="default" w:ascii="Times New Roman" w:hAnsi="Times New Roman" w:cs="Times New Roman"/>
                <w:color w:val="auto"/>
                <w:szCs w:val="21"/>
                <w:highlight w:val="none"/>
                <w:u w:val="single"/>
              </w:rPr>
              <w:t>议，评标委员会应当书面发出澄清通知，要求投标人对投标文件含义不明确的内容作出澄清。</w:t>
            </w:r>
          </w:p>
          <w:p w14:paraId="43EA1AF8">
            <w:pPr>
              <w:ind w:firstLine="420" w:firstLineChars="200"/>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ascii="Times New Roman" w:hAnsi="Times New Roman" w:cs="Times New Roman"/>
                <w:b/>
                <w:color w:val="auto"/>
                <w:szCs w:val="21"/>
                <w:highlight w:val="none"/>
              </w:rPr>
            </w:pPr>
            <w:r>
              <w:rPr>
                <w:rFonts w:hint="default" w:ascii="Times New Roman" w:hAnsi="Times New Roman" w:cs="Times New Roman"/>
                <w:color w:val="auto"/>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444D5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C1A165">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285CD749">
            <w:pP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26FC6CC">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1EE108F4">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942497">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F5ACE">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057261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15EF4DC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3C55DD49">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F01FA61">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C2CC800">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659A7973">
            <w:pPr>
              <w:spacing w:line="273" w:lineRule="auto"/>
              <w:ind w:left="743" w:hanging="743" w:hangingChars="354"/>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D88388">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single"/>
              </w:rPr>
              <w:t>名；</w:t>
            </w:r>
            <w:r>
              <w:rPr>
                <w:rFonts w:hint="default" w:ascii="Times New Roman" w:hAnsi="Times New Roman" w:eastAsia="宋体" w:cs="Times New Roman"/>
                <w:bCs/>
                <w:color w:val="auto"/>
                <w:szCs w:val="21"/>
                <w:highlight w:val="none"/>
                <w:u w:val="single"/>
                <w:lang w:bidi="ar"/>
              </w:rPr>
              <w:t>评标采用</w:t>
            </w:r>
            <w:r>
              <w:rPr>
                <w:rFonts w:hint="eastAsia" w:ascii="Times New Roman" w:hAnsi="Times New Roman" w:cs="Times New Roman"/>
                <w:bCs/>
                <w:color w:val="auto"/>
                <w:szCs w:val="21"/>
                <w:highlight w:val="none"/>
                <w:u w:val="single"/>
                <w:lang w:val="en-US" w:eastAsia="zh-CN" w:bidi="ar"/>
              </w:rPr>
              <w:t>综合评估法，以</w:t>
            </w:r>
            <w:r>
              <w:rPr>
                <w:rFonts w:hint="default" w:ascii="Times New Roman" w:hAnsi="Times New Roman" w:eastAsia="宋体" w:cs="Times New Roman"/>
                <w:bCs/>
                <w:color w:val="auto"/>
                <w:szCs w:val="21"/>
                <w:highlight w:val="none"/>
                <w:u w:val="single"/>
                <w:lang w:bidi="ar"/>
              </w:rPr>
              <w:t>“有限</w:t>
            </w:r>
            <w:r>
              <w:rPr>
                <w:rFonts w:hint="default" w:ascii="Times New Roman" w:hAnsi="Times New Roman" w:cs="Times New Roman"/>
                <w:color w:val="auto"/>
                <w:szCs w:val="21"/>
                <w:highlight w:val="none"/>
                <w:u w:val="single"/>
              </w:rPr>
              <w:t>数量</w:t>
            </w:r>
            <w:r>
              <w:rPr>
                <w:rFonts w:hint="default" w:ascii="Times New Roman" w:hAnsi="Times New Roman" w:eastAsia="宋体" w:cs="Times New Roman"/>
                <w:bCs/>
                <w:color w:val="auto"/>
                <w:szCs w:val="21"/>
                <w:highlight w:val="none"/>
                <w:u w:val="single"/>
                <w:lang w:bidi="ar"/>
              </w:rPr>
              <w:t>制”</w:t>
            </w:r>
            <w:r>
              <w:rPr>
                <w:rFonts w:hint="eastAsia" w:ascii="Times New Roman" w:hAnsi="Times New Roman" w:cs="Times New Roman"/>
                <w:bCs/>
                <w:color w:val="auto"/>
                <w:szCs w:val="21"/>
                <w:highlight w:val="none"/>
                <w:u w:val="single"/>
                <w:lang w:val="en-US" w:eastAsia="zh-CN" w:bidi="ar"/>
              </w:rPr>
              <w:t>的方式</w:t>
            </w:r>
            <w:r>
              <w:rPr>
                <w:rFonts w:hint="default" w:ascii="Times New Roman" w:hAnsi="Times New Roman" w:eastAsia="宋体" w:cs="Times New Roman"/>
                <w:bCs/>
                <w:color w:val="auto"/>
                <w:szCs w:val="21"/>
                <w:highlight w:val="none"/>
                <w:u w:val="single"/>
                <w:lang w:bidi="ar"/>
              </w:rPr>
              <w:t>推荐合格中标候选人。评标委员会应按照招标文件规定，推荐</w:t>
            </w:r>
            <w:r>
              <w:rPr>
                <w:rFonts w:hint="default" w:ascii="Times New Roman" w:hAnsi="Times New Roman" w:cs="Times New Roman"/>
                <w:bCs/>
                <w:color w:val="auto"/>
                <w:szCs w:val="21"/>
                <w:highlight w:val="none"/>
                <w:u w:val="single"/>
                <w:lang w:val="en-US" w:eastAsia="zh-CN" w:bidi="ar"/>
              </w:rPr>
              <w:t>综合得分前3名的单位为</w:t>
            </w:r>
            <w:r>
              <w:rPr>
                <w:rFonts w:hint="default" w:ascii="Times New Roman" w:hAnsi="Times New Roman" w:eastAsia="宋体" w:cs="Times New Roman"/>
                <w:bCs/>
                <w:color w:val="auto"/>
                <w:szCs w:val="21"/>
                <w:highlight w:val="none"/>
                <w:u w:val="single"/>
                <w:lang w:bidi="ar"/>
              </w:rPr>
              <w:t>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2E7B1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BCAB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5C4BE42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FECA4C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7D04BD4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DD9EB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12B6E9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211B101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3839FCF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055F6C6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56E55FB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4555289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44B5F72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34D7B45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39A93A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A400F">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427DD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2F3E14B">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22F7E52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C76617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09F7FF33">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7C9A746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0E2BB92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79D7C0C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42C4D36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76D8158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6D601819">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65565DC">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00C2D74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965" w:type="dxa"/>
            <w:tcBorders>
              <w:top w:val="single" w:color="auto" w:sz="4" w:space="0"/>
              <w:left w:val="single" w:color="auto" w:sz="4" w:space="0"/>
              <w:bottom w:val="single" w:color="auto" w:sz="4" w:space="0"/>
              <w:right w:val="single" w:color="auto" w:sz="4" w:space="0"/>
            </w:tcBorders>
            <w:noWrap w:val="0"/>
            <w:vAlign w:val="top"/>
          </w:tcPr>
          <w:p w14:paraId="74871FE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774E85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1B6227D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6C9D4BFC">
            <w:pPr>
              <w:ind w:firstLine="0" w:firstLineChars="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58F77FE1">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6A2BAEA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43851EB7">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single"/>
              </w:rPr>
              <w:t>附录9《资格审查表》</w:t>
            </w:r>
            <w:r>
              <w:rPr>
                <w:rFonts w:hint="default" w:ascii="Times New Roman" w:hAnsi="Times New Roman" w:cs="Times New Roman"/>
                <w:color w:val="auto"/>
                <w:szCs w:val="21"/>
                <w:highlight w:val="none"/>
              </w:rPr>
              <w:t>对各投标人递交的投标文件进行资格审查。</w:t>
            </w:r>
          </w:p>
          <w:p w14:paraId="302E70C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4640D288">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single"/>
              </w:rPr>
              <w:t>按附录12《有效性审查表》、附录12-1《投标报价算术复核表》、附录13《勘察</w:t>
            </w:r>
            <w:r>
              <w:rPr>
                <w:rFonts w:hint="default" w:ascii="Times New Roman" w:hAnsi="Times New Roman" w:cs="Times New Roman"/>
                <w:color w:val="auto"/>
                <w:szCs w:val="21"/>
                <w:highlight w:val="none"/>
                <w:u w:val="single"/>
                <w:lang w:val="en-US" w:eastAsia="zh-CN"/>
              </w:rPr>
              <w:t>初步</w:t>
            </w:r>
            <w:r>
              <w:rPr>
                <w:rFonts w:hint="default" w:ascii="Times New Roman" w:hAnsi="Times New Roman" w:cs="Times New Roman"/>
                <w:color w:val="auto"/>
                <w:szCs w:val="21"/>
                <w:highlight w:val="none"/>
                <w:u w:val="single"/>
              </w:rPr>
              <w:t>设计方案部分评分表》、附录13-1《勘察</w:t>
            </w:r>
            <w:r>
              <w:rPr>
                <w:rFonts w:hint="default" w:ascii="Times New Roman" w:hAnsi="Times New Roman" w:cs="Times New Roman"/>
                <w:color w:val="auto"/>
                <w:szCs w:val="21"/>
                <w:highlight w:val="none"/>
                <w:u w:val="single"/>
                <w:lang w:val="en-US" w:eastAsia="zh-CN"/>
              </w:rPr>
              <w:t>初步</w:t>
            </w:r>
            <w:r>
              <w:rPr>
                <w:rFonts w:hint="default" w:ascii="Times New Roman" w:hAnsi="Times New Roman" w:cs="Times New Roman"/>
                <w:color w:val="auto"/>
                <w:szCs w:val="21"/>
                <w:highlight w:val="none"/>
                <w:u w:val="single"/>
              </w:rPr>
              <w:t>设计商务部分评分表》，对各投标人递交的投标文件进行评审。</w:t>
            </w:r>
            <w:r>
              <w:rPr>
                <w:rFonts w:hint="default" w:ascii="Times New Roman" w:hAnsi="Times New Roman" w:cs="Times New Roman"/>
                <w:color w:val="auto"/>
                <w:highlight w:val="none"/>
                <w:u w:val="single"/>
              </w:rPr>
              <w:t>投标人的综合得分（满分100分）＝商务部分得分×30％+勘察</w:t>
            </w:r>
            <w:r>
              <w:rPr>
                <w:rFonts w:hint="default" w:ascii="Times New Roman" w:hAnsi="Times New Roman" w:cs="Times New Roman"/>
                <w:color w:val="auto"/>
                <w:highlight w:val="none"/>
                <w:u w:val="single"/>
                <w:lang w:val="en-US" w:eastAsia="zh-CN"/>
              </w:rPr>
              <w:t>初步</w:t>
            </w:r>
            <w:r>
              <w:rPr>
                <w:rFonts w:hint="default" w:ascii="Times New Roman" w:hAnsi="Times New Roman" w:cs="Times New Roman"/>
                <w:color w:val="auto"/>
                <w:highlight w:val="none"/>
                <w:u w:val="single"/>
              </w:rPr>
              <w:t>设计方案得分×70％，</w:t>
            </w:r>
            <w:r>
              <w:rPr>
                <w:rFonts w:hint="default" w:ascii="Times New Roman" w:hAnsi="Times New Roman" w:cs="Times New Roman"/>
                <w:color w:val="auto"/>
                <w:szCs w:val="21"/>
                <w:highlight w:val="none"/>
                <w:u w:val="single"/>
              </w:rPr>
              <w:t>商务部分得分和勘察</w:t>
            </w:r>
            <w:r>
              <w:rPr>
                <w:rFonts w:hint="default" w:ascii="Times New Roman" w:hAnsi="Times New Roman" w:cs="Times New Roman"/>
                <w:color w:val="auto"/>
                <w:szCs w:val="21"/>
                <w:highlight w:val="none"/>
                <w:u w:val="single"/>
                <w:lang w:val="en-US" w:eastAsia="zh-CN"/>
              </w:rPr>
              <w:t>初步</w:t>
            </w:r>
            <w:r>
              <w:rPr>
                <w:rFonts w:hint="default" w:ascii="Times New Roman" w:hAnsi="Times New Roman" w:cs="Times New Roman"/>
                <w:color w:val="auto"/>
                <w:szCs w:val="21"/>
                <w:highlight w:val="none"/>
                <w:u w:val="single"/>
              </w:rPr>
              <w:t>设计方案部分得分为各评委评分的算术平均分，得出每个投标人商务部分和勘察</w:t>
            </w:r>
            <w:r>
              <w:rPr>
                <w:rFonts w:hint="default" w:ascii="Times New Roman" w:hAnsi="Times New Roman" w:cs="Times New Roman"/>
                <w:color w:val="auto"/>
                <w:szCs w:val="21"/>
                <w:highlight w:val="none"/>
                <w:u w:val="single"/>
                <w:lang w:val="en-US" w:eastAsia="zh-CN"/>
              </w:rPr>
              <w:t>初步</w:t>
            </w:r>
            <w:r>
              <w:rPr>
                <w:rFonts w:hint="default" w:ascii="Times New Roman" w:hAnsi="Times New Roman" w:cs="Times New Roman"/>
                <w:color w:val="auto"/>
                <w:szCs w:val="21"/>
                <w:highlight w:val="none"/>
                <w:u w:val="single"/>
              </w:rPr>
              <w:t>设计方案部分的得分，分数出现小数点，保留小数点后二位，第三位小数四舍五入。</w:t>
            </w:r>
            <w:r>
              <w:rPr>
                <w:rFonts w:hint="default" w:ascii="Times New Roman" w:hAnsi="Times New Roman" w:cs="Times New Roman"/>
                <w:color w:val="auto"/>
                <w:szCs w:val="21"/>
                <w:highlight w:val="none"/>
                <w:u w:val="singl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037BE4F7">
            <w:pPr>
              <w:rPr>
                <w:rFonts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single"/>
              </w:rPr>
              <w:t>按照4.5.1约定推荐入围定标阶段中标候选人。</w:t>
            </w:r>
          </w:p>
          <w:p w14:paraId="564687AD">
            <w:pPr>
              <w:pStyle w:val="15"/>
              <w:widowControl w:val="0"/>
              <w:spacing w:beforeAutospacing="0" w:afterAutospacing="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05948FA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4666B96D">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781C78FC">
            <w:pP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B418B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BDB7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6111E02">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3E935E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63BE4312">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EC9A04E">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0FFB31C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4429830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6DEA0B4F">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5.1.4  在产生中标候选人后，招标人将中标候选人的投标文件商务部分（包括报价清单、人员、业绩、奖项等资料）在交易平台和广东省招标投标监管网公开。</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6A160089">
            <w:pPr>
              <w:spacing w:line="273"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55DFC4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4C1F12D3">
            <w:pPr>
              <w:spacing w:line="360" w:lineRule="auto"/>
              <w:jc w:val="left"/>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18F777A0">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4BA6D3CA">
            <w:pPr>
              <w:rPr>
                <w:rFonts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624625B5">
            <w:pPr>
              <w:pStyle w:val="15"/>
              <w:widowControl w:val="0"/>
              <w:spacing w:beforeAutospacing="0" w:afterAutospacing="0"/>
              <w:ind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73EF8AA6">
            <w:pPr>
              <w:pStyle w:val="15"/>
              <w:widowControl w:val="0"/>
              <w:spacing w:beforeAutospacing="0" w:afterAutospacing="0"/>
              <w:jc w:val="both"/>
              <w:rPr>
                <w:rFonts w:hint="default" w:ascii="Times New Roman" w:hAnsi="Times New Roman" w:cs="Times New Roman"/>
                <w:b/>
                <w:bCs/>
                <w:color w:val="auto"/>
                <w:sz w:val="21"/>
                <w:szCs w:val="21"/>
                <w:highlight w:val="none"/>
                <w:u w:val="single"/>
              </w:rPr>
            </w:pPr>
            <w:r>
              <w:rPr>
                <w:rFonts w:hint="default" w:ascii="Times New Roman" w:hAnsi="Times New Roman" w:cs="Times New Roman"/>
                <w:color w:val="auto"/>
                <w:sz w:val="21"/>
                <w:szCs w:val="21"/>
                <w:highlight w:val="none"/>
                <w:u w:val="singl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single"/>
              </w:rPr>
              <w:t>，公示期间的最后1天应当为工作日，否则将公示期的最后1天顺延至下一个工作日</w:t>
            </w:r>
            <w:r>
              <w:rPr>
                <w:rFonts w:hint="default" w:ascii="Times New Roman" w:hAnsi="Times New Roman" w:cs="Times New Roman"/>
                <w:color w:val="auto"/>
                <w:sz w:val="21"/>
                <w:szCs w:val="21"/>
                <w:highlight w:val="none"/>
                <w:u w:val="single"/>
              </w:rPr>
              <w:t>。</w:t>
            </w:r>
            <w:r>
              <w:rPr>
                <w:rFonts w:hint="default" w:ascii="Times New Roman" w:hAnsi="Times New Roman" w:cs="Times New Roman"/>
                <w:b/>
                <w:bCs/>
                <w:color w:val="auto"/>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single"/>
                <w:lang w:val="en-US" w:eastAsia="zh-CN"/>
              </w:rPr>
              <w:t>5.1.5</w:t>
            </w:r>
            <w:r>
              <w:rPr>
                <w:rFonts w:hint="default" w:ascii="Times New Roman" w:hAnsi="Times New Roman" w:eastAsia="宋体" w:cs="Times New Roman"/>
                <w:color w:val="auto"/>
                <w:sz w:val="21"/>
                <w:szCs w:val="21"/>
                <w:highlight w:val="none"/>
                <w:u w:val="single"/>
                <w:lang w:val="en-US" w:eastAsia="zh-CN"/>
              </w:rPr>
              <w:t>中标结果</w:t>
            </w:r>
            <w:r>
              <w:rPr>
                <w:rFonts w:hint="default" w:ascii="Times New Roman" w:hAnsi="Times New Roman" w:eastAsia="宋体" w:cs="Times New Roman"/>
                <w:color w:val="auto"/>
                <w:sz w:val="21"/>
                <w:szCs w:val="21"/>
                <w:highlight w:val="none"/>
                <w:u w:val="single"/>
              </w:rPr>
              <w:t>公示后，在本</w:t>
            </w:r>
            <w:r>
              <w:rPr>
                <w:rFonts w:hint="default" w:ascii="Times New Roman" w:hAnsi="Times New Roman" w:eastAsia="宋体" w:cs="Times New Roman"/>
                <w:color w:val="auto"/>
                <w:sz w:val="21"/>
                <w:szCs w:val="21"/>
                <w:highlight w:val="none"/>
                <w:u w:val="single"/>
                <w:lang w:val="en-US" w:eastAsia="zh-CN"/>
              </w:rPr>
              <w:t>前附表</w:t>
            </w:r>
            <w:r>
              <w:rPr>
                <w:rFonts w:hint="default" w:ascii="Times New Roman" w:hAnsi="Times New Roman" w:eastAsia="宋体" w:cs="Times New Roman"/>
                <w:color w:val="auto"/>
                <w:sz w:val="21"/>
                <w:szCs w:val="21"/>
                <w:highlight w:val="none"/>
                <w:u w:val="singl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single"/>
              </w:rPr>
              <w:t>广州交易集团有限公司（广州公共资源交易中心）</w:t>
            </w:r>
            <w:r>
              <w:rPr>
                <w:rFonts w:hint="default" w:ascii="Times New Roman" w:hAnsi="Times New Roman" w:eastAsia="宋体" w:cs="Times New Roman"/>
                <w:color w:val="auto"/>
                <w:sz w:val="21"/>
                <w:szCs w:val="21"/>
                <w:highlight w:val="none"/>
                <w:u w:val="single"/>
              </w:rPr>
              <w:t>盖章确认。</w:t>
            </w: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C74F49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E7651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23D18956">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EB8FD4A">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8B738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180AF4">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4BF77EE">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2BA2F70">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singl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80FF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20EFD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6D4745F0">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175B8D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single"/>
              </w:rPr>
              <w:t>中标人应按合同规定提交中标价款（人民币） 10 %的履约担保</w:t>
            </w:r>
            <w:r>
              <w:rPr>
                <w:rFonts w:hint="default" w:ascii="Times New Roman" w:hAnsi="Times New Roman" w:cs="Times New Roman"/>
                <w:color w:val="auto"/>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F6570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AF462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6C838A8">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39219D4">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24F79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29684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C1D5EFA">
            <w:pPr>
              <w:spacing w:line="273"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3E6E6B8">
            <w:pPr>
              <w:spacing w:line="273"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2DB3F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063E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C8B5965">
            <w:pPr>
              <w:spacing w:line="273"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3EF0051">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77E0472">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B94A0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EFFF0D2">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46E8C04">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single"/>
              </w:rPr>
              <w:t>预付款</w:t>
            </w:r>
            <w:r>
              <w:rPr>
                <w:rFonts w:hint="default" w:ascii="Times New Roman" w:hAnsi="Times New Roman" w:cs="Times New Roman"/>
                <w:color w:val="auto"/>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08B44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AE86A7">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1677A06">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B941F38">
            <w:pPr>
              <w:spacing w:line="360" w:lineRule="auto"/>
              <w:ind w:left="2"/>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4D1F8E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2590A">
            <w:pPr>
              <w:jc w:val="center"/>
              <w:rPr>
                <w:rFonts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6254996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5520ADC">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3073EA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3198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C49D03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80267D3">
            <w:pPr>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49318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96727">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6B0CE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6BF42E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single"/>
              </w:rPr>
              <w:t>（工程勘察</w:t>
            </w:r>
            <w:r>
              <w:rPr>
                <w:rFonts w:hint="default" w:ascii="Times New Roman" w:hAnsi="Times New Roman" w:cs="Times New Roman"/>
                <w:color w:val="auto"/>
                <w:szCs w:val="21"/>
                <w:highlight w:val="none"/>
                <w:u w:val="single"/>
                <w:lang w:val="en-US" w:eastAsia="zh-CN"/>
              </w:rPr>
              <w:t>初步</w:t>
            </w:r>
            <w:r>
              <w:rPr>
                <w:rFonts w:hint="default" w:ascii="Times New Roman" w:hAnsi="Times New Roman" w:cs="Times New Roman"/>
                <w:color w:val="auto"/>
                <w:szCs w:val="21"/>
                <w:highlight w:val="none"/>
                <w:u w:val="single"/>
              </w:rPr>
              <w:t>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FF542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DB83A">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6925B6ED">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4A99D2B6">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104506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D9BDB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2F9CF8F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91913E5">
            <w:pPr>
              <w:spacing w:line="360" w:lineRule="auto"/>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4C032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6B10D">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6D67800">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0916AF8">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A9D5C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13288">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96A65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ED3D922">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B354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8D25A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22DCD56">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F0CF6D1">
            <w:pP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A69C94">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3D95C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24C0446C">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B91D9EE">
            <w:pP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0B3E49">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EAFD21">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E3644E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433B50A">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891ABFC">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B6A2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3B28D2A">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297F910">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C34FA3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550C9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7ECA5BB">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5E8D6C3">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DF929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17708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2C9A74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88BAEA0">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167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282A3">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5C989BD3">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925A30D">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B57412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04070F">
            <w:pPr>
              <w:jc w:val="center"/>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7D429149">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181CD25">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7F41C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CD185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0D553B2E">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6E3201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3149B3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2A2D2">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0416BC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B9EA24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w:t>
            </w:r>
            <w:r>
              <w:rPr>
                <w:rFonts w:hint="default" w:ascii="Times New Roman" w:hAnsi="Times New Roman" w:cs="Times New Roman"/>
                <w:color w:val="auto"/>
                <w:szCs w:val="21"/>
                <w:highlight w:val="none"/>
              </w:rPr>
              <w:t>方案部分评分</w:t>
            </w:r>
            <w:r>
              <w:rPr>
                <w:rFonts w:ascii="Times New Roman" w:hAnsi="Times New Roman" w:cs="Times New Roman"/>
                <w:color w:val="auto"/>
                <w:szCs w:val="21"/>
                <w:highlight w:val="none"/>
              </w:rPr>
              <w:t>表</w:t>
            </w:r>
            <w:r>
              <w:rPr>
                <w:rFonts w:hint="default" w:ascii="Times New Roman" w:hAnsi="Times New Roman" w:cs="Times New Roman"/>
                <w:color w:val="auto"/>
                <w:szCs w:val="21"/>
                <w:highlight w:val="none"/>
                <w:u w:val="singl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2014D0">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8C0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附录13-1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55F10D06">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5D864D0">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single"/>
              </w:rPr>
              <w:t>部分</w:t>
            </w:r>
            <w:r>
              <w:rPr>
                <w:rFonts w:hint="default" w:ascii="Times New Roman" w:hAnsi="Times New Roman" w:cs="Times New Roman"/>
                <w:color w:val="auto"/>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383441">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5E47F">
            <w:pPr>
              <w:spacing w:line="360" w:lineRule="auto"/>
              <w:ind w:left="2"/>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106B713">
            <w:pPr>
              <w:spacing w:line="360" w:lineRule="auto"/>
              <w:ind w:left="2"/>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设计任务书</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C9BE2D9">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D0A8B2E">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A54F55">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5439D00A">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405B28F7">
            <w:pPr>
              <w:spacing w:line="273" w:lineRule="auto"/>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8A1D9D">
            <w:pPr>
              <w:spacing w:line="273"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详见附录15</w:t>
            </w:r>
            <w:r>
              <w:rPr>
                <w:rFonts w:hint="default" w:ascii="Times New Roman" w:hAnsi="Times New Roman" w:cs="Times New Roman"/>
                <w:color w:val="auto"/>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4A0AFD">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9D0ED9">
            <w:pPr>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FF3A39F">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FC29C4F">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6A0304A">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52DC75">
            <w:pPr>
              <w:jc w:val="center"/>
              <w:rPr>
                <w:rFonts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437622E6">
            <w:pPr>
              <w:spacing w:line="273"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49BE822C">
            <w:pPr>
              <w:spacing w:line="273" w:lineRule="auto"/>
              <w:jc w:val="left"/>
              <w:rPr>
                <w:rFonts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single"/>
                <w:lang w:val="en-US" w:eastAsia="zh-CN"/>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F4E913">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DE5B58">
            <w:pPr>
              <w:pStyle w:val="15"/>
              <w:snapToGrid w:val="0"/>
              <w:spacing w:beforeAutospacing="0" w:afterAutospacing="0"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1306A7F8">
            <w:pPr>
              <w:spacing w:line="273"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F7BFE43">
            <w:pPr>
              <w:spacing w:line="273"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1AB4B">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885303">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55964DC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14277890">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F6E188">
            <w:pPr>
              <w:numPr>
                <w:ilvl w:val="0"/>
                <w:numId w:val="1"/>
              </w:numPr>
              <w:jc w:val="center"/>
              <w:rPr>
                <w:rFonts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BCF167">
            <w:pPr>
              <w:pStyle w:val="15"/>
              <w:snapToGrid w:val="0"/>
              <w:spacing w:beforeAutospacing="0" w:afterAutospacing="0"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343" w:type="dxa"/>
            <w:tcBorders>
              <w:top w:val="single" w:color="auto" w:sz="4" w:space="0"/>
              <w:left w:val="single" w:color="auto" w:sz="4" w:space="0"/>
              <w:bottom w:val="single" w:color="auto" w:sz="4" w:space="0"/>
              <w:right w:val="single" w:color="auto" w:sz="4" w:space="0"/>
            </w:tcBorders>
            <w:noWrap w:val="0"/>
            <w:vAlign w:val="center"/>
          </w:tcPr>
          <w:p w14:paraId="321B4B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A84B39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1481B89">
            <w:pPr>
              <w:numPr>
                <w:ilvl w:val="0"/>
                <w:numId w:val="1"/>
              </w:numPr>
              <w:jc w:val="center"/>
              <w:rPr>
                <w:rFonts w:ascii="Times New Roman" w:hAnsi="Times New Roman" w:cs="Times New Roman"/>
                <w:color w:val="auto"/>
                <w:szCs w:val="21"/>
                <w:highlight w:val="none"/>
              </w:rPr>
            </w:pPr>
          </w:p>
        </w:tc>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15646FE3">
            <w:pPr>
              <w:pStyle w:val="46"/>
              <w:spacing w:line="240" w:lineRule="exact"/>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1949064">
            <w:pPr>
              <w:pStyle w:val="46"/>
              <w:tabs>
                <w:tab w:val="left" w:pos="2100"/>
              </w:tabs>
              <w:spacing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bl>
    <w:p w14:paraId="0BDD53AC">
      <w:pPr>
        <w:jc w:val="center"/>
        <w:rPr>
          <w:rFonts w:hint="default" w:ascii="Times New Roman" w:hAnsi="Times New Roman" w:cs="Times New Roman"/>
          <w:color w:val="auto"/>
          <w:szCs w:val="21"/>
          <w:highlight w:val="none"/>
        </w:rPr>
      </w:pPr>
    </w:p>
    <w:p w14:paraId="4BE9A9DB">
      <w:pPr>
        <w:snapToGrid/>
        <w:jc w:val="lef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17CCD95E">
      <w:pPr>
        <w:jc w:val="center"/>
        <w:outlineLvl w:val="9"/>
        <w:rPr>
          <w:rFonts w:ascii="Times New Roman" w:hAnsi="Times New Roman" w:cs="Times New Roman"/>
          <w:b/>
          <w:color w:val="auto"/>
          <w:sz w:val="32"/>
          <w:szCs w:val="32"/>
          <w:highlight w:val="none"/>
        </w:rPr>
      </w:pPr>
      <w:bookmarkStart w:id="6" w:name="_Toc3590"/>
      <w:bookmarkStart w:id="7" w:name="_Toc8461"/>
      <w:bookmarkStart w:id="8" w:name="_Toc14995"/>
      <w:r>
        <w:rPr>
          <w:rFonts w:hint="default" w:ascii="Times New Roman" w:hAnsi="Times New Roman" w:cs="Times New Roman"/>
          <w:b/>
          <w:color w:val="auto"/>
          <w:sz w:val="24"/>
          <w:szCs w:val="24"/>
          <w:highlight w:val="none"/>
        </w:rPr>
        <w:t>目录</w:t>
      </w:r>
      <w:bookmarkEnd w:id="6"/>
      <w:bookmarkEnd w:id="7"/>
      <w:bookmarkEnd w:id="8"/>
    </w:p>
    <w:p w14:paraId="257AC9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2405775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94DFD8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782BEB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866D7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20DE51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C67FFE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FAFD8F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AE767B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D955F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4F6F4E">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5049A4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255C2D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1520A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75BE6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AD23C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426929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338AE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B71190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A9014CD">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9D9B0E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2EE58D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B12263F">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E7F6BB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5FBDE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EE0DE2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831AB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797BCE1">
      <w:pPr>
        <w:pStyle w:val="13"/>
        <w:tabs>
          <w:tab w:val="right" w:leader="dot" w:pos="9000"/>
        </w:tabs>
        <w:rPr>
          <w:rFonts w:ascii="Times New Roman" w:hAnsi="Times New Roman" w:cs="Times New Roman"/>
          <w:color w:val="auto"/>
          <w:highlight w:val="none"/>
        </w:rPr>
      </w:pPr>
    </w:p>
    <w:p w14:paraId="38C657F3">
      <w:pPr>
        <w:pStyle w:val="13"/>
        <w:tabs>
          <w:tab w:val="right" w:leader="dot" w:pos="9000"/>
        </w:tabs>
        <w:rPr>
          <w:rFonts w:ascii="Times New Roman" w:hAnsi="Times New Roman" w:cs="Times New Roman"/>
          <w:color w:val="auto"/>
          <w:highlight w:val="none"/>
        </w:rPr>
      </w:pPr>
    </w:p>
    <w:p w14:paraId="48AC4C33">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5CFF14F3">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2EF06E9D">
      <w:pPr>
        <w:pStyle w:val="3"/>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C5489E">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17B5B2B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single"/>
        </w:rPr>
        <w:t>（范本原文）</w:t>
      </w:r>
      <w:bookmarkEnd w:id="11"/>
    </w:p>
    <w:p w14:paraId="5CB3CA4F">
      <w:pPr>
        <w:rPr>
          <w:rFonts w:ascii="Times New Roman" w:hAnsi="Times New Roman" w:cs="Times New Roman"/>
          <w:color w:val="auto"/>
          <w:sz w:val="24"/>
          <w:szCs w:val="24"/>
          <w:highlight w:val="none"/>
        </w:rPr>
      </w:pPr>
    </w:p>
    <w:p w14:paraId="017504C5">
      <w:pPr>
        <w:spacing w:line="360" w:lineRule="auto"/>
        <w:ind w:left="824" w:hanging="824" w:hangingChars="342"/>
        <w:outlineLvl w:val="1"/>
        <w:rPr>
          <w:rFonts w:ascii="Times New Roman" w:hAnsi="Times New Roman" w:cs="Times New Roman"/>
          <w:b/>
          <w:color w:val="auto"/>
          <w:sz w:val="24"/>
          <w:szCs w:val="24"/>
          <w:highlight w:val="none"/>
        </w:rPr>
      </w:pPr>
      <w:bookmarkStart w:id="12" w:name="_Toc18483"/>
      <w:bookmarkStart w:id="13" w:name="_Toc1243"/>
      <w:bookmarkStart w:id="14" w:name="_Toc22981"/>
      <w:r>
        <w:rPr>
          <w:rFonts w:hint="default" w:ascii="Times New Roman" w:hAnsi="Times New Roman" w:cs="Times New Roman"/>
          <w:b/>
          <w:color w:val="auto"/>
          <w:sz w:val="24"/>
          <w:szCs w:val="24"/>
          <w:highlight w:val="none"/>
        </w:rPr>
        <w:t>2.1    释义</w:t>
      </w:r>
      <w:bookmarkEnd w:id="12"/>
      <w:bookmarkEnd w:id="13"/>
      <w:bookmarkEnd w:id="14"/>
    </w:p>
    <w:p w14:paraId="286A663B">
      <w:pPr>
        <w:spacing w:line="360" w:lineRule="auto"/>
        <w:ind w:left="821" w:hanging="820" w:hangingChars="342"/>
        <w:rPr>
          <w:rFonts w:ascii="Times New Roman" w:hAnsi="Times New Roman" w:cs="Times New Roman"/>
          <w:color w:val="auto"/>
          <w:sz w:val="24"/>
          <w:szCs w:val="24"/>
          <w:highlight w:val="none"/>
        </w:rPr>
      </w:pPr>
    </w:p>
    <w:p w14:paraId="563347C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4686EC2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6C41E42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342EA5F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7114E12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4670AC9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2.1.8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“招标管理机构”是指受监督机构委托管理招标活动的机构。</w:t>
      </w:r>
    </w:p>
    <w:p w14:paraId="11C7E8C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2.1.9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“交易服务机构”是指为招标人和投标人提供场所、信息和咨询服务，见证招标过程，确认中标通知书的服务机构。</w:t>
      </w:r>
    </w:p>
    <w:p w14:paraId="21A156A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ascii="Times New Roman" w:hAnsi="Times New Roman" w:cs="Times New Roman"/>
          <w:color w:val="auto"/>
          <w:sz w:val="24"/>
          <w:szCs w:val="24"/>
          <w:highlight w:val="none"/>
        </w:rPr>
      </w:pPr>
    </w:p>
    <w:p w14:paraId="272231C8">
      <w:pPr>
        <w:spacing w:line="360" w:lineRule="auto"/>
        <w:jc w:val="left"/>
        <w:outlineLvl w:val="1"/>
        <w:rPr>
          <w:rFonts w:ascii="Times New Roman" w:hAnsi="Times New Roman" w:cs="Times New Roman"/>
          <w:b/>
          <w:color w:val="auto"/>
          <w:sz w:val="24"/>
          <w:szCs w:val="24"/>
          <w:highlight w:val="none"/>
        </w:rPr>
      </w:pPr>
      <w:bookmarkStart w:id="15" w:name="_Toc25233"/>
      <w:bookmarkStart w:id="16" w:name="_Toc23164"/>
      <w:bookmarkStart w:id="17" w:name="_Toc5747"/>
      <w:r>
        <w:rPr>
          <w:rFonts w:hint="default" w:ascii="Times New Roman" w:hAnsi="Times New Roman" w:cs="Times New Roman"/>
          <w:b/>
          <w:color w:val="auto"/>
          <w:sz w:val="24"/>
          <w:szCs w:val="24"/>
          <w:highlight w:val="none"/>
        </w:rPr>
        <w:t>2.2    免责条款</w:t>
      </w:r>
      <w:bookmarkEnd w:id="15"/>
      <w:bookmarkEnd w:id="16"/>
      <w:bookmarkEnd w:id="17"/>
    </w:p>
    <w:p w14:paraId="16F43109">
      <w:pPr>
        <w:spacing w:line="360" w:lineRule="auto"/>
        <w:rPr>
          <w:rFonts w:ascii="Times New Roman" w:hAnsi="Times New Roman" w:cs="Times New Roman"/>
          <w:color w:val="auto"/>
          <w:sz w:val="24"/>
          <w:szCs w:val="24"/>
          <w:highlight w:val="none"/>
        </w:rPr>
      </w:pPr>
    </w:p>
    <w:p w14:paraId="640612FD">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ascii="Times New Roman" w:hAnsi="Times New Roman" w:cs="Times New Roman"/>
          <w:color w:val="auto"/>
          <w:sz w:val="24"/>
          <w:szCs w:val="24"/>
          <w:highlight w:val="none"/>
        </w:rPr>
      </w:pPr>
    </w:p>
    <w:p w14:paraId="0FCE1476">
      <w:pPr>
        <w:spacing w:line="360" w:lineRule="auto"/>
        <w:outlineLvl w:val="1"/>
        <w:rPr>
          <w:rFonts w:ascii="Times New Roman" w:hAnsi="Times New Roman" w:cs="Times New Roman"/>
          <w:b/>
          <w:color w:val="auto"/>
          <w:sz w:val="24"/>
          <w:szCs w:val="24"/>
          <w:highlight w:val="none"/>
        </w:rPr>
      </w:pPr>
      <w:bookmarkStart w:id="18" w:name="_Toc3210"/>
      <w:bookmarkStart w:id="19" w:name="_Toc21131"/>
      <w:bookmarkStart w:id="20" w:name="_Toc693"/>
      <w:r>
        <w:rPr>
          <w:rFonts w:hint="default" w:ascii="Times New Roman" w:hAnsi="Times New Roman" w:cs="Times New Roman"/>
          <w:b/>
          <w:color w:val="auto"/>
          <w:sz w:val="24"/>
          <w:szCs w:val="24"/>
          <w:highlight w:val="none"/>
        </w:rPr>
        <w:t>2.3    招标文件效力</w:t>
      </w:r>
      <w:bookmarkEnd w:id="18"/>
      <w:bookmarkEnd w:id="19"/>
      <w:bookmarkEnd w:id="20"/>
    </w:p>
    <w:p w14:paraId="54F0DB6C">
      <w:pPr>
        <w:spacing w:line="360" w:lineRule="auto"/>
        <w:rPr>
          <w:rFonts w:ascii="Times New Roman" w:hAnsi="Times New Roman" w:cs="Times New Roman"/>
          <w:color w:val="auto"/>
          <w:sz w:val="24"/>
          <w:szCs w:val="24"/>
          <w:highlight w:val="none"/>
        </w:rPr>
      </w:pPr>
    </w:p>
    <w:p w14:paraId="1D0D6FC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single"/>
        </w:rPr>
        <w:t>（范本原文）</w:t>
      </w:r>
      <w:bookmarkEnd w:id="22"/>
    </w:p>
    <w:p w14:paraId="4BD59D28">
      <w:pPr>
        <w:spacing w:line="360" w:lineRule="auto"/>
        <w:ind w:left="850" w:hanging="849" w:hangingChars="354"/>
        <w:rPr>
          <w:rFonts w:ascii="Times New Roman" w:hAnsi="Times New Roman" w:cs="Times New Roman"/>
          <w:color w:val="auto"/>
          <w:sz w:val="24"/>
          <w:szCs w:val="24"/>
          <w:highlight w:val="none"/>
        </w:rPr>
      </w:pPr>
    </w:p>
    <w:p w14:paraId="18901517">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32"/>
      <w:bookmarkStart w:id="24" w:name="_Toc27524"/>
      <w:bookmarkStart w:id="25" w:name="_Toc11308"/>
      <w:r>
        <w:rPr>
          <w:rFonts w:hint="default" w:ascii="Times New Roman" w:hAnsi="Times New Roman" w:cs="Times New Roman"/>
          <w:b/>
          <w:color w:val="auto"/>
          <w:sz w:val="24"/>
          <w:szCs w:val="24"/>
          <w:highlight w:val="none"/>
        </w:rPr>
        <w:t>3.1    现场考察</w:t>
      </w:r>
      <w:bookmarkEnd w:id="23"/>
      <w:bookmarkEnd w:id="24"/>
      <w:bookmarkEnd w:id="25"/>
    </w:p>
    <w:p w14:paraId="0BCD19AC">
      <w:pPr>
        <w:spacing w:line="360" w:lineRule="auto"/>
        <w:ind w:left="850" w:hanging="849" w:hangingChars="354"/>
        <w:jc w:val="left"/>
        <w:rPr>
          <w:rFonts w:ascii="Times New Roman" w:hAnsi="Times New Roman" w:cs="Times New Roman"/>
          <w:color w:val="auto"/>
          <w:sz w:val="24"/>
          <w:szCs w:val="24"/>
          <w:highlight w:val="none"/>
        </w:rPr>
      </w:pPr>
    </w:p>
    <w:p w14:paraId="404A9AA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74930CDF">
      <w:pPr>
        <w:spacing w:line="360" w:lineRule="auto"/>
        <w:ind w:left="850" w:hanging="849" w:hangingChars="354"/>
        <w:jc w:val="left"/>
        <w:rPr>
          <w:rFonts w:ascii="Times New Roman" w:hAnsi="Times New Roman" w:cs="Times New Roman"/>
          <w:color w:val="auto"/>
          <w:sz w:val="24"/>
          <w:szCs w:val="24"/>
          <w:highlight w:val="none"/>
        </w:rPr>
      </w:pPr>
    </w:p>
    <w:p w14:paraId="2AA846D4">
      <w:pPr>
        <w:spacing w:line="360" w:lineRule="auto"/>
        <w:ind w:left="853" w:hanging="853" w:hangingChars="354"/>
        <w:outlineLvl w:val="1"/>
        <w:rPr>
          <w:rFonts w:ascii="Times New Roman" w:hAnsi="Times New Roman" w:cs="Times New Roman"/>
          <w:color w:val="auto"/>
          <w:sz w:val="24"/>
          <w:szCs w:val="24"/>
          <w:highlight w:val="none"/>
        </w:rPr>
      </w:pPr>
      <w:bookmarkStart w:id="26" w:name="_Toc30932"/>
      <w:bookmarkStart w:id="27" w:name="_Toc13532"/>
      <w:bookmarkStart w:id="28" w:name="_Toc10719"/>
      <w:r>
        <w:rPr>
          <w:rFonts w:hint="default" w:ascii="Times New Roman" w:hAnsi="Times New Roman" w:cs="Times New Roman"/>
          <w:b/>
          <w:color w:val="auto"/>
          <w:sz w:val="24"/>
          <w:szCs w:val="24"/>
          <w:highlight w:val="none"/>
        </w:rPr>
        <w:t>3.2    质疑和澄清</w:t>
      </w:r>
      <w:bookmarkEnd w:id="26"/>
      <w:bookmarkEnd w:id="27"/>
      <w:bookmarkEnd w:id="28"/>
    </w:p>
    <w:p w14:paraId="12106CB7">
      <w:pPr>
        <w:spacing w:line="360" w:lineRule="auto"/>
        <w:ind w:left="850" w:hanging="849" w:hangingChars="354"/>
        <w:jc w:val="left"/>
        <w:rPr>
          <w:rFonts w:ascii="Times New Roman" w:hAnsi="Times New Roman" w:cs="Times New Roman"/>
          <w:color w:val="auto"/>
          <w:sz w:val="24"/>
          <w:szCs w:val="24"/>
          <w:highlight w:val="none"/>
        </w:rPr>
      </w:pPr>
    </w:p>
    <w:p w14:paraId="69662C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3AA7BC00">
      <w:pPr>
        <w:spacing w:line="360" w:lineRule="auto"/>
        <w:ind w:left="850" w:hanging="849" w:hangingChars="354"/>
        <w:rPr>
          <w:rFonts w:ascii="Times New Roman" w:hAnsi="Times New Roman" w:cs="Times New Roman"/>
          <w:color w:val="auto"/>
          <w:sz w:val="24"/>
          <w:szCs w:val="24"/>
          <w:highlight w:val="none"/>
        </w:rPr>
      </w:pPr>
    </w:p>
    <w:p w14:paraId="278FEEAA">
      <w:pPr>
        <w:spacing w:line="360" w:lineRule="auto"/>
        <w:ind w:left="853" w:hanging="853" w:hangingChars="354"/>
        <w:outlineLvl w:val="1"/>
        <w:rPr>
          <w:rFonts w:ascii="Times New Roman" w:hAnsi="Times New Roman" w:cs="Times New Roman"/>
          <w:color w:val="auto"/>
          <w:sz w:val="24"/>
          <w:szCs w:val="24"/>
          <w:highlight w:val="none"/>
        </w:rPr>
      </w:pPr>
      <w:bookmarkStart w:id="29" w:name="_Toc10366"/>
      <w:bookmarkStart w:id="30" w:name="_Toc7883"/>
      <w:bookmarkStart w:id="31" w:name="_Toc24576"/>
      <w:r>
        <w:rPr>
          <w:rFonts w:hint="default" w:ascii="Times New Roman" w:hAnsi="Times New Roman" w:cs="Times New Roman"/>
          <w:b/>
          <w:color w:val="auto"/>
          <w:sz w:val="24"/>
          <w:szCs w:val="24"/>
          <w:highlight w:val="none"/>
        </w:rPr>
        <w:t>3.3    投标文件编制要求</w:t>
      </w:r>
      <w:bookmarkEnd w:id="29"/>
      <w:bookmarkEnd w:id="30"/>
      <w:bookmarkEnd w:id="31"/>
    </w:p>
    <w:p w14:paraId="042BC8E3">
      <w:pPr>
        <w:spacing w:line="360" w:lineRule="auto"/>
        <w:ind w:left="850" w:hanging="849" w:hangingChars="354"/>
        <w:rPr>
          <w:rFonts w:ascii="Times New Roman" w:hAnsi="Times New Roman" w:cs="Times New Roman"/>
          <w:color w:val="auto"/>
          <w:sz w:val="24"/>
          <w:szCs w:val="24"/>
          <w:highlight w:val="none"/>
        </w:rPr>
      </w:pPr>
    </w:p>
    <w:p w14:paraId="2488A5A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09E2BDF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5552500A">
      <w:pPr>
        <w:spacing w:line="360" w:lineRule="auto"/>
        <w:ind w:left="850" w:hanging="849" w:hangingChars="354"/>
        <w:rPr>
          <w:rFonts w:ascii="Times New Roman" w:hAnsi="Times New Roman" w:cs="Times New Roman"/>
          <w:color w:val="auto"/>
          <w:sz w:val="24"/>
          <w:szCs w:val="24"/>
          <w:highlight w:val="none"/>
        </w:rPr>
      </w:pPr>
    </w:p>
    <w:p w14:paraId="379BB768">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28600"/>
      <w:bookmarkStart w:id="33" w:name="_Toc26285"/>
      <w:bookmarkStart w:id="34" w:name="_Toc15329"/>
      <w:r>
        <w:rPr>
          <w:rFonts w:hint="default" w:ascii="Times New Roman" w:hAnsi="Times New Roman" w:cs="Times New Roman"/>
          <w:b/>
          <w:color w:val="auto"/>
          <w:kern w:val="0"/>
          <w:sz w:val="24"/>
          <w:szCs w:val="24"/>
          <w:highlight w:val="none"/>
        </w:rPr>
        <w:t>3.4    延期</w:t>
      </w:r>
      <w:bookmarkEnd w:id="32"/>
      <w:bookmarkEnd w:id="33"/>
      <w:bookmarkEnd w:id="34"/>
    </w:p>
    <w:p w14:paraId="0B240B70">
      <w:pPr>
        <w:spacing w:line="360" w:lineRule="auto"/>
        <w:ind w:left="850" w:hanging="849" w:hangingChars="354"/>
        <w:rPr>
          <w:rFonts w:ascii="Times New Roman" w:hAnsi="Times New Roman" w:cs="Times New Roman"/>
          <w:color w:val="auto"/>
          <w:sz w:val="24"/>
          <w:szCs w:val="24"/>
          <w:highlight w:val="none"/>
        </w:rPr>
      </w:pPr>
    </w:p>
    <w:p w14:paraId="3E069E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3B9FF55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ascii="Times New Roman" w:hAnsi="Times New Roman" w:cs="Times New Roman"/>
          <w:color w:val="auto"/>
          <w:sz w:val="24"/>
          <w:szCs w:val="24"/>
          <w:highlight w:val="none"/>
        </w:rPr>
      </w:pPr>
    </w:p>
    <w:p w14:paraId="4732CB05">
      <w:pPr>
        <w:spacing w:line="360" w:lineRule="auto"/>
        <w:ind w:left="853" w:hanging="853" w:hangingChars="354"/>
        <w:outlineLvl w:val="1"/>
        <w:rPr>
          <w:rFonts w:ascii="Times New Roman" w:hAnsi="Times New Roman" w:cs="Times New Roman"/>
          <w:b/>
          <w:color w:val="auto"/>
          <w:sz w:val="24"/>
          <w:szCs w:val="24"/>
          <w:highlight w:val="none"/>
        </w:rPr>
      </w:pPr>
      <w:bookmarkStart w:id="35" w:name="_Toc23146"/>
      <w:bookmarkStart w:id="36" w:name="_Toc3482"/>
      <w:bookmarkStart w:id="37" w:name="_Toc1430"/>
      <w:r>
        <w:rPr>
          <w:rFonts w:hint="default" w:ascii="Times New Roman" w:hAnsi="Times New Roman" w:cs="Times New Roman"/>
          <w:b/>
          <w:color w:val="auto"/>
          <w:sz w:val="24"/>
          <w:szCs w:val="24"/>
          <w:highlight w:val="none"/>
        </w:rPr>
        <w:t>3.5    投标时间</w:t>
      </w:r>
      <w:bookmarkEnd w:id="35"/>
      <w:bookmarkEnd w:id="36"/>
      <w:bookmarkEnd w:id="37"/>
    </w:p>
    <w:p w14:paraId="354882B6">
      <w:pPr>
        <w:spacing w:line="360" w:lineRule="auto"/>
        <w:ind w:left="850" w:hanging="849" w:hangingChars="354"/>
        <w:rPr>
          <w:rFonts w:ascii="Times New Roman" w:hAnsi="Times New Roman" w:cs="Times New Roman"/>
          <w:color w:val="auto"/>
          <w:sz w:val="24"/>
          <w:szCs w:val="24"/>
          <w:highlight w:val="none"/>
        </w:rPr>
      </w:pPr>
    </w:p>
    <w:p w14:paraId="0805715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6EE4171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ascii="Times New Roman" w:hAnsi="Times New Roman" w:cs="Times New Roman"/>
          <w:color w:val="auto"/>
          <w:sz w:val="24"/>
          <w:szCs w:val="24"/>
          <w:highlight w:val="none"/>
        </w:rPr>
      </w:pPr>
    </w:p>
    <w:p w14:paraId="528DA4FF">
      <w:pPr>
        <w:spacing w:line="360" w:lineRule="auto"/>
        <w:ind w:left="853" w:hanging="853" w:hangingChars="354"/>
        <w:outlineLvl w:val="1"/>
        <w:rPr>
          <w:rFonts w:ascii="Times New Roman" w:hAnsi="Times New Roman" w:cs="Times New Roman"/>
          <w:b/>
          <w:color w:val="auto"/>
          <w:sz w:val="24"/>
          <w:szCs w:val="24"/>
          <w:highlight w:val="none"/>
        </w:rPr>
      </w:pPr>
      <w:bookmarkStart w:id="38" w:name="_Toc7939"/>
      <w:bookmarkStart w:id="39" w:name="_Toc23473"/>
      <w:bookmarkStart w:id="40" w:name="_Toc19353"/>
      <w:r>
        <w:rPr>
          <w:rFonts w:hint="default" w:ascii="Times New Roman" w:hAnsi="Times New Roman" w:cs="Times New Roman"/>
          <w:b/>
          <w:color w:val="auto"/>
          <w:sz w:val="24"/>
          <w:szCs w:val="24"/>
          <w:highlight w:val="none"/>
        </w:rPr>
        <w:t>3.6    投标文件的递交和接受</w:t>
      </w:r>
      <w:bookmarkEnd w:id="38"/>
      <w:bookmarkEnd w:id="39"/>
      <w:bookmarkEnd w:id="40"/>
    </w:p>
    <w:p w14:paraId="206BB41A">
      <w:pPr>
        <w:spacing w:line="360" w:lineRule="auto"/>
        <w:ind w:left="850" w:hanging="849" w:hangingChars="354"/>
        <w:rPr>
          <w:rFonts w:ascii="Times New Roman" w:hAnsi="Times New Roman" w:cs="Times New Roman"/>
          <w:color w:val="auto"/>
          <w:sz w:val="24"/>
          <w:szCs w:val="24"/>
          <w:highlight w:val="none"/>
        </w:rPr>
      </w:pPr>
    </w:p>
    <w:p w14:paraId="54817B4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7844E44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48C6FDEA">
      <w:pPr>
        <w:spacing w:line="360" w:lineRule="auto"/>
        <w:ind w:left="850" w:hanging="849" w:hangingChars="354"/>
        <w:jc w:val="left"/>
        <w:rPr>
          <w:rFonts w:ascii="Times New Roman" w:hAnsi="Times New Roman" w:cs="Times New Roman"/>
          <w:color w:val="auto"/>
          <w:sz w:val="24"/>
          <w:szCs w:val="24"/>
          <w:highlight w:val="none"/>
        </w:rPr>
      </w:pPr>
    </w:p>
    <w:p w14:paraId="263ABD6C">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11541"/>
      <w:bookmarkStart w:id="42" w:name="_Toc7846"/>
      <w:bookmarkStart w:id="43" w:name="_Toc12731"/>
      <w:r>
        <w:rPr>
          <w:rFonts w:hint="default" w:ascii="Times New Roman" w:hAnsi="Times New Roman" w:cs="Times New Roman"/>
          <w:b/>
          <w:color w:val="auto"/>
          <w:sz w:val="24"/>
          <w:szCs w:val="24"/>
          <w:highlight w:val="none"/>
        </w:rPr>
        <w:t>3.7    投标文件的修改与撤回</w:t>
      </w:r>
      <w:bookmarkEnd w:id="41"/>
      <w:bookmarkEnd w:id="42"/>
      <w:bookmarkEnd w:id="43"/>
    </w:p>
    <w:p w14:paraId="5AC3026A">
      <w:pPr>
        <w:spacing w:line="360" w:lineRule="auto"/>
        <w:ind w:left="853" w:hanging="853" w:hangingChars="354"/>
        <w:jc w:val="left"/>
        <w:rPr>
          <w:rFonts w:ascii="Times New Roman" w:hAnsi="Times New Roman" w:cs="Times New Roman"/>
          <w:b/>
          <w:color w:val="auto"/>
          <w:sz w:val="24"/>
          <w:szCs w:val="24"/>
          <w:highlight w:val="none"/>
        </w:rPr>
      </w:pPr>
    </w:p>
    <w:p w14:paraId="35AD0E5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5C54F0E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458CE111">
      <w:pPr>
        <w:spacing w:line="360" w:lineRule="auto"/>
        <w:ind w:left="850" w:hanging="849" w:hangingChars="354"/>
        <w:jc w:val="left"/>
        <w:rPr>
          <w:rFonts w:ascii="Times New Roman" w:hAnsi="Times New Roman" w:cs="Times New Roman"/>
          <w:color w:val="auto"/>
          <w:sz w:val="24"/>
          <w:szCs w:val="24"/>
          <w:highlight w:val="none"/>
        </w:rPr>
      </w:pPr>
    </w:p>
    <w:p w14:paraId="02132581">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13727"/>
      <w:bookmarkStart w:id="45" w:name="_Toc22588"/>
      <w:bookmarkStart w:id="46" w:name="_Toc17008"/>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09C266C6">
      <w:pPr>
        <w:spacing w:line="360" w:lineRule="auto"/>
        <w:ind w:left="853" w:hanging="853" w:hangingChars="354"/>
        <w:jc w:val="left"/>
        <w:rPr>
          <w:rFonts w:ascii="Times New Roman" w:hAnsi="Times New Roman" w:cs="Times New Roman"/>
          <w:b/>
          <w:color w:val="auto"/>
          <w:sz w:val="24"/>
          <w:szCs w:val="24"/>
          <w:highlight w:val="none"/>
        </w:rPr>
      </w:pPr>
    </w:p>
    <w:p w14:paraId="223CEEF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CE5A6F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7420D0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ascii="Times New Roman" w:hAnsi="Times New Roman" w:cs="Times New Roman"/>
          <w:color w:val="auto"/>
          <w:sz w:val="24"/>
          <w:szCs w:val="24"/>
          <w:highlight w:val="none"/>
        </w:rPr>
      </w:pPr>
    </w:p>
    <w:p w14:paraId="1A367A18">
      <w:pPr>
        <w:spacing w:line="360" w:lineRule="auto"/>
        <w:ind w:left="853" w:hanging="853" w:hangingChars="354"/>
        <w:outlineLvl w:val="1"/>
        <w:rPr>
          <w:rFonts w:ascii="Times New Roman" w:hAnsi="Times New Roman" w:cs="Times New Roman"/>
          <w:b/>
          <w:color w:val="auto"/>
          <w:sz w:val="24"/>
          <w:szCs w:val="24"/>
          <w:highlight w:val="none"/>
        </w:rPr>
      </w:pPr>
      <w:bookmarkStart w:id="47" w:name="_Toc7091"/>
      <w:bookmarkStart w:id="48" w:name="_Toc2093"/>
      <w:bookmarkStart w:id="49" w:name="_Toc22219"/>
      <w:r>
        <w:rPr>
          <w:rFonts w:hint="default" w:ascii="Times New Roman" w:hAnsi="Times New Roman" w:cs="Times New Roman"/>
          <w:b/>
          <w:color w:val="auto"/>
          <w:sz w:val="24"/>
          <w:szCs w:val="24"/>
          <w:highlight w:val="none"/>
        </w:rPr>
        <w:t>3.9    开标及投标文件编号</w:t>
      </w:r>
      <w:bookmarkEnd w:id="47"/>
      <w:bookmarkEnd w:id="48"/>
      <w:bookmarkEnd w:id="49"/>
    </w:p>
    <w:p w14:paraId="677BD57A">
      <w:pPr>
        <w:spacing w:line="360" w:lineRule="auto"/>
        <w:ind w:left="850" w:hanging="849" w:hangingChars="354"/>
        <w:jc w:val="left"/>
        <w:rPr>
          <w:rFonts w:ascii="Times New Roman" w:hAnsi="Times New Roman" w:cs="Times New Roman"/>
          <w:color w:val="auto"/>
          <w:sz w:val="24"/>
          <w:szCs w:val="24"/>
          <w:highlight w:val="none"/>
        </w:rPr>
      </w:pPr>
    </w:p>
    <w:p w14:paraId="272279D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51FC85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7409494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ascii="Times New Roman" w:hAnsi="Times New Roman" w:cs="Times New Roman"/>
          <w:color w:val="auto"/>
          <w:sz w:val="24"/>
          <w:szCs w:val="24"/>
          <w:highlight w:val="none"/>
        </w:rPr>
      </w:pPr>
    </w:p>
    <w:p w14:paraId="0D52A5F7">
      <w:pPr>
        <w:spacing w:line="360" w:lineRule="auto"/>
        <w:ind w:left="853" w:hanging="853" w:hangingChars="354"/>
        <w:outlineLvl w:val="1"/>
        <w:rPr>
          <w:rFonts w:ascii="Times New Roman" w:hAnsi="Times New Roman" w:cs="Times New Roman"/>
          <w:b/>
          <w:color w:val="auto"/>
          <w:sz w:val="24"/>
          <w:szCs w:val="24"/>
          <w:highlight w:val="none"/>
        </w:rPr>
      </w:pPr>
      <w:bookmarkStart w:id="50" w:name="_Toc12218"/>
      <w:bookmarkStart w:id="51" w:name="_Toc28701"/>
      <w:bookmarkStart w:id="52" w:name="_Toc4011"/>
      <w:r>
        <w:rPr>
          <w:rFonts w:hint="default" w:ascii="Times New Roman" w:hAnsi="Times New Roman" w:cs="Times New Roman"/>
          <w:b/>
          <w:color w:val="auto"/>
          <w:sz w:val="24"/>
          <w:szCs w:val="24"/>
          <w:highlight w:val="none"/>
        </w:rPr>
        <w:t>3.10   投标保证</w:t>
      </w:r>
      <w:bookmarkEnd w:id="50"/>
      <w:bookmarkEnd w:id="51"/>
      <w:bookmarkEnd w:id="52"/>
    </w:p>
    <w:p w14:paraId="48F20D10">
      <w:pPr>
        <w:spacing w:line="360" w:lineRule="auto"/>
        <w:ind w:left="850" w:hanging="849" w:hangingChars="354"/>
        <w:rPr>
          <w:rFonts w:ascii="Times New Roman" w:hAnsi="Times New Roman" w:cs="Times New Roman"/>
          <w:color w:val="auto"/>
          <w:sz w:val="24"/>
          <w:szCs w:val="24"/>
          <w:highlight w:val="none"/>
        </w:rPr>
      </w:pPr>
    </w:p>
    <w:p w14:paraId="36F084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ascii="Times New Roman" w:hAnsi="Times New Roman" w:cs="Times New Roman"/>
          <w:color w:val="auto"/>
          <w:kern w:val="0"/>
          <w:sz w:val="24"/>
          <w:szCs w:val="24"/>
          <w:highlight w:val="none"/>
        </w:rPr>
      </w:pPr>
    </w:p>
    <w:p w14:paraId="7AD29ED8">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6140"/>
      <w:bookmarkStart w:id="54" w:name="_Toc28203"/>
      <w:bookmarkStart w:id="55" w:name="_Toc2850"/>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0250DD34">
      <w:pPr>
        <w:spacing w:line="360" w:lineRule="auto"/>
        <w:ind w:left="850" w:hanging="849" w:hangingChars="354"/>
        <w:rPr>
          <w:rFonts w:ascii="Times New Roman" w:hAnsi="Times New Roman" w:cs="Times New Roman"/>
          <w:color w:val="auto"/>
          <w:kern w:val="0"/>
          <w:sz w:val="24"/>
          <w:szCs w:val="24"/>
          <w:highlight w:val="none"/>
        </w:rPr>
      </w:pPr>
    </w:p>
    <w:p w14:paraId="211C5AA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02A86FE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13C7A4B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30DBFCF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7EAB7A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1DEBD0F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13A44CB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0439AB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3DE7E05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2C46242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118F273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3BA5398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single"/>
        </w:rPr>
        <w:t>（范本原文）</w:t>
      </w:r>
      <w:bookmarkEnd w:id="57"/>
    </w:p>
    <w:p w14:paraId="670C358D">
      <w:pPr>
        <w:spacing w:line="360" w:lineRule="auto"/>
        <w:ind w:left="425" w:hanging="424" w:hangingChars="177"/>
        <w:rPr>
          <w:rFonts w:ascii="Times New Roman" w:hAnsi="Times New Roman" w:cs="Times New Roman"/>
          <w:color w:val="auto"/>
          <w:kern w:val="0"/>
          <w:sz w:val="24"/>
          <w:szCs w:val="24"/>
          <w:highlight w:val="none"/>
        </w:rPr>
      </w:pPr>
    </w:p>
    <w:p w14:paraId="38CD9187">
      <w:pPr>
        <w:spacing w:line="360" w:lineRule="auto"/>
        <w:ind w:left="426" w:hanging="426" w:hangingChars="177"/>
        <w:outlineLvl w:val="1"/>
        <w:rPr>
          <w:rFonts w:ascii="Times New Roman" w:hAnsi="Times New Roman" w:cs="Times New Roman"/>
          <w:b/>
          <w:color w:val="auto"/>
          <w:sz w:val="24"/>
          <w:szCs w:val="24"/>
          <w:highlight w:val="none"/>
        </w:rPr>
      </w:pPr>
      <w:bookmarkStart w:id="58" w:name="_Toc30315"/>
      <w:bookmarkStart w:id="59" w:name="_Toc4607"/>
      <w:bookmarkStart w:id="60" w:name="_Toc18002"/>
      <w:r>
        <w:rPr>
          <w:rFonts w:hint="default" w:ascii="Times New Roman" w:hAnsi="Times New Roman" w:cs="Times New Roman"/>
          <w:b/>
          <w:color w:val="auto"/>
          <w:sz w:val="24"/>
          <w:szCs w:val="24"/>
          <w:highlight w:val="none"/>
        </w:rPr>
        <w:t>4.1    否决投标</w:t>
      </w:r>
      <w:bookmarkEnd w:id="58"/>
      <w:bookmarkEnd w:id="59"/>
      <w:bookmarkEnd w:id="60"/>
    </w:p>
    <w:p w14:paraId="4125EE4D">
      <w:pPr>
        <w:spacing w:line="360" w:lineRule="auto"/>
        <w:ind w:left="425" w:hanging="424" w:hangingChars="177"/>
        <w:rPr>
          <w:rFonts w:ascii="Times New Roman" w:hAnsi="Times New Roman" w:cs="Times New Roman"/>
          <w:color w:val="auto"/>
          <w:sz w:val="24"/>
          <w:szCs w:val="24"/>
          <w:highlight w:val="none"/>
        </w:rPr>
      </w:pPr>
    </w:p>
    <w:p w14:paraId="3315935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43208F6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4A4C69E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6610CF0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4276036C">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5E81B2F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7829849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60EB1AA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72FE495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26E114C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25A61DF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AE8D84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4A5CD35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49BFEB04">
      <w:pPr>
        <w:spacing w:line="360" w:lineRule="auto"/>
        <w:ind w:left="425" w:hanging="424" w:hangingChars="177"/>
        <w:rPr>
          <w:rFonts w:ascii="Times New Roman" w:hAnsi="Times New Roman" w:cs="Times New Roman"/>
          <w:color w:val="auto"/>
          <w:sz w:val="24"/>
          <w:szCs w:val="24"/>
          <w:highlight w:val="none"/>
        </w:rPr>
      </w:pPr>
    </w:p>
    <w:p w14:paraId="23ACEC80">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8174"/>
      <w:bookmarkStart w:id="62" w:name="_Toc28089"/>
      <w:bookmarkStart w:id="63" w:name="_Toc32723"/>
      <w:r>
        <w:rPr>
          <w:rFonts w:hint="default" w:ascii="Times New Roman" w:hAnsi="Times New Roman" w:cs="Times New Roman"/>
          <w:b/>
          <w:color w:val="auto"/>
          <w:kern w:val="0"/>
          <w:sz w:val="24"/>
          <w:szCs w:val="24"/>
          <w:highlight w:val="none"/>
        </w:rPr>
        <w:t>4.2    评标委员会</w:t>
      </w:r>
      <w:bookmarkEnd w:id="61"/>
      <w:bookmarkEnd w:id="62"/>
      <w:bookmarkEnd w:id="63"/>
    </w:p>
    <w:p w14:paraId="25C656D9">
      <w:pPr>
        <w:spacing w:line="360" w:lineRule="auto"/>
        <w:ind w:left="425" w:hanging="424" w:hangingChars="177"/>
        <w:rPr>
          <w:rFonts w:ascii="Times New Roman" w:hAnsi="Times New Roman" w:cs="Times New Roman"/>
          <w:color w:val="auto"/>
          <w:kern w:val="0"/>
          <w:sz w:val="24"/>
          <w:szCs w:val="24"/>
          <w:highlight w:val="none"/>
        </w:rPr>
      </w:pPr>
    </w:p>
    <w:p w14:paraId="76C64AD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0F54EE2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4F0A37D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729EC2F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0323B0C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4769F1E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98B0C6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4700FD7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516AADAA">
      <w:pPr>
        <w:spacing w:line="360" w:lineRule="auto"/>
        <w:ind w:left="850" w:hanging="849" w:hangingChars="354"/>
        <w:rPr>
          <w:rFonts w:ascii="Times New Roman" w:hAnsi="Times New Roman" w:cs="Times New Roman"/>
          <w:color w:val="auto"/>
          <w:kern w:val="0"/>
          <w:sz w:val="24"/>
          <w:szCs w:val="24"/>
          <w:highlight w:val="none"/>
        </w:rPr>
      </w:pPr>
    </w:p>
    <w:p w14:paraId="55EC6727">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3019"/>
      <w:bookmarkStart w:id="65" w:name="_Toc6582"/>
      <w:bookmarkStart w:id="66" w:name="_Toc28207"/>
      <w:r>
        <w:rPr>
          <w:rFonts w:hint="default" w:ascii="Times New Roman" w:hAnsi="Times New Roman" w:cs="Times New Roman"/>
          <w:b/>
          <w:color w:val="auto"/>
          <w:kern w:val="0"/>
          <w:sz w:val="24"/>
          <w:szCs w:val="24"/>
          <w:highlight w:val="none"/>
        </w:rPr>
        <w:t>4.3    定标委员会（如有）</w:t>
      </w:r>
      <w:bookmarkEnd w:id="64"/>
      <w:bookmarkEnd w:id="65"/>
      <w:bookmarkEnd w:id="66"/>
    </w:p>
    <w:p w14:paraId="01096D5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15A7F358">
      <w:pPr>
        <w:spacing w:line="360" w:lineRule="auto"/>
        <w:ind w:left="850" w:hanging="849" w:hangingChars="354"/>
        <w:rPr>
          <w:rFonts w:ascii="Times New Roman" w:hAnsi="Times New Roman" w:cs="Times New Roman"/>
          <w:color w:val="auto"/>
          <w:kern w:val="0"/>
          <w:sz w:val="24"/>
          <w:szCs w:val="24"/>
          <w:highlight w:val="none"/>
        </w:rPr>
      </w:pPr>
    </w:p>
    <w:p w14:paraId="3D94BC07">
      <w:pPr>
        <w:spacing w:line="360" w:lineRule="auto"/>
        <w:ind w:left="853" w:hanging="853" w:hangingChars="354"/>
        <w:outlineLvl w:val="1"/>
        <w:rPr>
          <w:rFonts w:ascii="Times New Roman" w:hAnsi="Times New Roman" w:cs="Times New Roman"/>
          <w:b/>
          <w:color w:val="auto"/>
          <w:sz w:val="24"/>
          <w:szCs w:val="24"/>
          <w:highlight w:val="none"/>
        </w:rPr>
      </w:pPr>
      <w:bookmarkStart w:id="67" w:name="_Toc9115"/>
      <w:bookmarkStart w:id="68" w:name="_Toc8370"/>
      <w:bookmarkStart w:id="69" w:name="_Toc4226"/>
      <w:r>
        <w:rPr>
          <w:rFonts w:hint="default" w:ascii="Times New Roman" w:hAnsi="Times New Roman" w:cs="Times New Roman"/>
          <w:b/>
          <w:color w:val="auto"/>
          <w:sz w:val="24"/>
          <w:szCs w:val="24"/>
          <w:highlight w:val="none"/>
        </w:rPr>
        <w:t>4.4    评标原则</w:t>
      </w:r>
      <w:bookmarkEnd w:id="67"/>
      <w:bookmarkEnd w:id="68"/>
      <w:bookmarkEnd w:id="69"/>
    </w:p>
    <w:p w14:paraId="65A18257">
      <w:pPr>
        <w:spacing w:line="360" w:lineRule="auto"/>
        <w:ind w:left="850" w:hanging="849" w:hangingChars="354"/>
        <w:rPr>
          <w:rFonts w:ascii="Times New Roman" w:hAnsi="Times New Roman" w:cs="Times New Roman"/>
          <w:color w:val="auto"/>
          <w:sz w:val="24"/>
          <w:szCs w:val="24"/>
          <w:highlight w:val="none"/>
        </w:rPr>
      </w:pPr>
    </w:p>
    <w:p w14:paraId="248783E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ascii="Times New Roman" w:hAnsi="Times New Roman" w:cs="Times New Roman"/>
          <w:color w:val="auto"/>
          <w:sz w:val="24"/>
          <w:szCs w:val="24"/>
          <w:highlight w:val="none"/>
        </w:rPr>
      </w:pPr>
    </w:p>
    <w:p w14:paraId="34767AB8">
      <w:pPr>
        <w:spacing w:line="360" w:lineRule="auto"/>
        <w:ind w:left="853" w:hanging="853" w:hangingChars="354"/>
        <w:outlineLvl w:val="1"/>
        <w:rPr>
          <w:rFonts w:ascii="Times New Roman" w:hAnsi="Times New Roman" w:cs="Times New Roman"/>
          <w:b/>
          <w:color w:val="auto"/>
          <w:sz w:val="24"/>
          <w:szCs w:val="24"/>
          <w:highlight w:val="none"/>
        </w:rPr>
      </w:pPr>
      <w:bookmarkStart w:id="70" w:name="_Toc26069"/>
      <w:bookmarkStart w:id="71" w:name="_Toc197"/>
      <w:bookmarkStart w:id="72" w:name="_Toc20898"/>
      <w:r>
        <w:rPr>
          <w:rFonts w:hint="default" w:ascii="Times New Roman" w:hAnsi="Times New Roman" w:cs="Times New Roman"/>
          <w:b/>
          <w:color w:val="auto"/>
          <w:sz w:val="24"/>
          <w:szCs w:val="24"/>
          <w:highlight w:val="none"/>
        </w:rPr>
        <w:t>4.5    评标办法</w:t>
      </w:r>
      <w:bookmarkEnd w:id="70"/>
      <w:bookmarkEnd w:id="71"/>
      <w:bookmarkEnd w:id="72"/>
    </w:p>
    <w:p w14:paraId="0FE5EA3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61B61085">
      <w:pPr>
        <w:spacing w:line="360" w:lineRule="auto"/>
        <w:ind w:left="850" w:hanging="849" w:hangingChars="354"/>
        <w:rPr>
          <w:rFonts w:ascii="Times New Roman" w:hAnsi="Times New Roman" w:cs="Times New Roman"/>
          <w:color w:val="auto"/>
          <w:sz w:val="24"/>
          <w:szCs w:val="24"/>
          <w:highlight w:val="none"/>
        </w:rPr>
      </w:pPr>
    </w:p>
    <w:p w14:paraId="781E36E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464C84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318B17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1AEC8AE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49C6D8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58472DCA">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518E0C5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394E322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3171BA3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B2A15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ascii="Times New Roman" w:hAnsi="Times New Roman" w:cs="Times New Roman"/>
          <w:color w:val="auto"/>
          <w:sz w:val="24"/>
          <w:szCs w:val="24"/>
          <w:highlight w:val="none"/>
        </w:rPr>
      </w:pPr>
    </w:p>
    <w:p w14:paraId="5130F3D9">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10B49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888953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41ECF3F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3AEB067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252CE65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7B79380C">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490BC18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ascii="Times New Roman" w:hAnsi="Times New Roman" w:cs="Times New Roman"/>
          <w:color w:val="auto"/>
          <w:sz w:val="24"/>
          <w:szCs w:val="24"/>
          <w:highlight w:val="none"/>
        </w:rPr>
      </w:pPr>
    </w:p>
    <w:p w14:paraId="3EF844EE">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single"/>
        </w:rPr>
        <w:t>（范本原文）</w:t>
      </w:r>
      <w:bookmarkEnd w:id="74"/>
    </w:p>
    <w:p w14:paraId="4A5928EE">
      <w:pPr>
        <w:rPr>
          <w:rFonts w:ascii="Times New Roman" w:hAnsi="Times New Roman" w:cs="Times New Roman"/>
          <w:color w:val="auto"/>
          <w:sz w:val="24"/>
          <w:szCs w:val="24"/>
          <w:highlight w:val="none"/>
        </w:rPr>
      </w:pPr>
    </w:p>
    <w:p w14:paraId="4764E934">
      <w:pPr>
        <w:spacing w:line="360" w:lineRule="auto"/>
        <w:jc w:val="left"/>
        <w:outlineLvl w:val="1"/>
        <w:rPr>
          <w:rFonts w:ascii="Times New Roman" w:hAnsi="Times New Roman" w:cs="Times New Roman"/>
          <w:b/>
          <w:color w:val="auto"/>
          <w:sz w:val="24"/>
          <w:szCs w:val="24"/>
          <w:highlight w:val="none"/>
        </w:rPr>
      </w:pPr>
      <w:bookmarkStart w:id="75" w:name="_Toc13630"/>
      <w:bookmarkStart w:id="76" w:name="_Toc14346"/>
      <w:bookmarkStart w:id="77" w:name="_Toc22265"/>
      <w:r>
        <w:rPr>
          <w:rFonts w:hint="default" w:ascii="Times New Roman" w:hAnsi="Times New Roman" w:cs="Times New Roman"/>
          <w:b/>
          <w:color w:val="auto"/>
          <w:sz w:val="24"/>
          <w:szCs w:val="24"/>
          <w:highlight w:val="none"/>
        </w:rPr>
        <w:t>5.1    确定中标人</w:t>
      </w:r>
      <w:bookmarkEnd w:id="75"/>
      <w:bookmarkEnd w:id="76"/>
      <w:bookmarkEnd w:id="77"/>
    </w:p>
    <w:p w14:paraId="4D2765D5">
      <w:pPr>
        <w:spacing w:line="360" w:lineRule="auto"/>
        <w:jc w:val="left"/>
        <w:rPr>
          <w:rFonts w:ascii="Times New Roman" w:hAnsi="Times New Roman" w:cs="Times New Roman"/>
          <w:color w:val="auto"/>
          <w:sz w:val="24"/>
          <w:szCs w:val="24"/>
          <w:highlight w:val="none"/>
        </w:rPr>
      </w:pPr>
    </w:p>
    <w:p w14:paraId="207282C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32E93AFB">
      <w:pPr>
        <w:spacing w:line="360" w:lineRule="auto"/>
        <w:jc w:val="left"/>
        <w:rPr>
          <w:rFonts w:ascii="Times New Roman" w:hAnsi="Times New Roman" w:cs="Times New Roman"/>
          <w:color w:val="auto"/>
          <w:sz w:val="24"/>
          <w:szCs w:val="24"/>
          <w:highlight w:val="none"/>
        </w:rPr>
      </w:pPr>
    </w:p>
    <w:p w14:paraId="789F9091">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2A4E3B1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61F98183">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ascii="Times New Roman" w:hAnsi="Times New Roman" w:cs="Times New Roman"/>
          <w:color w:val="auto"/>
          <w:sz w:val="24"/>
          <w:szCs w:val="24"/>
          <w:highlight w:val="none"/>
        </w:rPr>
      </w:pPr>
    </w:p>
    <w:p w14:paraId="2A566502">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678C400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ascii="Times New Roman" w:hAnsi="Times New Roman" w:cs="Times New Roman"/>
          <w:color w:val="auto"/>
          <w:sz w:val="24"/>
          <w:szCs w:val="24"/>
          <w:highlight w:val="none"/>
        </w:rPr>
      </w:pPr>
    </w:p>
    <w:p w14:paraId="34645D3E">
      <w:pPr>
        <w:spacing w:line="360" w:lineRule="auto"/>
        <w:jc w:val="left"/>
        <w:outlineLvl w:val="1"/>
        <w:rPr>
          <w:rFonts w:ascii="Times New Roman" w:hAnsi="Times New Roman" w:cs="Times New Roman"/>
          <w:b/>
          <w:color w:val="auto"/>
          <w:sz w:val="24"/>
          <w:szCs w:val="24"/>
          <w:highlight w:val="none"/>
        </w:rPr>
      </w:pPr>
      <w:bookmarkStart w:id="78" w:name="_Toc19558"/>
      <w:bookmarkStart w:id="79" w:name="_Toc1840"/>
      <w:bookmarkStart w:id="80" w:name="_Toc8048"/>
      <w:r>
        <w:rPr>
          <w:rFonts w:hint="default" w:ascii="Times New Roman" w:hAnsi="Times New Roman" w:cs="Times New Roman"/>
          <w:b/>
          <w:color w:val="auto"/>
          <w:sz w:val="24"/>
          <w:szCs w:val="24"/>
          <w:highlight w:val="none"/>
        </w:rPr>
        <w:t>5.2    中标资格审核及中标通知</w:t>
      </w:r>
      <w:bookmarkEnd w:id="78"/>
      <w:bookmarkEnd w:id="79"/>
      <w:bookmarkEnd w:id="80"/>
    </w:p>
    <w:p w14:paraId="3C17DB63">
      <w:pPr>
        <w:spacing w:line="360" w:lineRule="auto"/>
        <w:rPr>
          <w:rFonts w:ascii="Times New Roman" w:hAnsi="Times New Roman" w:cs="Times New Roman"/>
          <w:color w:val="auto"/>
          <w:sz w:val="24"/>
          <w:szCs w:val="24"/>
          <w:highlight w:val="none"/>
        </w:rPr>
      </w:pPr>
    </w:p>
    <w:p w14:paraId="7DD15BA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BE5EAD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5D009AA4">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5C5F6661">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4DAE59B5">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48B92C19">
      <w:pPr>
        <w:spacing w:line="360" w:lineRule="auto"/>
        <w:rPr>
          <w:rFonts w:ascii="Times New Roman" w:hAnsi="Times New Roman" w:cs="Times New Roman"/>
          <w:color w:val="auto"/>
          <w:sz w:val="24"/>
          <w:szCs w:val="24"/>
          <w:highlight w:val="none"/>
        </w:rPr>
      </w:pPr>
    </w:p>
    <w:p w14:paraId="56D9582A">
      <w:pPr>
        <w:spacing w:line="360" w:lineRule="auto"/>
        <w:outlineLvl w:val="1"/>
        <w:rPr>
          <w:rFonts w:ascii="Times New Roman" w:hAnsi="Times New Roman" w:cs="Times New Roman"/>
          <w:b/>
          <w:color w:val="auto"/>
          <w:sz w:val="24"/>
          <w:szCs w:val="24"/>
          <w:highlight w:val="none"/>
        </w:rPr>
      </w:pPr>
      <w:bookmarkStart w:id="81" w:name="_Toc28658"/>
      <w:bookmarkStart w:id="82" w:name="_Toc21518"/>
      <w:bookmarkStart w:id="83" w:name="_Toc1428"/>
      <w:r>
        <w:rPr>
          <w:rFonts w:hint="default" w:ascii="Times New Roman" w:hAnsi="Times New Roman" w:cs="Times New Roman"/>
          <w:b/>
          <w:color w:val="auto"/>
          <w:sz w:val="24"/>
          <w:szCs w:val="24"/>
          <w:highlight w:val="none"/>
        </w:rPr>
        <w:t>5.3    其他</w:t>
      </w:r>
      <w:bookmarkEnd w:id="81"/>
      <w:bookmarkEnd w:id="82"/>
      <w:bookmarkEnd w:id="83"/>
    </w:p>
    <w:p w14:paraId="3DE72CD0">
      <w:pPr>
        <w:spacing w:line="360" w:lineRule="auto"/>
        <w:rPr>
          <w:rFonts w:ascii="Times New Roman" w:hAnsi="Times New Roman" w:cs="Times New Roman"/>
          <w:color w:val="auto"/>
          <w:sz w:val="24"/>
          <w:szCs w:val="24"/>
          <w:highlight w:val="none"/>
        </w:rPr>
      </w:pPr>
    </w:p>
    <w:p w14:paraId="1C80C4B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6AC1ECE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73DC7E9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4C071C8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single"/>
        </w:rPr>
        <w:t>（范本原文）</w:t>
      </w:r>
      <w:bookmarkEnd w:id="85"/>
    </w:p>
    <w:p w14:paraId="288D1EDF">
      <w:pPr>
        <w:spacing w:line="360" w:lineRule="auto"/>
        <w:rPr>
          <w:rFonts w:ascii="Times New Roman" w:hAnsi="Times New Roman" w:cs="Times New Roman"/>
          <w:color w:val="auto"/>
          <w:sz w:val="24"/>
          <w:szCs w:val="24"/>
          <w:highlight w:val="none"/>
        </w:rPr>
      </w:pPr>
    </w:p>
    <w:p w14:paraId="7C3ABA30">
      <w:pPr>
        <w:spacing w:line="360" w:lineRule="auto"/>
        <w:outlineLvl w:val="1"/>
        <w:rPr>
          <w:rFonts w:ascii="Times New Roman" w:hAnsi="Times New Roman" w:cs="Times New Roman"/>
          <w:b/>
          <w:color w:val="auto"/>
          <w:sz w:val="24"/>
          <w:szCs w:val="24"/>
          <w:highlight w:val="none"/>
        </w:rPr>
      </w:pPr>
      <w:bookmarkStart w:id="86" w:name="_Toc21968"/>
      <w:bookmarkStart w:id="87" w:name="_Toc19818"/>
      <w:bookmarkStart w:id="88" w:name="_Toc25109"/>
      <w:r>
        <w:rPr>
          <w:rFonts w:hint="default" w:ascii="Times New Roman" w:hAnsi="Times New Roman" w:cs="Times New Roman"/>
          <w:b/>
          <w:color w:val="auto"/>
          <w:sz w:val="24"/>
          <w:szCs w:val="24"/>
          <w:highlight w:val="none"/>
        </w:rPr>
        <w:t>6.1    授予合同</w:t>
      </w:r>
      <w:bookmarkEnd w:id="86"/>
      <w:bookmarkEnd w:id="87"/>
      <w:bookmarkEnd w:id="88"/>
    </w:p>
    <w:p w14:paraId="7E208316">
      <w:pPr>
        <w:spacing w:line="360" w:lineRule="auto"/>
        <w:rPr>
          <w:rFonts w:ascii="Times New Roman" w:hAnsi="Times New Roman" w:cs="Times New Roman"/>
          <w:color w:val="auto"/>
          <w:sz w:val="24"/>
          <w:szCs w:val="24"/>
          <w:highlight w:val="none"/>
        </w:rPr>
      </w:pPr>
    </w:p>
    <w:p w14:paraId="4DB72C14">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8EBA11E">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5EF0756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2E452768">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697CB35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03F8FE2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single"/>
        </w:rPr>
        <w:t>（范本原文）</w:t>
      </w:r>
      <w:bookmarkEnd w:id="90"/>
    </w:p>
    <w:p w14:paraId="35F17983">
      <w:pPr>
        <w:spacing w:line="360" w:lineRule="auto"/>
        <w:rPr>
          <w:rFonts w:ascii="Times New Roman" w:hAnsi="Times New Roman" w:cs="Times New Roman"/>
          <w:color w:val="auto"/>
          <w:sz w:val="24"/>
          <w:szCs w:val="24"/>
          <w:highlight w:val="none"/>
        </w:rPr>
      </w:pPr>
    </w:p>
    <w:p w14:paraId="72A957F4">
      <w:pPr>
        <w:spacing w:line="360" w:lineRule="auto"/>
        <w:outlineLvl w:val="1"/>
        <w:rPr>
          <w:rFonts w:ascii="Times New Roman" w:hAnsi="Times New Roman" w:cs="Times New Roman"/>
          <w:b/>
          <w:color w:val="auto"/>
          <w:sz w:val="24"/>
          <w:szCs w:val="24"/>
          <w:highlight w:val="none"/>
        </w:rPr>
      </w:pPr>
      <w:bookmarkStart w:id="91" w:name="_Toc30376"/>
      <w:bookmarkStart w:id="92" w:name="_Toc23271"/>
      <w:bookmarkStart w:id="93" w:name="_Toc11606"/>
      <w:r>
        <w:rPr>
          <w:rFonts w:hint="default" w:ascii="Times New Roman" w:hAnsi="Times New Roman" w:cs="Times New Roman"/>
          <w:b/>
          <w:color w:val="auto"/>
          <w:sz w:val="24"/>
          <w:szCs w:val="24"/>
          <w:highlight w:val="none"/>
        </w:rPr>
        <w:t>7.1    公开展示</w:t>
      </w:r>
      <w:bookmarkEnd w:id="91"/>
      <w:bookmarkEnd w:id="92"/>
      <w:bookmarkEnd w:id="93"/>
    </w:p>
    <w:p w14:paraId="75404BCE">
      <w:pPr>
        <w:spacing w:line="360" w:lineRule="auto"/>
        <w:rPr>
          <w:rFonts w:ascii="Times New Roman" w:hAnsi="Times New Roman" w:cs="Times New Roman"/>
          <w:color w:val="auto"/>
          <w:sz w:val="24"/>
          <w:szCs w:val="24"/>
          <w:highlight w:val="none"/>
        </w:rPr>
      </w:pPr>
    </w:p>
    <w:p w14:paraId="10AEC34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54211506">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ascii="Times New Roman" w:hAnsi="Times New Roman" w:cs="Times New Roman"/>
          <w:color w:val="auto"/>
          <w:sz w:val="24"/>
          <w:szCs w:val="24"/>
          <w:highlight w:val="none"/>
        </w:rPr>
      </w:pPr>
    </w:p>
    <w:p w14:paraId="626B0B11">
      <w:pPr>
        <w:spacing w:line="360" w:lineRule="auto"/>
        <w:outlineLvl w:val="1"/>
        <w:rPr>
          <w:rFonts w:ascii="Times New Roman" w:hAnsi="Times New Roman" w:cs="Times New Roman"/>
          <w:b/>
          <w:color w:val="auto"/>
          <w:sz w:val="24"/>
          <w:szCs w:val="24"/>
          <w:highlight w:val="none"/>
        </w:rPr>
      </w:pPr>
      <w:bookmarkStart w:id="94" w:name="_Toc14400"/>
      <w:bookmarkStart w:id="95" w:name="_Toc10309"/>
      <w:bookmarkStart w:id="96" w:name="_Toc13068"/>
      <w:r>
        <w:rPr>
          <w:rFonts w:hint="default" w:ascii="Times New Roman" w:hAnsi="Times New Roman" w:cs="Times New Roman"/>
          <w:b/>
          <w:color w:val="auto"/>
          <w:sz w:val="24"/>
          <w:szCs w:val="24"/>
          <w:highlight w:val="none"/>
        </w:rPr>
        <w:t>7.2    知识产权转移</w:t>
      </w:r>
      <w:bookmarkEnd w:id="94"/>
      <w:bookmarkEnd w:id="95"/>
      <w:bookmarkEnd w:id="96"/>
    </w:p>
    <w:p w14:paraId="417270BF">
      <w:pPr>
        <w:spacing w:line="360" w:lineRule="auto"/>
        <w:ind w:left="821" w:hanging="820" w:hangingChars="342"/>
        <w:jc w:val="left"/>
        <w:rPr>
          <w:rFonts w:ascii="Times New Roman" w:hAnsi="Times New Roman" w:cs="Times New Roman"/>
          <w:color w:val="auto"/>
          <w:sz w:val="24"/>
          <w:szCs w:val="24"/>
          <w:highlight w:val="none"/>
        </w:rPr>
      </w:pPr>
    </w:p>
    <w:p w14:paraId="09ECC249">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ascii="Times New Roman" w:hAnsi="Times New Roman" w:cs="Times New Roman"/>
          <w:color w:val="auto"/>
          <w:sz w:val="24"/>
          <w:szCs w:val="24"/>
          <w:highlight w:val="none"/>
        </w:rPr>
      </w:pPr>
    </w:p>
    <w:p w14:paraId="5B4702D6">
      <w:pPr>
        <w:spacing w:line="360" w:lineRule="auto"/>
        <w:outlineLvl w:val="1"/>
        <w:rPr>
          <w:rFonts w:ascii="Times New Roman" w:hAnsi="Times New Roman" w:cs="Times New Roman"/>
          <w:b/>
          <w:color w:val="auto"/>
          <w:sz w:val="24"/>
          <w:szCs w:val="24"/>
          <w:highlight w:val="none"/>
        </w:rPr>
      </w:pPr>
      <w:bookmarkStart w:id="97" w:name="_Toc1146"/>
      <w:bookmarkStart w:id="98" w:name="_Toc32320"/>
      <w:bookmarkStart w:id="99" w:name="_Toc17398"/>
      <w:r>
        <w:rPr>
          <w:rFonts w:hint="default" w:ascii="Times New Roman" w:hAnsi="Times New Roman" w:cs="Times New Roman"/>
          <w:b/>
          <w:color w:val="auto"/>
          <w:sz w:val="24"/>
          <w:szCs w:val="24"/>
          <w:highlight w:val="none"/>
        </w:rPr>
        <w:t>7.3    其他</w:t>
      </w:r>
      <w:bookmarkEnd w:id="97"/>
      <w:bookmarkEnd w:id="98"/>
      <w:bookmarkEnd w:id="99"/>
    </w:p>
    <w:p w14:paraId="752F76AC">
      <w:pPr>
        <w:spacing w:line="360" w:lineRule="auto"/>
        <w:ind w:left="821" w:hanging="820" w:hangingChars="342"/>
        <w:rPr>
          <w:rFonts w:ascii="Times New Roman" w:hAnsi="Times New Roman" w:cs="Times New Roman"/>
          <w:color w:val="auto"/>
          <w:sz w:val="24"/>
          <w:szCs w:val="24"/>
          <w:highlight w:val="none"/>
        </w:rPr>
      </w:pPr>
    </w:p>
    <w:p w14:paraId="0BFC825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AB5881">
      <w:pPr>
        <w:spacing w:line="360" w:lineRule="auto"/>
        <w:rPr>
          <w:rFonts w:ascii="Times New Roman" w:hAnsi="Times New Roman" w:cs="Times New Roman"/>
          <w:color w:val="auto"/>
          <w:sz w:val="24"/>
          <w:szCs w:val="24"/>
          <w:highlight w:val="none"/>
        </w:rPr>
      </w:pPr>
    </w:p>
    <w:p w14:paraId="4032D2C7">
      <w:pPr>
        <w:spacing w:line="360" w:lineRule="auto"/>
        <w:rPr>
          <w:rFonts w:ascii="Times New Roman" w:hAnsi="Times New Roman" w:cs="Times New Roman"/>
          <w:color w:val="auto"/>
          <w:sz w:val="24"/>
          <w:szCs w:val="24"/>
          <w:highlight w:val="none"/>
        </w:rPr>
      </w:pPr>
    </w:p>
    <w:p w14:paraId="02B11196">
      <w:pPr>
        <w:rPr>
          <w:rFonts w:ascii="Times New Roman" w:hAnsi="Times New Roman" w:cs="Times New Roman"/>
          <w:color w:val="auto"/>
          <w:szCs w:val="21"/>
          <w:highlight w:val="none"/>
        </w:rPr>
      </w:pPr>
    </w:p>
    <w:p w14:paraId="58620E1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default" w:ascii="Times New Roman" w:hAnsi="Times New Roman" w:cs="Times New Roman"/>
          <w:b/>
          <w:color w:val="auto"/>
          <w:kern w:val="44"/>
          <w:sz w:val="36"/>
          <w:szCs w:val="36"/>
          <w:highlight w:val="none"/>
        </w:rPr>
        <w:t>合同条款</w:t>
      </w:r>
      <w:bookmarkEnd w:id="101"/>
    </w:p>
    <w:p w14:paraId="5CA070C4">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4751A398">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ascii="Times New Roman" w:hAnsi="Times New Roman" w:cs="Times New Roman"/>
          <w:b/>
          <w:strike/>
          <w:color w:val="auto"/>
          <w:kern w:val="44"/>
          <w:szCs w:val="21"/>
          <w:highlight w:val="none"/>
        </w:rPr>
      </w:pPr>
      <w:bookmarkStart w:id="102" w:name="_Toc9307"/>
      <w:bookmarkEnd w:id="102"/>
      <w:bookmarkStart w:id="103" w:name="_Toc8971"/>
      <w:r>
        <w:rPr>
          <w:rFonts w:hint="default" w:ascii="Times New Roman" w:hAnsi="Times New Roman" w:cs="Times New Roman"/>
          <w:b/>
          <w:strike/>
          <w:color w:val="auto"/>
          <w:kern w:val="44"/>
          <w:szCs w:val="21"/>
          <w:highlight w:val="none"/>
        </w:rPr>
        <w:t>附录1 投标申请表（投入人员承诺）</w:t>
      </w:r>
      <w:bookmarkEnd w:id="103"/>
    </w:p>
    <w:p w14:paraId="00A0A943">
      <w:pPr>
        <w:spacing w:line="360" w:lineRule="auto"/>
        <w:jc w:val="center"/>
        <w:rPr>
          <w:rFonts w:ascii="Times New Roman" w:hAnsi="Times New Roman" w:cs="Times New Roman"/>
          <w:b/>
          <w:strike/>
          <w:color w:val="auto"/>
          <w:sz w:val="36"/>
          <w:szCs w:val="36"/>
          <w:highlight w:val="none"/>
        </w:rPr>
      </w:pPr>
      <w:r>
        <w:rPr>
          <w:rFonts w:hint="default" w:ascii="Times New Roman" w:hAnsi="Times New Roman" w:cs="Times New Roman"/>
          <w:b/>
          <w:strike/>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860F8C7">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651109">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444139">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33BD6D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249DE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6BDC0DE">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718AC21">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4A8041">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E5874C">
            <w:pPr>
              <w:snapToGrid w:val="0"/>
              <w:spacing w:before="120" w:beforeLines="50" w:after="120" w:afterLines="50"/>
              <w:jc w:val="center"/>
              <w:rPr>
                <w:rFonts w:ascii="Times New Roman" w:hAnsi="Times New Roman" w:cs="Times New Roman"/>
                <w:strike/>
                <w:color w:val="auto"/>
                <w:szCs w:val="21"/>
                <w:highlight w:val="none"/>
              </w:rPr>
            </w:pPr>
            <w:r>
              <w:rPr>
                <w:rFonts w:hint="default" w:ascii="Times New Roman" w:hAnsi="Times New Roman" w:eastAsia="宋体" w:cs="Times New Roman"/>
                <w:b/>
                <w:bCs/>
                <w:strike/>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E29884D">
            <w:pPr>
              <w:spacing w:line="360" w:lineRule="auto"/>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0EE67CD">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1EAEF47">
            <w:pPr>
              <w:spacing w:line="360" w:lineRule="auto"/>
              <w:jc w:val="center"/>
              <w:rPr>
                <w:rFonts w:ascii="Times New Roman" w:hAnsi="Times New Roman" w:cs="Times New Roman"/>
                <w:strike/>
                <w:color w:val="auto"/>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1F86323">
            <w:pPr>
              <w:spacing w:line="360" w:lineRule="auto"/>
              <w:jc w:val="center"/>
              <w:rPr>
                <w:rFonts w:ascii="Times New Roman" w:hAnsi="Times New Roman" w:eastAsia="仿宋_GB2312" w:cs="Times New Roman"/>
                <w:strike/>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192FF">
            <w:pPr>
              <w:spacing w:line="360" w:lineRule="auto"/>
              <w:jc w:val="center"/>
              <w:rPr>
                <w:rFonts w:ascii="Times New Roman" w:hAnsi="Times New Roman" w:eastAsia="仿宋_GB2312" w:cs="Times New Roman"/>
                <w:strike/>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F3E6FE8">
            <w:pPr>
              <w:snapToGrid w:val="0"/>
              <w:spacing w:before="120" w:beforeLines="50" w:after="120" w:afterLines="50"/>
              <w:jc w:val="center"/>
              <w:rPr>
                <w:rFonts w:ascii="Times New Roman" w:hAnsi="Times New Roman" w:cs="Times New Roman"/>
                <w:strike/>
                <w:color w:val="auto"/>
                <w:szCs w:val="21"/>
                <w:highlight w:val="none"/>
              </w:rPr>
            </w:pPr>
            <w:r>
              <w:rPr>
                <w:rFonts w:hint="default" w:ascii="Times New Roman" w:hAnsi="Times New Roman" w:eastAsia="宋体" w:cs="Times New Roman"/>
                <w:strike/>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96325C9">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C466513">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27B5095">
            <w:pPr>
              <w:spacing w:line="360" w:lineRule="auto"/>
              <w:jc w:val="center"/>
              <w:rPr>
                <w:rFonts w:ascii="Times New Roman" w:hAnsi="Times New Roman" w:cs="Times New Roman"/>
                <w:strike/>
                <w:color w:val="auto"/>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B8F17B8">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73593C">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A44431">
            <w:pPr>
              <w:snapToGrid w:val="0"/>
              <w:spacing w:before="120" w:beforeLines="50" w:after="120" w:afterLines="50"/>
              <w:jc w:val="center"/>
              <w:rPr>
                <w:rFonts w:ascii="Times New Roman" w:hAnsi="Times New Roman" w:cs="Times New Roman"/>
                <w:strike/>
                <w:color w:val="auto"/>
                <w:szCs w:val="21"/>
                <w:highlight w:val="none"/>
              </w:rPr>
            </w:pPr>
            <w:r>
              <w:rPr>
                <w:rFonts w:hint="default" w:ascii="Times New Roman" w:hAnsi="Times New Roman" w:eastAsia="宋体" w:cs="Times New Roman"/>
                <w:b/>
                <w:bCs/>
                <w:strike/>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4A6F428">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71A15E">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130EF95">
            <w:pPr>
              <w:spacing w:line="360" w:lineRule="auto"/>
              <w:jc w:val="center"/>
              <w:rPr>
                <w:rFonts w:ascii="Times New Roman" w:hAnsi="Times New Roman" w:cs="Times New Roman"/>
                <w:strike/>
                <w:color w:val="auto"/>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8B8DA6D">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7D025D">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D6AA2B">
            <w:pPr>
              <w:snapToGrid w:val="0"/>
              <w:spacing w:before="120" w:beforeLines="50" w:after="120" w:afterLines="50"/>
              <w:jc w:val="center"/>
              <w:rPr>
                <w:rFonts w:ascii="Times New Roman" w:hAnsi="Times New Roman" w:eastAsia="宋体" w:cs="Times New Roman"/>
                <w:b w:val="0"/>
                <w:bCs w:val="0"/>
                <w:strike/>
                <w:color w:val="auto"/>
                <w:sz w:val="24"/>
                <w:szCs w:val="24"/>
                <w:highlight w:val="none"/>
                <w:lang w:eastAsia="zh-CN"/>
              </w:rPr>
            </w:pPr>
            <w:r>
              <w:rPr>
                <w:rFonts w:hint="default" w:ascii="Times New Roman" w:hAnsi="Times New Roman" w:eastAsia="宋体" w:cs="Times New Roman"/>
                <w:b w:val="0"/>
                <w:bCs w:val="0"/>
                <w:strike/>
                <w:color w:val="auto"/>
                <w:sz w:val="24"/>
                <w:szCs w:val="24"/>
                <w:highlight w:val="none"/>
                <w:lang w:eastAsia="zh-CN"/>
              </w:rPr>
              <w:t>设计负责人</w:t>
            </w:r>
          </w:p>
          <w:p w14:paraId="24A3267F">
            <w:pPr>
              <w:snapToGrid w:val="0"/>
              <w:spacing w:before="120" w:beforeLines="50" w:after="120" w:afterLines="50"/>
              <w:jc w:val="center"/>
              <w:rPr>
                <w:rFonts w:ascii="Times New Roman" w:hAnsi="Times New Roman" w:cs="Times New Roman"/>
                <w:strike/>
                <w:color w:val="auto"/>
                <w:szCs w:val="21"/>
                <w:highlight w:val="none"/>
              </w:rPr>
            </w:pPr>
            <w:r>
              <w:rPr>
                <w:rFonts w:hint="default" w:ascii="Times New Roman" w:hAnsi="Times New Roman" w:eastAsia="宋体" w:cs="Times New Roman"/>
                <w:b w:val="0"/>
                <w:bCs w:val="0"/>
                <w:strike/>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2F3DFB1">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A7A514F">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D2FBFB3">
            <w:pPr>
              <w:spacing w:line="360" w:lineRule="auto"/>
              <w:jc w:val="center"/>
              <w:rPr>
                <w:rFonts w:ascii="Times New Roman" w:hAnsi="Times New Roman" w:cs="Times New Roman"/>
                <w:strike/>
                <w:color w:val="auto"/>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9F19316">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2A40A0">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C308D">
            <w:pPr>
              <w:snapToGrid w:val="0"/>
              <w:spacing w:before="120" w:beforeLines="50" w:after="120" w:afterLines="50"/>
              <w:jc w:val="center"/>
              <w:rPr>
                <w:rFonts w:ascii="Times New Roman" w:hAnsi="Times New Roman" w:cs="Times New Roman"/>
                <w:strike/>
                <w:color w:val="auto"/>
                <w:szCs w:val="21"/>
                <w:highlight w:val="none"/>
              </w:rPr>
            </w:pPr>
            <w:r>
              <w:rPr>
                <w:rFonts w:hint="default" w:ascii="Times New Roman" w:hAnsi="Times New Roman" w:eastAsia="宋体" w:cs="Times New Roman"/>
                <w:b w:val="0"/>
                <w:bCs w:val="0"/>
                <w:strike/>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00FF3F1">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581855">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B07A8FD">
            <w:pPr>
              <w:spacing w:line="360" w:lineRule="auto"/>
              <w:jc w:val="center"/>
              <w:rPr>
                <w:rFonts w:ascii="Times New Roman" w:hAnsi="Times New Roman" w:cs="Times New Roman"/>
                <w:strike/>
                <w:color w:val="auto"/>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5D94242">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23C511">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93709AB">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strike/>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081034A">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09F39">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D9AF2D">
            <w:pPr>
              <w:spacing w:line="360" w:lineRule="auto"/>
              <w:jc w:val="center"/>
              <w:rPr>
                <w:rFonts w:ascii="Times New Roman" w:hAnsi="Times New Roman" w:cs="Times New Roman"/>
                <w:strike/>
                <w:color w:val="auto"/>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951451">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0C29EF">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B52935">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b w:val="0"/>
                <w:bCs w:val="0"/>
                <w:strike/>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8835E9D">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DA51D5">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3E1A5BF">
            <w:pPr>
              <w:spacing w:line="360" w:lineRule="auto"/>
              <w:jc w:val="center"/>
              <w:rPr>
                <w:rFonts w:ascii="Times New Roman" w:hAnsi="Times New Roman" w:cs="Times New Roman"/>
                <w:strike/>
                <w:color w:val="auto"/>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D26C8F8">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2ED9A11">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0C9C1F">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strike/>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523F2A">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08E855">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2C72AC">
            <w:pPr>
              <w:spacing w:line="360" w:lineRule="auto"/>
              <w:jc w:val="center"/>
              <w:rPr>
                <w:rFonts w:ascii="Times New Roman" w:hAnsi="Times New Roman" w:cs="Times New Roman"/>
                <w:strike/>
                <w:color w:val="auto"/>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C14179F">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F98B58A">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B677B2">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b/>
                <w:bCs/>
                <w:strike/>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42C4BC">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1CE4634">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59F72F7">
            <w:pPr>
              <w:spacing w:line="360" w:lineRule="auto"/>
              <w:jc w:val="center"/>
              <w:rPr>
                <w:rFonts w:ascii="Times New Roman" w:hAnsi="Times New Roman" w:cs="Times New Roman"/>
                <w:strike/>
                <w:color w:val="auto"/>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C4E96E">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9A5C30">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E7D3BA">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strike/>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E9C5FFD">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B810C18">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0185614">
            <w:pPr>
              <w:spacing w:line="360" w:lineRule="auto"/>
              <w:jc w:val="center"/>
              <w:rPr>
                <w:rFonts w:ascii="Times New Roman" w:hAnsi="Times New Roman" w:cs="Times New Roman"/>
                <w:strike/>
                <w:color w:val="auto"/>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5F148CD">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64705A">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705C248">
            <w:pPr>
              <w:snapToGrid w:val="0"/>
              <w:spacing w:before="120" w:beforeLines="50" w:after="120" w:afterLines="50"/>
              <w:jc w:val="center"/>
              <w:rPr>
                <w:rFonts w:ascii="Times New Roman" w:hAnsi="Times New Roman" w:cs="Times New Roman"/>
                <w:strike/>
                <w:color w:val="auto"/>
                <w:sz w:val="24"/>
                <w:szCs w:val="24"/>
                <w:highlight w:val="none"/>
              </w:rPr>
            </w:pPr>
            <w:r>
              <w:rPr>
                <w:rFonts w:hint="default" w:ascii="Times New Roman" w:hAnsi="Times New Roman" w:eastAsia="宋体" w:cs="Times New Roman"/>
                <w:b/>
                <w:bCs/>
                <w:strike/>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9DD9B1">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4A188">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F607A1B">
            <w:pPr>
              <w:spacing w:line="360" w:lineRule="auto"/>
              <w:jc w:val="center"/>
              <w:rPr>
                <w:rFonts w:ascii="Times New Roman" w:hAnsi="Times New Roman" w:cs="Times New Roman"/>
                <w:strike/>
                <w:color w:val="auto"/>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25D7172">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7F97736">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0A1846">
            <w:pPr>
              <w:snapToGrid w:val="0"/>
              <w:spacing w:before="120" w:beforeLines="50" w:after="120" w:afterLines="50"/>
              <w:jc w:val="center"/>
              <w:rPr>
                <w:rFonts w:hint="default" w:ascii="Times New Roman" w:hAnsi="Times New Roman" w:cs="Times New Roman"/>
                <w:strike/>
                <w:color w:val="auto"/>
                <w:sz w:val="24"/>
                <w:szCs w:val="24"/>
                <w:highlight w:val="none"/>
              </w:rPr>
            </w:pPr>
            <w:r>
              <w:rPr>
                <w:rFonts w:hint="default" w:ascii="Times New Roman" w:hAnsi="Times New Roman" w:eastAsia="宋体" w:cs="Times New Roman"/>
                <w:strike/>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8D1115">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037838A">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196CEC1">
            <w:pPr>
              <w:spacing w:line="360" w:lineRule="auto"/>
              <w:jc w:val="center"/>
              <w:rPr>
                <w:rFonts w:ascii="Times New Roman" w:hAnsi="Times New Roman" w:cs="Times New Roman"/>
                <w:strike/>
                <w:color w:val="auto"/>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F38B2D6">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7E4F2E">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E9D4D2">
            <w:pPr>
              <w:snapToGrid w:val="0"/>
              <w:spacing w:before="120" w:beforeLines="50" w:after="120" w:afterLines="50"/>
              <w:jc w:val="center"/>
              <w:rPr>
                <w:rFonts w:hint="default" w:ascii="Times New Roman" w:hAnsi="Times New Roman" w:cs="Times New Roman"/>
                <w:strike/>
                <w:color w:val="auto"/>
                <w:sz w:val="24"/>
                <w:szCs w:val="24"/>
                <w:highlight w:val="none"/>
              </w:rPr>
            </w:pPr>
            <w:r>
              <w:rPr>
                <w:rFonts w:hint="default" w:ascii="Times New Roman" w:hAnsi="Times New Roman" w:eastAsia="宋体" w:cs="Times New Roman"/>
                <w:b/>
                <w:bCs/>
                <w:strike/>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5978740">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B464D1">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48A672A">
            <w:pPr>
              <w:spacing w:line="360" w:lineRule="auto"/>
              <w:jc w:val="center"/>
              <w:rPr>
                <w:rFonts w:ascii="Times New Roman" w:hAnsi="Times New Roman" w:cs="Times New Roman"/>
                <w:strike/>
                <w:color w:val="auto"/>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56DC698">
            <w:pPr>
              <w:spacing w:line="360" w:lineRule="auto"/>
              <w:jc w:val="center"/>
              <w:rPr>
                <w:rFonts w:ascii="Times New Roman" w:hAnsi="Times New Roman" w:cs="Times New Roman"/>
                <w:strike/>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703774">
            <w:pPr>
              <w:spacing w:line="360" w:lineRule="auto"/>
              <w:jc w:val="center"/>
              <w:rPr>
                <w:rFonts w:ascii="Times New Roman" w:hAnsi="Times New Roman" w:cs="Times New Roman"/>
                <w:strike/>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B8FD9E">
            <w:pPr>
              <w:snapToGrid w:val="0"/>
              <w:spacing w:before="120" w:beforeLines="50" w:after="120" w:afterLines="50"/>
              <w:jc w:val="center"/>
              <w:rPr>
                <w:rFonts w:hint="default" w:ascii="Times New Roman" w:hAnsi="Times New Roman" w:cs="Times New Roman"/>
                <w:strike/>
                <w:color w:val="auto"/>
                <w:sz w:val="24"/>
                <w:szCs w:val="24"/>
                <w:highlight w:val="none"/>
              </w:rPr>
            </w:pPr>
            <w:r>
              <w:rPr>
                <w:rFonts w:hint="default" w:ascii="Times New Roman" w:hAnsi="Times New Roman" w:eastAsia="宋体" w:cs="Times New Roman"/>
                <w:strike/>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D0D0F67">
            <w:pPr>
              <w:spacing w:line="360" w:lineRule="auto"/>
              <w:jc w:val="center"/>
              <w:rPr>
                <w:rFonts w:ascii="Times New Roman" w:hAnsi="Times New Roman" w:cs="Times New Roman"/>
                <w:strike/>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7284DF">
            <w:pPr>
              <w:spacing w:line="360" w:lineRule="auto"/>
              <w:jc w:val="center"/>
              <w:rPr>
                <w:rFonts w:ascii="Times New Roman" w:hAnsi="Times New Roman" w:cs="Times New Roman"/>
                <w:strike/>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8E94C27">
            <w:pPr>
              <w:spacing w:line="360" w:lineRule="auto"/>
              <w:jc w:val="center"/>
              <w:rPr>
                <w:rFonts w:ascii="Times New Roman" w:hAnsi="Times New Roman" w:cs="Times New Roman"/>
                <w:strike/>
                <w:color w:val="auto"/>
                <w:szCs w:val="21"/>
                <w:highlight w:val="none"/>
              </w:rPr>
            </w:pPr>
          </w:p>
        </w:tc>
      </w:tr>
    </w:tbl>
    <w:p w14:paraId="3DE2440F">
      <w:pPr>
        <w:spacing w:line="360" w:lineRule="auto"/>
        <w:jc w:val="left"/>
        <w:rPr>
          <w:rFonts w:ascii="Times New Roman" w:hAnsi="Times New Roman" w:cs="Times New Roman"/>
          <w:strike/>
          <w:color w:val="auto"/>
          <w:highlight w:val="none"/>
        </w:rPr>
      </w:pPr>
      <w:r>
        <w:rPr>
          <w:rFonts w:hint="default" w:ascii="Times New Roman" w:hAnsi="Times New Roman" w:cs="Times New Roman"/>
          <w:strike/>
          <w:color w:val="auto"/>
          <w:sz w:val="24"/>
          <w:szCs w:val="24"/>
          <w:highlight w:val="none"/>
          <w:lang w:eastAsia="zh-CN"/>
        </w:rPr>
        <w:t>注：以上投入人员不得兼任。资格审查只审核项目负责人资格，其他投入人员由投标人自行提供。</w:t>
      </w:r>
    </w:p>
    <w:p w14:paraId="305F8E2F">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3"/>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05FE24A6">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70839DE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44003B98">
      <w:pPr>
        <w:spacing w:line="360" w:lineRule="auto"/>
        <w:outlineLvl w:val="1"/>
        <w:rPr>
          <w:rFonts w:ascii="Times New Roman" w:hAnsi="Times New Roman" w:cs="Times New Roman"/>
          <w:color w:val="auto"/>
          <w:sz w:val="24"/>
          <w:szCs w:val="24"/>
          <w:highlight w:val="none"/>
        </w:rPr>
      </w:pPr>
      <w:bookmarkStart w:id="105" w:name="_Toc22863"/>
      <w:bookmarkStart w:id="106" w:name="_Toc17609"/>
      <w:r>
        <w:rPr>
          <w:rFonts w:hint="default" w:ascii="Times New Roman" w:hAnsi="Times New Roman" w:cs="Times New Roman"/>
          <w:b/>
          <w:color w:val="auto"/>
          <w:sz w:val="24"/>
          <w:szCs w:val="24"/>
          <w:highlight w:val="none"/>
        </w:rPr>
        <w:t>1   投标文件</w:t>
      </w:r>
      <w:bookmarkEnd w:id="105"/>
      <w:bookmarkEnd w:id="106"/>
    </w:p>
    <w:p w14:paraId="40E0071F">
      <w:pPr>
        <w:spacing w:line="360" w:lineRule="auto"/>
        <w:jc w:val="left"/>
        <w:rPr>
          <w:rFonts w:ascii="Times New Roman" w:hAnsi="Times New Roman" w:cs="Times New Roman"/>
          <w:color w:val="auto"/>
          <w:sz w:val="24"/>
          <w:szCs w:val="24"/>
          <w:highlight w:val="none"/>
        </w:rPr>
      </w:pPr>
    </w:p>
    <w:p w14:paraId="1717B40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8AD122F">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9DEE0B1">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single"/>
        </w:rPr>
        <w:t>勘察</w:t>
      </w:r>
      <w:r>
        <w:rPr>
          <w:rFonts w:hint="default" w:ascii="Times New Roman" w:hAnsi="Times New Roman" w:cs="Times New Roman"/>
          <w:color w:val="auto"/>
          <w:sz w:val="24"/>
          <w:szCs w:val="24"/>
          <w:highlight w:val="none"/>
          <w:u w:val="single"/>
          <w:lang w:val="en-US" w:eastAsia="zh-CN"/>
        </w:rPr>
        <w:t>初步</w:t>
      </w:r>
      <w:r>
        <w:rPr>
          <w:rFonts w:hint="default" w:ascii="Times New Roman" w:hAnsi="Times New Roman" w:cs="Times New Roman"/>
          <w:color w:val="auto"/>
          <w:sz w:val="24"/>
          <w:szCs w:val="24"/>
          <w:highlight w:val="none"/>
          <w:u w:val="single"/>
        </w:rPr>
        <w:t>设计</w:t>
      </w:r>
      <w:r>
        <w:rPr>
          <w:rFonts w:hint="default" w:ascii="Times New Roman" w:hAnsi="Times New Roman" w:cs="Times New Roman"/>
          <w:color w:val="auto"/>
          <w:sz w:val="24"/>
          <w:szCs w:val="24"/>
          <w:highlight w:val="none"/>
        </w:rPr>
        <w:t>方案。</w:t>
      </w:r>
    </w:p>
    <w:p w14:paraId="65D623D7">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singl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w:t>
      </w:r>
      <w:r>
        <w:rPr>
          <w:rFonts w:hint="eastAsia" w:ascii="Times New Roman" w:hAnsi="Times New Roman" w:cs="Times New Roman"/>
          <w:strike w:val="0"/>
          <w:color w:val="auto"/>
          <w:sz w:val="24"/>
          <w:szCs w:val="24"/>
          <w:highlight w:val="none"/>
          <w:lang w:val="en-US" w:eastAsia="zh-CN"/>
        </w:rPr>
        <w:t>如有，</w:t>
      </w:r>
      <w:r>
        <w:rPr>
          <w:rFonts w:hint="default" w:ascii="Times New Roman" w:hAnsi="Times New Roman" w:cs="Times New Roman"/>
          <w:strike w:val="0"/>
          <w:color w:val="auto"/>
          <w:sz w:val="24"/>
          <w:szCs w:val="24"/>
          <w:highlight w:val="none"/>
        </w:rPr>
        <w:t>招标人要求提供）</w:t>
      </w:r>
      <w:r>
        <w:rPr>
          <w:rFonts w:hint="default" w:ascii="Times New Roman" w:hAnsi="Times New Roman" w:cs="Times New Roman"/>
          <w:color w:val="auto"/>
          <w:sz w:val="24"/>
          <w:szCs w:val="24"/>
          <w:highlight w:val="none"/>
        </w:rPr>
        <w:t>。</w:t>
      </w:r>
    </w:p>
    <w:p w14:paraId="64D298DA">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single"/>
        </w:rPr>
        <w:t>报价文件</w:t>
      </w:r>
      <w:r>
        <w:rPr>
          <w:rFonts w:hint="default" w:ascii="Times New Roman" w:hAnsi="Times New Roman" w:cs="Times New Roman"/>
          <w:color w:val="auto"/>
          <w:sz w:val="24"/>
          <w:szCs w:val="24"/>
          <w:highlight w:val="none"/>
        </w:rPr>
        <w:t>。</w:t>
      </w:r>
    </w:p>
    <w:p w14:paraId="11319FB5">
      <w:pPr>
        <w:spacing w:line="360" w:lineRule="auto"/>
        <w:ind w:firstLine="48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4AC10BFB">
      <w:pPr>
        <w:pStyle w:val="2"/>
        <w:rPr>
          <w:rFonts w:hint="default" w:eastAsia="宋体"/>
          <w:color w:val="auto"/>
          <w:highlight w:val="none"/>
          <w:lang w:val="en-US" w:eastAsia="zh-CN"/>
        </w:rPr>
      </w:pP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f</w:t>
      </w:r>
      <w:r>
        <w:rPr>
          <w:rFonts w:hint="default"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定标文件。</w:t>
      </w:r>
    </w:p>
    <w:p w14:paraId="2B164C24">
      <w:pPr>
        <w:spacing w:line="360" w:lineRule="auto"/>
        <w:jc w:val="left"/>
        <w:rPr>
          <w:rFonts w:ascii="Times New Roman" w:hAnsi="Times New Roman" w:cs="Times New Roman"/>
          <w:color w:val="auto"/>
          <w:sz w:val="24"/>
          <w:szCs w:val="24"/>
          <w:highlight w:val="none"/>
        </w:rPr>
      </w:pPr>
    </w:p>
    <w:p w14:paraId="21542171">
      <w:pPr>
        <w:spacing w:line="360" w:lineRule="auto"/>
        <w:jc w:val="left"/>
        <w:rPr>
          <w:rFonts w:ascii="Times New Roman" w:hAnsi="Times New Roman" w:cs="Times New Roman"/>
          <w:color w:val="auto"/>
          <w:sz w:val="24"/>
          <w:szCs w:val="24"/>
          <w:highlight w:val="none"/>
        </w:rPr>
      </w:pPr>
    </w:p>
    <w:p w14:paraId="04581FDF">
      <w:pPr>
        <w:spacing w:line="360" w:lineRule="auto"/>
        <w:outlineLvl w:val="1"/>
        <w:rPr>
          <w:rFonts w:ascii="Times New Roman" w:hAnsi="Times New Roman" w:cs="Times New Roman"/>
          <w:color w:val="auto"/>
          <w:sz w:val="24"/>
          <w:szCs w:val="24"/>
          <w:highlight w:val="none"/>
        </w:rPr>
      </w:pPr>
      <w:bookmarkStart w:id="107" w:name="_Toc20464"/>
      <w:bookmarkStart w:id="108" w:name="_Toc13752"/>
      <w:r>
        <w:rPr>
          <w:rFonts w:hint="default" w:ascii="Times New Roman" w:hAnsi="Times New Roman" w:cs="Times New Roman"/>
          <w:b/>
          <w:color w:val="auto"/>
          <w:sz w:val="24"/>
          <w:szCs w:val="24"/>
          <w:highlight w:val="none"/>
        </w:rPr>
        <w:t>2    保密要求</w:t>
      </w:r>
      <w:bookmarkEnd w:id="107"/>
      <w:bookmarkEnd w:id="108"/>
    </w:p>
    <w:p w14:paraId="618585AC">
      <w:pPr>
        <w:spacing w:line="360" w:lineRule="auto"/>
        <w:rPr>
          <w:rFonts w:ascii="Times New Roman" w:hAnsi="Times New Roman" w:cs="Times New Roman"/>
          <w:color w:val="auto"/>
          <w:sz w:val="24"/>
          <w:szCs w:val="24"/>
          <w:highlight w:val="none"/>
        </w:rPr>
      </w:pPr>
    </w:p>
    <w:p w14:paraId="5E0E4D02">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singl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eastAsia" w:ascii="Times New Roman" w:hAnsi="Times New Roman" w:cs="Times New Roman"/>
          <w:color w:val="auto"/>
          <w:sz w:val="24"/>
          <w:highlight w:val="none"/>
          <w:lang w:val="en-US" w:eastAsia="zh-CN"/>
        </w:rPr>
        <w:t>商务文件、</w:t>
      </w:r>
      <w:r>
        <w:rPr>
          <w:rFonts w:hint="default" w:ascii="Times New Roman" w:hAnsi="Times New Roman" w:cs="Times New Roman"/>
          <w:color w:val="auto"/>
          <w:sz w:val="24"/>
          <w:szCs w:val="24"/>
          <w:highlight w:val="none"/>
          <w:u w:val="single"/>
        </w:rPr>
        <w:t>定标文件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single"/>
        </w:rPr>
        <w:t>勘察</w:t>
      </w:r>
      <w:r>
        <w:rPr>
          <w:rFonts w:hint="default" w:ascii="Times New Roman" w:hAnsi="Times New Roman" w:cs="Times New Roman"/>
          <w:color w:val="auto"/>
          <w:sz w:val="24"/>
          <w:szCs w:val="24"/>
          <w:highlight w:val="none"/>
          <w:u w:val="single"/>
          <w:lang w:val="en-US" w:eastAsia="zh-CN"/>
        </w:rPr>
        <w:t>初步</w:t>
      </w:r>
      <w:r>
        <w:rPr>
          <w:rFonts w:hint="default" w:ascii="Times New Roman" w:hAnsi="Times New Roman" w:cs="Times New Roman"/>
          <w:color w:val="auto"/>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ascii="Times New Roman" w:hAnsi="Times New Roman" w:cs="Times New Roman"/>
          <w:color w:val="auto"/>
          <w:sz w:val="24"/>
          <w:szCs w:val="24"/>
          <w:highlight w:val="none"/>
        </w:rPr>
      </w:pPr>
    </w:p>
    <w:p w14:paraId="015AF4E7">
      <w:pPr>
        <w:spacing w:line="360" w:lineRule="auto"/>
        <w:jc w:val="left"/>
        <w:outlineLvl w:val="1"/>
        <w:rPr>
          <w:rFonts w:ascii="Times New Roman" w:hAnsi="Times New Roman" w:cs="Times New Roman"/>
          <w:b/>
          <w:strike w:val="0"/>
          <w:color w:val="auto"/>
          <w:sz w:val="24"/>
          <w:szCs w:val="24"/>
          <w:highlight w:val="none"/>
        </w:rPr>
      </w:pPr>
      <w:bookmarkStart w:id="109" w:name="_Toc31970"/>
      <w:bookmarkStart w:id="110" w:name="_Toc21746"/>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0B5F1B85">
      <w:pPr>
        <w:spacing w:line="360" w:lineRule="auto"/>
        <w:rPr>
          <w:rFonts w:ascii="Times New Roman" w:hAnsi="Times New Roman" w:cs="Times New Roman"/>
          <w:strike w:val="0"/>
          <w:color w:val="auto"/>
          <w:sz w:val="24"/>
          <w:szCs w:val="24"/>
          <w:highlight w:val="none"/>
        </w:rPr>
      </w:pPr>
    </w:p>
    <w:p w14:paraId="085F2AD1">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singl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269AE84F">
      <w:pPr>
        <w:spacing w:line="360" w:lineRule="auto"/>
        <w:rPr>
          <w:rFonts w:ascii="Times New Roman" w:hAnsi="Times New Roman" w:cs="Times New Roman"/>
          <w:color w:val="auto"/>
          <w:sz w:val="24"/>
          <w:szCs w:val="24"/>
          <w:highlight w:val="none"/>
        </w:rPr>
      </w:pPr>
    </w:p>
    <w:p w14:paraId="0C774CC6">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singl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hint="default" w:ascii="Times New Roman" w:hAnsi="Times New Roman" w:cs="Times New Roman"/>
          <w:color w:val="auto"/>
          <w:highlight w:val="none"/>
        </w:rPr>
      </w:pPr>
    </w:p>
    <w:p w14:paraId="15CDCE2A">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7975A85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50E7DBD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20173AC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82221B1">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4907"/>
      <w:bookmarkStart w:id="112" w:name="_Toc11433"/>
    </w:p>
    <w:p w14:paraId="20515B3B">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646713BE">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4375AA4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3634315">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747875A5">
      <w:pPr>
        <w:spacing w:line="360" w:lineRule="auto"/>
        <w:rPr>
          <w:rFonts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0798B979">
      <w:pPr>
        <w:spacing w:line="360" w:lineRule="auto"/>
        <w:outlineLvl w:val="1"/>
        <w:rPr>
          <w:rFonts w:ascii="Times New Roman" w:hAnsi="Times New Roman" w:cs="Times New Roman"/>
          <w:b/>
          <w:color w:val="auto"/>
          <w:sz w:val="24"/>
          <w:szCs w:val="24"/>
          <w:highlight w:val="none"/>
        </w:rPr>
      </w:pPr>
      <w:bookmarkStart w:id="113" w:name="_Toc13926"/>
      <w:bookmarkStart w:id="114" w:name="_Toc32310"/>
      <w:r>
        <w:rPr>
          <w:rFonts w:hint="default" w:ascii="Times New Roman" w:hAnsi="Times New Roman" w:cs="Times New Roman"/>
          <w:b/>
          <w:color w:val="auto"/>
          <w:sz w:val="24"/>
          <w:szCs w:val="24"/>
          <w:highlight w:val="none"/>
        </w:rPr>
        <w:t>5      深度要求</w:t>
      </w:r>
      <w:bookmarkEnd w:id="113"/>
      <w:bookmarkEnd w:id="114"/>
    </w:p>
    <w:p w14:paraId="3225423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3A0A36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53524FA5">
      <w:pPr>
        <w:spacing w:line="360" w:lineRule="auto"/>
        <w:jc w:val="left"/>
        <w:outlineLvl w:val="1"/>
        <w:rPr>
          <w:rFonts w:ascii="Times New Roman" w:hAnsi="Times New Roman" w:cs="Times New Roman"/>
          <w:b/>
          <w:strike/>
          <w:color w:val="auto"/>
          <w:sz w:val="24"/>
          <w:szCs w:val="24"/>
          <w:highlight w:val="none"/>
        </w:rPr>
      </w:pPr>
      <w:bookmarkStart w:id="115" w:name="_Toc25342"/>
      <w:bookmarkStart w:id="116" w:name="_Toc21717"/>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11E157F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0E06F87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4CBCF877">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704B80C2">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6FA3991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200772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0B3639BC">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09707669">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拟派项目负责人注册执业资格证书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1C742CB0">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0C1302E">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single"/>
        </w:rPr>
        <w:t xml:space="preserve"> (k)投标保证金； </w:t>
      </w:r>
    </w:p>
    <w:p w14:paraId="506BEAB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09DD13E3">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singl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singl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singl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singl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251C37BD">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59F08AFE">
      <w:pPr>
        <w:spacing w:line="360" w:lineRule="auto"/>
        <w:ind w:firstLine="600" w:firstLineChars="250"/>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(a)《工程勘察</w:t>
      </w:r>
      <w:r>
        <w:rPr>
          <w:rFonts w:hint="default" w:ascii="Times New Roman" w:hAnsi="Times New Roman" w:cs="Times New Roman"/>
          <w:color w:val="auto"/>
          <w:sz w:val="24"/>
          <w:szCs w:val="24"/>
          <w:highlight w:val="none"/>
          <w:u w:val="single"/>
          <w:lang w:val="en-US" w:eastAsia="zh-CN"/>
        </w:rPr>
        <w:t>初步</w:t>
      </w:r>
      <w:r>
        <w:rPr>
          <w:rFonts w:hint="default" w:ascii="Times New Roman" w:hAnsi="Times New Roman" w:cs="Times New Roman"/>
          <w:color w:val="auto"/>
          <w:sz w:val="24"/>
          <w:szCs w:val="24"/>
          <w:highlight w:val="none"/>
          <w:u w:val="single"/>
        </w:rPr>
        <w:t>设计费报价汇总表》（见附件3）；</w:t>
      </w:r>
    </w:p>
    <w:p w14:paraId="2DC26237">
      <w:pPr>
        <w:spacing w:line="360" w:lineRule="auto"/>
        <w:ind w:firstLine="600" w:firstLineChars="250"/>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(b)《建筑信息模型（BIM）技术应用费计算表》（见附件3－1）；</w:t>
      </w:r>
    </w:p>
    <w:p w14:paraId="7A5C498D">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ascii="Times New Roman" w:hAnsi="Times New Roman" w:cs="Times New Roman"/>
          <w:color w:val="auto"/>
          <w:szCs w:val="21"/>
          <w:highlight w:val="none"/>
        </w:rPr>
      </w:pPr>
    </w:p>
    <w:p w14:paraId="75C7F325">
      <w:pPr>
        <w:spacing w:line="360" w:lineRule="auto"/>
        <w:rPr>
          <w:rFonts w:hint="default" w:ascii="Times New Roman" w:hAnsi="Times New Roman" w:cs="Times New Roman"/>
          <w:color w:val="auto"/>
          <w:sz w:val="24"/>
          <w:szCs w:val="24"/>
          <w:highlight w:val="none"/>
        </w:rPr>
      </w:pPr>
      <w:bookmarkStart w:id="117" w:name="_Toc21570"/>
      <w:bookmarkStart w:id="118" w:name="_Toc7046"/>
      <w:r>
        <w:rPr>
          <w:rFonts w:hint="default" w:ascii="Times New Roman" w:hAnsi="Times New Roman" w:cs="Times New Roman"/>
          <w:color w:val="auto"/>
          <w:sz w:val="24"/>
          <w:szCs w:val="24"/>
          <w:highlight w:val="none"/>
        </w:rPr>
        <w:t>8  商务文件</w:t>
      </w:r>
    </w:p>
    <w:p w14:paraId="4A1BC6B6">
      <w:pPr>
        <w:pStyle w:val="2"/>
        <w:ind w:firstLine="480"/>
        <w:rPr>
          <w:rFonts w:hint="default" w:ascii="Times New Roman" w:hAnsi="Times New Roman" w:cs="Times New Roman"/>
          <w:color w:val="auto"/>
          <w:sz w:val="24"/>
          <w:szCs w:val="24"/>
          <w:highlight w:val="none"/>
        </w:rPr>
      </w:pPr>
    </w:p>
    <w:p w14:paraId="2D5742B2">
      <w:pPr>
        <w:spacing w:line="400" w:lineRule="exact"/>
        <w:ind w:left="63" w:leftChars="30" w:right="92" w:rightChars="44" w:firstLine="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商务文件由下列资料组成：</w:t>
      </w:r>
    </w:p>
    <w:p w14:paraId="3D342964">
      <w:pPr>
        <w:spacing w:line="400" w:lineRule="exact"/>
        <w:ind w:left="63" w:leftChars="30" w:right="92" w:rightChars="44" w:firstLine="36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（1）封面：写明项目名称、商务文件、投标人单位及年月日；加盖投标人公章；</w:t>
      </w:r>
    </w:p>
    <w:p w14:paraId="1C807A1C">
      <w:pPr>
        <w:spacing w:line="400" w:lineRule="exact"/>
        <w:ind w:left="63" w:leftChars="30" w:right="92" w:rightChars="44" w:firstLine="36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（2）目录；</w:t>
      </w:r>
    </w:p>
    <w:p w14:paraId="6C841DDB">
      <w:pPr>
        <w:spacing w:line="400" w:lineRule="exact"/>
        <w:ind w:left="63" w:leftChars="30" w:right="92" w:rightChars="44" w:firstLine="36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（3）企业类似工程业绩（格式见附录1</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）及获奖证明材料扫描件；</w:t>
      </w:r>
    </w:p>
    <w:p w14:paraId="33C9A53A">
      <w:pPr>
        <w:spacing w:line="400" w:lineRule="exact"/>
        <w:ind w:left="63" w:leftChars="30" w:right="92" w:rightChars="44" w:firstLine="36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w:t>
      </w:r>
    </w:p>
    <w:p w14:paraId="0531BDBD">
      <w:pPr>
        <w:spacing w:line="400" w:lineRule="exact"/>
        <w:ind w:left="63" w:leftChars="30" w:right="92" w:rightChars="44" w:firstLine="36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（5）投标人认为有必要提供的其他资料。</w:t>
      </w:r>
    </w:p>
    <w:bookmarkEnd w:id="117"/>
    <w:bookmarkEnd w:id="118"/>
    <w:p w14:paraId="4285F390">
      <w:pPr>
        <w:spacing w:line="360" w:lineRule="auto"/>
        <w:ind w:firstLine="480" w:firstLineChars="200"/>
        <w:rPr>
          <w:rFonts w:ascii="Times New Roman" w:hAnsi="Times New Roman" w:cs="Times New Roman"/>
          <w:color w:val="auto"/>
          <w:sz w:val="24"/>
          <w:szCs w:val="24"/>
          <w:highlight w:val="none"/>
          <w:u w:val="single"/>
        </w:rPr>
      </w:pPr>
    </w:p>
    <w:p w14:paraId="525DBA4E">
      <w:pPr>
        <w:pStyle w:val="3"/>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cs="Times New Roman"/>
          <w:color w:val="auto"/>
          <w:sz w:val="21"/>
          <w:szCs w:val="21"/>
          <w:highlight w:val="none"/>
        </w:rPr>
        <w:t>附件3  工程勘察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设计费报价汇总表</w:t>
      </w:r>
      <w:bookmarkEnd w:id="119"/>
    </w:p>
    <w:p w14:paraId="2B63254D">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236"/>
        <w:gridCol w:w="2990"/>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D47EE65">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4EAD2B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E1F452C">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万元</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5AF31E7">
            <w:pPr>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投标下浮率</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627FB0CD">
            <w:pPr>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348A773B">
            <w:pPr>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6263282">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勘察费报价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5DD137CA">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94AFBD0">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7738806E">
            <w:pPr>
              <w:pStyle w:val="6"/>
              <w:jc w:val="center"/>
              <w:rPr>
                <w:rFonts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default" w:ascii="Times New Roman" w:hAnsi="Times New Roman" w:eastAsia="宋体" w:cs="Times New Roman"/>
                <w:color w:val="auto"/>
                <w:sz w:val="24"/>
                <w:highlight w:val="none"/>
                <w:u w:val="single"/>
                <w:lang w:eastAsia="zh-CN"/>
              </w:rPr>
              <w:t>3</w:t>
            </w:r>
            <w:r>
              <w:rPr>
                <w:rFonts w:hint="eastAsia" w:ascii="Times New Roman" w:hAnsi="Times New Roman"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eastAsia="zh-CN"/>
              </w:rPr>
              <w:t>144</w:t>
            </w:r>
            <w:r>
              <w:rPr>
                <w:rFonts w:hint="eastAsia" w:ascii="Times New Roman" w:hAnsi="Times New Roman"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lang w:eastAsia="zh-CN"/>
              </w:rPr>
              <w:t>984.56</w:t>
            </w:r>
            <w:r>
              <w:rPr>
                <w:rFonts w:hint="eastAsia" w:ascii="Times New Roman" w:hAnsi="Times New Roman" w:cs="Times New Roman"/>
                <w:color w:val="auto"/>
                <w:sz w:val="24"/>
                <w:highlight w:val="none"/>
                <w:u w:val="single"/>
                <w:lang w:val="en-US" w:eastAsia="zh-CN"/>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23395D0">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2155FE6">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03AD6B8">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E3EB291">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4555BA93">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eastAsia" w:ascii="Times New Roman" w:hAnsi="Times New Roman" w:cs="Times New Roman"/>
                <w:color w:val="auto"/>
                <w:sz w:val="24"/>
                <w:highlight w:val="none"/>
                <w:u w:val="single"/>
                <w:lang w:eastAsia="zh-CN"/>
              </w:rPr>
              <w:t>19,785,786.00</w:t>
            </w:r>
            <w:r>
              <w:rPr>
                <w:rFonts w:hint="eastAsia" w:ascii="Times New Roman" w:hAnsi="Times New Roman" w:cs="Times New Roman"/>
                <w:color w:val="auto"/>
                <w:sz w:val="24"/>
                <w:highlight w:val="none"/>
                <w:u w:val="single"/>
                <w:lang w:val="en-US" w:eastAsia="zh-CN"/>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16C315EE">
            <w:pPr>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1400313">
            <w:pPr>
              <w:pStyle w:val="6"/>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7290FAB">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65EA98F">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rPr>
              <w:t>%</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64CB5554">
            <w:pPr>
              <w:pStyle w:val="6"/>
              <w:jc w:val="center"/>
              <w:rPr>
                <w:rFonts w:ascii="Times New Roman" w:hAnsi="Times New Roman" w:cs="Times New Roman"/>
                <w:color w:val="auto"/>
                <w:szCs w:val="21"/>
                <w:highlight w:val="none"/>
              </w:rPr>
            </w:pPr>
            <w:r>
              <w:rPr>
                <w:rFonts w:hint="default" w:ascii="Times New Roman" w:hAnsi="Times New Roman" w:eastAsia="宋体" w:cs="Times New Roman"/>
                <w:color w:val="auto"/>
                <w:sz w:val="24"/>
                <w:highlight w:val="none"/>
                <w:lang w:eastAsia="zh-CN"/>
              </w:rPr>
              <w:t>对应报价金额不得超过最高投标限价</w:t>
            </w:r>
            <w:r>
              <w:rPr>
                <w:rFonts w:hint="eastAsia" w:ascii="Times New Roman" w:hAnsi="Times New Roman" w:cs="Times New Roman"/>
                <w:color w:val="auto"/>
                <w:sz w:val="24"/>
                <w:highlight w:val="none"/>
                <w:u w:val="single"/>
                <w:lang w:eastAsia="zh-CN"/>
              </w:rPr>
              <w:t>1,138,348.43</w:t>
            </w:r>
            <w:r>
              <w:rPr>
                <w:rFonts w:hint="eastAsia" w:ascii="Times New Roman" w:hAnsi="Times New Roman" w:cs="Times New Roman"/>
                <w:color w:val="auto"/>
                <w:sz w:val="24"/>
                <w:highlight w:val="none"/>
                <w:u w:val="single"/>
                <w:lang w:val="en-US" w:eastAsia="zh-CN"/>
              </w:rPr>
              <w:t>元</w:t>
            </w:r>
          </w:p>
        </w:tc>
      </w:tr>
      <w:tr w14:paraId="3373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00421ADF">
            <w:pPr>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57EC8FB">
            <w:pPr>
              <w:pStyle w:val="6"/>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勘察初步设计费</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szCs w:val="22"/>
                <w:highlight w:val="none"/>
                <w:lang w:val="en-US" w:eastAsia="zh-CN"/>
              </w:rPr>
              <w:t>总</w:t>
            </w:r>
            <w:r>
              <w:rPr>
                <w:rFonts w:hint="default" w:ascii="Times New Roman" w:hAnsi="Times New Roman" w:eastAsia="宋体" w:cs="Times New Roman"/>
                <w:color w:val="auto"/>
                <w:sz w:val="24"/>
                <w:highlight w:val="none"/>
                <w:lang w:eastAsia="zh-CN"/>
              </w:rPr>
              <w:t>报价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2E99473">
            <w:pPr>
              <w:jc w:val="center"/>
              <w:rPr>
                <w:rFonts w:ascii="Times New Roman" w:hAnsi="Times New Roman" w:cs="Times New Roman"/>
                <w:color w:val="auto"/>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743C6A0">
            <w:pPr>
              <w:pStyle w:val="6"/>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2990" w:type="dxa"/>
            <w:tcBorders>
              <w:top w:val="single" w:color="auto" w:sz="4" w:space="0"/>
              <w:left w:val="single" w:color="auto" w:sz="4" w:space="0"/>
              <w:bottom w:val="single" w:color="auto" w:sz="4" w:space="0"/>
              <w:right w:val="single" w:color="auto" w:sz="4" w:space="0"/>
            </w:tcBorders>
            <w:noWrap w:val="0"/>
            <w:vAlign w:val="center"/>
          </w:tcPr>
          <w:p w14:paraId="6F96B6F6">
            <w:pPr>
              <w:pStyle w:val="6"/>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对应报价金额不得超过最高投标限价</w:t>
            </w:r>
            <w:r>
              <w:rPr>
                <w:rFonts w:hint="eastAsia" w:ascii="Times New Roman" w:hAnsi="Times New Roman" w:cs="Times New Roman"/>
                <w:color w:val="auto"/>
                <w:sz w:val="24"/>
                <w:highlight w:val="none"/>
                <w:u w:val="single"/>
                <w:lang w:eastAsia="zh-CN"/>
              </w:rPr>
              <w:t>24,069,118.99</w:t>
            </w:r>
            <w:r>
              <w:rPr>
                <w:rFonts w:hint="eastAsia" w:ascii="Times New Roman" w:hAnsi="Times New Roman" w:cs="Times New Roman"/>
                <w:color w:val="auto"/>
                <w:sz w:val="24"/>
                <w:highlight w:val="none"/>
                <w:u w:val="single"/>
                <w:lang w:val="en-US" w:eastAsia="zh-CN"/>
              </w:rPr>
              <w:t>元</w:t>
            </w:r>
          </w:p>
        </w:tc>
      </w:tr>
    </w:tbl>
    <w:p w14:paraId="214BD91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3250560D">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w:t>
      </w:r>
    </w:p>
    <w:p w14:paraId="74F0621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6613C32B">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3、投标下浮率=（最高投标限价-投标报价）/最高投标限价×100%。</w:t>
      </w:r>
    </w:p>
    <w:p w14:paraId="34B32ABC">
      <w:pPr>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4、勘察初步设计费投标</w:t>
      </w:r>
      <w:r>
        <w:rPr>
          <w:rFonts w:hint="eastAsia" w:ascii="Times New Roman" w:hAnsi="Times New Roman" w:cs="Times New Roman"/>
          <w:color w:val="auto"/>
          <w:szCs w:val="21"/>
          <w:highlight w:val="none"/>
          <w:lang w:val="en-US" w:eastAsia="zh-CN"/>
        </w:rPr>
        <w:t>总</w:t>
      </w:r>
      <w:r>
        <w:rPr>
          <w:rFonts w:hint="default" w:ascii="Times New Roman" w:hAnsi="Times New Roman" w:eastAsia="宋体" w:cs="Times New Roman"/>
          <w:color w:val="auto"/>
          <w:szCs w:val="21"/>
          <w:highlight w:val="none"/>
          <w:lang w:eastAsia="zh-CN"/>
        </w:rPr>
        <w:t>报价与勘察初步设计费下浮率所算出的价格不一致的，以勘察初步设计费投标</w:t>
      </w:r>
      <w:r>
        <w:rPr>
          <w:rFonts w:hint="eastAsia" w:ascii="Times New Roman" w:hAnsi="Times New Roman" w:cs="Times New Roman"/>
          <w:color w:val="auto"/>
          <w:szCs w:val="21"/>
          <w:highlight w:val="none"/>
          <w:lang w:val="en-US" w:eastAsia="zh-CN"/>
        </w:rPr>
        <w:t>总</w:t>
      </w:r>
      <w:r>
        <w:rPr>
          <w:rFonts w:hint="default" w:ascii="Times New Roman" w:hAnsi="Times New Roman" w:eastAsia="宋体" w:cs="Times New Roman"/>
          <w:color w:val="auto"/>
          <w:szCs w:val="21"/>
          <w:highlight w:val="none"/>
          <w:lang w:eastAsia="zh-CN"/>
        </w:rPr>
        <w:t>报价为准，修正勘察初步设计费下浮率=1-勘察初步设计费投标</w:t>
      </w:r>
      <w:r>
        <w:rPr>
          <w:rFonts w:hint="eastAsia" w:ascii="Times New Roman" w:hAnsi="Times New Roman" w:cs="Times New Roman"/>
          <w:color w:val="auto"/>
          <w:szCs w:val="21"/>
          <w:highlight w:val="none"/>
          <w:lang w:val="en-US" w:eastAsia="zh-CN"/>
        </w:rPr>
        <w:t>总</w:t>
      </w:r>
      <w:r>
        <w:rPr>
          <w:rFonts w:hint="default" w:ascii="Times New Roman" w:hAnsi="Times New Roman" w:eastAsia="宋体" w:cs="Times New Roman"/>
          <w:color w:val="auto"/>
          <w:szCs w:val="21"/>
          <w:highlight w:val="none"/>
          <w:lang w:eastAsia="zh-CN"/>
        </w:rPr>
        <w:t>报价/最高投标限价（以%为单位，精确到小数点后2位）。评标委员会</w:t>
      </w:r>
      <w:r>
        <w:rPr>
          <w:rFonts w:hint="default" w:ascii="Times New Roman" w:hAnsi="Times New Roman" w:eastAsia="宋体" w:cs="Times New Roman"/>
          <w:color w:val="auto"/>
          <w:highlight w:val="none"/>
          <w:lang w:eastAsia="zh-CN"/>
        </w:rPr>
        <w:t>按上述修正错误的原则及方法修正投标文件的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31D9ACD8">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656E3BE7">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06D526C1">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2A7E3A33">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0631FAC4">
      <w:pP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w:t>
      </w:r>
      <w:r>
        <w:rPr>
          <w:rFonts w:ascii="Times New Roman" w:hAnsi="Times New Roman" w:cs="Times New Roman"/>
          <w:b/>
          <w:color w:val="auto"/>
          <w:szCs w:val="21"/>
          <w:highlight w:val="none"/>
        </w:rPr>
        <w:t>3</w:t>
      </w:r>
      <w:r>
        <w:rPr>
          <w:rFonts w:hint="default" w:ascii="Times New Roman" w:hAnsi="Times New Roman" w:cs="Times New Roman"/>
          <w:b/>
          <w:color w:val="auto"/>
          <w:szCs w:val="21"/>
          <w:highlight w:val="none"/>
        </w:rPr>
        <w:t>－</w:t>
      </w:r>
      <w:r>
        <w:rPr>
          <w:rFonts w:ascii="Times New Roman" w:hAnsi="Times New Roman" w:cs="Times New Roman"/>
          <w:b/>
          <w:color w:val="auto"/>
          <w:szCs w:val="21"/>
          <w:highlight w:val="none"/>
        </w:rPr>
        <w:t>1</w:t>
      </w:r>
      <w:r>
        <w:rPr>
          <w:rFonts w:hint="default" w:ascii="Times New Roman" w:hAnsi="Times New Roman" w:cs="Times New Roman"/>
          <w:b/>
          <w:color w:val="auto"/>
          <w:szCs w:val="21"/>
          <w:highlight w:val="none"/>
        </w:rPr>
        <w:t>：</w:t>
      </w:r>
      <w:r>
        <w:rPr>
          <w:rFonts w:hint="default" w:ascii="Times New Roman" w:hAnsi="Times New Roman" w:eastAsia="宋体" w:cs="Times New Roman"/>
          <w:b/>
          <w:color w:val="auto"/>
          <w:sz w:val="21"/>
          <w:szCs w:val="21"/>
          <w:highlight w:val="none"/>
          <w:lang w:eastAsia="zh-CN"/>
        </w:rPr>
        <w:t>建筑信息模型（BIM）技术应用费</w:t>
      </w:r>
      <w:r>
        <w:rPr>
          <w:rFonts w:hint="default" w:ascii="Times New Roman" w:hAnsi="Times New Roman" w:cs="Times New Roman"/>
          <w:b/>
          <w:color w:val="auto"/>
          <w:szCs w:val="21"/>
          <w:highlight w:val="none"/>
        </w:rPr>
        <w:t>计算表</w:t>
      </w:r>
    </w:p>
    <w:p w14:paraId="7C2439CA">
      <w:pPr>
        <w:rPr>
          <w:rFonts w:hint="default" w:ascii="Times New Roman" w:hAnsi="Times New Roman" w:cs="Times New Roman"/>
          <w:b/>
          <w:color w:val="auto"/>
          <w:szCs w:val="21"/>
          <w:highlight w:val="none"/>
        </w:rPr>
      </w:pPr>
    </w:p>
    <w:p w14:paraId="00F9D6BF">
      <w:pPr>
        <w:spacing w:line="400" w:lineRule="exact"/>
        <w:ind w:left="178" w:leftChars="85"/>
        <w:jc w:val="center"/>
        <w:rPr>
          <w:rFonts w:hint="default" w:ascii="Times New Roman" w:hAnsi="Times New Roman" w:eastAsia="宋体" w:cs="Times New Roman"/>
          <w:b/>
          <w:color w:val="auto"/>
          <w:sz w:val="32"/>
          <w:highlight w:val="none"/>
          <w:lang w:eastAsia="zh-CN"/>
        </w:rPr>
      </w:pPr>
      <w:bookmarkStart w:id="121" w:name="_Toc28664"/>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93"/>
        <w:gridCol w:w="2619"/>
        <w:gridCol w:w="2169"/>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132D3178">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707" w:type="dxa"/>
            <w:noWrap w:val="0"/>
            <w:vAlign w:val="top"/>
          </w:tcPr>
          <w:p w14:paraId="33A01782">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26" w:type="dxa"/>
            <w:noWrap w:val="0"/>
            <w:vAlign w:val="top"/>
          </w:tcPr>
          <w:p w14:paraId="62A029BE">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75" w:type="dxa"/>
            <w:noWrap w:val="0"/>
            <w:vAlign w:val="top"/>
          </w:tcPr>
          <w:p w14:paraId="6680C97E">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14:paraId="7E3A945A">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一</w:t>
            </w:r>
          </w:p>
        </w:tc>
        <w:tc>
          <w:tcPr>
            <w:tcW w:w="3707" w:type="dxa"/>
            <w:noWrap w:val="0"/>
            <w:vAlign w:val="center"/>
          </w:tcPr>
          <w:p w14:paraId="1FDF7235">
            <w:pPr>
              <w:pStyle w:val="5"/>
              <w:jc w:val="left"/>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26" w:type="dxa"/>
            <w:noWrap w:val="0"/>
            <w:vAlign w:val="center"/>
          </w:tcPr>
          <w:p w14:paraId="3740D764">
            <w:pPr>
              <w:pStyle w:val="5"/>
              <w:jc w:val="center"/>
              <w:outlineLvl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542,070.68</w:t>
            </w:r>
          </w:p>
        </w:tc>
        <w:tc>
          <w:tcPr>
            <w:tcW w:w="2175" w:type="dxa"/>
            <w:noWrap w:val="0"/>
            <w:vAlign w:val="top"/>
          </w:tcPr>
          <w:p w14:paraId="77F454AA">
            <w:pPr>
              <w:pStyle w:val="5"/>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103D59A4">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二</w:t>
            </w:r>
          </w:p>
        </w:tc>
        <w:tc>
          <w:tcPr>
            <w:tcW w:w="3707" w:type="dxa"/>
            <w:noWrap w:val="0"/>
            <w:vAlign w:val="top"/>
          </w:tcPr>
          <w:p w14:paraId="7BC96142">
            <w:pPr>
              <w:pStyle w:val="5"/>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26" w:type="dxa"/>
            <w:noWrap w:val="0"/>
            <w:vAlign w:val="top"/>
          </w:tcPr>
          <w:p w14:paraId="388880C4">
            <w:pPr>
              <w:pStyle w:val="5"/>
              <w:jc w:val="both"/>
              <w:outlineLvl w:val="2"/>
              <w:rPr>
                <w:rFonts w:hint="default" w:ascii="Times New Roman" w:hAnsi="Times New Roman" w:eastAsia="宋体" w:cs="Times New Roman"/>
                <w:color w:val="auto"/>
                <w:sz w:val="24"/>
                <w:szCs w:val="24"/>
                <w:highlight w:val="none"/>
                <w:lang w:eastAsia="zh-CN"/>
              </w:rPr>
            </w:pPr>
          </w:p>
        </w:tc>
        <w:tc>
          <w:tcPr>
            <w:tcW w:w="2175" w:type="dxa"/>
            <w:noWrap w:val="0"/>
            <w:vAlign w:val="top"/>
          </w:tcPr>
          <w:p w14:paraId="0B65DD78">
            <w:pPr>
              <w:pStyle w:val="5"/>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投标单位执行填报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top"/>
          </w:tcPr>
          <w:p w14:paraId="49563CA2">
            <w:pPr>
              <w:pStyle w:val="5"/>
              <w:jc w:val="center"/>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三</w:t>
            </w:r>
          </w:p>
        </w:tc>
        <w:tc>
          <w:tcPr>
            <w:tcW w:w="3707" w:type="dxa"/>
            <w:noWrap w:val="0"/>
            <w:vAlign w:val="top"/>
          </w:tcPr>
          <w:p w14:paraId="161B9257">
            <w:pPr>
              <w:pStyle w:val="5"/>
              <w:jc w:val="both"/>
              <w:outlineLvl w:val="2"/>
              <w:rPr>
                <w:rFonts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26" w:type="dxa"/>
            <w:noWrap w:val="0"/>
            <w:vAlign w:val="top"/>
          </w:tcPr>
          <w:p w14:paraId="2F39CD4B">
            <w:pPr>
              <w:pStyle w:val="5"/>
              <w:jc w:val="both"/>
              <w:outlineLvl w:val="2"/>
              <w:rPr>
                <w:rFonts w:hint="default" w:ascii="Times New Roman" w:hAnsi="Times New Roman" w:eastAsia="宋体" w:cs="Times New Roman"/>
                <w:color w:val="auto"/>
                <w:sz w:val="24"/>
                <w:szCs w:val="24"/>
                <w:highlight w:val="none"/>
                <w:lang w:eastAsia="zh-CN"/>
              </w:rPr>
            </w:pPr>
          </w:p>
        </w:tc>
        <w:tc>
          <w:tcPr>
            <w:tcW w:w="2175" w:type="dxa"/>
            <w:noWrap w:val="0"/>
            <w:vAlign w:val="top"/>
          </w:tcPr>
          <w:p w14:paraId="20890E7D">
            <w:pPr>
              <w:pStyle w:val="5"/>
              <w:jc w:val="both"/>
              <w:outlineLvl w:val="2"/>
              <w:rPr>
                <w:rFonts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三</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一</w:t>
            </w:r>
            <w:r>
              <w:rPr>
                <w:rFonts w:hint="eastAsia" w:ascii="Times New Roman" w:hAnsi="Times New Roman" w:cs="Times New Roman"/>
                <w:color w:val="auto"/>
                <w:sz w:val="24"/>
                <w:szCs w:val="24"/>
                <w:highlight w:val="none"/>
                <w:lang w:eastAsia="zh-CN"/>
              </w:rPr>
              <w:t>）</w:t>
            </w:r>
            <w:r>
              <w:rPr>
                <w:rFonts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二</w:t>
            </w:r>
            <w:r>
              <w:rPr>
                <w:rFonts w:hint="eastAsia" w:ascii="Times New Roman" w:hAnsi="Times New Roman" w:cs="Times New Roman"/>
                <w:color w:val="auto"/>
                <w:sz w:val="24"/>
                <w:szCs w:val="24"/>
                <w:highlight w:val="none"/>
                <w:lang w:eastAsia="zh-CN"/>
              </w:rPr>
              <w:t>）</w:t>
            </w:r>
          </w:p>
        </w:tc>
      </w:tr>
    </w:tbl>
    <w:p w14:paraId="302A2027">
      <w:pPr>
        <w:pStyle w:val="5"/>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bookmarkEnd w:id="121"/>
    </w:p>
    <w:p w14:paraId="6D6AF606">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779CD883">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192344A4">
      <w:pPr>
        <w:spacing w:line="360" w:lineRule="auto"/>
        <w:jc w:val="right"/>
        <w:rPr>
          <w:rFonts w:hint="default" w:ascii="Times New Roman" w:hAnsi="Times New Roman" w:cs="Times New Roman"/>
          <w:color w:val="auto"/>
          <w:szCs w:val="21"/>
          <w:highlight w:val="none"/>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1444576F">
      <w:pPr>
        <w:spacing w:line="360" w:lineRule="auto"/>
        <w:rPr>
          <w:rFonts w:ascii="Times New Roman" w:hAnsi="Times New Roman" w:cs="Times New Roman"/>
          <w:b/>
          <w:color w:val="auto"/>
          <w:szCs w:val="21"/>
          <w:highlight w:val="none"/>
        </w:rPr>
      </w:pPr>
    </w:p>
    <w:p w14:paraId="00DA7A92">
      <w:pPr>
        <w:rPr>
          <w:rFonts w:ascii="Times New Roman" w:hAnsi="Times New Roman" w:cs="Times New Roman"/>
          <w:b/>
          <w:color w:val="auto"/>
          <w:szCs w:val="21"/>
          <w:highlight w:val="none"/>
        </w:rPr>
        <w:sectPr>
          <w:pgSz w:w="11906" w:h="16838"/>
          <w:pgMar w:top="1417" w:right="1417" w:bottom="1417" w:left="1417" w:header="851" w:footer="992" w:gutter="0"/>
          <w:cols w:space="720" w:num="1"/>
          <w:docGrid w:type="lines" w:linePitch="312" w:charSpace="0"/>
        </w:sectPr>
      </w:pPr>
    </w:p>
    <w:p w14:paraId="6DCB1A13">
      <w:pPr>
        <w:rPr>
          <w:rFonts w:hint="default" w:ascii="Times New Roman" w:hAnsi="Times New Roman" w:cs="Times New Roman"/>
          <w:color w:val="auto"/>
          <w:sz w:val="24"/>
          <w:szCs w:val="24"/>
          <w:highlight w:val="none"/>
        </w:rPr>
      </w:pPr>
      <w:bookmarkStart w:id="122" w:name="_Toc114493761"/>
      <w:bookmarkEnd w:id="122"/>
      <w:r>
        <w:rPr>
          <w:rFonts w:hint="default" w:ascii="Times New Roman" w:hAnsi="Times New Roman" w:cs="Times New Roman"/>
          <w:b/>
          <w:color w:val="auto"/>
          <w:szCs w:val="21"/>
          <w:highlight w:val="none"/>
        </w:rPr>
        <w:t>附件</w:t>
      </w:r>
      <w:r>
        <w:rPr>
          <w:rFonts w:ascii="Times New Roman" w:hAnsi="Times New Roman" w:cs="Times New Roman"/>
          <w:b/>
          <w:color w:val="auto"/>
          <w:szCs w:val="21"/>
          <w:highlight w:val="none"/>
        </w:rPr>
        <w:t>3</w:t>
      </w:r>
      <w:r>
        <w:rPr>
          <w:rFonts w:hint="default" w:ascii="Times New Roman" w:hAnsi="Times New Roman" w:cs="Times New Roman"/>
          <w:b/>
          <w:color w:val="auto"/>
          <w:szCs w:val="21"/>
          <w:highlight w:val="none"/>
        </w:rPr>
        <w:t>－</w:t>
      </w:r>
      <w:r>
        <w:rPr>
          <w:rFonts w:ascii="Times New Roman" w:hAnsi="Times New Roman" w:cs="Times New Roman"/>
          <w:b/>
          <w:color w:val="auto"/>
          <w:szCs w:val="21"/>
          <w:highlight w:val="none"/>
        </w:rPr>
        <w:t>2</w:t>
      </w:r>
      <w:r>
        <w:rPr>
          <w:rFonts w:hint="default" w:ascii="Times New Roman" w:hAnsi="Times New Roman" w:cs="Times New Roman"/>
          <w:b/>
          <w:color w:val="auto"/>
          <w:szCs w:val="21"/>
          <w:highlight w:val="none"/>
        </w:rPr>
        <w:t>工程勘察费计算表</w:t>
      </w:r>
      <w:bookmarkStart w:id="123" w:name="_Toc11498"/>
      <w:bookmarkEnd w:id="123"/>
      <w:bookmarkStart w:id="124" w:name="_Toc114493762"/>
      <w:bookmarkEnd w:id="124"/>
    </w:p>
    <w:p w14:paraId="50361F2C">
      <w:pPr>
        <w:spacing w:line="400" w:lineRule="exact"/>
        <w:ind w:left="178" w:leftChars="85"/>
        <w:jc w:val="center"/>
        <w:rPr>
          <w:rFonts w:hint="default" w:ascii="Times New Roman" w:hAnsi="Times New Roman" w:eastAsia="宋体"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工程</w:t>
      </w:r>
      <w:r>
        <w:rPr>
          <w:rFonts w:hint="default" w:ascii="Times New Roman" w:hAnsi="Times New Roman" w:eastAsia="宋体" w:cs="Times New Roman"/>
          <w:b/>
          <w:color w:val="auto"/>
          <w:sz w:val="28"/>
          <w:szCs w:val="28"/>
          <w:highlight w:val="none"/>
          <w:lang w:eastAsia="zh-CN"/>
        </w:rPr>
        <w:t>勘察费计算表</w:t>
      </w:r>
    </w:p>
    <w:tbl>
      <w:tblPr>
        <w:tblStyle w:val="19"/>
        <w:tblW w:w="14986" w:type="dxa"/>
        <w:tblInd w:w="-19" w:type="dxa"/>
        <w:tblLayout w:type="fixed"/>
        <w:tblCellMar>
          <w:top w:w="0" w:type="dxa"/>
          <w:left w:w="108" w:type="dxa"/>
          <w:bottom w:w="0" w:type="dxa"/>
          <w:right w:w="108" w:type="dxa"/>
        </w:tblCellMar>
      </w:tblPr>
      <w:tblGrid>
        <w:gridCol w:w="720"/>
        <w:gridCol w:w="1756"/>
        <w:gridCol w:w="4455"/>
        <w:gridCol w:w="780"/>
        <w:gridCol w:w="1185"/>
        <w:gridCol w:w="1650"/>
        <w:gridCol w:w="1875"/>
        <w:gridCol w:w="2565"/>
      </w:tblGrid>
      <w:tr w14:paraId="08E45BDA">
        <w:tblPrEx>
          <w:tblCellMar>
            <w:top w:w="0" w:type="dxa"/>
            <w:left w:w="108" w:type="dxa"/>
            <w:bottom w:w="0" w:type="dxa"/>
            <w:right w:w="108" w:type="dxa"/>
          </w:tblCellMar>
        </w:tblPrEx>
        <w:trPr>
          <w:trHeight w:val="444"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7EE78">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EA4B3">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费用名称</w:t>
            </w:r>
          </w:p>
        </w:tc>
        <w:tc>
          <w:tcPr>
            <w:tcW w:w="4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1F20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项目特征</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2129F">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单位</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4DD61">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暂定工作量</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B61E6">
            <w:pPr>
              <w:widowControl/>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含税综合包干单价（元）</w:t>
            </w:r>
          </w:p>
        </w:tc>
        <w:tc>
          <w:tcPr>
            <w:tcW w:w="18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A3661">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含税合价（元）</w:t>
            </w:r>
          </w:p>
        </w:tc>
        <w:tc>
          <w:tcPr>
            <w:tcW w:w="2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FA0F7">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备注</w:t>
            </w:r>
          </w:p>
        </w:tc>
      </w:tr>
      <w:tr w14:paraId="4251957E">
        <w:tblPrEx>
          <w:tblCellMar>
            <w:top w:w="0" w:type="dxa"/>
            <w:left w:w="108" w:type="dxa"/>
            <w:bottom w:w="0" w:type="dxa"/>
            <w:right w:w="108" w:type="dxa"/>
          </w:tblCellMar>
        </w:tblPrEx>
        <w:trPr>
          <w:trHeight w:val="444"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E7401">
            <w:pPr>
              <w:jc w:val="center"/>
              <w:rPr>
                <w:rFonts w:hint="default" w:ascii="Times New Roman" w:hAnsi="Times New Roman" w:eastAsia="宋体" w:cs="Times New Roman"/>
                <w:color w:val="auto"/>
                <w:sz w:val="21"/>
                <w:szCs w:val="21"/>
                <w:highlight w:val="none"/>
              </w:rPr>
            </w:pPr>
          </w:p>
        </w:tc>
        <w:tc>
          <w:tcPr>
            <w:tcW w:w="1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F893">
            <w:pPr>
              <w:jc w:val="center"/>
              <w:rPr>
                <w:rFonts w:hint="default" w:ascii="Times New Roman" w:hAnsi="Times New Roman" w:eastAsia="宋体" w:cs="Times New Roman"/>
                <w:color w:val="auto"/>
                <w:sz w:val="21"/>
                <w:szCs w:val="21"/>
                <w:highlight w:val="none"/>
              </w:rPr>
            </w:pPr>
          </w:p>
        </w:tc>
        <w:tc>
          <w:tcPr>
            <w:tcW w:w="4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D07CE">
            <w:pPr>
              <w:jc w:val="center"/>
              <w:rPr>
                <w:rFonts w:hint="default" w:ascii="Times New Roman" w:hAnsi="Times New Roman" w:eastAsia="宋体" w:cs="Times New Roman"/>
                <w:color w:val="auto"/>
                <w:sz w:val="21"/>
                <w:szCs w:val="21"/>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4797D">
            <w:pPr>
              <w:jc w:val="center"/>
              <w:rPr>
                <w:rFonts w:hint="default" w:ascii="Times New Roman" w:hAnsi="Times New Roman" w:eastAsia="宋体" w:cs="Times New Roman"/>
                <w:color w:val="auto"/>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7F26">
            <w:pPr>
              <w:jc w:val="center"/>
              <w:rPr>
                <w:rFonts w:hint="default" w:ascii="Times New Roman" w:hAnsi="Times New Roman" w:eastAsia="宋体" w:cs="Times New Roman"/>
                <w:color w:val="auto"/>
                <w:sz w:val="21"/>
                <w:szCs w:val="21"/>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F5720">
            <w:pPr>
              <w:jc w:val="center"/>
              <w:rPr>
                <w:rFonts w:hint="default" w:ascii="Times New Roman" w:hAnsi="Times New Roman" w:eastAsia="宋体" w:cs="Times New Roman"/>
                <w:color w:val="auto"/>
                <w:sz w:val="21"/>
                <w:szCs w:val="21"/>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2563">
            <w:pPr>
              <w:jc w:val="center"/>
              <w:rPr>
                <w:rFonts w:hint="default" w:ascii="Times New Roman" w:hAnsi="Times New Roman" w:eastAsia="宋体" w:cs="Times New Roman"/>
                <w:color w:val="auto"/>
                <w:sz w:val="21"/>
                <w:szCs w:val="21"/>
                <w:highlight w:val="none"/>
              </w:rPr>
            </w:pPr>
          </w:p>
        </w:tc>
        <w:tc>
          <w:tcPr>
            <w:tcW w:w="2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5A84C">
            <w:pPr>
              <w:jc w:val="center"/>
              <w:rPr>
                <w:rFonts w:hint="default" w:ascii="Times New Roman" w:hAnsi="Times New Roman" w:eastAsia="宋体" w:cs="Times New Roman"/>
                <w:color w:val="auto"/>
                <w:sz w:val="21"/>
                <w:szCs w:val="21"/>
                <w:highlight w:val="none"/>
              </w:rPr>
            </w:pPr>
          </w:p>
        </w:tc>
      </w:tr>
      <w:tr w14:paraId="4CBDC0DC">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3E0702">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一</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48B7554">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详细勘察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05D9B24">
            <w:pPr>
              <w:jc w:val="center"/>
              <w:rPr>
                <w:rFonts w:hint="default" w:ascii="Times New Roman" w:hAnsi="Times New Roman" w:eastAsia="宋体" w:cs="Times New Roman"/>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79637B">
            <w:pPr>
              <w:rPr>
                <w:rFonts w:hint="default" w:ascii="Times New Roman" w:hAnsi="Times New Roman" w:eastAsia="宋体" w:cs="Times New Roman"/>
                <w:color w:val="auto"/>
                <w:sz w:val="21"/>
                <w:szCs w:val="21"/>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EC79242">
            <w:pPr>
              <w:jc w:val="center"/>
              <w:rPr>
                <w:rFonts w:hint="default" w:ascii="Times New Roman" w:hAnsi="Times New Roman" w:eastAsia="宋体" w:cs="Times New Roman"/>
                <w:color w:val="auto"/>
                <w:sz w:val="21"/>
                <w:szCs w:val="21"/>
                <w:highlight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7938E1">
            <w:pPr>
              <w:jc w:val="center"/>
              <w:rPr>
                <w:rFonts w:hint="default" w:ascii="Times New Roman" w:hAnsi="Times New Roman" w:eastAsia="宋体" w:cs="Times New Roman"/>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5028A01">
            <w:pPr>
              <w:rPr>
                <w:rFonts w:hint="default" w:ascii="Times New Roman" w:hAnsi="Times New Roman" w:eastAsia="宋体" w:cs="Times New Roman"/>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F48E434">
            <w:pPr>
              <w:jc w:val="center"/>
              <w:rPr>
                <w:rFonts w:hint="default" w:ascii="Times New Roman" w:hAnsi="Times New Roman" w:eastAsia="宋体" w:cs="Times New Roman"/>
                <w:color w:val="auto"/>
                <w:sz w:val="21"/>
                <w:szCs w:val="21"/>
                <w:highlight w:val="none"/>
              </w:rPr>
            </w:pPr>
          </w:p>
        </w:tc>
      </w:tr>
      <w:tr w14:paraId="34E63968">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B3A693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勘察钻孔</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10BD321">
            <w:pPr>
              <w:widowControl/>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1、土质类别：不分类别，综合考虑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2、孔深：不分孔深，综合考虑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3、综合考虑入岩深度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357C8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FA16B3">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17865.60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9C1C53A">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01E7E1E">
            <w:pPr>
              <w:widowControl/>
              <w:jc w:val="center"/>
              <w:textAlignment w:val="center"/>
              <w:rPr>
                <w:rFonts w:hint="default" w:ascii="Times New Roman" w:hAnsi="Times New Roman" w:eastAsia="宋体" w:cs="Times New Roman"/>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D33ABA4">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E236AD9">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钻孔剪切波速测试</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F42C5AE">
            <w:pPr>
              <w:widowControl/>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1、实测剪切波速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44FD0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孔</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B87ED7">
            <w:pPr>
              <w:widowControl/>
              <w:jc w:val="center"/>
              <w:textAlignment w:val="cente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40.00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474CF3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A0E9BD0">
            <w:pPr>
              <w:widowControl/>
              <w:jc w:val="center"/>
              <w:textAlignment w:val="center"/>
              <w:rPr>
                <w:rFonts w:hint="default" w:ascii="Times New Roman" w:hAnsi="Times New Roman" w:eastAsia="宋体" w:cs="Times New Roman"/>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420AC59">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2210.00</w:t>
            </w:r>
            <w:r>
              <w:rPr>
                <w:rFonts w:hint="default" w:ascii="Times New Roman" w:hAnsi="Times New Roman" w:eastAsia="宋体" w:cs="Times New Roman"/>
                <w:color w:val="auto"/>
                <w:sz w:val="21"/>
                <w:szCs w:val="21"/>
                <w:highlight w:val="none"/>
                <w:lang w:eastAsia="zh-CN"/>
              </w:rPr>
              <w:t>元/孔</w:t>
            </w:r>
          </w:p>
        </w:tc>
      </w:tr>
      <w:tr w14:paraId="420E02C4">
        <w:tblPrEx>
          <w:tblCellMar>
            <w:top w:w="0" w:type="dxa"/>
            <w:left w:w="108" w:type="dxa"/>
            <w:bottom w:w="0" w:type="dxa"/>
            <w:right w:w="108"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二</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48B0D4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地下管线探测</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954ED15">
            <w:pPr>
              <w:widowControl/>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bidi="ar"/>
              </w:rPr>
              <w:t>1、含测量放点、场地探测；</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2、不区分探测深度。</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16684">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平方米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16FA729">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89148.00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B2E179">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2A4A6F8">
            <w:pPr>
              <w:widowControl/>
              <w:jc w:val="center"/>
              <w:textAlignment w:val="center"/>
              <w:rPr>
                <w:rFonts w:hint="default" w:ascii="Times New Roman" w:hAnsi="Times New Roman" w:eastAsia="宋体" w:cs="Times New Roman"/>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ACBC8A0">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1.22</w:t>
            </w:r>
            <w:r>
              <w:rPr>
                <w:rFonts w:hint="default" w:ascii="Times New Roman" w:hAnsi="Times New Roman" w:eastAsia="宋体" w:cs="Times New Roman"/>
                <w:color w:val="auto"/>
                <w:sz w:val="21"/>
                <w:szCs w:val="21"/>
                <w:highlight w:val="none"/>
                <w:lang w:eastAsia="zh-CN"/>
              </w:rPr>
              <w:t>元/平方米</w:t>
            </w:r>
          </w:p>
        </w:tc>
      </w:tr>
      <w:tr w14:paraId="70E3BB65">
        <w:tblPrEx>
          <w:tblCellMar>
            <w:top w:w="0" w:type="dxa"/>
            <w:left w:w="108" w:type="dxa"/>
            <w:bottom w:w="0" w:type="dxa"/>
            <w:right w:w="108" w:type="dxa"/>
          </w:tblCellMar>
        </w:tblPrEx>
        <w:trPr>
          <w:trHeight w:val="29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三</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2019A95">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桩基超前钻探</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7C4AF5E">
            <w:pPr>
              <w:widowControl/>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1、超前钻勘察；</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2、综合考虑不同土层地质；</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3、协助编制勘察方案；</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4、测量放孔、钻机一次进退场、钻孔场地清理平整；</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5、现场试验及取样送检，编制勘察报告；</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6、贯合考虑作业面及进尺深度；</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7、钻探过程中遇到的卵石层、夹层、孤石等在综合单价考虑。</w:t>
            </w:r>
            <w:r>
              <w:rPr>
                <w:rFonts w:hint="default" w:ascii="Times New Roman" w:hAnsi="Times New Roman" w:eastAsia="宋体" w:cs="Times New Roman"/>
                <w:color w:val="auto"/>
                <w:sz w:val="21"/>
                <w:szCs w:val="21"/>
                <w:highlight w:val="none"/>
                <w:lang w:eastAsia="zh-CN" w:bidi="ar"/>
              </w:rPr>
              <w:br w:type="textWrapping"/>
            </w:r>
            <w:r>
              <w:rPr>
                <w:rFonts w:hint="default" w:ascii="Times New Roman" w:hAnsi="Times New Roman" w:eastAsia="宋体" w:cs="Times New Roman"/>
                <w:color w:val="auto"/>
                <w:sz w:val="21"/>
                <w:szCs w:val="21"/>
                <w:highlight w:val="none"/>
                <w:lang w:eastAsia="zh-CN" w:bidi="ar"/>
              </w:rPr>
              <w:t>8、一般雨水、积水的处理。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8764E0">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B8B92D">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8932.80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F7BFFE1">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bidi="ar"/>
              </w:rPr>
              <w:t xml:space="preserve"> </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357D7C3">
            <w:pPr>
              <w:widowControl/>
              <w:jc w:val="center"/>
              <w:textAlignment w:val="center"/>
              <w:rPr>
                <w:rFonts w:hint="default" w:ascii="Times New Roman" w:hAnsi="Times New Roman" w:eastAsia="宋体" w:cs="Times New Roman"/>
                <w:color w:val="auto"/>
                <w:sz w:val="21"/>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3DF30B0">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对应单价报价金额不得超过综合包干单价最高投标限价为</w:t>
            </w:r>
            <w:r>
              <w:rPr>
                <w:rFonts w:hint="default" w:ascii="Times New Roman" w:hAnsi="Times New Roman" w:eastAsia="宋体" w:cs="Times New Roman"/>
                <w:color w:val="auto"/>
                <w:sz w:val="21"/>
                <w:szCs w:val="21"/>
                <w:highlight w:val="none"/>
                <w:u w:val="single"/>
                <w:lang w:eastAsia="zh-CN"/>
              </w:rPr>
              <w:t>110.00</w:t>
            </w:r>
            <w:r>
              <w:rPr>
                <w:rFonts w:hint="default" w:ascii="Times New Roman" w:hAnsi="Times New Roman" w:eastAsia="宋体" w:cs="Times New Roman"/>
                <w:color w:val="auto"/>
                <w:sz w:val="21"/>
                <w:szCs w:val="21"/>
                <w:highlight w:val="none"/>
                <w:lang w:eastAsia="zh-CN"/>
              </w:rPr>
              <w:t>元/米</w:t>
            </w:r>
          </w:p>
        </w:tc>
      </w:tr>
      <w:tr w14:paraId="3F2AA43F">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E2635E">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四</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C68A4B5">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勘察费报价</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5DADB90">
            <w:pPr>
              <w:widowControl/>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3021F0">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EF3859C">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3B4C701">
            <w:pPr>
              <w:widowControl/>
              <w:jc w:val="center"/>
              <w:textAlignment w:val="center"/>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0019103">
            <w:pPr>
              <w:widowControl/>
              <w:jc w:val="center"/>
              <w:textAlignment w:val="center"/>
              <w:rPr>
                <w:rFonts w:hint="default" w:ascii="Times New Roman" w:hAnsi="Times New Roman" w:eastAsia="宋体" w:cs="Times New Roman"/>
                <w:color w:val="auto"/>
                <w:sz w:val="21"/>
                <w:szCs w:val="21"/>
                <w:highlight w:val="none"/>
                <w:lang w:eastAsia="zh-CN" w:bidi="ar"/>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2BEF70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对应报价金额不得超过最高投标限价</w:t>
            </w:r>
            <w:r>
              <w:rPr>
                <w:rFonts w:hint="default" w:ascii="Times New Roman" w:hAnsi="Times New Roman" w:eastAsia="宋体" w:cs="Times New Roman"/>
                <w:color w:val="auto"/>
                <w:sz w:val="21"/>
                <w:szCs w:val="21"/>
                <w:highlight w:val="none"/>
                <w:u w:val="single"/>
                <w:lang w:eastAsia="zh-CN"/>
              </w:rPr>
              <w:t>3144,984.56</w:t>
            </w:r>
            <w:r>
              <w:rPr>
                <w:rFonts w:hint="default" w:ascii="Times New Roman" w:hAnsi="Times New Roman" w:eastAsia="宋体" w:cs="Times New Roman"/>
                <w:bCs/>
                <w:color w:val="auto"/>
                <w:sz w:val="21"/>
                <w:szCs w:val="21"/>
                <w:highlight w:val="none"/>
                <w:lang w:eastAsia="zh-CN"/>
              </w:rPr>
              <w:t>元</w:t>
            </w:r>
          </w:p>
        </w:tc>
      </w:tr>
    </w:tbl>
    <w:p w14:paraId="7EDAC01F">
      <w:pPr>
        <w:rPr>
          <w:rFonts w:ascii="Times New Roman" w:hAnsi="Times New Roman" w:cs="Times New Roman"/>
          <w:color w:val="auto"/>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3"/>
        <w:widowControl/>
        <w:rPr>
          <w:rFonts w:hint="default" w:ascii="Times New Roman" w:hAnsi="Times New Roman" w:cs="Times New Roman"/>
          <w:strike/>
          <w:color w:val="auto"/>
          <w:sz w:val="21"/>
          <w:szCs w:val="21"/>
          <w:highlight w:val="none"/>
        </w:rPr>
      </w:pPr>
      <w:bookmarkStart w:id="125" w:name="_Toc22111"/>
      <w:r>
        <w:rPr>
          <w:rFonts w:hint="default" w:ascii="Times New Roman" w:hAnsi="Times New Roman" w:cs="Times New Roman"/>
          <w:strike/>
          <w:color w:val="auto"/>
          <w:sz w:val="21"/>
          <w:szCs w:val="21"/>
          <w:highlight w:val="none"/>
        </w:rPr>
        <w:t>附录4建筑工程设计方案测试记录表</w:t>
      </w:r>
      <w:bookmarkEnd w:id="125"/>
    </w:p>
    <w:p w14:paraId="1AD90157">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52498A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4C8258CD">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889ED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656414C4">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C3FA3A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BBDE7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EF83B72">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B6EB39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FF6388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E611146">
            <w:pPr>
              <w:jc w:val="center"/>
              <w:rPr>
                <w:rFonts w:ascii="Times New Roman" w:hAnsi="Times New Roman" w:cs="Times New Roman"/>
                <w:strike/>
                <w:color w:val="auto"/>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271C10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5ABE5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DF1D8B1">
            <w:pPr>
              <w:jc w:val="center"/>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2308FFB2">
            <w:pPr>
              <w:jc w:val="center"/>
              <w:rPr>
                <w:rFonts w:ascii="Times New Roman" w:hAnsi="Times New Roman" w:cs="Times New Roman"/>
                <w:strike/>
                <w:color w:val="auto"/>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AC4C46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243E79">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4CA88C">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1879E0A">
            <w:pPr>
              <w:jc w:val="center"/>
              <w:rPr>
                <w:rFonts w:ascii="Times New Roman" w:hAnsi="Times New Roman" w:cs="Times New Roman"/>
                <w:strike/>
                <w:color w:val="auto"/>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3512E3">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AA183F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99FECA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6F59F20">
            <w:pPr>
              <w:jc w:val="center"/>
              <w:rPr>
                <w:rFonts w:ascii="Times New Roman" w:hAnsi="Times New Roman" w:cs="Times New Roman"/>
                <w:strike/>
                <w:color w:val="auto"/>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DE41D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28E74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32279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E135B0B">
            <w:pPr>
              <w:jc w:val="left"/>
              <w:rPr>
                <w:rFonts w:ascii="Times New Roman" w:hAnsi="Times New Roman" w:cs="Times New Roman"/>
                <w:strike/>
                <w:color w:val="auto"/>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33A00F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19F5D5">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05A0C7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617856">
            <w:pPr>
              <w:jc w:val="center"/>
              <w:rPr>
                <w:rFonts w:ascii="Times New Roman" w:hAnsi="Times New Roman" w:cs="Times New Roman"/>
                <w:strike/>
                <w:color w:val="auto"/>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88ECFDE">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22051E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3521B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AB7BAC2">
            <w:pPr>
              <w:jc w:val="center"/>
              <w:rPr>
                <w:rFonts w:ascii="Times New Roman" w:hAnsi="Times New Roman" w:cs="Times New Roman"/>
                <w:strike/>
                <w:color w:val="auto"/>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1B61EA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087A594">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DCB8F4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72A4A23">
            <w:pPr>
              <w:jc w:val="left"/>
              <w:rPr>
                <w:rFonts w:ascii="Times New Roman" w:hAnsi="Times New Roman" w:cs="Times New Roman"/>
                <w:strike/>
                <w:color w:val="auto"/>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0708108">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C3570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A05A26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9DEA963">
            <w:pPr>
              <w:jc w:val="left"/>
              <w:rPr>
                <w:rFonts w:ascii="Times New Roman" w:hAnsi="Times New Roman" w:cs="Times New Roman"/>
                <w:strike/>
                <w:color w:val="auto"/>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D20BFD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7ACD75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8EFDD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0D30CF3">
            <w:pPr>
              <w:jc w:val="center"/>
              <w:rPr>
                <w:rFonts w:ascii="Times New Roman" w:hAnsi="Times New Roman" w:cs="Times New Roman"/>
                <w:strike/>
                <w:color w:val="auto"/>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550489D">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92F24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EB8E2B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3123E6A1">
            <w:pPr>
              <w:jc w:val="center"/>
              <w:rPr>
                <w:rFonts w:ascii="Times New Roman" w:hAnsi="Times New Roman" w:cs="Times New Roman"/>
                <w:strike/>
                <w:color w:val="auto"/>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AA742CC">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53AA1FF">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A652B2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017E583">
            <w:pPr>
              <w:jc w:val="center"/>
              <w:rPr>
                <w:rFonts w:ascii="Times New Roman" w:hAnsi="Times New Roman" w:cs="Times New Roman"/>
                <w:strike/>
                <w:color w:val="auto"/>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AFE140">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B97A06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14E5E95">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C9FB7A3">
            <w:pPr>
              <w:jc w:val="center"/>
              <w:rPr>
                <w:rFonts w:ascii="Times New Roman" w:hAnsi="Times New Roman" w:cs="Times New Roman"/>
                <w:strike/>
                <w:color w:val="auto"/>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1D5BFA">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7FE581E">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C4E53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F5A87B2">
            <w:pPr>
              <w:jc w:val="center"/>
              <w:rPr>
                <w:rFonts w:ascii="Times New Roman" w:hAnsi="Times New Roman" w:cs="Times New Roman"/>
                <w:strike/>
                <w:color w:val="auto"/>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79D0FB5">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112BE7B">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CF0CB1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716A94A">
            <w:pPr>
              <w:jc w:val="center"/>
              <w:rPr>
                <w:rFonts w:ascii="Times New Roman" w:hAnsi="Times New Roman" w:cs="Times New Roman"/>
                <w:strike/>
                <w:color w:val="auto"/>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8088F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8DA941D">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744BA09">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4E1A18A">
            <w:pPr>
              <w:jc w:val="center"/>
              <w:rPr>
                <w:rFonts w:ascii="Times New Roman" w:hAnsi="Times New Roman" w:cs="Times New Roman"/>
                <w:strike/>
                <w:color w:val="auto"/>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DB4BE09">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8AD3BC2">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8D1283">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84D14B">
            <w:pPr>
              <w:jc w:val="center"/>
              <w:rPr>
                <w:rFonts w:ascii="Times New Roman" w:hAnsi="Times New Roman" w:cs="Times New Roman"/>
                <w:strike/>
                <w:color w:val="auto"/>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2E522D1">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FB8DDD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31067C7">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B1429AE">
            <w:pPr>
              <w:jc w:val="center"/>
              <w:rPr>
                <w:rFonts w:ascii="Times New Roman" w:hAnsi="Times New Roman" w:cs="Times New Roman"/>
                <w:strike/>
                <w:color w:val="auto"/>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42132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0ECCD4">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FF797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9322C3C">
            <w:pPr>
              <w:jc w:val="center"/>
              <w:rPr>
                <w:rFonts w:ascii="Times New Roman" w:hAnsi="Times New Roman" w:cs="Times New Roman"/>
                <w:strike/>
                <w:color w:val="auto"/>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527A2D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5C87FA3">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8031C71">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8456C08">
            <w:pPr>
              <w:jc w:val="center"/>
              <w:rPr>
                <w:rFonts w:ascii="Times New Roman" w:hAnsi="Times New Roman" w:cs="Times New Roman"/>
                <w:strike/>
                <w:color w:val="auto"/>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21B1A7">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EA42C16">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2165F80">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58A8B67">
            <w:pPr>
              <w:jc w:val="center"/>
              <w:rPr>
                <w:rFonts w:ascii="Times New Roman" w:hAnsi="Times New Roman" w:cs="Times New Roman"/>
                <w:strike/>
                <w:color w:val="auto"/>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2BEE41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6E706C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FEE162F">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7059270">
            <w:pPr>
              <w:jc w:val="center"/>
              <w:rPr>
                <w:rFonts w:ascii="Times New Roman" w:hAnsi="Times New Roman" w:cs="Times New Roman"/>
                <w:strike/>
                <w:color w:val="auto"/>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2C0A78B">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95E42B8">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A9066E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96F5242">
            <w:pPr>
              <w:jc w:val="center"/>
              <w:rPr>
                <w:rFonts w:ascii="Times New Roman" w:hAnsi="Times New Roman" w:cs="Times New Roman"/>
                <w:strike/>
                <w:color w:val="auto"/>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5ECB606">
            <w:pPr>
              <w:jc w:val="center"/>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F2B4C57">
            <w:pP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3BDD1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4FD505">
            <w:pPr>
              <w:jc w:val="center"/>
              <w:rPr>
                <w:rFonts w:ascii="Times New Roman" w:hAnsi="Times New Roman" w:cs="Times New Roman"/>
                <w:strike/>
                <w:color w:val="auto"/>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CEA28BD">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9AA242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F7155A">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ECA3E91">
            <w:pPr>
              <w:jc w:val="left"/>
              <w:rPr>
                <w:rFonts w:ascii="Times New Roman" w:hAnsi="Times New Roman" w:cs="Times New Roman"/>
                <w:strike/>
                <w:color w:val="auto"/>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AD24D40">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E6D5F49">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DA149E">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705DEF2">
            <w:pPr>
              <w:jc w:val="left"/>
              <w:rPr>
                <w:rFonts w:ascii="Times New Roman" w:hAnsi="Times New Roman" w:cs="Times New Roman"/>
                <w:strike/>
                <w:color w:val="auto"/>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9314A55">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AA635A5">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2401EAD">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699CF0">
            <w:pPr>
              <w:jc w:val="left"/>
              <w:rPr>
                <w:rFonts w:ascii="Times New Roman" w:hAnsi="Times New Roman" w:cs="Times New Roman"/>
                <w:strike/>
                <w:color w:val="auto"/>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42A86B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372202">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710273B">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663914A">
            <w:pPr>
              <w:jc w:val="left"/>
              <w:rPr>
                <w:rFonts w:ascii="Times New Roman" w:hAnsi="Times New Roman" w:cs="Times New Roman"/>
                <w:strike/>
                <w:color w:val="auto"/>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8BED4BE">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31388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FFBD86">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56D0D39">
            <w:pPr>
              <w:jc w:val="left"/>
              <w:rPr>
                <w:rFonts w:ascii="Times New Roman" w:hAnsi="Times New Roman" w:cs="Times New Roman"/>
                <w:strike/>
                <w:color w:val="auto"/>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B04433F">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1776AE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721AA8">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D575351">
            <w:pPr>
              <w:jc w:val="left"/>
              <w:rPr>
                <w:rFonts w:ascii="Times New Roman" w:hAnsi="Times New Roman" w:cs="Times New Roman"/>
                <w:strike/>
                <w:color w:val="auto"/>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21D5DA7">
            <w:pPr>
              <w:jc w:val="left"/>
              <w:rPr>
                <w:rFonts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C77519">
            <w:pPr>
              <w:jc w:val="left"/>
              <w:rPr>
                <w:rFonts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472606">
            <w:pPr>
              <w:jc w:val="left"/>
              <w:rPr>
                <w:rFonts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671F426C">
            <w:pPr>
              <w:jc w:val="left"/>
              <w:rPr>
                <w:rFonts w:ascii="Times New Roman" w:hAnsi="Times New Roman" w:cs="Times New Roman"/>
                <w:strike/>
                <w:color w:val="auto"/>
                <w:szCs w:val="21"/>
                <w:highlight w:val="none"/>
              </w:rPr>
            </w:pPr>
          </w:p>
        </w:tc>
      </w:tr>
    </w:tbl>
    <w:p w14:paraId="5064FA5A">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3"/>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6" w:name="_Toc16855"/>
      <w:r>
        <w:rPr>
          <w:rFonts w:hint="default" w:ascii="Times New Roman" w:hAnsi="Times New Roman" w:cs="Times New Roman"/>
          <w:strike/>
          <w:color w:val="auto"/>
          <w:sz w:val="21"/>
          <w:szCs w:val="21"/>
          <w:highlight w:val="none"/>
        </w:rPr>
        <w:t>附件5勘察投标文件编制要求</w:t>
      </w:r>
      <w:bookmarkEnd w:id="126"/>
    </w:p>
    <w:p w14:paraId="6C59E57F">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733224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162206E6">
      <w:pPr>
        <w:spacing w:line="360" w:lineRule="auto"/>
        <w:jc w:val="center"/>
        <w:rPr>
          <w:rFonts w:ascii="Times New Roman" w:hAnsi="Times New Roman" w:cs="Times New Roman"/>
          <w:strike/>
          <w:color w:val="auto"/>
          <w:sz w:val="24"/>
          <w:szCs w:val="24"/>
          <w:highlight w:val="none"/>
        </w:rPr>
      </w:pPr>
    </w:p>
    <w:p w14:paraId="2BD72103">
      <w:pPr>
        <w:spacing w:line="360" w:lineRule="auto"/>
        <w:jc w:val="left"/>
        <w:outlineLvl w:val="1"/>
        <w:rPr>
          <w:rFonts w:ascii="Times New Roman" w:hAnsi="Times New Roman" w:cs="Times New Roman"/>
          <w:strike/>
          <w:color w:val="auto"/>
          <w:sz w:val="24"/>
          <w:szCs w:val="24"/>
          <w:highlight w:val="none"/>
        </w:rPr>
      </w:pPr>
      <w:bookmarkStart w:id="127" w:name="_Toc388"/>
      <w:bookmarkStart w:id="128" w:name="_Toc16913"/>
      <w:r>
        <w:rPr>
          <w:rFonts w:hint="default" w:ascii="Times New Roman" w:hAnsi="Times New Roman" w:cs="Times New Roman"/>
          <w:b/>
          <w:strike/>
          <w:color w:val="auto"/>
          <w:sz w:val="24"/>
          <w:szCs w:val="24"/>
          <w:highlight w:val="none"/>
        </w:rPr>
        <w:t>1投标文件</w:t>
      </w:r>
      <w:bookmarkEnd w:id="127"/>
      <w:bookmarkEnd w:id="128"/>
    </w:p>
    <w:p w14:paraId="0F9A95C0">
      <w:pPr>
        <w:spacing w:line="360" w:lineRule="auto"/>
        <w:jc w:val="left"/>
        <w:rPr>
          <w:rFonts w:ascii="Times New Roman" w:hAnsi="Times New Roman" w:cs="Times New Roman"/>
          <w:strike/>
          <w:color w:val="auto"/>
          <w:sz w:val="24"/>
          <w:szCs w:val="24"/>
          <w:highlight w:val="none"/>
        </w:rPr>
      </w:pPr>
    </w:p>
    <w:p w14:paraId="35738E8F">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62B7CB57">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5CD1632F">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C6EB453">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697EEC78">
      <w:pPr>
        <w:spacing w:line="360" w:lineRule="auto"/>
        <w:jc w:val="left"/>
        <w:rPr>
          <w:rFonts w:ascii="Times New Roman" w:hAnsi="Times New Roman" w:cs="Times New Roman"/>
          <w:strike/>
          <w:color w:val="auto"/>
          <w:sz w:val="24"/>
          <w:szCs w:val="24"/>
          <w:highlight w:val="none"/>
        </w:rPr>
      </w:pPr>
    </w:p>
    <w:p w14:paraId="21801AA0">
      <w:pPr>
        <w:spacing w:line="360" w:lineRule="auto"/>
        <w:outlineLvl w:val="1"/>
        <w:rPr>
          <w:rFonts w:ascii="Times New Roman" w:hAnsi="Times New Roman" w:cs="Times New Roman"/>
          <w:strike/>
          <w:color w:val="auto"/>
          <w:sz w:val="24"/>
          <w:szCs w:val="24"/>
          <w:highlight w:val="none"/>
        </w:rPr>
      </w:pPr>
      <w:bookmarkStart w:id="129" w:name="_Toc19186"/>
      <w:bookmarkStart w:id="130" w:name="_Toc6830"/>
      <w:r>
        <w:rPr>
          <w:rFonts w:hint="default" w:ascii="Times New Roman" w:hAnsi="Times New Roman" w:cs="Times New Roman"/>
          <w:b/>
          <w:strike/>
          <w:color w:val="auto"/>
          <w:sz w:val="24"/>
          <w:szCs w:val="24"/>
          <w:highlight w:val="none"/>
        </w:rPr>
        <w:t>2      保密要求</w:t>
      </w:r>
      <w:bookmarkEnd w:id="129"/>
      <w:bookmarkEnd w:id="130"/>
    </w:p>
    <w:p w14:paraId="209D864B">
      <w:pPr>
        <w:spacing w:line="360" w:lineRule="auto"/>
        <w:rPr>
          <w:rFonts w:ascii="Times New Roman" w:hAnsi="Times New Roman" w:cs="Times New Roman"/>
          <w:strike/>
          <w:color w:val="auto"/>
          <w:sz w:val="24"/>
          <w:szCs w:val="24"/>
          <w:highlight w:val="none"/>
        </w:rPr>
      </w:pPr>
    </w:p>
    <w:p w14:paraId="446E3C6F">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ascii="Times New Roman" w:hAnsi="Times New Roman" w:cs="Times New Roman"/>
          <w:strike/>
          <w:color w:val="auto"/>
          <w:sz w:val="24"/>
          <w:szCs w:val="24"/>
          <w:highlight w:val="none"/>
        </w:rPr>
      </w:pPr>
    </w:p>
    <w:p w14:paraId="6B713CCF">
      <w:pPr>
        <w:spacing w:line="360" w:lineRule="auto"/>
        <w:jc w:val="left"/>
        <w:outlineLvl w:val="1"/>
        <w:rPr>
          <w:rFonts w:ascii="Times New Roman" w:hAnsi="Times New Roman" w:cs="Times New Roman"/>
          <w:b/>
          <w:strike/>
          <w:color w:val="auto"/>
          <w:sz w:val="24"/>
          <w:szCs w:val="24"/>
          <w:highlight w:val="none"/>
        </w:rPr>
      </w:pPr>
      <w:bookmarkStart w:id="131" w:name="_Toc26939"/>
      <w:bookmarkStart w:id="132" w:name="_Toc30022"/>
      <w:r>
        <w:rPr>
          <w:rFonts w:hint="default" w:ascii="Times New Roman" w:hAnsi="Times New Roman" w:cs="Times New Roman"/>
          <w:b/>
          <w:strike/>
          <w:color w:val="auto"/>
          <w:sz w:val="24"/>
          <w:szCs w:val="24"/>
          <w:highlight w:val="none"/>
        </w:rPr>
        <w:t>3      开标信封</w:t>
      </w:r>
      <w:bookmarkEnd w:id="131"/>
      <w:bookmarkEnd w:id="132"/>
    </w:p>
    <w:p w14:paraId="44B233EE">
      <w:pPr>
        <w:spacing w:line="360" w:lineRule="auto"/>
        <w:rPr>
          <w:rFonts w:ascii="Times New Roman" w:hAnsi="Times New Roman" w:cs="Times New Roman"/>
          <w:strike/>
          <w:color w:val="auto"/>
          <w:sz w:val="24"/>
          <w:szCs w:val="24"/>
          <w:highlight w:val="none"/>
        </w:rPr>
      </w:pPr>
    </w:p>
    <w:p w14:paraId="5C29BAF8">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ascii="Times New Roman" w:hAnsi="Times New Roman" w:cs="Times New Roman"/>
          <w:strike/>
          <w:color w:val="auto"/>
          <w:sz w:val="24"/>
          <w:szCs w:val="24"/>
          <w:highlight w:val="none"/>
        </w:rPr>
      </w:pPr>
    </w:p>
    <w:p w14:paraId="6B5A32F9">
      <w:pPr>
        <w:spacing w:line="360" w:lineRule="auto"/>
        <w:rPr>
          <w:rFonts w:ascii="Times New Roman" w:hAnsi="Times New Roman" w:cs="Times New Roman"/>
          <w:strike/>
          <w:color w:val="auto"/>
          <w:sz w:val="24"/>
          <w:szCs w:val="24"/>
          <w:highlight w:val="none"/>
        </w:rPr>
      </w:pPr>
    </w:p>
    <w:p w14:paraId="1B18CC23">
      <w:pPr>
        <w:spacing w:line="360" w:lineRule="auto"/>
        <w:rPr>
          <w:rFonts w:hint="default" w:ascii="Times New Roman" w:hAnsi="Times New Roman" w:cs="Times New Roman"/>
          <w:strike/>
          <w:color w:val="auto"/>
          <w:sz w:val="24"/>
          <w:szCs w:val="24"/>
          <w:highlight w:val="none"/>
        </w:rPr>
      </w:pPr>
    </w:p>
    <w:p w14:paraId="45C9BF22">
      <w:pPr>
        <w:spacing w:line="360" w:lineRule="auto"/>
        <w:outlineLvl w:val="1"/>
        <w:rPr>
          <w:rFonts w:ascii="Times New Roman" w:hAnsi="Times New Roman" w:cs="Times New Roman"/>
          <w:b/>
          <w:strike/>
          <w:color w:val="auto"/>
          <w:sz w:val="24"/>
          <w:szCs w:val="24"/>
          <w:highlight w:val="none"/>
        </w:rPr>
      </w:pPr>
      <w:bookmarkStart w:id="133" w:name="_Toc16035"/>
      <w:bookmarkStart w:id="134" w:name="_Toc8918"/>
      <w:r>
        <w:rPr>
          <w:rFonts w:hint="default" w:ascii="Times New Roman" w:hAnsi="Times New Roman" w:cs="Times New Roman"/>
          <w:b/>
          <w:strike/>
          <w:color w:val="auto"/>
          <w:sz w:val="24"/>
          <w:szCs w:val="24"/>
          <w:highlight w:val="none"/>
        </w:rPr>
        <w:t>4      勘察方案</w:t>
      </w:r>
      <w:bookmarkEnd w:id="133"/>
      <w:bookmarkEnd w:id="134"/>
    </w:p>
    <w:p w14:paraId="41D883BF">
      <w:pPr>
        <w:spacing w:line="360" w:lineRule="auto"/>
        <w:rPr>
          <w:rFonts w:ascii="Times New Roman" w:hAnsi="Times New Roman" w:cs="Times New Roman"/>
          <w:strike/>
          <w:color w:val="auto"/>
          <w:sz w:val="24"/>
          <w:szCs w:val="24"/>
          <w:highlight w:val="none"/>
        </w:rPr>
      </w:pPr>
    </w:p>
    <w:p w14:paraId="0B00C3D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68B8BDE5">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015BFF4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2E781FA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722B34BF">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01296EAB">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5EBE77D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37EC8FC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7CAF01F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21DB7FB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6CA1846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6E31F1F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AADF306">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66A18D47">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01DA6DC2">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2434DC10">
      <w:pPr>
        <w:spacing w:line="360" w:lineRule="auto"/>
        <w:rPr>
          <w:rFonts w:ascii="Times New Roman" w:hAnsi="Times New Roman" w:cs="Times New Roman"/>
          <w:strike/>
          <w:color w:val="auto"/>
          <w:sz w:val="24"/>
          <w:szCs w:val="24"/>
          <w:highlight w:val="none"/>
        </w:rPr>
      </w:pPr>
    </w:p>
    <w:p w14:paraId="0B5C6C73">
      <w:pPr>
        <w:spacing w:line="360" w:lineRule="auto"/>
        <w:jc w:val="left"/>
        <w:outlineLvl w:val="1"/>
        <w:rPr>
          <w:rFonts w:ascii="Times New Roman" w:hAnsi="Times New Roman" w:cs="Times New Roman"/>
          <w:b/>
          <w:strike/>
          <w:color w:val="auto"/>
          <w:sz w:val="24"/>
          <w:szCs w:val="24"/>
          <w:highlight w:val="none"/>
        </w:rPr>
      </w:pPr>
      <w:bookmarkStart w:id="135" w:name="_Toc976"/>
      <w:bookmarkStart w:id="136" w:name="_Toc27667"/>
      <w:r>
        <w:rPr>
          <w:rFonts w:hint="default" w:ascii="Times New Roman" w:hAnsi="Times New Roman" w:cs="Times New Roman"/>
          <w:b/>
          <w:strike/>
          <w:color w:val="auto"/>
          <w:sz w:val="24"/>
          <w:szCs w:val="24"/>
          <w:highlight w:val="none"/>
        </w:rPr>
        <w:t>5   资格审查文件（如有）</w:t>
      </w:r>
      <w:bookmarkEnd w:id="135"/>
      <w:bookmarkEnd w:id="136"/>
    </w:p>
    <w:p w14:paraId="49EFB9ED">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123D781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522A8D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7AB46D69">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056E306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32507EEA">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78073EAF">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61522AE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52676F0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7AB3ADF5">
      <w:pPr>
        <w:spacing w:line="360" w:lineRule="auto"/>
        <w:rPr>
          <w:rFonts w:ascii="Times New Roman" w:hAnsi="Times New Roman" w:cs="Times New Roman"/>
          <w:strike/>
          <w:color w:val="auto"/>
          <w:sz w:val="24"/>
          <w:szCs w:val="24"/>
          <w:highlight w:val="none"/>
        </w:rPr>
      </w:pPr>
    </w:p>
    <w:p w14:paraId="7ECC165A">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outlineLvl w:val="1"/>
        <w:rPr>
          <w:rFonts w:ascii="Times New Roman" w:hAnsi="Times New Roman" w:cs="Times New Roman"/>
          <w:b/>
          <w:strike/>
          <w:color w:val="auto"/>
          <w:sz w:val="24"/>
          <w:szCs w:val="24"/>
          <w:highlight w:val="none"/>
        </w:rPr>
      </w:pPr>
      <w:bookmarkStart w:id="137" w:name="_Toc2665"/>
      <w:bookmarkStart w:id="138" w:name="_Toc21475"/>
      <w:r>
        <w:rPr>
          <w:rFonts w:hint="default" w:ascii="Times New Roman" w:hAnsi="Times New Roman" w:cs="Times New Roman"/>
          <w:b/>
          <w:strike/>
          <w:color w:val="auto"/>
          <w:sz w:val="24"/>
          <w:szCs w:val="24"/>
          <w:highlight w:val="none"/>
        </w:rPr>
        <w:t>6    定标资料（如有）</w:t>
      </w:r>
      <w:bookmarkEnd w:id="137"/>
      <w:bookmarkEnd w:id="138"/>
    </w:p>
    <w:p w14:paraId="7EA67AF1">
      <w:pPr>
        <w:spacing w:line="360" w:lineRule="auto"/>
        <w:ind w:left="360" w:hanging="360" w:hangingChars="150"/>
        <w:rPr>
          <w:rFonts w:ascii="Times New Roman" w:hAnsi="Times New Roman" w:cs="Times New Roman"/>
          <w:strike/>
          <w:color w:val="auto"/>
          <w:sz w:val="24"/>
          <w:szCs w:val="24"/>
          <w:highlight w:val="none"/>
        </w:rPr>
      </w:pPr>
    </w:p>
    <w:p w14:paraId="7F4CB351">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42184F82">
      <w:pPr>
        <w:jc w:val="left"/>
        <w:rPr>
          <w:rFonts w:ascii="Times New Roman" w:hAnsi="Times New Roman" w:cs="Times New Roman"/>
          <w:color w:val="auto"/>
          <w:szCs w:val="21"/>
          <w:highlight w:val="none"/>
        </w:rPr>
      </w:pPr>
    </w:p>
    <w:p w14:paraId="435DCC00">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2832EC9D">
      <w:pPr>
        <w:keepNext/>
        <w:keepLines/>
        <w:spacing w:line="360" w:lineRule="auto"/>
        <w:outlineLvl w:val="0"/>
        <w:rPr>
          <w:rFonts w:ascii="Times New Roman" w:hAnsi="Times New Roman" w:cs="Times New Roman"/>
          <w:color w:val="auto"/>
          <w:kern w:val="44"/>
          <w:sz w:val="44"/>
          <w:szCs w:val="44"/>
          <w:highlight w:val="none"/>
        </w:rPr>
      </w:pPr>
      <w:bookmarkStart w:id="139" w:name="_Toc8397"/>
      <w:r>
        <w:rPr>
          <w:rFonts w:hint="default" w:ascii="Times New Roman" w:hAnsi="Times New Roman" w:cs="Times New Roman"/>
          <w:b/>
          <w:color w:val="auto"/>
          <w:kern w:val="44"/>
          <w:szCs w:val="21"/>
          <w:highlight w:val="none"/>
        </w:rPr>
        <w:t>附录6 投标书</w:t>
      </w:r>
      <w:bookmarkEnd w:id="139"/>
    </w:p>
    <w:p w14:paraId="17A2CCD6">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5F339570">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hint="default" w:ascii="Times New Roman" w:hAnsi="Times New Roman" w:cs="Times New Roman"/>
          <w:color w:val="auto"/>
          <w:sz w:val="24"/>
          <w:szCs w:val="24"/>
          <w:highlight w:val="none"/>
          <w:u w:val="none"/>
        </w:rPr>
        <w:t>：</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CF123AC">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3256C880">
      <w:pPr>
        <w:spacing w:line="360" w:lineRule="auto"/>
        <w:jc w:val="left"/>
        <w:rPr>
          <w:rFonts w:ascii="Times New Roman" w:hAnsi="Times New Roman" w:cs="Times New Roman"/>
          <w:color w:val="auto"/>
          <w:sz w:val="24"/>
          <w:szCs w:val="24"/>
          <w:highlight w:val="none"/>
        </w:rPr>
      </w:pPr>
    </w:p>
    <w:p w14:paraId="52A133B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ascii="Times New Roman" w:hAnsi="Times New Roman" w:cs="Times New Roman"/>
          <w:color w:val="auto"/>
          <w:sz w:val="24"/>
          <w:szCs w:val="24"/>
          <w:highlight w:val="none"/>
          <w:lang w:val="en-US" w:eastAsia="zh-CN"/>
        </w:rPr>
        <w:t>工程</w:t>
      </w:r>
      <w:r>
        <w:rPr>
          <w:rFonts w:hint="default" w:ascii="Times New Roman" w:hAnsi="Times New Roman" w:cs="Times New Roman"/>
          <w:color w:val="auto"/>
          <w:sz w:val="24"/>
          <w:szCs w:val="24"/>
          <w:highlight w:val="none"/>
        </w:rPr>
        <w:t>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如果我方中标，我方将提供规定的履约担保，将在合同规定的日期开工，并在竣工时间内，按照上述文件完成项目。</w:t>
      </w:r>
    </w:p>
    <w:p w14:paraId="0E70A9F7">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3418FB88">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1568D60B">
      <w:pPr>
        <w:spacing w:line="360" w:lineRule="auto"/>
        <w:rPr>
          <w:rFonts w:ascii="Times New Roman" w:hAnsi="Times New Roman" w:cs="Times New Roman"/>
          <w:color w:val="auto"/>
          <w:sz w:val="24"/>
          <w:szCs w:val="24"/>
          <w:highlight w:val="none"/>
        </w:rPr>
      </w:pPr>
    </w:p>
    <w:p w14:paraId="4E3D1150">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4EB516F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713E892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6778916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36028553">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262867D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14068A">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21F7C61B">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1C7C977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71D27C14">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A09AECA">
      <w:pPr>
        <w:spacing w:line="360" w:lineRule="auto"/>
        <w:ind w:firstLine="405"/>
        <w:jc w:val="right"/>
        <w:rPr>
          <w:rFonts w:ascii="Times New Roman" w:hAnsi="Times New Roman" w:cs="Times New Roman"/>
          <w:color w:val="auto"/>
          <w:sz w:val="24"/>
          <w:szCs w:val="24"/>
          <w:highlight w:val="none"/>
        </w:rPr>
      </w:pPr>
    </w:p>
    <w:p w14:paraId="6550D054">
      <w:pPr>
        <w:pStyle w:val="14"/>
        <w:rPr>
          <w:rFonts w:ascii="Times New Roman" w:hAnsi="Times New Roman" w:cs="Times New Roman"/>
          <w:color w:val="auto"/>
          <w:highlight w:val="none"/>
        </w:rPr>
      </w:pPr>
    </w:p>
    <w:p w14:paraId="5803B01B">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1C236D52">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3"/>
        <w:widowControl/>
        <w:spacing w:line="360" w:lineRule="auto"/>
        <w:rPr>
          <w:rFonts w:ascii="Times New Roman" w:hAnsi="Times New Roman" w:cs="Times New Roman"/>
          <w:b w:val="0"/>
          <w:color w:val="auto"/>
          <w:highlight w:val="none"/>
        </w:rPr>
      </w:pPr>
      <w:bookmarkStart w:id="140" w:name="_Toc46"/>
      <w:r>
        <w:rPr>
          <w:rFonts w:hint="default" w:ascii="Times New Roman" w:hAnsi="Times New Roman" w:cs="Times New Roman"/>
          <w:color w:val="auto"/>
          <w:sz w:val="21"/>
          <w:szCs w:val="21"/>
          <w:highlight w:val="none"/>
        </w:rPr>
        <w:t>附录7 联合体共同投标协议</w:t>
      </w:r>
      <w:bookmarkEnd w:id="140"/>
    </w:p>
    <w:p w14:paraId="34250CE7">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01FB9D0D">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41574BB0">
      <w:pPr>
        <w:pStyle w:val="9"/>
        <w:spacing w:line="360" w:lineRule="exact"/>
        <w:rPr>
          <w:rFonts w:hint="default" w:ascii="Times New Roman" w:hAnsi="Times New Roman" w:cs="Times New Roman"/>
          <w:color w:val="auto"/>
          <w:highlight w:val="none"/>
          <w:lang w:eastAsia="zh-CN"/>
        </w:rPr>
      </w:pPr>
    </w:p>
    <w:p w14:paraId="792D9CA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07600413">
      <w:pPr>
        <w:spacing w:line="360" w:lineRule="exact"/>
        <w:rPr>
          <w:rFonts w:hint="default" w:ascii="Times New Roman" w:hAnsi="Times New Roman" w:eastAsia="宋体" w:cs="Times New Roman"/>
          <w:color w:val="auto"/>
          <w:highlight w:val="none"/>
          <w:lang w:eastAsia="zh-CN"/>
        </w:rPr>
      </w:pPr>
    </w:p>
    <w:p w14:paraId="3B16B175">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59B7C89">
      <w:pPr>
        <w:pStyle w:val="9"/>
        <w:spacing w:line="360" w:lineRule="exact"/>
        <w:rPr>
          <w:rFonts w:hint="default" w:ascii="Times New Roman" w:hAnsi="Times New Roman" w:cs="Times New Roman"/>
          <w:color w:val="auto"/>
          <w:highlight w:val="none"/>
          <w:lang w:eastAsia="zh-CN"/>
        </w:rPr>
      </w:pPr>
    </w:p>
    <w:p w14:paraId="44CC90C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5256E29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7BEEAD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0C099A51">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0BC61A4F">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6C0FE663">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60660FE7">
      <w:pPr>
        <w:pStyle w:val="9"/>
        <w:spacing w:line="360" w:lineRule="exact"/>
        <w:rPr>
          <w:rFonts w:hint="default" w:ascii="Times New Roman" w:hAnsi="Times New Roman" w:cs="Times New Roman"/>
          <w:color w:val="auto"/>
          <w:szCs w:val="22"/>
          <w:highlight w:val="none"/>
          <w:lang w:eastAsia="zh-CN"/>
        </w:rPr>
      </w:pPr>
    </w:p>
    <w:p w14:paraId="3996106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4F8BA4AD">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5A0D7DF5">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CC9FDB4">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469F153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5D61C8F9">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FDBC4D4">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741F9D27">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73D620FF">
      <w:pPr>
        <w:spacing w:line="360" w:lineRule="auto"/>
        <w:rPr>
          <w:rFonts w:ascii="Times New Roman" w:hAnsi="Times New Roman" w:cs="Times New Roman"/>
          <w:b/>
          <w:color w:val="auto"/>
          <w:szCs w:val="21"/>
          <w:highlight w:val="none"/>
        </w:rPr>
      </w:pPr>
    </w:p>
    <w:p w14:paraId="056D35E7">
      <w:pPr>
        <w:spacing w:line="360" w:lineRule="auto"/>
        <w:rPr>
          <w:rFonts w:ascii="Times New Roman" w:hAnsi="Times New Roman" w:cs="Times New Roman"/>
          <w:color w:val="auto"/>
          <w:sz w:val="24"/>
          <w:szCs w:val="24"/>
          <w:highlight w:val="none"/>
        </w:rPr>
      </w:pPr>
    </w:p>
    <w:p w14:paraId="21EB383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45577C0F">
      <w:pPr>
        <w:spacing w:line="360" w:lineRule="auto"/>
        <w:rPr>
          <w:rFonts w:ascii="Times New Roman" w:hAnsi="Times New Roman" w:cs="Times New Roman"/>
          <w:color w:val="auto"/>
          <w:szCs w:val="21"/>
          <w:highlight w:val="none"/>
        </w:rPr>
      </w:pPr>
    </w:p>
    <w:p w14:paraId="40A9AAE7">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9FD916A">
      <w:pPr>
        <w:spacing w:line="360" w:lineRule="auto"/>
        <w:jc w:val="left"/>
        <w:rPr>
          <w:rFonts w:ascii="Times New Roman" w:hAnsi="Times New Roman" w:cs="Times New Roman"/>
          <w:color w:val="auto"/>
          <w:sz w:val="24"/>
          <w:szCs w:val="24"/>
          <w:highlight w:val="none"/>
        </w:rPr>
      </w:pPr>
    </w:p>
    <w:p w14:paraId="419FE8A1">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条资质条件的企业）代表所有合作成员参加投标、提交投标文件，以及与招标人签订合同，负责整个合同实施阶段的协调工作。</w:t>
      </w:r>
    </w:p>
    <w:p w14:paraId="1FCC8A30">
      <w:pPr>
        <w:spacing w:line="360" w:lineRule="auto"/>
        <w:ind w:firstLine="420"/>
        <w:rPr>
          <w:rFonts w:ascii="Times New Roman" w:hAnsi="Times New Roman" w:cs="Times New Roman"/>
          <w:color w:val="auto"/>
          <w:szCs w:val="21"/>
          <w:highlight w:val="none"/>
        </w:rPr>
      </w:pPr>
    </w:p>
    <w:p w14:paraId="1809FF07">
      <w:pPr>
        <w:spacing w:line="360" w:lineRule="auto"/>
        <w:ind w:left="735" w:hanging="735" w:hangingChars="350"/>
        <w:jc w:val="left"/>
        <w:rPr>
          <w:rFonts w:ascii="Times New Roman" w:hAnsi="Times New Roman" w:cs="Times New Roman"/>
          <w:color w:val="auto"/>
          <w:szCs w:val="21"/>
          <w:highlight w:val="none"/>
        </w:rPr>
      </w:pPr>
    </w:p>
    <w:p w14:paraId="4C5135AC">
      <w:pPr>
        <w:spacing w:line="360" w:lineRule="auto"/>
        <w:rPr>
          <w:rFonts w:ascii="Times New Roman" w:hAnsi="Times New Roman" w:cs="Times New Roman"/>
          <w:color w:val="auto"/>
          <w:szCs w:val="21"/>
          <w:highlight w:val="none"/>
        </w:rPr>
      </w:pPr>
    </w:p>
    <w:p w14:paraId="5BFDBF71">
      <w:pPr>
        <w:spacing w:line="360" w:lineRule="auto"/>
        <w:rPr>
          <w:rFonts w:ascii="Times New Roman" w:hAnsi="Times New Roman" w:cs="Times New Roman"/>
          <w:color w:val="auto"/>
          <w:szCs w:val="21"/>
          <w:highlight w:val="none"/>
        </w:rPr>
      </w:pPr>
    </w:p>
    <w:p w14:paraId="7722FC4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6632AB5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00E8ACA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r>
        <w:rPr>
          <w:rFonts w:hint="eastAsia" w:ascii="Times New Roman" w:hAnsi="Times New Roman" w:cs="Times New Roman"/>
          <w:color w:val="auto"/>
          <w:szCs w:val="21"/>
          <w:highlight w:val="none"/>
          <w:u w:val="none"/>
          <w:lang w:val="en-US" w:eastAsia="zh-CN" w:bidi="ar"/>
        </w:rPr>
        <w:t>及责任</w:t>
      </w:r>
      <w:r>
        <w:rPr>
          <w:rFonts w:hint="default" w:ascii="Times New Roman" w:hAnsi="Times New Roman" w:cs="Times New Roman"/>
          <w:color w:val="auto"/>
          <w:szCs w:val="21"/>
          <w:highlight w:val="none"/>
          <w:lang w:bidi="ar"/>
        </w:rPr>
        <w:t>：</w:t>
      </w:r>
    </w:p>
    <w:p w14:paraId="01F8A56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6FF3772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60DE7C7D">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7DF483B2">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r>
        <w:rPr>
          <w:rFonts w:hint="eastAsia" w:ascii="Times New Roman" w:hAnsi="Times New Roman" w:cs="Times New Roman"/>
          <w:color w:val="auto"/>
          <w:szCs w:val="21"/>
          <w:highlight w:val="none"/>
          <w:u w:val="none"/>
          <w:lang w:val="en-US" w:eastAsia="zh-CN" w:bidi="ar"/>
        </w:rPr>
        <w:t>及责任</w:t>
      </w:r>
      <w:r>
        <w:rPr>
          <w:rFonts w:hint="default" w:ascii="Times New Roman" w:hAnsi="Times New Roman" w:cs="Times New Roman"/>
          <w:color w:val="auto"/>
          <w:szCs w:val="21"/>
          <w:highlight w:val="none"/>
          <w:lang w:bidi="ar"/>
        </w:rPr>
        <w:t>：</w:t>
      </w:r>
    </w:p>
    <w:p w14:paraId="4EA88B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A94DB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3681199">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20AE712">
      <w:pPr>
        <w:pStyle w:val="3"/>
        <w:widowControl/>
        <w:spacing w:line="360" w:lineRule="auto"/>
        <w:rPr>
          <w:rFonts w:ascii="Times New Roman" w:hAnsi="Times New Roman" w:cs="Times New Roman"/>
          <w:color w:val="auto"/>
          <w:sz w:val="21"/>
          <w:szCs w:val="21"/>
          <w:highlight w:val="none"/>
        </w:rPr>
      </w:pPr>
      <w:bookmarkStart w:id="141" w:name="_Toc22046"/>
      <w:r>
        <w:rPr>
          <w:rFonts w:hint="default" w:ascii="Times New Roman" w:hAnsi="Times New Roman" w:cs="Times New Roman"/>
          <w:color w:val="auto"/>
          <w:sz w:val="21"/>
          <w:szCs w:val="21"/>
          <w:highlight w:val="none"/>
        </w:rPr>
        <w:t>附录8 投标人声明</w:t>
      </w:r>
      <w:bookmarkEnd w:id="141"/>
    </w:p>
    <w:p w14:paraId="399D028E">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3A4EE136">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w:t>
      </w:r>
      <w:r>
        <w:rPr>
          <w:rFonts w:hint="eastAsia" w:ascii="Times New Roman" w:hAnsi="Times New Roman" w:eastAsia="宋体" w:cs="Times New Roman"/>
          <w:color w:val="auto"/>
          <w:sz w:val="24"/>
          <w:szCs w:val="24"/>
          <w:highlight w:val="none"/>
          <w:lang w:eastAsia="zh-CN"/>
        </w:rPr>
        <w:t>黄</w:t>
      </w:r>
      <w:r>
        <w:rPr>
          <w:rFonts w:hint="default" w:ascii="Times New Roman" w:hAnsi="Times New Roman" w:eastAsia="宋体" w:cs="Times New Roman"/>
          <w:color w:val="auto"/>
          <w:sz w:val="24"/>
          <w:szCs w:val="24"/>
          <w:highlight w:val="none"/>
        </w:rPr>
        <w:t>埔区住房城乡建设和交通运输局、本招标项目招标人及招标监管机构：</w:t>
      </w:r>
    </w:p>
    <w:p w14:paraId="5FCE67F4">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4B5C166B">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2FABA94C">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w:t>
      </w:r>
      <w:r>
        <w:rPr>
          <w:rFonts w:hint="eastAsia" w:ascii="Times New Roman" w:hAnsi="Times New Roman" w:eastAsia="宋体" w:cs="Times New Roman"/>
          <w:color w:val="auto"/>
          <w:sz w:val="24"/>
          <w:szCs w:val="24"/>
          <w:highlight w:val="none"/>
          <w:lang w:val="en-US" w:eastAsia="zh-CN"/>
        </w:rPr>
        <w:t>向</w:t>
      </w:r>
      <w:r>
        <w:rPr>
          <w:rFonts w:hint="default" w:ascii="Times New Roman" w:hAnsi="Times New Roman" w:eastAsia="宋体" w:cs="Times New Roman"/>
          <w:color w:val="auto"/>
          <w:sz w:val="24"/>
          <w:szCs w:val="24"/>
          <w:highlight w:val="none"/>
        </w:rPr>
        <w:t>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51B511F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4296AA25">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1E7BEB5C">
      <w:pPr>
        <w:pStyle w:val="43"/>
        <w:spacing w:line="400" w:lineRule="exact"/>
        <w:rPr>
          <w:rFonts w:hint="default" w:ascii="Times New Roman" w:hAnsi="Times New Roman" w:eastAsia="宋体" w:cs="Times New Roman"/>
          <w:color w:val="auto"/>
          <w:sz w:val="21"/>
          <w:szCs w:val="21"/>
          <w:highlight w:val="none"/>
        </w:rPr>
      </w:pPr>
    </w:p>
    <w:p w14:paraId="28872921">
      <w:pPr>
        <w:pStyle w:val="43"/>
        <w:spacing w:line="400" w:lineRule="exact"/>
        <w:rPr>
          <w:rFonts w:hint="default" w:ascii="Times New Roman" w:hAnsi="Times New Roman" w:eastAsia="宋体" w:cs="Times New Roman"/>
          <w:color w:val="auto"/>
          <w:sz w:val="21"/>
          <w:szCs w:val="21"/>
          <w:highlight w:val="none"/>
        </w:rPr>
      </w:pPr>
    </w:p>
    <w:p w14:paraId="15B09F13">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713B6307">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450E3239">
      <w:pPr>
        <w:rPr>
          <w:rFonts w:hint="default" w:ascii="Times New Roman" w:hAnsi="Times New Roman" w:eastAsia="宋体" w:cs="Times New Roman"/>
          <w:color w:val="auto"/>
          <w:highlight w:val="none"/>
          <w:lang w:eastAsia="zh-CN"/>
        </w:rPr>
      </w:pPr>
    </w:p>
    <w:p w14:paraId="6A01A2A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hint="default" w:ascii="Times New Roman" w:hAnsi="Times New Roman" w:cs="Times New Roman"/>
          <w:color w:val="auto"/>
          <w:sz w:val="20"/>
          <w:szCs w:val="20"/>
          <w:highlight w:val="none"/>
        </w:rPr>
      </w:pPr>
    </w:p>
    <w:p w14:paraId="4C643E34">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47E8618">
      <w:pPr>
        <w:rPr>
          <w:rFonts w:ascii="Times New Roman" w:hAnsi="Times New Roman" w:cs="Times New Roman"/>
          <w:color w:val="auto"/>
          <w:szCs w:val="21"/>
          <w:highlight w:val="none"/>
        </w:rPr>
      </w:pPr>
    </w:p>
    <w:p w14:paraId="5C150963">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6AA95F03">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ascii="Times New Roman" w:hAnsi="Times New Roman" w:cs="Times New Roman"/>
          <w:strike/>
          <w:color w:val="auto"/>
          <w:sz w:val="24"/>
          <w:szCs w:val="24"/>
          <w:highlight w:val="none"/>
        </w:rPr>
      </w:pPr>
    </w:p>
    <w:p w14:paraId="283FF411">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76631914">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72303F02">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5E57B09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231A609B">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01AE9CDA">
      <w:pPr>
        <w:spacing w:line="360" w:lineRule="auto"/>
        <w:jc w:val="left"/>
        <w:rPr>
          <w:rFonts w:ascii="Times New Roman" w:hAnsi="Times New Roman" w:cs="Times New Roman"/>
          <w:strike/>
          <w:color w:val="auto"/>
          <w:sz w:val="24"/>
          <w:szCs w:val="24"/>
          <w:highlight w:val="none"/>
        </w:rPr>
      </w:pPr>
    </w:p>
    <w:p w14:paraId="0839D026">
      <w:pPr>
        <w:spacing w:line="360" w:lineRule="auto"/>
        <w:jc w:val="left"/>
        <w:rPr>
          <w:rFonts w:ascii="Times New Roman" w:hAnsi="Times New Roman" w:cs="Times New Roman"/>
          <w:strike/>
          <w:color w:val="auto"/>
          <w:sz w:val="24"/>
          <w:szCs w:val="24"/>
          <w:highlight w:val="none"/>
        </w:rPr>
      </w:pPr>
    </w:p>
    <w:p w14:paraId="3F572E77">
      <w:pPr>
        <w:spacing w:line="360" w:lineRule="auto"/>
        <w:jc w:val="left"/>
        <w:rPr>
          <w:rFonts w:ascii="Times New Roman" w:hAnsi="Times New Roman" w:cs="Times New Roman"/>
          <w:strike/>
          <w:color w:val="auto"/>
          <w:sz w:val="24"/>
          <w:szCs w:val="24"/>
          <w:highlight w:val="none"/>
        </w:rPr>
      </w:pPr>
    </w:p>
    <w:p w14:paraId="50D899D8">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77CAD09F">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0"/>
        <w:rPr>
          <w:rFonts w:ascii="Times New Roman" w:hAnsi="Times New Roman" w:cs="Times New Roman"/>
          <w:b/>
          <w:color w:val="auto"/>
          <w:kern w:val="44"/>
          <w:szCs w:val="21"/>
          <w:highlight w:val="none"/>
        </w:rPr>
      </w:pPr>
      <w:bookmarkStart w:id="142" w:name="_Toc143817049"/>
      <w:bookmarkEnd w:id="142"/>
      <w:bookmarkStart w:id="143" w:name="_Toc25796"/>
      <w:r>
        <w:rPr>
          <w:rFonts w:hint="default" w:ascii="Times New Roman" w:hAnsi="Times New Roman" w:cs="Times New Roman"/>
          <w:b/>
          <w:color w:val="auto"/>
          <w:kern w:val="44"/>
          <w:szCs w:val="21"/>
          <w:highlight w:val="none"/>
        </w:rPr>
        <w:t>附录9 资格审查表</w:t>
      </w:r>
      <w:bookmarkEnd w:id="143"/>
    </w:p>
    <w:p w14:paraId="6BF83A8D">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7A6D9DD3">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14B3445">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544D3B06">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551BEF59">
            <w:pPr>
              <w:spacing w:line="360" w:lineRule="auto"/>
              <w:jc w:val="center"/>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6452052D">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30E53B08">
            <w:pPr>
              <w:spacing w:line="360" w:lineRule="auto"/>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F8A8C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071D05B3">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842286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3680152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AEE2545">
            <w:pPr>
              <w:spacing w:line="360" w:lineRule="auto"/>
              <w:jc w:val="center"/>
              <w:rPr>
                <w:rFonts w:ascii="Times New Roman" w:hAnsi="Times New Roman" w:cs="Times New Roman"/>
                <w:b/>
                <w:color w:val="auto"/>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2774281">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577A4621">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18B884D2">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991A334">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6CADE0C4">
            <w:pPr>
              <w:spacing w:line="360" w:lineRule="auto"/>
              <w:jc w:val="center"/>
              <w:rPr>
                <w:rFonts w:ascii="Times New Roman" w:hAnsi="Times New Roman" w:cs="Times New Roman"/>
                <w:b/>
                <w:color w:val="auto"/>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706BA48">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05811E3F">
            <w:pPr>
              <w:spacing w:line="360" w:lineRule="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single"/>
              </w:rPr>
              <w:t>外国或澳门、台湾的设计企业必须选择一家符合招标公告第</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（2）条资质条件的企业进行合作设计。香港企业如不单独参加投标，也必须选择一家符合符合招标公告第</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（2）条资质条件的企业进行合作设计。</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lang w:val="en-US" w:eastAsia="zh-CN"/>
              </w:rPr>
              <w:t>如有，如果没有，本条款不需要评审</w:t>
            </w:r>
            <w:r>
              <w:rPr>
                <w:rFonts w:hint="default" w:ascii="Times New Roman" w:hAnsi="Times New Roman" w:cs="Times New Roman"/>
                <w:color w:val="auto"/>
                <w:sz w:val="24"/>
                <w:szCs w:val="24"/>
                <w:highlight w:val="none"/>
                <w:u w:val="singl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6B40C9A9">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5D2A518">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2577D11">
            <w:pPr>
              <w:spacing w:line="360" w:lineRule="auto"/>
              <w:jc w:val="center"/>
              <w:rPr>
                <w:rFonts w:ascii="Times New Roman" w:hAnsi="Times New Roman" w:cs="Times New Roman"/>
                <w:b/>
                <w:color w:val="auto"/>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5FB0E28D">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76CBC889">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w:t>
            </w:r>
            <w:r>
              <w:rPr>
                <w:rFonts w:hint="default" w:ascii="Times New Roman" w:hAnsi="Times New Roman" w:cs="Times New Roman"/>
                <w:color w:val="auto"/>
                <w:sz w:val="24"/>
                <w:highlight w:val="none"/>
                <w:u w:val="single"/>
              </w:rPr>
              <w:t>（若为联合体，指联合体各方）</w:t>
            </w:r>
            <w:r>
              <w:rPr>
                <w:rFonts w:hint="default" w:ascii="Times New Roman" w:hAnsi="Times New Roman" w:cs="Times New Roman"/>
                <w:color w:val="auto"/>
                <w:sz w:val="24"/>
                <w:szCs w:val="24"/>
                <w:highlight w:val="none"/>
                <w:u w:val="single"/>
              </w:rPr>
              <w:t>已在广州市住房和城乡建设局建立</w:t>
            </w:r>
            <w:r>
              <w:rPr>
                <w:rFonts w:hint="default" w:ascii="Times New Roman" w:hAnsi="Times New Roman" w:cs="Times New Roman"/>
                <w:bCs/>
                <w:color w:val="auto"/>
                <w:sz w:val="24"/>
                <w:szCs w:val="24"/>
                <w:highlight w:val="none"/>
                <w:u w:val="single"/>
              </w:rPr>
              <w:t>企业信用档案</w:t>
            </w:r>
            <w:r>
              <w:rPr>
                <w:rFonts w:hint="default" w:ascii="Times New Roman" w:hAnsi="Times New Roman" w:cs="Times New Roman"/>
                <w:color w:val="auto"/>
                <w:sz w:val="24"/>
                <w:szCs w:val="24"/>
                <w:highlight w:val="none"/>
                <w:u w:val="single"/>
              </w:rPr>
              <w:t>，拟委派的项目负责人</w:t>
            </w:r>
            <w:r>
              <w:rPr>
                <w:rFonts w:hint="default" w:ascii="Times New Roman" w:hAnsi="Times New Roman" w:cs="Times New Roman"/>
                <w:color w:val="auto"/>
                <w:sz w:val="24"/>
                <w:highlight w:val="none"/>
                <w:u w:val="single"/>
              </w:rPr>
              <w:t>（若为联合体，指联合体牵头方）</w:t>
            </w:r>
            <w:r>
              <w:rPr>
                <w:rFonts w:hint="default" w:ascii="Times New Roman" w:hAnsi="Times New Roman" w:cs="Times New Roman"/>
                <w:color w:val="auto"/>
                <w:sz w:val="24"/>
                <w:szCs w:val="24"/>
                <w:highlight w:val="none"/>
                <w:u w:val="single"/>
              </w:rPr>
              <w:t>须是本企业</w:t>
            </w:r>
            <w:r>
              <w:rPr>
                <w:rFonts w:hint="default" w:ascii="Times New Roman" w:hAnsi="Times New Roman" w:cs="Times New Roman"/>
                <w:bCs/>
                <w:color w:val="auto"/>
                <w:sz w:val="24"/>
                <w:szCs w:val="24"/>
                <w:highlight w:val="none"/>
                <w:u w:val="single"/>
              </w:rPr>
              <w:t>信用档案</w:t>
            </w:r>
            <w:r>
              <w:rPr>
                <w:rFonts w:hint="default" w:ascii="Times New Roman" w:hAnsi="Times New Roman" w:cs="Times New Roman"/>
                <w:color w:val="auto"/>
                <w:sz w:val="24"/>
                <w:szCs w:val="24"/>
                <w:highlight w:val="none"/>
                <w:u w:val="singl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06AF6431">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5F45DD">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F79C38E">
            <w:pPr>
              <w:spacing w:line="360" w:lineRule="auto"/>
              <w:jc w:val="center"/>
              <w:rPr>
                <w:rFonts w:ascii="Times New Roman" w:hAnsi="Times New Roman" w:cs="Times New Roman"/>
                <w:b/>
                <w:color w:val="auto"/>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9AD6F8E">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6F76C7F">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申请人（若为联合体，指联合体</w:t>
            </w:r>
            <w:r>
              <w:rPr>
                <w:rFonts w:hint="default" w:ascii="Times New Roman" w:hAnsi="Times New Roman" w:cs="Times New Roman"/>
                <w:color w:val="auto"/>
                <w:sz w:val="24"/>
                <w:highlight w:val="none"/>
                <w:u w:val="single"/>
              </w:rPr>
              <w:t>牵头</w:t>
            </w:r>
            <w:r>
              <w:rPr>
                <w:rFonts w:hint="default" w:ascii="Times New Roman" w:hAnsi="Times New Roman" w:cs="Times New Roman"/>
                <w:color w:val="auto"/>
                <w:sz w:val="24"/>
                <w:szCs w:val="24"/>
                <w:highlight w:val="none"/>
                <w:u w:val="singl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6252B37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6D472B">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7AECC603">
            <w:pPr>
              <w:spacing w:line="360" w:lineRule="auto"/>
              <w:jc w:val="center"/>
              <w:rPr>
                <w:rFonts w:ascii="Times New Roman" w:hAnsi="Times New Roman" w:cs="Times New Roman"/>
                <w:b/>
                <w:color w:val="auto"/>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F121696">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6C00F3F0">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069AFD0A">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3346F30">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823E676">
            <w:pPr>
              <w:spacing w:line="360" w:lineRule="auto"/>
              <w:jc w:val="center"/>
              <w:rPr>
                <w:rFonts w:ascii="Times New Roman" w:hAnsi="Times New Roman" w:cs="Times New Roman"/>
                <w:b/>
                <w:color w:val="auto"/>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2C61702">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103EEEC9">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w:t>
            </w:r>
            <w:r>
              <w:rPr>
                <w:rFonts w:hint="default" w:ascii="Times New Roman" w:hAnsi="Times New Roman" w:cs="Times New Roman"/>
                <w:color w:val="auto"/>
                <w:sz w:val="24"/>
                <w:highlight w:val="none"/>
                <w:u w:val="single"/>
              </w:rPr>
              <w:t>（若为联合体，指联合体各方）</w:t>
            </w:r>
            <w:r>
              <w:rPr>
                <w:rFonts w:hint="default" w:ascii="Times New Roman" w:hAnsi="Times New Roman" w:cs="Times New Roman"/>
                <w:color w:val="auto"/>
                <w:sz w:val="24"/>
                <w:szCs w:val="24"/>
                <w:highlight w:val="none"/>
                <w:u w:val="singl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067BCDCD">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E6BD223">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E50BE0F">
            <w:pPr>
              <w:spacing w:line="360" w:lineRule="auto"/>
              <w:jc w:val="center"/>
              <w:rPr>
                <w:rFonts w:ascii="Times New Roman" w:hAnsi="Times New Roman" w:cs="Times New Roman"/>
                <w:b/>
                <w:color w:val="auto"/>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87C483A">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01C14EE3">
            <w:pPr>
              <w:spacing w:line="360" w:lineRule="auto"/>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13431BD0">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07C53A9">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55B05B3A">
            <w:pPr>
              <w:spacing w:line="360" w:lineRule="auto"/>
              <w:jc w:val="center"/>
              <w:rPr>
                <w:rFonts w:ascii="Times New Roman" w:hAnsi="Times New Roman" w:cs="Times New Roman"/>
                <w:b/>
                <w:color w:val="auto"/>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FCDA834">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2FC7690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5CF5C8CE">
            <w:pPr>
              <w:spacing w:line="360" w:lineRule="auto"/>
              <w:jc w:val="center"/>
              <w:rPr>
                <w:rFonts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1C36BEDA">
            <w:pPr>
              <w:spacing w:line="360" w:lineRule="auto"/>
              <w:jc w:val="center"/>
              <w:rPr>
                <w:rFonts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52E8688">
            <w:pPr>
              <w:spacing w:line="360" w:lineRule="auto"/>
              <w:jc w:val="center"/>
              <w:rPr>
                <w:rFonts w:ascii="Times New Roman" w:hAnsi="Times New Roman" w:cs="Times New Roman"/>
                <w:b/>
                <w:color w:val="auto"/>
                <w:sz w:val="24"/>
                <w:szCs w:val="24"/>
                <w:highlight w:val="none"/>
              </w:rPr>
            </w:pPr>
          </w:p>
        </w:tc>
      </w:tr>
    </w:tbl>
    <w:p w14:paraId="2D05B3D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1736830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0EA23FD5">
      <w:pPr>
        <w:spacing w:line="360" w:lineRule="auto"/>
        <w:ind w:firstLine="720" w:firstLineChars="300"/>
        <w:outlineLvl w:val="1"/>
        <w:rPr>
          <w:rFonts w:ascii="Times New Roman" w:hAnsi="Times New Roman" w:cs="Times New Roman"/>
          <w:color w:val="auto"/>
          <w:sz w:val="24"/>
          <w:szCs w:val="24"/>
          <w:highlight w:val="none"/>
        </w:rPr>
      </w:pPr>
      <w:bookmarkStart w:id="144" w:name="_Toc2438"/>
      <w:bookmarkStart w:id="145" w:name="_Toc352"/>
      <w:r>
        <w:rPr>
          <w:rFonts w:hint="default" w:ascii="Times New Roman" w:hAnsi="Times New Roman" w:cs="Times New Roman"/>
          <w:color w:val="auto"/>
          <w:sz w:val="24"/>
          <w:szCs w:val="24"/>
          <w:highlight w:val="none"/>
        </w:rPr>
        <w:t>3、表中全部评审结果为“是”，视为同意进入下一阶段评审。</w:t>
      </w:r>
      <w:bookmarkEnd w:id="144"/>
      <w:bookmarkEnd w:id="145"/>
    </w:p>
    <w:p w14:paraId="0C6690BC">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DEC7C37">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2EA62D37">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567BF4E4">
      <w:pPr>
        <w:pStyle w:val="3"/>
        <w:widowControl/>
        <w:rPr>
          <w:rFonts w:ascii="Times New Roman" w:hAnsi="Times New Roman" w:cs="Times New Roman"/>
          <w:b w:val="0"/>
          <w:strike/>
          <w:color w:val="auto"/>
          <w:highlight w:val="none"/>
        </w:rPr>
      </w:pPr>
      <w:bookmarkStart w:id="146" w:name="_Toc9233"/>
      <w:r>
        <w:rPr>
          <w:rFonts w:hint="default" w:ascii="Times New Roman" w:hAnsi="Times New Roman" w:cs="Times New Roman"/>
          <w:strike/>
          <w:color w:val="auto"/>
          <w:sz w:val="21"/>
          <w:szCs w:val="21"/>
          <w:highlight w:val="none"/>
        </w:rPr>
        <w:t>附件10 投票表格</w:t>
      </w:r>
      <w:bookmarkEnd w:id="146"/>
    </w:p>
    <w:p w14:paraId="6244CE89">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63ADDE3E">
      <w:pPr>
        <w:rPr>
          <w:rFonts w:ascii="Times New Roman" w:hAnsi="Times New Roman" w:cs="Times New Roman"/>
          <w:strike/>
          <w:color w:val="auto"/>
          <w:sz w:val="24"/>
          <w:szCs w:val="24"/>
          <w:highlight w:val="none"/>
        </w:rPr>
      </w:pPr>
    </w:p>
    <w:p w14:paraId="1288164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18A1BD04">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61D3CBB">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252C3D23">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4343C932">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BC2EE9E">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1A86DAA6">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023061">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0B437B43">
            <w:pPr>
              <w:spacing w:line="360" w:lineRule="auto"/>
              <w:rPr>
                <w:rFonts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6DDCC90D">
            <w:pPr>
              <w:spacing w:line="360" w:lineRule="auto"/>
              <w:rPr>
                <w:rFonts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2FB0F760">
            <w:pPr>
              <w:spacing w:line="360" w:lineRule="auto"/>
              <w:rPr>
                <w:rFonts w:ascii="Times New Roman" w:hAnsi="Times New Roman" w:cs="Times New Roman"/>
                <w:strike/>
                <w:color w:val="auto"/>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54867A7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601EF49B">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20D8E2D2">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1F20691C">
            <w:pPr>
              <w:spacing w:line="360" w:lineRule="auto"/>
              <w:rPr>
                <w:rFonts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6046EF31">
            <w:pPr>
              <w:spacing w:line="360" w:lineRule="auto"/>
              <w:rPr>
                <w:rFonts w:ascii="Times New Roman" w:hAnsi="Times New Roman" w:cs="Times New Roman"/>
                <w:strike/>
                <w:color w:val="auto"/>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CE4B20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43F7A8DB">
            <w:pPr>
              <w:spacing w:line="360" w:lineRule="auto"/>
              <w:rPr>
                <w:rFonts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465F18D4">
            <w:pPr>
              <w:spacing w:line="360" w:lineRule="auto"/>
              <w:rPr>
                <w:rFonts w:ascii="Times New Roman" w:hAnsi="Times New Roman" w:cs="Times New Roman"/>
                <w:strike/>
                <w:color w:val="auto"/>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7E7EE515">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C86060E">
            <w:pPr>
              <w:spacing w:line="360" w:lineRule="auto"/>
              <w:rPr>
                <w:rFonts w:ascii="Times New Roman" w:hAnsi="Times New Roman" w:cs="Times New Roman"/>
                <w:strike/>
                <w:color w:val="auto"/>
                <w:sz w:val="24"/>
                <w:szCs w:val="24"/>
                <w:highlight w:val="none"/>
              </w:rPr>
            </w:pPr>
          </w:p>
        </w:tc>
      </w:tr>
    </w:tbl>
    <w:p w14:paraId="4AB344C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C125BC4">
            <w:pPr>
              <w:spacing w:line="360" w:lineRule="auto"/>
              <w:rPr>
                <w:rFonts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6607D8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4DB89E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93BEC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0D8D1F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8F47E0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1730A5F2">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189671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D8FB893">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1F28B0D">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2A22CA6E">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54E88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E67C8A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31AF64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2C1E087">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AB6842E">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55992E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1662629">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97109A3">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8A29FD">
            <w:pPr>
              <w:spacing w:line="360" w:lineRule="auto"/>
              <w:jc w:val="center"/>
              <w:rPr>
                <w:rFonts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2243548">
            <w:pPr>
              <w:spacing w:line="360" w:lineRule="auto"/>
              <w:jc w:val="center"/>
              <w:rPr>
                <w:rFonts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73A46B1">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54A49C9">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ascii="Times New Roman" w:hAnsi="Times New Roman" w:cs="Times New Roman"/>
          <w:strike/>
          <w:color w:val="auto"/>
          <w:sz w:val="24"/>
          <w:szCs w:val="24"/>
          <w:highlight w:val="none"/>
        </w:rPr>
      </w:pPr>
    </w:p>
    <w:p w14:paraId="02CCF2F4">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4F1B69AF">
      <w:pPr>
        <w:spacing w:line="360" w:lineRule="auto"/>
        <w:rPr>
          <w:rFonts w:ascii="Times New Roman" w:hAnsi="Times New Roman" w:cs="Times New Roman"/>
          <w:color w:val="auto"/>
          <w:sz w:val="24"/>
          <w:szCs w:val="24"/>
          <w:highlight w:val="none"/>
        </w:rPr>
      </w:pPr>
    </w:p>
    <w:p w14:paraId="255E111B">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7C0D8653">
      <w:pPr>
        <w:pStyle w:val="3"/>
        <w:widowControl/>
        <w:rPr>
          <w:rFonts w:ascii="Times New Roman" w:hAnsi="Times New Roman" w:cs="Times New Roman"/>
          <w:strike/>
          <w:color w:val="auto"/>
          <w:sz w:val="21"/>
          <w:szCs w:val="21"/>
          <w:highlight w:val="none"/>
        </w:rPr>
      </w:pPr>
      <w:bookmarkStart w:id="147" w:name="_Toc7140"/>
      <w:r>
        <w:rPr>
          <w:rFonts w:hint="default" w:ascii="Times New Roman" w:hAnsi="Times New Roman" w:cs="Times New Roman"/>
          <w:strike/>
          <w:color w:val="auto"/>
          <w:sz w:val="21"/>
          <w:szCs w:val="21"/>
          <w:highlight w:val="none"/>
        </w:rPr>
        <w:t>附录11 投标汇总表格</w:t>
      </w:r>
      <w:bookmarkEnd w:id="147"/>
    </w:p>
    <w:p w14:paraId="1DB95D35">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13008EAA">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E9ABE4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F73563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5080DC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23C8B3EC">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95FF00A">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5B1DD14E">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3CF500B2">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443606FF">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CEC20B0">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56D9F0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5E3468A7">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84BD81">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4DF8CB8C">
            <w:pPr>
              <w:rPr>
                <w:rFonts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2296CAD">
            <w:pPr>
              <w:rPr>
                <w:rFonts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9C56BA">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B1C7383">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1AC302B1">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D878135">
            <w:pPr>
              <w:spacing w:line="360" w:lineRule="auto"/>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794FA82B">
            <w:pPr>
              <w:rPr>
                <w:rFonts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6D6CBD4D">
            <w:pPr>
              <w:rPr>
                <w:rFonts w:ascii="Times New Roman" w:hAnsi="Times New Roman" w:cs="Times New Roman"/>
                <w:color w:val="auto"/>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008E806">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7C912653">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E97AE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63CB1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844A9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C529D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1238D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2C019D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16BD6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5FB62AA">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6AE852">
            <w:pPr>
              <w:spacing w:line="480" w:lineRule="auto"/>
              <w:rPr>
                <w:rFonts w:ascii="Times New Roman" w:hAnsi="Times New Roman" w:cs="Times New Roman"/>
                <w:strike/>
                <w:color w:val="auto"/>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5D5F93B8">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9E1D3B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12537D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632DA78">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84C467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AE112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3FCEA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95B8A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42F9C6">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A222C08">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8C35A9A">
            <w:pPr>
              <w:spacing w:line="480" w:lineRule="auto"/>
              <w:rPr>
                <w:rFonts w:ascii="Times New Roman" w:hAnsi="Times New Roman" w:cs="Times New Roman"/>
                <w:strike/>
                <w:color w:val="auto"/>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E6EDC1A">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7884D17">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89486D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8227D85">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436E69E">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D6C47A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1E277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E99A1A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39F49F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E6511">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B0A9C5D">
            <w:pPr>
              <w:spacing w:line="480" w:lineRule="auto"/>
              <w:rPr>
                <w:rFonts w:ascii="Times New Roman" w:hAnsi="Times New Roman" w:cs="Times New Roman"/>
                <w:strike/>
                <w:color w:val="auto"/>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DBDBDBD">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5AA98B9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A931C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CA22BD6">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999D17F">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2BBDB50">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1612FB6A">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EDFAE7">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4F69669">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3332BE">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740C32D">
            <w:pPr>
              <w:spacing w:line="480" w:lineRule="auto"/>
              <w:rPr>
                <w:rFonts w:ascii="Times New Roman" w:hAnsi="Times New Roman" w:cs="Times New Roman"/>
                <w:strike/>
                <w:color w:val="auto"/>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96E50">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578A94C">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C64A2E9">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ACE01C1">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273B29">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EB57E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B8E664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95E0463">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BDEF4F5">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13E6E0">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F08FDF0">
            <w:pPr>
              <w:spacing w:line="480" w:lineRule="auto"/>
              <w:rPr>
                <w:rFonts w:ascii="Times New Roman" w:hAnsi="Times New Roman" w:cs="Times New Roman"/>
                <w:strike/>
                <w:color w:val="auto"/>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3997C0A7">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4A071DA">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A36FB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4602A6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2C5527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A21BE11">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902685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20DD3C6">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223019D">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E80C7B">
            <w:pPr>
              <w:spacing w:line="480" w:lineRule="auto"/>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C3EAFC5">
            <w:pPr>
              <w:spacing w:line="480" w:lineRule="auto"/>
              <w:rPr>
                <w:rFonts w:ascii="Times New Roman" w:hAnsi="Times New Roman" w:cs="Times New Roman"/>
                <w:strike/>
                <w:color w:val="auto"/>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DB9B145">
            <w:pPr>
              <w:spacing w:line="480" w:lineRule="auto"/>
              <w:jc w:val="center"/>
              <w:rPr>
                <w:rFonts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82B5EE2">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A694FF0">
            <w:pPr>
              <w:spacing w:line="480" w:lineRule="auto"/>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0ECB6548">
            <w:pPr>
              <w:spacing w:line="480" w:lineRule="auto"/>
              <w:jc w:val="center"/>
              <w:rPr>
                <w:rFonts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7750C44">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44038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80B01F5">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7B3436DD">
            <w:pPr>
              <w:spacing w:line="480" w:lineRule="auto"/>
              <w:rPr>
                <w:rFonts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4F58E09C">
            <w:pPr>
              <w:spacing w:line="480" w:lineRule="auto"/>
              <w:rPr>
                <w:rFonts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68726AE">
            <w:pPr>
              <w:spacing w:line="480" w:lineRule="auto"/>
              <w:jc w:val="center"/>
              <w:rPr>
                <w:rFonts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4D5B88F5">
            <w:pPr>
              <w:spacing w:line="480" w:lineRule="auto"/>
              <w:jc w:val="center"/>
              <w:rPr>
                <w:rFonts w:ascii="Times New Roman" w:hAnsi="Times New Roman" w:cs="Times New Roman"/>
                <w:strike/>
                <w:color w:val="auto"/>
                <w:kern w:val="0"/>
                <w:szCs w:val="21"/>
                <w:highlight w:val="none"/>
              </w:rPr>
            </w:pPr>
          </w:p>
        </w:tc>
      </w:tr>
    </w:tbl>
    <w:p w14:paraId="61B6253C">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15F8F6A2">
      <w:pPr>
        <w:rPr>
          <w:rFonts w:ascii="Times New Roman" w:hAnsi="Times New Roman" w:cs="Times New Roman"/>
          <w:color w:val="auto"/>
          <w:szCs w:val="21"/>
          <w:highlight w:val="none"/>
        </w:rPr>
      </w:pPr>
    </w:p>
    <w:p w14:paraId="35CB1882">
      <w:pPr>
        <w:pStyle w:val="3"/>
        <w:widowControl/>
        <w:rPr>
          <w:rFonts w:ascii="Times New Roman" w:hAnsi="Times New Roman" w:cs="Times New Roman"/>
          <w:color w:val="auto"/>
          <w:sz w:val="21"/>
          <w:szCs w:val="21"/>
          <w:highlight w:val="none"/>
        </w:rPr>
      </w:pPr>
      <w:bookmarkStart w:id="148" w:name="_Toc30826"/>
      <w:r>
        <w:rPr>
          <w:rFonts w:hint="default" w:ascii="Times New Roman" w:hAnsi="Times New Roman" w:cs="Times New Roman"/>
          <w:color w:val="auto"/>
          <w:sz w:val="21"/>
          <w:szCs w:val="21"/>
          <w:highlight w:val="none"/>
        </w:rPr>
        <w:t>附录12有效性审查表</w:t>
      </w:r>
      <w:bookmarkEnd w:id="148"/>
    </w:p>
    <w:p w14:paraId="39023ED5">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46581EC3">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E864BE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6F65C352">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A5EF25E">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559F9E98">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E4B003B">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3C8B26CD">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72824397">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285B735D">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2BA3133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597E28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841F81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D78521">
            <w:pPr>
              <w:pStyle w:val="15"/>
              <w:widowControl w:val="0"/>
              <w:spacing w:beforeAutospacing="0" w:afterAutospacing="0"/>
              <w:jc w:val="center"/>
              <w:rPr>
                <w:rFonts w:hint="default" w:ascii="Times New Roman" w:hAnsi="Times New Roman" w:cs="Times New Roman"/>
                <w:b/>
                <w:color w:val="auto"/>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14DB82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980FF8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7FE71D4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B2802BF">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0A7C77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A9DAF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55D224D">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40F3B8">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43EE55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92B14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3A6148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C521552">
            <w:pPr>
              <w:pStyle w:val="15"/>
              <w:widowControl w:val="0"/>
              <w:spacing w:beforeAutospacing="0" w:afterAutospacing="0"/>
              <w:jc w:val="center"/>
              <w:rPr>
                <w:rFonts w:hint="default" w:ascii="Times New Roman" w:hAnsi="Times New Roman" w:cs="Times New Roman"/>
                <w:b/>
                <w:color w:val="auto"/>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630E0F5">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6882018F">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472A35D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C821E4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17A6F20">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97540D5">
            <w:pPr>
              <w:pStyle w:val="15"/>
              <w:widowControl w:val="0"/>
              <w:spacing w:beforeAutospacing="0" w:afterAutospacing="0"/>
              <w:jc w:val="center"/>
              <w:rPr>
                <w:rFonts w:hint="default" w:ascii="Times New Roman" w:hAnsi="Times New Roman" w:cs="Times New Roman"/>
                <w:b/>
                <w:color w:val="auto"/>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598EB91">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5DBFE14C">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5E317F8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E711AA7">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6008AC">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1B7CD15">
            <w:pPr>
              <w:pStyle w:val="15"/>
              <w:widowControl w:val="0"/>
              <w:spacing w:beforeAutospacing="0" w:afterAutospacing="0"/>
              <w:jc w:val="center"/>
              <w:rPr>
                <w:rFonts w:hint="default" w:ascii="Times New Roman" w:hAnsi="Times New Roman" w:cs="Times New Roman"/>
                <w:b/>
                <w:color w:val="auto"/>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0040238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23CCC3F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579238E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B7A396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12D16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A1A5C8A">
            <w:pPr>
              <w:pStyle w:val="15"/>
              <w:widowControl w:val="0"/>
              <w:spacing w:beforeAutospacing="0" w:afterAutospacing="0"/>
              <w:jc w:val="center"/>
              <w:rPr>
                <w:rFonts w:hint="default" w:ascii="Times New Roman" w:hAnsi="Times New Roman" w:cs="Times New Roman"/>
                <w:b/>
                <w:color w:val="auto"/>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14F7B8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7BD80A46">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FAA1B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8CA75C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1D32B2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BD8AC73">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16D430B">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8D8B2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F02B696">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9" w:name="_Toc11208"/>
      <w:bookmarkStart w:id="150" w:name="_Toc27202"/>
      <w:r>
        <w:rPr>
          <w:rFonts w:hint="default" w:ascii="Times New Roman" w:hAnsi="Times New Roman" w:cs="Times New Roman"/>
          <w:color w:val="auto"/>
          <w:sz w:val="24"/>
          <w:szCs w:val="24"/>
          <w:highlight w:val="none"/>
        </w:rPr>
        <w:t>3、表中全部评审结果为“是”，视为同意进入下一阶段评审。</w:t>
      </w:r>
      <w:bookmarkEnd w:id="149"/>
      <w:bookmarkEnd w:id="150"/>
    </w:p>
    <w:p w14:paraId="4F07CE24">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68D7DFF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1D83F619">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0BD40728">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43F0B020">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25A6E76">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190CF2E4">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2EA346E7">
            <w:pPr>
              <w:pStyle w:val="15"/>
              <w:widowControl w:val="0"/>
              <w:spacing w:beforeAutospacing="0" w:afterAutospacing="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02D5D2E1">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54B31592">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072A3394">
            <w:pPr>
              <w:pStyle w:val="15"/>
              <w:widowControl w:val="0"/>
              <w:spacing w:beforeAutospacing="0" w:afterAutospacing="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1AEABD2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79A1D7F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3BB1C026">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106B5E4">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CB57D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5F123FB">
            <w:pPr>
              <w:pStyle w:val="15"/>
              <w:widowControl w:val="0"/>
              <w:spacing w:beforeAutospacing="0" w:afterAutospacing="0"/>
              <w:jc w:val="center"/>
              <w:rPr>
                <w:rFonts w:hint="default" w:ascii="Times New Roman" w:hAnsi="Times New Roman" w:cs="Times New Roman"/>
                <w:b/>
                <w:color w:val="auto"/>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B7D8F0">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39A1DE6B">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75A222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7482C4B2">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D175361">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72FB6A">
            <w:pPr>
              <w:pStyle w:val="15"/>
              <w:widowControl w:val="0"/>
              <w:spacing w:beforeAutospacing="0" w:afterAutospacing="0"/>
              <w:jc w:val="center"/>
              <w:rPr>
                <w:rFonts w:hint="default" w:ascii="Times New Roman" w:hAnsi="Times New Roman" w:cs="Times New Roman"/>
                <w:b/>
                <w:color w:val="auto"/>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CF0F624">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50BB676A">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2C05DBB0">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B2A23F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36FFCC9">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0ABC349">
            <w:pPr>
              <w:pStyle w:val="15"/>
              <w:widowControl w:val="0"/>
              <w:spacing w:beforeAutospacing="0" w:afterAutospacing="0"/>
              <w:jc w:val="center"/>
              <w:rPr>
                <w:rFonts w:hint="default" w:ascii="Times New Roman" w:hAnsi="Times New Roman" w:cs="Times New Roman"/>
                <w:b/>
                <w:color w:val="auto"/>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0CB0089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55DCC4C9">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3DFA8A17">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38A87F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82AFD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2A2DB2D">
            <w:pPr>
              <w:pStyle w:val="15"/>
              <w:widowControl w:val="0"/>
              <w:spacing w:beforeAutospacing="0" w:afterAutospacing="0"/>
              <w:jc w:val="center"/>
              <w:rPr>
                <w:rFonts w:hint="default" w:ascii="Times New Roman" w:hAnsi="Times New Roman" w:cs="Times New Roman"/>
                <w:b/>
                <w:color w:val="auto"/>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4011A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306CBC1E">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7B869BF8">
            <w:pPr>
              <w:pStyle w:val="15"/>
              <w:widowControl w:val="0"/>
              <w:spacing w:beforeAutospacing="0" w:afterAutospacing="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0FE6A2">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75E8D95">
            <w:pPr>
              <w:pStyle w:val="15"/>
              <w:widowControl w:val="0"/>
              <w:spacing w:beforeAutospacing="0" w:afterAutospacing="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ACEC5F9">
            <w:pPr>
              <w:pStyle w:val="15"/>
              <w:widowControl w:val="0"/>
              <w:spacing w:beforeAutospacing="0" w:afterAutospacing="0"/>
              <w:jc w:val="center"/>
              <w:rPr>
                <w:rFonts w:hint="default" w:ascii="Times New Roman" w:hAnsi="Times New Roman" w:cs="Times New Roman"/>
                <w:b/>
                <w:strike/>
                <w:color w:val="auto"/>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EEC62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E5EF923">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6A26AB86">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4C25A8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6B091D">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BB62BC">
            <w:pPr>
              <w:pStyle w:val="15"/>
              <w:widowControl w:val="0"/>
              <w:spacing w:beforeAutospacing="0" w:afterAutospacing="0"/>
              <w:jc w:val="center"/>
              <w:rPr>
                <w:rFonts w:hint="default" w:ascii="Times New Roman" w:hAnsi="Times New Roman" w:cs="Times New Roman"/>
                <w:b/>
                <w:color w:val="auto"/>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2A81C1EF">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2F5E4B6F">
            <w:pPr>
              <w:pStyle w:val="15"/>
              <w:widowControl w:val="0"/>
              <w:spacing w:beforeAutospacing="0" w:afterAutospacing="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2CF738AA">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EAB7B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2386ADAB">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D81D441">
            <w:pPr>
              <w:pStyle w:val="15"/>
              <w:widowControl w:val="0"/>
              <w:spacing w:beforeAutospacing="0" w:afterAutospacing="0"/>
              <w:jc w:val="center"/>
              <w:rPr>
                <w:rFonts w:hint="default" w:ascii="Times New Roman" w:hAnsi="Times New Roman" w:cs="Times New Roman"/>
                <w:b/>
                <w:color w:val="auto"/>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B7945CA">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5D6C6C80">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5CA18B5F">
            <w:pPr>
              <w:pStyle w:val="15"/>
              <w:widowControl w:val="0"/>
              <w:spacing w:beforeAutospacing="0" w:afterAutospacing="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4A6BC63">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F21562E">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AF260EA">
            <w:pPr>
              <w:pStyle w:val="15"/>
              <w:widowControl w:val="0"/>
              <w:spacing w:beforeAutospacing="0" w:afterAutospacing="0"/>
              <w:jc w:val="center"/>
              <w:rPr>
                <w:rFonts w:hint="default" w:ascii="Times New Roman" w:hAnsi="Times New Roman" w:cs="Times New Roman"/>
                <w:b/>
                <w:color w:val="auto"/>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210DC12">
            <w:pPr>
              <w:pStyle w:val="15"/>
              <w:widowControl w:val="0"/>
              <w:spacing w:beforeAutospacing="0" w:afterAutospacing="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298C5AD5">
            <w:pPr>
              <w:pStyle w:val="15"/>
              <w:widowControl w:val="0"/>
              <w:spacing w:beforeAutospacing="0" w:afterAutospacing="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0E943C45">
            <w:pPr>
              <w:pStyle w:val="15"/>
              <w:widowControl w:val="0"/>
              <w:spacing w:beforeAutospacing="0" w:afterAutospacing="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3DA29A8">
            <w:pPr>
              <w:pStyle w:val="15"/>
              <w:widowControl w:val="0"/>
              <w:spacing w:beforeAutospacing="0" w:afterAutospacing="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10146F0A">
            <w:pPr>
              <w:pStyle w:val="15"/>
              <w:widowControl w:val="0"/>
              <w:spacing w:beforeAutospacing="0" w:afterAutospacing="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EA588FF">
            <w:pPr>
              <w:pStyle w:val="15"/>
              <w:widowControl w:val="0"/>
              <w:spacing w:beforeAutospacing="0" w:afterAutospacing="0"/>
              <w:jc w:val="center"/>
              <w:rPr>
                <w:rFonts w:hint="default" w:ascii="Times New Roman" w:hAnsi="Times New Roman" w:cs="Times New Roman"/>
                <w:b/>
                <w:color w:val="auto"/>
                <w:kern w:val="2"/>
                <w:highlight w:val="none"/>
              </w:rPr>
            </w:pPr>
          </w:p>
        </w:tc>
      </w:tr>
    </w:tbl>
    <w:p w14:paraId="6F4B99AD">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5527D085">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31A372C">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1" w:name="_Toc13698"/>
      <w:bookmarkStart w:id="152" w:name="_Toc14354"/>
      <w:r>
        <w:rPr>
          <w:rFonts w:hint="default" w:ascii="Times New Roman" w:hAnsi="Times New Roman" w:cs="Times New Roman"/>
          <w:color w:val="auto"/>
          <w:sz w:val="24"/>
          <w:szCs w:val="24"/>
          <w:highlight w:val="none"/>
        </w:rPr>
        <w:t>3、表中全部评审结果为“是”，视为同意进入下一阶段评审。</w:t>
      </w:r>
      <w:bookmarkEnd w:id="151"/>
      <w:bookmarkEnd w:id="152"/>
    </w:p>
    <w:p w14:paraId="7B6FC4AB">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31E017FD">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006C55E8">
      <w:pPr>
        <w:rPr>
          <w:rFonts w:ascii="Times New Roman" w:hAnsi="Times New Roman" w:cs="Times New Roman"/>
          <w:color w:val="auto"/>
          <w:szCs w:val="21"/>
          <w:highlight w:val="none"/>
        </w:rPr>
      </w:pPr>
    </w:p>
    <w:p w14:paraId="2A267C99">
      <w:pPr>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评委签名：</w:t>
      </w:r>
    </w:p>
    <w:p w14:paraId="5F436D65">
      <w:pPr>
        <w:spacing w:line="360" w:lineRule="auto"/>
        <w:rPr>
          <w:rFonts w:ascii="Times New Roman" w:hAnsi="Times New Roman" w:cs="Times New Roman"/>
          <w:color w:val="auto"/>
          <w:szCs w:val="21"/>
          <w:highlight w:val="none"/>
        </w:rPr>
      </w:pPr>
    </w:p>
    <w:p w14:paraId="5FCE67BA">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3"/>
        <w:widowControl/>
        <w:rPr>
          <w:rFonts w:ascii="Times New Roman" w:hAnsi="Times New Roman" w:cs="Times New Roman"/>
          <w:color w:val="auto"/>
          <w:sz w:val="21"/>
          <w:szCs w:val="21"/>
          <w:highlight w:val="none"/>
        </w:rPr>
      </w:pPr>
      <w:bookmarkStart w:id="153" w:name="_Toc13878"/>
      <w:bookmarkEnd w:id="153"/>
      <w:bookmarkStart w:id="154" w:name="_Toc23671"/>
      <w:r>
        <w:rPr>
          <w:rFonts w:hint="default" w:ascii="Times New Roman" w:hAnsi="Times New Roman" w:cs="Times New Roman"/>
          <w:color w:val="auto"/>
          <w:sz w:val="21"/>
          <w:szCs w:val="21"/>
          <w:highlight w:val="none"/>
        </w:rPr>
        <w:t>附录12-1 投标报价算术复核表</w:t>
      </w:r>
      <w:bookmarkEnd w:id="154"/>
    </w:p>
    <w:p w14:paraId="1752A1D0">
      <w:pPr>
        <w:jc w:val="center"/>
        <w:rPr>
          <w:rFonts w:ascii="Times New Roman" w:hAnsi="Times New Roman" w:cs="Times New Roman"/>
          <w:b/>
          <w:color w:val="auto"/>
          <w:sz w:val="32"/>
          <w:szCs w:val="32"/>
          <w:highlight w:val="none"/>
        </w:rPr>
      </w:pPr>
      <w:bookmarkStart w:id="155" w:name="_Toc114493774"/>
      <w:bookmarkEnd w:id="155"/>
      <w:r>
        <w:rPr>
          <w:rFonts w:hint="default" w:ascii="Times New Roman" w:hAnsi="Times New Roman" w:cs="Times New Roman"/>
          <w:b/>
          <w:color w:val="auto"/>
          <w:sz w:val="32"/>
          <w:szCs w:val="32"/>
          <w:highlight w:val="none"/>
        </w:rPr>
        <w:t>投标报价算术复核表</w:t>
      </w:r>
    </w:p>
    <w:p w14:paraId="2ED90DFE">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3048" w:type="dxa"/>
        <w:jc w:val="center"/>
        <w:tblLayout w:type="fixed"/>
        <w:tblCellMar>
          <w:top w:w="0" w:type="dxa"/>
          <w:left w:w="108" w:type="dxa"/>
          <w:bottom w:w="0" w:type="dxa"/>
          <w:right w:w="108" w:type="dxa"/>
        </w:tblCellMar>
      </w:tblPr>
      <w:tblGrid>
        <w:gridCol w:w="766"/>
        <w:gridCol w:w="795"/>
        <w:gridCol w:w="2200"/>
        <w:gridCol w:w="1250"/>
        <w:gridCol w:w="1150"/>
        <w:gridCol w:w="2700"/>
        <w:gridCol w:w="2060"/>
        <w:gridCol w:w="1215"/>
        <w:gridCol w:w="912"/>
      </w:tblGrid>
      <w:tr w14:paraId="0991CA82">
        <w:tblPrEx>
          <w:tblCellMar>
            <w:top w:w="0" w:type="dxa"/>
            <w:left w:w="108" w:type="dxa"/>
            <w:bottom w:w="0" w:type="dxa"/>
            <w:right w:w="108" w:type="dxa"/>
          </w:tblCellMar>
        </w:tblPrEx>
        <w:trPr>
          <w:trHeight w:val="596" w:hRule="atLeast"/>
          <w:jc w:val="center"/>
        </w:trPr>
        <w:tc>
          <w:tcPr>
            <w:tcW w:w="766" w:type="dxa"/>
            <w:vMerge w:val="restart"/>
            <w:tcBorders>
              <w:top w:val="single" w:color="auto" w:sz="4" w:space="0"/>
              <w:left w:val="single" w:color="auto" w:sz="4" w:space="0"/>
              <w:bottom w:val="nil"/>
              <w:right w:val="single" w:color="auto" w:sz="4" w:space="0"/>
            </w:tcBorders>
            <w:noWrap w:val="0"/>
            <w:vAlign w:val="center"/>
          </w:tcPr>
          <w:p w14:paraId="1B72FB01">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795" w:type="dxa"/>
            <w:vMerge w:val="restart"/>
            <w:tcBorders>
              <w:top w:val="single" w:color="auto" w:sz="4" w:space="0"/>
              <w:left w:val="nil"/>
              <w:bottom w:val="nil"/>
              <w:right w:val="single" w:color="auto" w:sz="4" w:space="0"/>
            </w:tcBorders>
            <w:noWrap w:val="0"/>
            <w:vAlign w:val="center"/>
          </w:tcPr>
          <w:p w14:paraId="2C360F13">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600" w:type="dxa"/>
            <w:gridSpan w:val="3"/>
            <w:tcBorders>
              <w:top w:val="single" w:color="auto" w:sz="4" w:space="0"/>
              <w:left w:val="nil"/>
              <w:bottom w:val="single" w:color="auto" w:sz="4" w:space="0"/>
              <w:right w:val="single" w:color="auto" w:sz="4" w:space="0"/>
            </w:tcBorders>
            <w:noWrap w:val="0"/>
            <w:vAlign w:val="center"/>
          </w:tcPr>
          <w:p w14:paraId="071F7690">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5975" w:type="dxa"/>
            <w:gridSpan w:val="3"/>
            <w:tcBorders>
              <w:top w:val="single" w:color="auto" w:sz="4" w:space="0"/>
              <w:left w:val="nil"/>
              <w:bottom w:val="single" w:color="auto" w:sz="4" w:space="0"/>
              <w:right w:val="single" w:color="auto" w:sz="4" w:space="0"/>
            </w:tcBorders>
            <w:noWrap w:val="0"/>
            <w:vAlign w:val="center"/>
          </w:tcPr>
          <w:p w14:paraId="068B08A4">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912" w:type="dxa"/>
            <w:tcBorders>
              <w:top w:val="single" w:color="auto" w:sz="4" w:space="0"/>
              <w:left w:val="nil"/>
              <w:bottom w:val="single" w:color="auto" w:sz="4" w:space="0"/>
              <w:right w:val="single" w:color="auto" w:sz="4" w:space="0"/>
            </w:tcBorders>
            <w:noWrap w:val="0"/>
            <w:vAlign w:val="center"/>
          </w:tcPr>
          <w:p w14:paraId="3BCC955B">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606CA62D">
        <w:tblPrEx>
          <w:tblCellMar>
            <w:top w:w="0" w:type="dxa"/>
            <w:left w:w="108" w:type="dxa"/>
            <w:bottom w:w="0" w:type="dxa"/>
            <w:right w:w="108" w:type="dxa"/>
          </w:tblCellMar>
        </w:tblPrEx>
        <w:trPr>
          <w:trHeight w:val="1198" w:hRule="atLeast"/>
          <w:jc w:val="center"/>
        </w:trPr>
        <w:tc>
          <w:tcPr>
            <w:tcW w:w="766" w:type="dxa"/>
            <w:vMerge w:val="continue"/>
            <w:tcBorders>
              <w:top w:val="single" w:color="auto" w:sz="4" w:space="0"/>
              <w:left w:val="single" w:color="auto" w:sz="4" w:space="0"/>
              <w:bottom w:val="nil"/>
              <w:right w:val="single" w:color="auto" w:sz="4" w:space="0"/>
            </w:tcBorders>
            <w:noWrap w:val="0"/>
            <w:vAlign w:val="center"/>
          </w:tcPr>
          <w:p w14:paraId="0C28DC36">
            <w:pPr>
              <w:rPr>
                <w:rFonts w:ascii="Times New Roman" w:hAnsi="Times New Roman" w:cs="Times New Roman"/>
                <w:color w:val="auto"/>
                <w:sz w:val="20"/>
                <w:szCs w:val="20"/>
                <w:highlight w:val="none"/>
              </w:rPr>
            </w:pPr>
          </w:p>
        </w:tc>
        <w:tc>
          <w:tcPr>
            <w:tcW w:w="795" w:type="dxa"/>
            <w:vMerge w:val="continue"/>
            <w:tcBorders>
              <w:top w:val="single" w:color="auto" w:sz="4" w:space="0"/>
              <w:left w:val="nil"/>
              <w:bottom w:val="nil"/>
              <w:right w:val="single" w:color="auto" w:sz="4" w:space="0"/>
            </w:tcBorders>
            <w:noWrap w:val="0"/>
            <w:vAlign w:val="center"/>
          </w:tcPr>
          <w:p w14:paraId="05F8C240">
            <w:pPr>
              <w:rPr>
                <w:rFonts w:ascii="Times New Roman" w:hAnsi="Times New Roman" w:cs="Times New Roman"/>
                <w:color w:val="auto"/>
                <w:sz w:val="20"/>
                <w:szCs w:val="20"/>
                <w:highlight w:val="none"/>
              </w:rPr>
            </w:pPr>
          </w:p>
        </w:tc>
        <w:tc>
          <w:tcPr>
            <w:tcW w:w="2200" w:type="dxa"/>
            <w:tcBorders>
              <w:top w:val="single" w:color="auto" w:sz="4" w:space="0"/>
              <w:left w:val="nil"/>
              <w:bottom w:val="single" w:color="auto" w:sz="4" w:space="0"/>
              <w:right w:val="single" w:color="auto" w:sz="4" w:space="0"/>
            </w:tcBorders>
            <w:noWrap w:val="0"/>
            <w:vAlign w:val="center"/>
          </w:tcPr>
          <w:p w14:paraId="7C56CC2A">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250" w:type="dxa"/>
            <w:tcBorders>
              <w:top w:val="single" w:color="auto" w:sz="4" w:space="0"/>
              <w:left w:val="nil"/>
              <w:bottom w:val="single" w:color="auto" w:sz="4" w:space="0"/>
              <w:right w:val="single" w:color="auto" w:sz="4" w:space="0"/>
            </w:tcBorders>
            <w:noWrap w:val="0"/>
            <w:vAlign w:val="center"/>
          </w:tcPr>
          <w:p w14:paraId="089EAF0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50" w:type="dxa"/>
            <w:tcBorders>
              <w:top w:val="single" w:color="auto" w:sz="4" w:space="0"/>
              <w:left w:val="nil"/>
              <w:bottom w:val="single" w:color="auto" w:sz="4" w:space="0"/>
              <w:right w:val="single" w:color="auto" w:sz="4" w:space="0"/>
            </w:tcBorders>
            <w:noWrap w:val="0"/>
            <w:vAlign w:val="center"/>
          </w:tcPr>
          <w:p w14:paraId="5CE3413D">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2700" w:type="dxa"/>
            <w:tcBorders>
              <w:top w:val="single" w:color="auto" w:sz="4" w:space="0"/>
              <w:left w:val="nil"/>
              <w:bottom w:val="single" w:color="auto" w:sz="4" w:space="0"/>
              <w:right w:val="single" w:color="auto" w:sz="4" w:space="0"/>
            </w:tcBorders>
            <w:noWrap w:val="0"/>
            <w:vAlign w:val="center"/>
          </w:tcPr>
          <w:p w14:paraId="23C4D0EE">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2060" w:type="dxa"/>
            <w:tcBorders>
              <w:top w:val="single" w:color="auto" w:sz="4" w:space="0"/>
              <w:left w:val="nil"/>
              <w:bottom w:val="single" w:color="auto" w:sz="4" w:space="0"/>
              <w:right w:val="single" w:color="auto" w:sz="4" w:space="0"/>
            </w:tcBorders>
            <w:noWrap w:val="0"/>
            <w:vAlign w:val="center"/>
          </w:tcPr>
          <w:p w14:paraId="7C4EAB8F">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215" w:type="dxa"/>
            <w:tcBorders>
              <w:top w:val="single" w:color="auto" w:sz="4" w:space="0"/>
              <w:left w:val="nil"/>
              <w:bottom w:val="single" w:color="auto" w:sz="4" w:space="0"/>
              <w:right w:val="single" w:color="auto" w:sz="4" w:space="0"/>
            </w:tcBorders>
            <w:noWrap w:val="0"/>
            <w:vAlign w:val="center"/>
          </w:tcPr>
          <w:p w14:paraId="7FCF6D17">
            <w:pPr>
              <w:widowControl/>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912" w:type="dxa"/>
            <w:tcBorders>
              <w:top w:val="single" w:color="auto" w:sz="4" w:space="0"/>
              <w:left w:val="nil"/>
              <w:bottom w:val="single" w:color="auto" w:sz="4" w:space="0"/>
              <w:right w:val="single" w:color="auto" w:sz="4" w:space="0"/>
            </w:tcBorders>
            <w:noWrap w:val="0"/>
            <w:vAlign w:val="top"/>
          </w:tcPr>
          <w:p w14:paraId="54C693C3">
            <w:pPr>
              <w:spacing w:line="360" w:lineRule="auto"/>
              <w:jc w:val="center"/>
              <w:rPr>
                <w:rFonts w:ascii="Times New Roman" w:hAnsi="Times New Roman" w:cs="Times New Roman"/>
                <w:color w:val="auto"/>
                <w:szCs w:val="21"/>
                <w:highlight w:val="none"/>
              </w:rPr>
            </w:pPr>
          </w:p>
        </w:tc>
      </w:tr>
      <w:tr w14:paraId="75BC84D9">
        <w:tblPrEx>
          <w:tblCellMar>
            <w:top w:w="0" w:type="dxa"/>
            <w:left w:w="108" w:type="dxa"/>
            <w:bottom w:w="0" w:type="dxa"/>
            <w:right w:w="108" w:type="dxa"/>
          </w:tblCellMar>
        </w:tblPrEx>
        <w:trPr>
          <w:trHeight w:val="501"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BE7B17E">
            <w:pPr>
              <w:spacing w:line="360" w:lineRule="auto"/>
              <w:jc w:val="center"/>
              <w:rPr>
                <w:rFonts w:ascii="Times New Roman" w:hAnsi="Times New Roman" w:cs="Times New Roman"/>
                <w:color w:val="auto"/>
                <w:szCs w:val="21"/>
                <w:highlight w:val="none"/>
              </w:rPr>
            </w:pPr>
          </w:p>
        </w:tc>
        <w:tc>
          <w:tcPr>
            <w:tcW w:w="795" w:type="dxa"/>
            <w:tcBorders>
              <w:top w:val="single" w:color="auto" w:sz="4" w:space="0"/>
              <w:left w:val="nil"/>
              <w:bottom w:val="single" w:color="auto" w:sz="4" w:space="0"/>
              <w:right w:val="single" w:color="auto" w:sz="4" w:space="0"/>
            </w:tcBorders>
            <w:noWrap w:val="0"/>
            <w:vAlign w:val="top"/>
          </w:tcPr>
          <w:p w14:paraId="4C186277">
            <w:pPr>
              <w:spacing w:line="360" w:lineRule="auto"/>
              <w:jc w:val="center"/>
              <w:rPr>
                <w:rFonts w:ascii="Times New Roman" w:hAnsi="Times New Roman" w:cs="Times New Roman"/>
                <w:color w:val="auto"/>
                <w:szCs w:val="21"/>
                <w:highlight w:val="none"/>
              </w:rPr>
            </w:pPr>
          </w:p>
        </w:tc>
        <w:tc>
          <w:tcPr>
            <w:tcW w:w="2200" w:type="dxa"/>
            <w:tcBorders>
              <w:top w:val="single" w:color="auto" w:sz="4" w:space="0"/>
              <w:left w:val="nil"/>
              <w:bottom w:val="single" w:color="auto" w:sz="4" w:space="0"/>
              <w:right w:val="single" w:color="auto" w:sz="4" w:space="0"/>
            </w:tcBorders>
            <w:noWrap w:val="0"/>
            <w:vAlign w:val="center"/>
          </w:tcPr>
          <w:p w14:paraId="45A12E75">
            <w:pPr>
              <w:spacing w:line="360" w:lineRule="auto"/>
              <w:jc w:val="center"/>
              <w:rPr>
                <w:rFonts w:ascii="Times New Roman" w:hAnsi="Times New Roman" w:cs="Times New Roman"/>
                <w:color w:val="auto"/>
                <w:szCs w:val="21"/>
                <w:highlight w:val="none"/>
              </w:rPr>
            </w:pPr>
          </w:p>
        </w:tc>
        <w:tc>
          <w:tcPr>
            <w:tcW w:w="1250" w:type="dxa"/>
            <w:tcBorders>
              <w:top w:val="single" w:color="auto" w:sz="4" w:space="0"/>
              <w:left w:val="nil"/>
              <w:bottom w:val="single" w:color="auto" w:sz="4" w:space="0"/>
              <w:right w:val="single" w:color="auto" w:sz="4" w:space="0"/>
            </w:tcBorders>
            <w:noWrap w:val="0"/>
            <w:vAlign w:val="top"/>
          </w:tcPr>
          <w:p w14:paraId="2493EF9B">
            <w:pPr>
              <w:spacing w:line="360" w:lineRule="auto"/>
              <w:jc w:val="center"/>
              <w:rPr>
                <w:rFonts w:ascii="Times New Roman" w:hAnsi="Times New Roman" w:cs="Times New Roman"/>
                <w:color w:val="auto"/>
                <w:szCs w:val="21"/>
                <w:highlight w:val="none"/>
              </w:rPr>
            </w:pPr>
          </w:p>
        </w:tc>
        <w:tc>
          <w:tcPr>
            <w:tcW w:w="1150" w:type="dxa"/>
            <w:tcBorders>
              <w:top w:val="single" w:color="auto" w:sz="4" w:space="0"/>
              <w:left w:val="nil"/>
              <w:bottom w:val="single" w:color="auto" w:sz="4" w:space="0"/>
              <w:right w:val="single" w:color="auto" w:sz="4" w:space="0"/>
            </w:tcBorders>
            <w:noWrap w:val="0"/>
            <w:vAlign w:val="top"/>
          </w:tcPr>
          <w:p w14:paraId="717198F8">
            <w:pPr>
              <w:spacing w:line="360" w:lineRule="auto"/>
              <w:jc w:val="center"/>
              <w:rPr>
                <w:rFonts w:ascii="Times New Roman" w:hAnsi="Times New Roman" w:cs="Times New Roman"/>
                <w:color w:val="auto"/>
                <w:szCs w:val="21"/>
                <w:highlight w:val="none"/>
              </w:rPr>
            </w:pPr>
          </w:p>
        </w:tc>
        <w:tc>
          <w:tcPr>
            <w:tcW w:w="2700" w:type="dxa"/>
            <w:tcBorders>
              <w:top w:val="single" w:color="auto" w:sz="4" w:space="0"/>
              <w:left w:val="nil"/>
              <w:bottom w:val="single" w:color="auto" w:sz="4" w:space="0"/>
              <w:right w:val="single" w:color="auto" w:sz="4" w:space="0"/>
            </w:tcBorders>
            <w:noWrap w:val="0"/>
            <w:vAlign w:val="top"/>
          </w:tcPr>
          <w:p w14:paraId="523BF1CB">
            <w:pPr>
              <w:spacing w:line="360" w:lineRule="auto"/>
              <w:jc w:val="center"/>
              <w:rPr>
                <w:rFonts w:ascii="Times New Roman" w:hAnsi="Times New Roman" w:cs="Times New Roman"/>
                <w:color w:val="auto"/>
                <w:szCs w:val="21"/>
                <w:highlight w:val="none"/>
              </w:rPr>
            </w:pPr>
          </w:p>
        </w:tc>
        <w:tc>
          <w:tcPr>
            <w:tcW w:w="2060" w:type="dxa"/>
            <w:tcBorders>
              <w:top w:val="single" w:color="auto" w:sz="4" w:space="0"/>
              <w:left w:val="nil"/>
              <w:bottom w:val="single" w:color="auto" w:sz="4" w:space="0"/>
              <w:right w:val="single" w:color="auto" w:sz="4" w:space="0"/>
            </w:tcBorders>
            <w:noWrap w:val="0"/>
            <w:vAlign w:val="top"/>
          </w:tcPr>
          <w:p w14:paraId="31F6CEB8">
            <w:pPr>
              <w:spacing w:line="360" w:lineRule="auto"/>
              <w:jc w:val="center"/>
              <w:rPr>
                <w:rFonts w:ascii="Times New Roman" w:hAnsi="Times New Roman" w:cs="Times New Roman"/>
                <w:color w:val="auto"/>
                <w:szCs w:val="21"/>
                <w:highlight w:val="none"/>
              </w:rPr>
            </w:pPr>
          </w:p>
        </w:tc>
        <w:tc>
          <w:tcPr>
            <w:tcW w:w="1215" w:type="dxa"/>
            <w:tcBorders>
              <w:top w:val="single" w:color="auto" w:sz="4" w:space="0"/>
              <w:left w:val="nil"/>
              <w:bottom w:val="single" w:color="auto" w:sz="4" w:space="0"/>
              <w:right w:val="single" w:color="auto" w:sz="4" w:space="0"/>
            </w:tcBorders>
            <w:noWrap w:val="0"/>
            <w:vAlign w:val="top"/>
          </w:tcPr>
          <w:p w14:paraId="68A9D1A5">
            <w:pPr>
              <w:spacing w:line="360" w:lineRule="auto"/>
              <w:jc w:val="center"/>
              <w:rPr>
                <w:rFonts w:ascii="Times New Roman" w:hAnsi="Times New Roman" w:cs="Times New Roman"/>
                <w:color w:val="auto"/>
                <w:szCs w:val="21"/>
                <w:highlight w:val="none"/>
              </w:rPr>
            </w:pPr>
          </w:p>
        </w:tc>
        <w:tc>
          <w:tcPr>
            <w:tcW w:w="912" w:type="dxa"/>
            <w:tcBorders>
              <w:top w:val="single" w:color="auto" w:sz="4" w:space="0"/>
              <w:left w:val="nil"/>
              <w:bottom w:val="single" w:color="auto" w:sz="4" w:space="0"/>
              <w:right w:val="single" w:color="auto" w:sz="4" w:space="0"/>
            </w:tcBorders>
            <w:noWrap w:val="0"/>
            <w:vAlign w:val="top"/>
          </w:tcPr>
          <w:p w14:paraId="200706EA">
            <w:pPr>
              <w:spacing w:line="360" w:lineRule="auto"/>
              <w:jc w:val="center"/>
              <w:rPr>
                <w:rFonts w:ascii="Times New Roman" w:hAnsi="Times New Roman" w:cs="Times New Roman"/>
                <w:color w:val="auto"/>
                <w:szCs w:val="21"/>
                <w:highlight w:val="none"/>
              </w:rPr>
            </w:pPr>
          </w:p>
        </w:tc>
      </w:tr>
      <w:tr w14:paraId="76AB40AA">
        <w:tblPrEx>
          <w:tblCellMar>
            <w:top w:w="0" w:type="dxa"/>
            <w:left w:w="108" w:type="dxa"/>
            <w:bottom w:w="0" w:type="dxa"/>
            <w:right w:w="108" w:type="dxa"/>
          </w:tblCellMar>
        </w:tblPrEx>
        <w:trPr>
          <w:trHeight w:val="411"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6EEE64A">
            <w:pPr>
              <w:spacing w:line="360" w:lineRule="auto"/>
              <w:jc w:val="center"/>
              <w:rPr>
                <w:rFonts w:ascii="Times New Roman" w:hAnsi="Times New Roman" w:cs="Times New Roman"/>
                <w:color w:val="auto"/>
                <w:szCs w:val="21"/>
                <w:highlight w:val="none"/>
              </w:rPr>
            </w:pPr>
          </w:p>
        </w:tc>
        <w:tc>
          <w:tcPr>
            <w:tcW w:w="795" w:type="dxa"/>
            <w:tcBorders>
              <w:top w:val="single" w:color="auto" w:sz="4" w:space="0"/>
              <w:left w:val="nil"/>
              <w:bottom w:val="single" w:color="auto" w:sz="4" w:space="0"/>
              <w:right w:val="single" w:color="auto" w:sz="4" w:space="0"/>
            </w:tcBorders>
            <w:noWrap w:val="0"/>
            <w:vAlign w:val="top"/>
          </w:tcPr>
          <w:p w14:paraId="2723DD27">
            <w:pPr>
              <w:spacing w:line="360" w:lineRule="auto"/>
              <w:jc w:val="center"/>
              <w:rPr>
                <w:rFonts w:ascii="Times New Roman" w:hAnsi="Times New Roman" w:cs="Times New Roman"/>
                <w:color w:val="auto"/>
                <w:szCs w:val="21"/>
                <w:highlight w:val="none"/>
              </w:rPr>
            </w:pPr>
          </w:p>
        </w:tc>
        <w:tc>
          <w:tcPr>
            <w:tcW w:w="2200" w:type="dxa"/>
            <w:tcBorders>
              <w:top w:val="single" w:color="auto" w:sz="4" w:space="0"/>
              <w:left w:val="nil"/>
              <w:bottom w:val="single" w:color="auto" w:sz="4" w:space="0"/>
              <w:right w:val="single" w:color="auto" w:sz="4" w:space="0"/>
            </w:tcBorders>
            <w:noWrap w:val="0"/>
            <w:vAlign w:val="center"/>
          </w:tcPr>
          <w:p w14:paraId="67AA2CA5">
            <w:pPr>
              <w:spacing w:line="360" w:lineRule="auto"/>
              <w:jc w:val="center"/>
              <w:rPr>
                <w:rFonts w:ascii="Times New Roman" w:hAnsi="Times New Roman" w:cs="Times New Roman"/>
                <w:color w:val="auto"/>
                <w:szCs w:val="21"/>
                <w:highlight w:val="none"/>
              </w:rPr>
            </w:pPr>
          </w:p>
        </w:tc>
        <w:tc>
          <w:tcPr>
            <w:tcW w:w="1250" w:type="dxa"/>
            <w:tcBorders>
              <w:top w:val="single" w:color="auto" w:sz="4" w:space="0"/>
              <w:left w:val="nil"/>
              <w:bottom w:val="single" w:color="auto" w:sz="4" w:space="0"/>
              <w:right w:val="single" w:color="auto" w:sz="4" w:space="0"/>
            </w:tcBorders>
            <w:noWrap w:val="0"/>
            <w:vAlign w:val="top"/>
          </w:tcPr>
          <w:p w14:paraId="5935A42D">
            <w:pPr>
              <w:spacing w:line="360" w:lineRule="auto"/>
              <w:jc w:val="center"/>
              <w:rPr>
                <w:rFonts w:ascii="Times New Roman" w:hAnsi="Times New Roman" w:cs="Times New Roman"/>
                <w:color w:val="auto"/>
                <w:szCs w:val="21"/>
                <w:highlight w:val="none"/>
              </w:rPr>
            </w:pPr>
          </w:p>
        </w:tc>
        <w:tc>
          <w:tcPr>
            <w:tcW w:w="1150" w:type="dxa"/>
            <w:tcBorders>
              <w:top w:val="single" w:color="auto" w:sz="4" w:space="0"/>
              <w:left w:val="nil"/>
              <w:bottom w:val="single" w:color="auto" w:sz="4" w:space="0"/>
              <w:right w:val="single" w:color="auto" w:sz="4" w:space="0"/>
            </w:tcBorders>
            <w:noWrap w:val="0"/>
            <w:vAlign w:val="top"/>
          </w:tcPr>
          <w:p w14:paraId="3C74620D">
            <w:pPr>
              <w:spacing w:line="360" w:lineRule="auto"/>
              <w:jc w:val="center"/>
              <w:rPr>
                <w:rFonts w:ascii="Times New Roman" w:hAnsi="Times New Roman" w:cs="Times New Roman"/>
                <w:color w:val="auto"/>
                <w:szCs w:val="21"/>
                <w:highlight w:val="none"/>
              </w:rPr>
            </w:pPr>
          </w:p>
        </w:tc>
        <w:tc>
          <w:tcPr>
            <w:tcW w:w="2700" w:type="dxa"/>
            <w:tcBorders>
              <w:top w:val="single" w:color="auto" w:sz="4" w:space="0"/>
              <w:left w:val="nil"/>
              <w:bottom w:val="single" w:color="auto" w:sz="4" w:space="0"/>
              <w:right w:val="single" w:color="auto" w:sz="4" w:space="0"/>
            </w:tcBorders>
            <w:noWrap w:val="0"/>
            <w:vAlign w:val="top"/>
          </w:tcPr>
          <w:p w14:paraId="752E654A">
            <w:pPr>
              <w:spacing w:line="360" w:lineRule="auto"/>
              <w:jc w:val="center"/>
              <w:rPr>
                <w:rFonts w:ascii="Times New Roman" w:hAnsi="Times New Roman" w:cs="Times New Roman"/>
                <w:color w:val="auto"/>
                <w:szCs w:val="21"/>
                <w:highlight w:val="none"/>
              </w:rPr>
            </w:pPr>
          </w:p>
        </w:tc>
        <w:tc>
          <w:tcPr>
            <w:tcW w:w="2060" w:type="dxa"/>
            <w:tcBorders>
              <w:top w:val="single" w:color="auto" w:sz="4" w:space="0"/>
              <w:left w:val="nil"/>
              <w:bottom w:val="single" w:color="auto" w:sz="4" w:space="0"/>
              <w:right w:val="single" w:color="auto" w:sz="4" w:space="0"/>
            </w:tcBorders>
            <w:noWrap w:val="0"/>
            <w:vAlign w:val="top"/>
          </w:tcPr>
          <w:p w14:paraId="2CF94B29">
            <w:pPr>
              <w:spacing w:line="360" w:lineRule="auto"/>
              <w:jc w:val="center"/>
              <w:rPr>
                <w:rFonts w:ascii="Times New Roman" w:hAnsi="Times New Roman" w:cs="Times New Roman"/>
                <w:color w:val="auto"/>
                <w:szCs w:val="21"/>
                <w:highlight w:val="none"/>
              </w:rPr>
            </w:pPr>
          </w:p>
        </w:tc>
        <w:tc>
          <w:tcPr>
            <w:tcW w:w="1215" w:type="dxa"/>
            <w:tcBorders>
              <w:top w:val="single" w:color="auto" w:sz="4" w:space="0"/>
              <w:left w:val="nil"/>
              <w:bottom w:val="single" w:color="auto" w:sz="4" w:space="0"/>
              <w:right w:val="single" w:color="auto" w:sz="4" w:space="0"/>
            </w:tcBorders>
            <w:noWrap w:val="0"/>
            <w:vAlign w:val="top"/>
          </w:tcPr>
          <w:p w14:paraId="785E62B4">
            <w:pPr>
              <w:spacing w:line="360" w:lineRule="auto"/>
              <w:jc w:val="center"/>
              <w:rPr>
                <w:rFonts w:ascii="Times New Roman" w:hAnsi="Times New Roman" w:cs="Times New Roman"/>
                <w:color w:val="auto"/>
                <w:szCs w:val="21"/>
                <w:highlight w:val="none"/>
              </w:rPr>
            </w:pPr>
          </w:p>
        </w:tc>
        <w:tc>
          <w:tcPr>
            <w:tcW w:w="912" w:type="dxa"/>
            <w:tcBorders>
              <w:top w:val="single" w:color="auto" w:sz="4" w:space="0"/>
              <w:left w:val="nil"/>
              <w:bottom w:val="single" w:color="auto" w:sz="4" w:space="0"/>
              <w:right w:val="single" w:color="auto" w:sz="4" w:space="0"/>
            </w:tcBorders>
            <w:noWrap w:val="0"/>
            <w:vAlign w:val="top"/>
          </w:tcPr>
          <w:p w14:paraId="0FA6BD63">
            <w:pPr>
              <w:spacing w:line="360" w:lineRule="auto"/>
              <w:jc w:val="center"/>
              <w:rPr>
                <w:rFonts w:ascii="Times New Roman" w:hAnsi="Times New Roman" w:cs="Times New Roman"/>
                <w:color w:val="auto"/>
                <w:szCs w:val="21"/>
                <w:highlight w:val="none"/>
              </w:rPr>
            </w:pPr>
          </w:p>
        </w:tc>
      </w:tr>
      <w:tr w14:paraId="707C2BB6">
        <w:tblPrEx>
          <w:tblCellMar>
            <w:top w:w="0" w:type="dxa"/>
            <w:left w:w="108" w:type="dxa"/>
            <w:bottom w:w="0" w:type="dxa"/>
            <w:right w:w="108" w:type="dxa"/>
          </w:tblCellMar>
        </w:tblPrEx>
        <w:trPr>
          <w:trHeight w:val="389"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846CDA2">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tc>
        <w:tc>
          <w:tcPr>
            <w:tcW w:w="795" w:type="dxa"/>
            <w:tcBorders>
              <w:top w:val="single" w:color="auto" w:sz="4" w:space="0"/>
              <w:left w:val="nil"/>
              <w:bottom w:val="single" w:color="auto" w:sz="4" w:space="0"/>
              <w:right w:val="single" w:color="auto" w:sz="4" w:space="0"/>
            </w:tcBorders>
            <w:noWrap w:val="0"/>
            <w:vAlign w:val="top"/>
          </w:tcPr>
          <w:p w14:paraId="35E374EF">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tc>
        <w:tc>
          <w:tcPr>
            <w:tcW w:w="2200" w:type="dxa"/>
            <w:tcBorders>
              <w:top w:val="single" w:color="auto" w:sz="4" w:space="0"/>
              <w:left w:val="nil"/>
              <w:bottom w:val="single" w:color="auto" w:sz="4" w:space="0"/>
              <w:right w:val="single" w:color="auto" w:sz="4" w:space="0"/>
            </w:tcBorders>
            <w:noWrap w:val="0"/>
            <w:vAlign w:val="center"/>
          </w:tcPr>
          <w:p w14:paraId="617B45F2">
            <w:pPr>
              <w:spacing w:line="360" w:lineRule="auto"/>
              <w:jc w:val="center"/>
              <w:rPr>
                <w:rFonts w:ascii="Times New Roman" w:hAnsi="Times New Roman" w:cs="Times New Roman"/>
                <w:color w:val="auto"/>
                <w:szCs w:val="21"/>
                <w:highlight w:val="none"/>
              </w:rPr>
            </w:pPr>
          </w:p>
        </w:tc>
        <w:tc>
          <w:tcPr>
            <w:tcW w:w="1250" w:type="dxa"/>
            <w:tcBorders>
              <w:top w:val="single" w:color="auto" w:sz="4" w:space="0"/>
              <w:left w:val="nil"/>
              <w:bottom w:val="single" w:color="auto" w:sz="4" w:space="0"/>
              <w:right w:val="single" w:color="auto" w:sz="4" w:space="0"/>
            </w:tcBorders>
            <w:noWrap w:val="0"/>
            <w:vAlign w:val="top"/>
          </w:tcPr>
          <w:p w14:paraId="084CA61A">
            <w:pPr>
              <w:spacing w:line="360" w:lineRule="auto"/>
              <w:jc w:val="center"/>
              <w:rPr>
                <w:rFonts w:ascii="Times New Roman" w:hAnsi="Times New Roman" w:cs="Times New Roman"/>
                <w:color w:val="auto"/>
                <w:szCs w:val="21"/>
                <w:highlight w:val="none"/>
              </w:rPr>
            </w:pPr>
          </w:p>
        </w:tc>
        <w:tc>
          <w:tcPr>
            <w:tcW w:w="1150" w:type="dxa"/>
            <w:tcBorders>
              <w:top w:val="single" w:color="auto" w:sz="4" w:space="0"/>
              <w:left w:val="nil"/>
              <w:bottom w:val="single" w:color="auto" w:sz="4" w:space="0"/>
              <w:right w:val="single" w:color="auto" w:sz="4" w:space="0"/>
            </w:tcBorders>
            <w:noWrap w:val="0"/>
            <w:vAlign w:val="top"/>
          </w:tcPr>
          <w:p w14:paraId="7425BFD3">
            <w:pPr>
              <w:spacing w:line="360" w:lineRule="auto"/>
              <w:jc w:val="center"/>
              <w:rPr>
                <w:rFonts w:ascii="Times New Roman" w:hAnsi="Times New Roman" w:cs="Times New Roman"/>
                <w:color w:val="auto"/>
                <w:szCs w:val="21"/>
                <w:highlight w:val="none"/>
              </w:rPr>
            </w:pPr>
          </w:p>
        </w:tc>
        <w:tc>
          <w:tcPr>
            <w:tcW w:w="2700" w:type="dxa"/>
            <w:tcBorders>
              <w:top w:val="single" w:color="auto" w:sz="4" w:space="0"/>
              <w:left w:val="nil"/>
              <w:bottom w:val="single" w:color="auto" w:sz="4" w:space="0"/>
              <w:right w:val="single" w:color="auto" w:sz="4" w:space="0"/>
            </w:tcBorders>
            <w:noWrap w:val="0"/>
            <w:vAlign w:val="top"/>
          </w:tcPr>
          <w:p w14:paraId="3267DFEE">
            <w:pPr>
              <w:spacing w:line="360" w:lineRule="auto"/>
              <w:jc w:val="center"/>
              <w:rPr>
                <w:rFonts w:ascii="Times New Roman" w:hAnsi="Times New Roman" w:cs="Times New Roman"/>
                <w:color w:val="auto"/>
                <w:szCs w:val="21"/>
                <w:highlight w:val="none"/>
              </w:rPr>
            </w:pPr>
          </w:p>
        </w:tc>
        <w:tc>
          <w:tcPr>
            <w:tcW w:w="2060" w:type="dxa"/>
            <w:tcBorders>
              <w:top w:val="single" w:color="auto" w:sz="4" w:space="0"/>
              <w:left w:val="nil"/>
              <w:bottom w:val="single" w:color="auto" w:sz="4" w:space="0"/>
              <w:right w:val="single" w:color="auto" w:sz="4" w:space="0"/>
            </w:tcBorders>
            <w:noWrap w:val="0"/>
            <w:vAlign w:val="top"/>
          </w:tcPr>
          <w:p w14:paraId="18B4D41A">
            <w:pPr>
              <w:spacing w:line="360" w:lineRule="auto"/>
              <w:jc w:val="center"/>
              <w:rPr>
                <w:rFonts w:ascii="Times New Roman" w:hAnsi="Times New Roman" w:cs="Times New Roman"/>
                <w:color w:val="auto"/>
                <w:szCs w:val="21"/>
                <w:highlight w:val="none"/>
              </w:rPr>
            </w:pPr>
          </w:p>
        </w:tc>
        <w:tc>
          <w:tcPr>
            <w:tcW w:w="1215" w:type="dxa"/>
            <w:tcBorders>
              <w:top w:val="single" w:color="auto" w:sz="4" w:space="0"/>
              <w:left w:val="nil"/>
              <w:bottom w:val="single" w:color="auto" w:sz="4" w:space="0"/>
              <w:right w:val="single" w:color="auto" w:sz="4" w:space="0"/>
            </w:tcBorders>
            <w:noWrap w:val="0"/>
            <w:vAlign w:val="top"/>
          </w:tcPr>
          <w:p w14:paraId="39CF2279">
            <w:pPr>
              <w:spacing w:line="360" w:lineRule="auto"/>
              <w:jc w:val="center"/>
              <w:rPr>
                <w:rFonts w:ascii="Times New Roman" w:hAnsi="Times New Roman" w:cs="Times New Roman"/>
                <w:color w:val="auto"/>
                <w:szCs w:val="21"/>
                <w:highlight w:val="none"/>
              </w:rPr>
            </w:pPr>
          </w:p>
        </w:tc>
        <w:tc>
          <w:tcPr>
            <w:tcW w:w="912" w:type="dxa"/>
            <w:tcBorders>
              <w:top w:val="single" w:color="auto" w:sz="4" w:space="0"/>
              <w:left w:val="nil"/>
              <w:bottom w:val="single" w:color="auto" w:sz="4" w:space="0"/>
              <w:right w:val="single" w:color="auto" w:sz="4" w:space="0"/>
            </w:tcBorders>
            <w:noWrap w:val="0"/>
            <w:vAlign w:val="top"/>
          </w:tcPr>
          <w:p w14:paraId="22F5049B">
            <w:pPr>
              <w:spacing w:line="360" w:lineRule="auto"/>
              <w:jc w:val="center"/>
              <w:rPr>
                <w:rFonts w:ascii="Times New Roman" w:hAnsi="Times New Roman" w:cs="Times New Roman"/>
                <w:color w:val="auto"/>
                <w:szCs w:val="21"/>
                <w:highlight w:val="none"/>
              </w:rPr>
            </w:pPr>
          </w:p>
        </w:tc>
      </w:tr>
    </w:tbl>
    <w:p w14:paraId="698B36C6">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6A9F69AF">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ascii="Times New Roman" w:hAnsi="Times New Roman" w:cs="Times New Roman"/>
          <w:color w:val="auto"/>
          <w:spacing w:val="4"/>
          <w:kern w:val="0"/>
          <w:szCs w:val="21"/>
          <w:highlight w:val="none"/>
        </w:rPr>
      </w:pPr>
      <w:bookmarkStart w:id="156" w:name="_Toc11093"/>
      <w:bookmarkStart w:id="157" w:name="_Toc7725"/>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6"/>
      <w:bookmarkEnd w:id="157"/>
    </w:p>
    <w:p w14:paraId="4EE61C9C">
      <w:pPr>
        <w:pStyle w:val="3"/>
        <w:widowControl/>
        <w:adjustRightInd w:val="0"/>
        <w:snapToGrid w:val="0"/>
        <w:rPr>
          <w:rFonts w:hint="default" w:ascii="Times New Roman" w:hAnsi="Times New Roman" w:cs="Times New Roman"/>
          <w:color w:val="auto"/>
          <w:sz w:val="24"/>
          <w:szCs w:val="13"/>
          <w:highlight w:val="none"/>
        </w:rPr>
      </w:pPr>
      <w:r>
        <w:rPr>
          <w:rFonts w:hint="default" w:ascii="Times New Roman" w:hAnsi="Times New Roman" w:cs="Times New Roman"/>
          <w:color w:val="auto"/>
          <w:sz w:val="24"/>
          <w:szCs w:val="13"/>
          <w:highlight w:val="none"/>
        </w:rPr>
        <w:t>评委签名：                                                    日期：    年    月    日</w:t>
      </w:r>
      <w:bookmarkStart w:id="158" w:name="_Toc20141"/>
      <w:bookmarkEnd w:id="158"/>
      <w:bookmarkStart w:id="159" w:name="_Toc27717"/>
      <w:bookmarkStart w:id="160" w:name="_Hlk196152004"/>
    </w:p>
    <w:p w14:paraId="01F084E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070F483B">
      <w:pPr>
        <w:pStyle w:val="3"/>
        <w:widowControl/>
        <w:adjustRightInd w:val="0"/>
        <w:snapToGrid w:val="0"/>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设计方案</w:t>
      </w:r>
      <w:r>
        <w:rPr>
          <w:rFonts w:hint="default" w:ascii="Times New Roman" w:hAnsi="Times New Roman" w:cs="Times New Roman"/>
          <w:color w:val="auto"/>
          <w:sz w:val="21"/>
          <w:szCs w:val="21"/>
          <w:highlight w:val="none"/>
        </w:rPr>
        <w:t>部分评分</w:t>
      </w:r>
      <w:r>
        <w:rPr>
          <w:rFonts w:ascii="Times New Roman" w:hAnsi="Times New Roman" w:cs="Times New Roman"/>
          <w:color w:val="auto"/>
          <w:sz w:val="21"/>
          <w:szCs w:val="21"/>
          <w:highlight w:val="none"/>
        </w:rPr>
        <w:t>表</w:t>
      </w:r>
      <w:bookmarkEnd w:id="159"/>
    </w:p>
    <w:p w14:paraId="4E3F2DBE">
      <w:pPr>
        <w:pStyle w:val="16"/>
        <w:adjustRightInd w:val="0"/>
        <w:snapToGrid w:val="0"/>
        <w:ind w:firstLine="560"/>
        <w:rPr>
          <w:rFonts w:hint="default" w:ascii="Times New Roman" w:hAnsi="Times New Roman" w:cs="Times New Roman"/>
          <w:color w:val="auto"/>
          <w:sz w:val="28"/>
          <w:szCs w:val="28"/>
          <w:highlight w:val="none"/>
        </w:rPr>
      </w:pPr>
      <w:bookmarkStart w:id="161" w:name="_Hlk196329891"/>
      <w:bookmarkStart w:id="162" w:name="_Hlk196333894"/>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24DFFC9A">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682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9ECD8B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7DABC640">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0338B6C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AB1596A">
            <w:pPr>
              <w:spacing w:line="360" w:lineRule="auto"/>
              <w:jc w:val="center"/>
              <w:rPr>
                <w:rFonts w:ascii="Times New Roman" w:hAnsi="Times New Roman"/>
                <w:color w:val="auto"/>
                <w:szCs w:val="21"/>
                <w:highlight w:val="none"/>
              </w:rPr>
            </w:pPr>
            <w:r>
              <w:rPr>
                <w:rFonts w:ascii="Times New Roman" w:hAnsi="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40A284C4">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得分</w:t>
            </w:r>
          </w:p>
        </w:tc>
      </w:tr>
      <w:tr w14:paraId="331A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B60CDC8">
            <w:pPr>
              <w:jc w:val="center"/>
              <w:rPr>
                <w:rFonts w:ascii="Times New Roman" w:hAnsi="Times New Roman"/>
                <w:bCs/>
                <w:color w:val="auto"/>
                <w:szCs w:val="21"/>
                <w:highlight w:val="none"/>
              </w:rPr>
            </w:pPr>
            <w:r>
              <w:rPr>
                <w:rFonts w:ascii="Times New Roman" w:hAnsi="Times New Roman"/>
                <w:color w:val="auto"/>
                <w:highlight w:val="none"/>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FE7CAA2">
            <w:pPr>
              <w:adjustRightInd w:val="0"/>
              <w:spacing w:line="276" w:lineRule="auto"/>
              <w:jc w:val="center"/>
              <w:rPr>
                <w:rFonts w:ascii="Times New Roman" w:hAnsi="Times New Roman"/>
                <w:color w:val="auto"/>
                <w:szCs w:val="21"/>
                <w:highlight w:val="none"/>
              </w:rPr>
            </w:pPr>
            <w:r>
              <w:rPr>
                <w:rFonts w:ascii="Times New Roman" w:hAnsi="Times New Roman"/>
                <w:color w:val="auto"/>
                <w:highlight w:val="none"/>
              </w:rPr>
              <w:t>项目现状分析</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A284E07">
            <w:pPr>
              <w:jc w:val="center"/>
              <w:rPr>
                <w:rFonts w:ascii="Times New Roman" w:hAnsi="Times New Roman"/>
                <w:color w:val="auto"/>
                <w:szCs w:val="21"/>
                <w:highlight w:val="none"/>
              </w:rPr>
            </w:pPr>
            <w:r>
              <w:rPr>
                <w:rFonts w:ascii="Times New Roman" w:hAnsi="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51B3BCBA">
            <w:pPr>
              <w:rPr>
                <w:rFonts w:ascii="Times New Roman" w:hAnsi="Times New Roman"/>
                <w:color w:val="auto"/>
                <w:highlight w:val="none"/>
              </w:rPr>
            </w:pPr>
            <w:r>
              <w:rPr>
                <w:rFonts w:ascii="Times New Roman" w:hAnsi="Times New Roman"/>
                <w:color w:val="auto"/>
                <w:highlight w:val="none"/>
              </w:rPr>
              <w:t>了解项目背景、区位、项目资源状况，熟悉片区上层相关规划和国家相关政策。深入了解项目现状，对工程重点难点认识深刻，对现场工程提供科学、系统、安全、经济，可操作性强的解决方案。</w:t>
            </w:r>
          </w:p>
          <w:p w14:paraId="4EA76780">
            <w:pPr>
              <w:rPr>
                <w:rFonts w:ascii="Times New Roman" w:hAnsi="Times New Roman"/>
                <w:bCs/>
                <w:color w:val="auto"/>
                <w:szCs w:val="21"/>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B8BA0F5">
            <w:pPr>
              <w:pStyle w:val="15"/>
              <w:adjustRightInd w:val="0"/>
              <w:snapToGrid w:val="0"/>
              <w:spacing w:before="100" w:after="100" w:line="360" w:lineRule="exact"/>
              <w:rPr>
                <w:rFonts w:hint="default" w:ascii="Times New Roman" w:hAnsi="Times New Roman"/>
                <w:color w:val="auto"/>
                <w:sz w:val="21"/>
                <w:szCs w:val="21"/>
                <w:highlight w:val="none"/>
              </w:rPr>
            </w:pPr>
          </w:p>
        </w:tc>
      </w:tr>
      <w:tr w14:paraId="68B6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B4EA0D6">
            <w:pPr>
              <w:jc w:val="center"/>
              <w:rPr>
                <w:rFonts w:ascii="Times New Roman" w:hAnsi="Times New Roman"/>
                <w:bCs/>
                <w:color w:val="auto"/>
                <w:szCs w:val="21"/>
                <w:highlight w:val="none"/>
              </w:rPr>
            </w:pPr>
            <w:r>
              <w:rPr>
                <w:rFonts w:ascii="Times New Roman" w:hAnsi="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C13ED4F">
            <w:pPr>
              <w:adjustRightInd w:val="0"/>
              <w:spacing w:line="276" w:lineRule="auto"/>
              <w:jc w:val="center"/>
              <w:rPr>
                <w:rFonts w:ascii="Times New Roman" w:hAnsi="Times New Roman"/>
                <w:color w:val="auto"/>
                <w:highlight w:val="none"/>
              </w:rPr>
            </w:pPr>
            <w:r>
              <w:rPr>
                <w:rFonts w:ascii="Times New Roman" w:hAnsi="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8998EBA">
            <w:pPr>
              <w:jc w:val="center"/>
              <w:rPr>
                <w:rFonts w:ascii="Times New Roman" w:hAnsi="Times New Roman"/>
                <w:color w:val="auto"/>
                <w:highlight w:val="none"/>
              </w:rPr>
            </w:pPr>
            <w:r>
              <w:rPr>
                <w:rFonts w:ascii="Times New Roman" w:hAnsi="Times New Roman"/>
                <w:color w:val="auto"/>
                <w:highlight w:val="none"/>
              </w:rPr>
              <w:t>10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511F55E0">
            <w:pPr>
              <w:adjustRightInd w:val="0"/>
              <w:spacing w:line="276" w:lineRule="auto"/>
              <w:rPr>
                <w:rFonts w:ascii="Times New Roman" w:hAnsi="Times New Roman"/>
                <w:color w:val="auto"/>
                <w:highlight w:val="none"/>
              </w:rPr>
            </w:pPr>
            <w:r>
              <w:rPr>
                <w:rFonts w:ascii="Times New Roman" w:hAnsi="Times New Roman"/>
                <w:color w:val="auto"/>
                <w:highlight w:val="none"/>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0471D18A">
            <w:pPr>
              <w:rPr>
                <w:rFonts w:ascii="Times New Roman" w:hAnsi="Times New Roman"/>
                <w:color w:val="auto"/>
                <w:highlight w:val="none"/>
              </w:rPr>
            </w:pPr>
            <w:r>
              <w:rPr>
                <w:rFonts w:ascii="Times New Roman" w:hAnsi="Times New Roman"/>
                <w:b/>
                <w:color w:val="auto"/>
                <w:szCs w:val="20"/>
                <w:highlight w:val="none"/>
              </w:rPr>
              <w:t>优：[10,8)；良：[8,6)；中：[6,4)；</w:t>
            </w:r>
            <w:r>
              <w:rPr>
                <w:rFonts w:ascii="Times New Roman" w:hAnsi="Times New Roman"/>
                <w:b/>
                <w:color w:val="auto"/>
                <w:szCs w:val="24"/>
                <w:highlight w:val="none"/>
              </w:rPr>
              <w:t>差：[4,0)，</w:t>
            </w:r>
            <w:r>
              <w:rPr>
                <w:rFonts w:ascii="Times New Roman" w:hAnsi="Times New Roman"/>
                <w:b/>
                <w:color w:val="auto"/>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33ECFD4">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0083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652031B">
            <w:pPr>
              <w:jc w:val="center"/>
              <w:rPr>
                <w:rFonts w:ascii="Times New Roman" w:hAnsi="Times New Roman"/>
                <w:bCs/>
                <w:color w:val="auto"/>
                <w:szCs w:val="21"/>
                <w:highlight w:val="none"/>
              </w:rPr>
            </w:pPr>
            <w:r>
              <w:rPr>
                <w:rFonts w:ascii="Times New Roman" w:hAnsi="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DC7AD94">
            <w:pPr>
              <w:jc w:val="center"/>
              <w:rPr>
                <w:rFonts w:ascii="Times New Roman" w:hAnsi="Times New Roman"/>
                <w:color w:val="auto"/>
                <w:highlight w:val="none"/>
              </w:rPr>
            </w:pPr>
            <w:r>
              <w:rPr>
                <w:rFonts w:ascii="Times New Roman" w:hAnsi="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AA8B3EC">
            <w:pPr>
              <w:jc w:val="center"/>
              <w:rPr>
                <w:rFonts w:ascii="Times New Roman" w:hAnsi="Times New Roman"/>
                <w:color w:val="auto"/>
                <w:highlight w:val="none"/>
              </w:rPr>
            </w:pPr>
            <w:r>
              <w:rPr>
                <w:rFonts w:ascii="Times New Roman" w:hAnsi="Times New Roman"/>
                <w:color w:val="auto"/>
                <w:highlight w:val="none"/>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E0247F3">
            <w:pPr>
              <w:rPr>
                <w:rFonts w:ascii="Times New Roman" w:hAnsi="Times New Roman"/>
                <w:color w:val="auto"/>
                <w:highlight w:val="none"/>
              </w:rPr>
            </w:pPr>
            <w:r>
              <w:rPr>
                <w:rFonts w:ascii="Times New Roman" w:hAnsi="Times New Roman"/>
                <w:color w:val="auto"/>
                <w:highlight w:val="none"/>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29F29BFF">
            <w:pPr>
              <w:rPr>
                <w:rFonts w:ascii="Times New Roman" w:hAnsi="Times New Roman"/>
                <w:color w:val="auto"/>
                <w:highlight w:val="none"/>
              </w:rPr>
            </w:pPr>
            <w:r>
              <w:rPr>
                <w:rFonts w:ascii="Times New Roman" w:hAnsi="Times New Roman"/>
                <w:b/>
                <w:color w:val="auto"/>
                <w:szCs w:val="20"/>
                <w:highlight w:val="none"/>
              </w:rPr>
              <w:t>优：[15,12)；良：[12,9)；中：[9,6)；</w:t>
            </w:r>
            <w:r>
              <w:rPr>
                <w:rFonts w:ascii="Times New Roman" w:hAnsi="Times New Roman"/>
                <w:b/>
                <w:color w:val="auto"/>
                <w:szCs w:val="24"/>
                <w:highlight w:val="none"/>
              </w:rPr>
              <w:t>差：[6,0)，</w:t>
            </w:r>
            <w:r>
              <w:rPr>
                <w:rFonts w:ascii="Times New Roman" w:hAnsi="Times New Roman"/>
                <w:b/>
                <w:color w:val="auto"/>
                <w:szCs w:val="20"/>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77F843AF">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3456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FF9F457">
            <w:pPr>
              <w:jc w:val="center"/>
              <w:rPr>
                <w:rFonts w:ascii="Times New Roman" w:hAnsi="Times New Roman"/>
                <w:bCs/>
                <w:color w:val="auto"/>
                <w:szCs w:val="21"/>
                <w:highlight w:val="none"/>
              </w:rPr>
            </w:pPr>
            <w:r>
              <w:rPr>
                <w:rFonts w:ascii="Times New Roman" w:hAnsi="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D4D32F4">
            <w:pPr>
              <w:tabs>
                <w:tab w:val="center" w:pos="583"/>
              </w:tabs>
              <w:jc w:val="center"/>
              <w:rPr>
                <w:rFonts w:ascii="Times New Roman" w:hAnsi="Times New Roman"/>
                <w:color w:val="auto"/>
                <w:highlight w:val="none"/>
              </w:rPr>
            </w:pPr>
            <w:r>
              <w:rPr>
                <w:rFonts w:ascii="Times New Roman" w:hAnsi="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AF9011A">
            <w:pPr>
              <w:jc w:val="center"/>
              <w:rPr>
                <w:rFonts w:ascii="Times New Roman" w:hAnsi="Times New Roman"/>
                <w:color w:val="auto"/>
                <w:highlight w:val="none"/>
              </w:rPr>
            </w:pPr>
            <w:r>
              <w:rPr>
                <w:rFonts w:ascii="Times New Roman" w:hAnsi="Times New Roman"/>
                <w:color w:val="auto"/>
                <w:highlight w:val="none"/>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3457FDD">
            <w:pPr>
              <w:rPr>
                <w:rFonts w:ascii="Times New Roman" w:hAnsi="Times New Roman"/>
                <w:color w:val="auto"/>
                <w:highlight w:val="none"/>
              </w:rPr>
            </w:pPr>
            <w:r>
              <w:rPr>
                <w:rFonts w:ascii="Times New Roman" w:hAnsi="Times New Roman"/>
                <w:color w:val="auto"/>
                <w:highlight w:val="none"/>
              </w:rPr>
              <w:t>需考虑与周边城中村改造项目已有户型的建设标准统一，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39D8EDD1">
            <w:pPr>
              <w:rPr>
                <w:rFonts w:ascii="Times New Roman" w:hAnsi="Times New Roman"/>
                <w:color w:val="auto"/>
                <w:highlight w:val="none"/>
              </w:rPr>
            </w:pPr>
            <w:r>
              <w:rPr>
                <w:rFonts w:ascii="Times New Roman" w:hAnsi="Times New Roman"/>
                <w:b/>
                <w:color w:val="auto"/>
                <w:highlight w:val="none"/>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1342432">
            <w:pPr>
              <w:widowControl/>
              <w:adjustRightInd w:val="0"/>
              <w:snapToGrid w:val="0"/>
              <w:spacing w:before="100" w:beforeAutospacing="1" w:after="100" w:afterAutospacing="1" w:line="360" w:lineRule="exact"/>
              <w:jc w:val="left"/>
              <w:rPr>
                <w:rFonts w:ascii="Times New Roman" w:hAnsi="Times New Roman"/>
                <w:color w:val="auto"/>
                <w:highlight w:val="none"/>
              </w:rPr>
            </w:pPr>
          </w:p>
        </w:tc>
      </w:tr>
      <w:tr w14:paraId="4DF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701A488">
            <w:pPr>
              <w:jc w:val="center"/>
              <w:rPr>
                <w:rFonts w:ascii="Times New Roman" w:hAnsi="Times New Roman"/>
                <w:bCs/>
                <w:color w:val="auto"/>
                <w:szCs w:val="21"/>
                <w:highlight w:val="none"/>
              </w:rPr>
            </w:pPr>
            <w:r>
              <w:rPr>
                <w:rFonts w:ascii="Times New Roman" w:hAnsi="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0CC5F96">
            <w:pPr>
              <w:jc w:val="center"/>
              <w:rPr>
                <w:rFonts w:ascii="Times New Roman" w:hAnsi="Times New Roman"/>
                <w:color w:val="auto"/>
                <w:highlight w:val="none"/>
              </w:rPr>
            </w:pPr>
            <w:r>
              <w:rPr>
                <w:rFonts w:ascii="Times New Roman" w:hAnsi="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21F91A4">
            <w:pPr>
              <w:widowControl/>
              <w:jc w:val="center"/>
              <w:rPr>
                <w:rFonts w:ascii="Times New Roman" w:hAnsi="Times New Roman"/>
                <w:color w:val="auto"/>
                <w:highlight w:val="none"/>
              </w:rPr>
            </w:pPr>
            <w:r>
              <w:rPr>
                <w:rFonts w:ascii="Times New Roman" w:hAnsi="Times New Roman"/>
                <w:color w:val="auto"/>
                <w:highlight w:val="none"/>
              </w:rPr>
              <w:t>3</w:t>
            </w:r>
            <w:r>
              <w:rPr>
                <w:rFonts w:ascii="Times New Roman" w:hAnsi="Times New Roman"/>
                <w:color w:val="auto"/>
                <w:highlight w:val="none"/>
                <w:lang w:val="zh-CN"/>
              </w:rPr>
              <w:t>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2D488F82">
            <w:pPr>
              <w:rPr>
                <w:rFonts w:ascii="Times New Roman" w:hAnsi="Times New Roman"/>
                <w:color w:val="auto"/>
                <w:highlight w:val="none"/>
              </w:rPr>
            </w:pPr>
            <w:r>
              <w:rPr>
                <w:rFonts w:ascii="Times New Roman" w:hAnsi="Times New Roman"/>
                <w:color w:val="auto"/>
                <w:highlight w:val="none"/>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610ECA0B">
            <w:pPr>
              <w:rPr>
                <w:rFonts w:ascii="Times New Roman" w:hAnsi="Times New Roman"/>
                <w:color w:val="auto"/>
                <w:highlight w:val="none"/>
              </w:rPr>
            </w:pPr>
            <w:r>
              <w:rPr>
                <w:rFonts w:ascii="Times New Roman" w:hAnsi="Times New Roman"/>
                <w:b/>
                <w:color w:val="auto"/>
                <w:highlight w:val="none"/>
              </w:rPr>
              <w:t>优：[30,24)；良：[24,18)；中：[18,12)；差：[12,0)，不提供则不得分。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01FE051">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302A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D9AC683">
            <w:pPr>
              <w:jc w:val="center"/>
              <w:rPr>
                <w:rFonts w:ascii="Times New Roman" w:hAnsi="Times New Roman"/>
                <w:bCs/>
                <w:color w:val="auto"/>
                <w:szCs w:val="21"/>
                <w:highlight w:val="none"/>
              </w:rPr>
            </w:pPr>
            <w:r>
              <w:rPr>
                <w:rFonts w:ascii="Times New Roman" w:hAnsi="Times New Roman"/>
                <w:color w:val="auto"/>
                <w:highlight w:val="none"/>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B4940F4">
            <w:pPr>
              <w:snapToGrid w:val="0"/>
              <w:jc w:val="center"/>
              <w:rPr>
                <w:rFonts w:ascii="Times New Roman" w:hAnsi="Times New Roman"/>
                <w:color w:val="auto"/>
                <w:highlight w:val="none"/>
              </w:rPr>
            </w:pPr>
            <w:r>
              <w:rPr>
                <w:rFonts w:ascii="Times New Roman" w:hAnsi="Times New Roman"/>
                <w:color w:val="auto"/>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B9F0C7D">
            <w:pPr>
              <w:jc w:val="center"/>
              <w:rPr>
                <w:rFonts w:ascii="Times New Roman" w:hAnsi="Times New Roman"/>
                <w:color w:val="auto"/>
                <w:highlight w:val="none"/>
              </w:rPr>
            </w:pPr>
            <w:r>
              <w:rPr>
                <w:rFonts w:ascii="Times New Roman" w:hAnsi="Times New Roman"/>
                <w:bCs/>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9DE0F10">
            <w:pPr>
              <w:rPr>
                <w:rFonts w:ascii="Times New Roman" w:hAnsi="Times New Roman"/>
                <w:color w:val="auto"/>
                <w:highlight w:val="none"/>
              </w:rPr>
            </w:pPr>
            <w:r>
              <w:rPr>
                <w:rFonts w:ascii="Times New Roman" w:hAnsi="Times New Roman"/>
                <w:color w:val="auto"/>
                <w:highlight w:val="none"/>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5EFDAE07">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26FACEC9">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7061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B3B03E7">
            <w:pPr>
              <w:jc w:val="center"/>
              <w:rPr>
                <w:rFonts w:ascii="Times New Roman" w:hAnsi="Times New Roman"/>
                <w:bCs/>
                <w:color w:val="auto"/>
                <w:szCs w:val="21"/>
                <w:highlight w:val="none"/>
              </w:rPr>
            </w:pPr>
            <w:r>
              <w:rPr>
                <w:rFonts w:ascii="Times New Roman" w:hAnsi="Times New Roman"/>
                <w:color w:val="auto"/>
                <w:highlight w:val="none"/>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33DEDDC">
            <w:pPr>
              <w:snapToGrid w:val="0"/>
              <w:jc w:val="center"/>
              <w:rPr>
                <w:rFonts w:ascii="Times New Roman" w:hAnsi="Times New Roman"/>
                <w:color w:val="auto"/>
                <w:highlight w:val="none"/>
              </w:rPr>
            </w:pPr>
            <w:r>
              <w:rPr>
                <w:rFonts w:ascii="Times New Roman" w:hAnsi="Times New Roman"/>
                <w:color w:val="auto"/>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5150CDE">
            <w:pPr>
              <w:jc w:val="center"/>
              <w:rPr>
                <w:rFonts w:ascii="Times New Roman" w:hAnsi="Times New Roman"/>
                <w:color w:val="auto"/>
                <w:highlight w:val="none"/>
              </w:rPr>
            </w:pPr>
            <w:r>
              <w:rPr>
                <w:rFonts w:ascii="Times New Roman" w:hAnsi="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B070F3D">
            <w:pPr>
              <w:rPr>
                <w:rFonts w:ascii="Times New Roman" w:hAnsi="Times New Roman"/>
                <w:b/>
                <w:color w:val="auto"/>
                <w:highlight w:val="none"/>
              </w:rPr>
            </w:pPr>
            <w:r>
              <w:rPr>
                <w:rFonts w:ascii="Times New Roman" w:hAnsi="Times New Roman"/>
                <w:color w:val="auto"/>
                <w:highlight w:val="none"/>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ascii="Times New Roman" w:hAnsi="Times New Roman"/>
                <w:b/>
                <w:color w:val="auto"/>
                <w:highlight w:val="none"/>
              </w:rPr>
              <w:t>。</w:t>
            </w:r>
          </w:p>
          <w:p w14:paraId="489BC521">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E4F89DD">
            <w:pPr>
              <w:widowControl/>
              <w:adjustRightInd w:val="0"/>
              <w:snapToGrid w:val="0"/>
              <w:spacing w:before="100" w:beforeAutospacing="1" w:after="100" w:afterAutospacing="1" w:line="360" w:lineRule="exact"/>
              <w:jc w:val="left"/>
              <w:rPr>
                <w:rFonts w:ascii="Times New Roman" w:hAnsi="Times New Roman"/>
                <w:color w:val="auto"/>
                <w:highlight w:val="none"/>
              </w:rPr>
            </w:pPr>
          </w:p>
        </w:tc>
      </w:tr>
      <w:tr w14:paraId="7199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6205A54">
            <w:pPr>
              <w:jc w:val="center"/>
              <w:rPr>
                <w:rFonts w:ascii="Times New Roman" w:hAnsi="Times New Roman"/>
                <w:bCs/>
                <w:color w:val="auto"/>
                <w:szCs w:val="21"/>
                <w:highlight w:val="none"/>
              </w:rPr>
            </w:pPr>
            <w:r>
              <w:rPr>
                <w:rFonts w:ascii="Times New Roman" w:hAnsi="Times New Roman"/>
                <w:color w:val="auto"/>
                <w:highlight w:val="none"/>
              </w:rPr>
              <w:t>8</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2974FDC">
            <w:pPr>
              <w:jc w:val="center"/>
              <w:rPr>
                <w:rFonts w:ascii="Times New Roman" w:hAnsi="Times New Roman"/>
                <w:color w:val="auto"/>
                <w:highlight w:val="none"/>
              </w:rPr>
            </w:pPr>
            <w:r>
              <w:rPr>
                <w:rFonts w:ascii="Times New Roman" w:hAnsi="Times New Roman"/>
                <w:color w:val="auto"/>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CBCE737">
            <w:pPr>
              <w:jc w:val="center"/>
              <w:rPr>
                <w:rFonts w:ascii="Times New Roman" w:hAnsi="Times New Roman"/>
                <w:color w:val="auto"/>
                <w:highlight w:val="none"/>
              </w:rPr>
            </w:pPr>
            <w:r>
              <w:rPr>
                <w:rFonts w:ascii="Times New Roman" w:hAnsi="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70A2E6F">
            <w:pPr>
              <w:rPr>
                <w:rFonts w:ascii="Times New Roman" w:hAnsi="Times New Roman"/>
                <w:color w:val="auto"/>
                <w:highlight w:val="none"/>
              </w:rPr>
            </w:pPr>
            <w:r>
              <w:rPr>
                <w:rFonts w:ascii="Times New Roman" w:hAnsi="Times New Roman"/>
                <w:color w:val="auto"/>
                <w:highlight w:val="none"/>
              </w:rPr>
              <w:t>提供对工程投资控制、造价控制的实施办法和措施，方案合理、切实可行；从构造到选材，从外立面优化到地下室深化，有较强的项目成本管控能力。</w:t>
            </w:r>
          </w:p>
          <w:p w14:paraId="5A5E0889">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C7885E7">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39EF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B78402A">
            <w:pPr>
              <w:jc w:val="center"/>
              <w:rPr>
                <w:rFonts w:ascii="Times New Roman" w:hAnsi="Times New Roman"/>
                <w:color w:val="auto"/>
                <w:szCs w:val="21"/>
                <w:highlight w:val="none"/>
              </w:rPr>
            </w:pPr>
            <w:r>
              <w:rPr>
                <w:rFonts w:ascii="Times New Roman" w:hAnsi="Times New Roman"/>
                <w:color w:val="auto"/>
                <w:highlight w:val="none"/>
              </w:rPr>
              <w:t>9</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0BE5236">
            <w:pPr>
              <w:jc w:val="center"/>
              <w:rPr>
                <w:rFonts w:ascii="Times New Roman" w:hAnsi="Times New Roman"/>
                <w:color w:val="auto"/>
                <w:highlight w:val="none"/>
              </w:rPr>
            </w:pPr>
            <w:r>
              <w:rPr>
                <w:rFonts w:ascii="Times New Roman" w:hAnsi="Times New Roman"/>
                <w:color w:val="auto"/>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DDF447F">
            <w:pPr>
              <w:jc w:val="center"/>
              <w:rPr>
                <w:rFonts w:ascii="Times New Roman" w:hAnsi="Times New Roman"/>
                <w:color w:val="auto"/>
                <w:highlight w:val="none"/>
              </w:rPr>
            </w:pPr>
            <w:r>
              <w:rPr>
                <w:rFonts w:ascii="Times New Roman" w:hAnsi="Times New Roman"/>
                <w:color w:val="auto"/>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75AD02DB">
            <w:pPr>
              <w:rPr>
                <w:rFonts w:ascii="Times New Roman" w:hAnsi="Times New Roman"/>
                <w:color w:val="auto"/>
                <w:highlight w:val="none"/>
              </w:rPr>
            </w:pPr>
            <w:r>
              <w:rPr>
                <w:rFonts w:ascii="Times New Roman" w:hAnsi="Times New Roman"/>
                <w:color w:val="auto"/>
                <w:highlight w:val="none"/>
              </w:rPr>
              <w:t>勘察的重点、难点理解及合理性建议；勘察工作流程，工期进度计划。技术支持度、跟踪服务能力，本地化服务的计划和实施承诺。</w:t>
            </w:r>
          </w:p>
          <w:p w14:paraId="527D0269">
            <w:pPr>
              <w:rPr>
                <w:rFonts w:ascii="Times New Roman" w:hAnsi="Times New Roman"/>
                <w:color w:val="auto"/>
                <w:highlight w:val="none"/>
              </w:rPr>
            </w:pPr>
            <w:r>
              <w:rPr>
                <w:rFonts w:ascii="Times New Roman" w:hAnsi="Times New Roman"/>
                <w:b/>
                <w:color w:val="auto"/>
                <w:highlight w:val="none"/>
              </w:rPr>
              <w:t>优：[5,4)；良：[4,3)；中：[3,2)；</w:t>
            </w:r>
            <w:r>
              <w:rPr>
                <w:rFonts w:ascii="Times New Roman" w:hAnsi="Times New Roman"/>
                <w:b/>
                <w:color w:val="auto"/>
                <w:szCs w:val="24"/>
                <w:highlight w:val="none"/>
              </w:rPr>
              <w:t>差：[2,0)，</w:t>
            </w:r>
            <w:r>
              <w:rPr>
                <w:rFonts w:ascii="Times New Roman" w:hAnsi="Times New Roman"/>
                <w:b/>
                <w:color w:val="auto"/>
                <w:highlight w:val="none"/>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ED754C6">
            <w:pPr>
              <w:pStyle w:val="37"/>
              <w:adjustRightInd w:val="0"/>
              <w:snapToGrid w:val="0"/>
              <w:spacing w:before="100" w:beforeAutospacing="1" w:after="100" w:afterAutospacing="1" w:line="360" w:lineRule="exact"/>
              <w:rPr>
                <w:rFonts w:ascii="Times New Roman" w:hAnsi="Times New Roman"/>
                <w:color w:val="auto"/>
                <w:highlight w:val="none"/>
              </w:rPr>
            </w:pPr>
          </w:p>
        </w:tc>
      </w:tr>
      <w:tr w14:paraId="061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4BE9534B">
            <w:pPr>
              <w:pStyle w:val="37"/>
              <w:adjustRightInd w:val="0"/>
              <w:snapToGrid w:val="0"/>
              <w:spacing w:before="100" w:beforeAutospacing="1" w:after="100" w:afterAutospacing="1" w:line="360" w:lineRule="exact"/>
              <w:rPr>
                <w:rFonts w:ascii="Times New Roman" w:hAnsi="Times New Roman"/>
                <w:color w:val="auto"/>
                <w:szCs w:val="21"/>
                <w:highlight w:val="none"/>
              </w:rPr>
            </w:pPr>
            <w:r>
              <w:rPr>
                <w:rFonts w:ascii="Times New Roman" w:hAnsi="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0C26E53A">
            <w:pPr>
              <w:pStyle w:val="37"/>
              <w:adjustRightInd w:val="0"/>
              <w:snapToGrid w:val="0"/>
              <w:spacing w:before="100" w:beforeAutospacing="1" w:after="100" w:afterAutospacing="1" w:line="360" w:lineRule="exact"/>
              <w:rPr>
                <w:rFonts w:ascii="Times New Roman" w:hAnsi="Times New Roman"/>
                <w:color w:val="auto"/>
                <w:highlight w:val="none"/>
              </w:rPr>
            </w:pPr>
            <w:r>
              <w:rPr>
                <w:rFonts w:ascii="Times New Roman" w:hAnsi="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41862BD3">
            <w:pPr>
              <w:pStyle w:val="37"/>
              <w:adjustRightInd w:val="0"/>
              <w:snapToGrid w:val="0"/>
              <w:spacing w:before="100" w:beforeAutospacing="1" w:after="100" w:afterAutospacing="1" w:line="360" w:lineRule="exact"/>
              <w:rPr>
                <w:rFonts w:ascii="Times New Roman" w:hAnsi="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33E952A7">
            <w:pPr>
              <w:pStyle w:val="37"/>
              <w:adjustRightInd w:val="0"/>
              <w:snapToGrid w:val="0"/>
              <w:spacing w:before="100" w:beforeAutospacing="1" w:after="100" w:afterAutospacing="1" w:line="360" w:lineRule="exact"/>
              <w:rPr>
                <w:rFonts w:ascii="Times New Roman" w:hAnsi="Times New Roman"/>
                <w:color w:val="auto"/>
                <w:highlight w:val="none"/>
              </w:rPr>
            </w:pPr>
          </w:p>
        </w:tc>
      </w:tr>
    </w:tbl>
    <w:p w14:paraId="31D78F73">
      <w:pPr>
        <w:pStyle w:val="2"/>
        <w:rPr>
          <w:rFonts w:hint="default" w:ascii="Times New Roman" w:hAnsi="Times New Roman" w:cs="Times New Roman"/>
          <w:b/>
          <w:color w:val="auto"/>
          <w:szCs w:val="24"/>
          <w:highlight w:val="none"/>
        </w:rPr>
      </w:pPr>
    </w:p>
    <w:p w14:paraId="2C7A00BD">
      <w:pPr>
        <w:pStyle w:val="15"/>
        <w:widowControl w:val="0"/>
        <w:spacing w:beforeAutospacing="0" w:afterAutospacing="0"/>
        <w:ind w:firstLine="480" w:firstLineChars="200"/>
        <w:jc w:val="both"/>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highlight w:val="none"/>
        </w:rPr>
        <w:t>注：表中“[ ]”代表闭区间，如[1，0]代表该分数段范围为大于等于0且小于等于1。表中“[  )”，如[1,0)代表该分数段范围为大于0且小于等于1。表中“（  ）”代表开区间，如（2，1）代表该分数段范围为大于1且小于2。</w:t>
      </w:r>
    </w:p>
    <w:bookmarkEnd w:id="161"/>
    <w:bookmarkEnd w:id="162"/>
    <w:p w14:paraId="142ED60E">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bookmarkEnd w:id="160"/>
    <w:p w14:paraId="2B362958">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3EDDC3C1">
      <w:pPr>
        <w:pStyle w:val="3"/>
        <w:widowControl/>
        <w:rPr>
          <w:rFonts w:ascii="Times New Roman" w:hAnsi="Times New Roman" w:cs="Times New Roman"/>
          <w:color w:val="auto"/>
          <w:sz w:val="21"/>
          <w:szCs w:val="21"/>
          <w:highlight w:val="none"/>
        </w:rPr>
      </w:pPr>
      <w:bookmarkStart w:id="163" w:name="_Toc8128"/>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032DFA4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95"/>
        <w:gridCol w:w="883"/>
        <w:gridCol w:w="850"/>
        <w:gridCol w:w="7587"/>
      </w:tblGrid>
      <w:tr w14:paraId="78E52B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595" w:type="dxa"/>
            <w:tcBorders>
              <w:bottom w:val="single" w:color="auto" w:sz="6" w:space="0"/>
              <w:right w:val="single" w:color="auto" w:sz="6" w:space="0"/>
            </w:tcBorders>
            <w:noWrap w:val="0"/>
            <w:vAlign w:val="center"/>
          </w:tcPr>
          <w:p w14:paraId="42BCA664">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序号</w:t>
            </w:r>
          </w:p>
        </w:tc>
        <w:tc>
          <w:tcPr>
            <w:tcW w:w="883" w:type="dxa"/>
            <w:tcBorders>
              <w:left w:val="single" w:color="auto" w:sz="6" w:space="0"/>
              <w:bottom w:val="single" w:color="auto" w:sz="6" w:space="0"/>
              <w:right w:val="single" w:color="auto" w:sz="6" w:space="0"/>
            </w:tcBorders>
            <w:noWrap w:val="0"/>
            <w:vAlign w:val="center"/>
          </w:tcPr>
          <w:p w14:paraId="5F7D0BA5">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项目</w:t>
            </w:r>
          </w:p>
        </w:tc>
        <w:tc>
          <w:tcPr>
            <w:tcW w:w="850" w:type="dxa"/>
            <w:tcBorders>
              <w:left w:val="single" w:color="auto" w:sz="6" w:space="0"/>
              <w:bottom w:val="single" w:color="auto" w:sz="6" w:space="0"/>
              <w:right w:val="single" w:color="auto" w:sz="6" w:space="0"/>
            </w:tcBorders>
            <w:noWrap w:val="0"/>
            <w:vAlign w:val="center"/>
          </w:tcPr>
          <w:p w14:paraId="6925153C">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分值分配</w:t>
            </w:r>
          </w:p>
        </w:tc>
        <w:tc>
          <w:tcPr>
            <w:tcW w:w="7587" w:type="dxa"/>
            <w:tcBorders>
              <w:left w:val="single" w:color="auto" w:sz="6" w:space="0"/>
              <w:bottom w:val="single" w:color="auto" w:sz="6" w:space="0"/>
              <w:right w:val="single" w:color="auto" w:sz="6" w:space="0"/>
            </w:tcBorders>
            <w:noWrap w:val="0"/>
            <w:vAlign w:val="center"/>
          </w:tcPr>
          <w:p w14:paraId="208627D6">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lang w:val="zh-CN"/>
              </w:rPr>
              <w:t>内容</w:t>
            </w:r>
          </w:p>
        </w:tc>
      </w:tr>
      <w:tr w14:paraId="22690B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595" w:type="dxa"/>
            <w:vMerge w:val="restart"/>
            <w:tcBorders>
              <w:top w:val="single" w:color="auto" w:sz="6" w:space="0"/>
              <w:right w:val="single" w:color="auto" w:sz="6" w:space="0"/>
            </w:tcBorders>
            <w:noWrap w:val="0"/>
            <w:vAlign w:val="center"/>
          </w:tcPr>
          <w:p w14:paraId="239BA551">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一</w:t>
            </w:r>
          </w:p>
        </w:tc>
        <w:tc>
          <w:tcPr>
            <w:tcW w:w="883" w:type="dxa"/>
            <w:vMerge w:val="restart"/>
            <w:tcBorders>
              <w:top w:val="single" w:color="auto" w:sz="6" w:space="0"/>
              <w:left w:val="single" w:color="auto" w:sz="6" w:space="0"/>
              <w:right w:val="single" w:color="auto" w:sz="6" w:space="0"/>
            </w:tcBorders>
            <w:noWrap w:val="0"/>
            <w:vAlign w:val="center"/>
          </w:tcPr>
          <w:p w14:paraId="2E21D023">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类似业绩（30分）</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22C1536A">
            <w:pPr>
              <w:pStyle w:val="41"/>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25</w:t>
            </w:r>
          </w:p>
        </w:tc>
        <w:tc>
          <w:tcPr>
            <w:tcW w:w="7587" w:type="dxa"/>
            <w:tcBorders>
              <w:top w:val="single" w:color="auto" w:sz="6" w:space="0"/>
              <w:left w:val="single" w:color="auto" w:sz="6" w:space="0"/>
              <w:right w:val="single" w:color="auto" w:sz="6" w:space="0"/>
            </w:tcBorders>
            <w:noWrap w:val="0"/>
            <w:vAlign w:val="top"/>
          </w:tcPr>
          <w:p w14:paraId="194F0CCF">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投标人（如为联合体投标，指联合体设计方）设计业绩情况：</w:t>
            </w:r>
          </w:p>
          <w:p w14:paraId="08ACD1BE">
            <w:pPr>
              <w:rPr>
                <w:rFonts w:ascii="Times New Roman" w:hAnsi="Times New Roman"/>
                <w:color w:val="auto"/>
                <w:szCs w:val="21"/>
                <w:highlight w:val="none"/>
              </w:rPr>
            </w:pPr>
            <w:r>
              <w:rPr>
                <w:rFonts w:ascii="Times New Roman" w:hAnsi="Times New Roman"/>
                <w:color w:val="auto"/>
                <w:szCs w:val="21"/>
                <w:highlight w:val="none"/>
              </w:rPr>
              <w:t>自2020年1月1日至投标截止为止，完成过总建筑面积</w:t>
            </w:r>
            <w:r>
              <w:rPr>
                <w:rFonts w:hint="eastAsia" w:ascii="Times New Roman" w:hAnsi="Times New Roman"/>
                <w:color w:val="auto"/>
                <w:szCs w:val="21"/>
                <w:highlight w:val="none"/>
              </w:rPr>
              <w:t>20</w:t>
            </w:r>
            <w:r>
              <w:rPr>
                <w:rFonts w:ascii="Times New Roman" w:hAnsi="Times New Roman"/>
                <w:color w:val="auto"/>
                <w:szCs w:val="21"/>
                <w:highlight w:val="none"/>
              </w:rPr>
              <w:t>万平方米或以上的房屋建筑工程设计业绩，每提供一个业绩得5分，本项最高得25分。</w:t>
            </w:r>
          </w:p>
          <w:p w14:paraId="6449A025">
            <w:pPr>
              <w:rPr>
                <w:rFonts w:ascii="Times New Roman" w:hAnsi="Times New Roman"/>
                <w:color w:val="auto"/>
                <w:szCs w:val="21"/>
                <w:highlight w:val="none"/>
              </w:rPr>
            </w:pPr>
            <w:r>
              <w:rPr>
                <w:rFonts w:ascii="Times New Roman" w:hAnsi="Times New Roman"/>
                <w:color w:val="auto"/>
                <w:szCs w:val="21"/>
                <w:highlight w:val="none"/>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1BDE10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595" w:type="dxa"/>
            <w:vMerge w:val="continue"/>
            <w:tcBorders>
              <w:top w:val="single" w:color="auto" w:sz="6" w:space="0"/>
              <w:right w:val="single" w:color="auto" w:sz="6" w:space="0"/>
            </w:tcBorders>
            <w:noWrap w:val="0"/>
            <w:vAlign w:val="center"/>
          </w:tcPr>
          <w:p w14:paraId="0B7CD44B">
            <w:pPr>
              <w:autoSpaceDE w:val="0"/>
              <w:autoSpaceDN w:val="0"/>
              <w:adjustRightInd w:val="0"/>
              <w:jc w:val="center"/>
              <w:rPr>
                <w:rFonts w:ascii="Times New Roman" w:hAnsi="Times New Roman"/>
                <w:color w:val="auto"/>
                <w:szCs w:val="21"/>
                <w:highlight w:val="none"/>
              </w:rPr>
            </w:pPr>
          </w:p>
        </w:tc>
        <w:tc>
          <w:tcPr>
            <w:tcW w:w="883" w:type="dxa"/>
            <w:vMerge w:val="continue"/>
            <w:tcBorders>
              <w:top w:val="single" w:color="auto" w:sz="6" w:space="0"/>
              <w:left w:val="single" w:color="auto" w:sz="6" w:space="0"/>
              <w:right w:val="single" w:color="auto" w:sz="6" w:space="0"/>
            </w:tcBorders>
            <w:noWrap w:val="0"/>
            <w:vAlign w:val="center"/>
          </w:tcPr>
          <w:p w14:paraId="3D7C2154">
            <w:pPr>
              <w:autoSpaceDE w:val="0"/>
              <w:autoSpaceDN w:val="0"/>
              <w:adjustRightInd w:val="0"/>
              <w:jc w:val="center"/>
              <w:rPr>
                <w:rFonts w:ascii="Times New Roman" w:hAnsi="Times New Roman"/>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9CC7FC4">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5</w:t>
            </w:r>
          </w:p>
        </w:tc>
        <w:tc>
          <w:tcPr>
            <w:tcW w:w="7587" w:type="dxa"/>
            <w:tcBorders>
              <w:top w:val="single" w:color="auto" w:sz="6" w:space="0"/>
              <w:left w:val="single" w:color="auto" w:sz="6" w:space="0"/>
              <w:right w:val="single" w:color="auto" w:sz="6" w:space="0"/>
            </w:tcBorders>
            <w:noWrap w:val="0"/>
            <w:vAlign w:val="center"/>
          </w:tcPr>
          <w:p w14:paraId="3C3850D6">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投标人（如为联合体投标，指联合体勘察方）勘察业绩情况：</w:t>
            </w:r>
          </w:p>
          <w:p w14:paraId="0F415D0D">
            <w:pPr>
              <w:rPr>
                <w:rFonts w:ascii="Times New Roman" w:hAnsi="Times New Roman"/>
                <w:color w:val="auto"/>
                <w:szCs w:val="21"/>
                <w:highlight w:val="none"/>
              </w:rPr>
            </w:pPr>
            <w:r>
              <w:rPr>
                <w:rFonts w:ascii="Times New Roman" w:hAnsi="Times New Roman"/>
                <w:color w:val="auto"/>
                <w:szCs w:val="21"/>
                <w:highlight w:val="none"/>
              </w:rPr>
              <w:t>自2020年1月1日至投标截止为止，完成过总建筑面积</w:t>
            </w:r>
            <w:r>
              <w:rPr>
                <w:rFonts w:hint="eastAsia" w:ascii="Times New Roman" w:hAnsi="Times New Roman"/>
                <w:color w:val="auto"/>
                <w:szCs w:val="21"/>
                <w:highlight w:val="none"/>
              </w:rPr>
              <w:t>20</w:t>
            </w:r>
            <w:r>
              <w:rPr>
                <w:rFonts w:ascii="Times New Roman" w:hAnsi="Times New Roman"/>
                <w:color w:val="auto"/>
                <w:szCs w:val="21"/>
                <w:highlight w:val="none"/>
              </w:rPr>
              <w:t>万平方米或以上的房屋建筑工程勘察业绩，每提供一个业绩得2.5分，本项最高得5分。</w:t>
            </w:r>
          </w:p>
          <w:p w14:paraId="34070E11">
            <w:pPr>
              <w:rPr>
                <w:rFonts w:ascii="Times New Roman" w:hAnsi="Times New Roman"/>
                <w:color w:val="auto"/>
                <w:szCs w:val="21"/>
                <w:highlight w:val="none"/>
              </w:rPr>
            </w:pPr>
            <w:r>
              <w:rPr>
                <w:rFonts w:ascii="Times New Roman" w:hAnsi="Times New Roman"/>
                <w:color w:val="auto"/>
                <w:highlight w:val="none"/>
              </w:rPr>
              <w:t>注：须提供</w:t>
            </w:r>
            <w:r>
              <w:rPr>
                <w:rFonts w:ascii="Times New Roman" w:hAnsi="Times New Roman"/>
                <w:color w:val="auto"/>
                <w:szCs w:val="21"/>
                <w:highlight w:val="none"/>
              </w:rPr>
              <w:t>合同</w:t>
            </w:r>
            <w:r>
              <w:rPr>
                <w:rFonts w:ascii="Times New Roman" w:hAnsi="Times New Roman"/>
                <w:color w:val="auto"/>
                <w:highlight w:val="none"/>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0A41BA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595" w:type="dxa"/>
            <w:vMerge w:val="restart"/>
            <w:tcBorders>
              <w:top w:val="single" w:color="auto" w:sz="6" w:space="0"/>
              <w:right w:val="single" w:color="auto" w:sz="6" w:space="0"/>
            </w:tcBorders>
            <w:noWrap w:val="0"/>
            <w:vAlign w:val="center"/>
          </w:tcPr>
          <w:p w14:paraId="79A1CFF3">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二</w:t>
            </w:r>
          </w:p>
        </w:tc>
        <w:tc>
          <w:tcPr>
            <w:tcW w:w="883" w:type="dxa"/>
            <w:vMerge w:val="restart"/>
            <w:tcBorders>
              <w:top w:val="single" w:color="auto" w:sz="6" w:space="0"/>
              <w:left w:val="single" w:color="auto" w:sz="6" w:space="0"/>
              <w:right w:val="single" w:color="auto" w:sz="6" w:space="0"/>
            </w:tcBorders>
            <w:noWrap w:val="0"/>
            <w:vAlign w:val="center"/>
          </w:tcPr>
          <w:p w14:paraId="22C79399">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企业获奖及科技创新（</w:t>
            </w:r>
            <w:r>
              <w:rPr>
                <w:rFonts w:ascii="Times New Roman" w:hAnsi="Times New Roman"/>
                <w:color w:val="auto"/>
                <w:szCs w:val="21"/>
                <w:highlight w:val="none"/>
              </w:rPr>
              <w:t>30</w:t>
            </w:r>
            <w:r>
              <w:rPr>
                <w:rFonts w:ascii="Times New Roman" w:hAnsi="Times New Roman"/>
                <w:color w:val="auto"/>
                <w:szCs w:val="21"/>
                <w:highlight w:val="none"/>
                <w:lang w:val="zh-CN"/>
              </w:rPr>
              <w:t>分）</w:t>
            </w:r>
          </w:p>
        </w:tc>
        <w:tc>
          <w:tcPr>
            <w:tcW w:w="850" w:type="dxa"/>
            <w:vMerge w:val="restart"/>
            <w:tcBorders>
              <w:top w:val="single" w:color="auto" w:sz="6" w:space="0"/>
              <w:left w:val="single" w:color="auto" w:sz="6" w:space="0"/>
              <w:right w:val="single" w:color="auto" w:sz="6" w:space="0"/>
            </w:tcBorders>
            <w:noWrap w:val="0"/>
            <w:vAlign w:val="center"/>
          </w:tcPr>
          <w:p w14:paraId="0FAE7E6F">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30</w:t>
            </w:r>
          </w:p>
        </w:tc>
        <w:tc>
          <w:tcPr>
            <w:tcW w:w="7587" w:type="dxa"/>
            <w:tcBorders>
              <w:top w:val="single" w:color="auto" w:sz="6" w:space="0"/>
              <w:left w:val="single" w:color="auto" w:sz="6" w:space="0"/>
              <w:right w:val="single" w:color="auto" w:sz="6" w:space="0"/>
            </w:tcBorders>
            <w:noWrap w:val="0"/>
            <w:vAlign w:val="top"/>
          </w:tcPr>
          <w:p w14:paraId="15A7B933">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投标人（如为联合体投标，指联合体设计方）设计类获奖情况：</w:t>
            </w:r>
          </w:p>
          <w:p w14:paraId="2C076DE1">
            <w:pPr>
              <w:rPr>
                <w:rFonts w:ascii="Times New Roman" w:hAnsi="Times New Roman"/>
                <w:color w:val="auto"/>
                <w:szCs w:val="21"/>
                <w:highlight w:val="none"/>
              </w:rPr>
            </w:pPr>
            <w:r>
              <w:rPr>
                <w:rFonts w:ascii="Times New Roman" w:hAnsi="Times New Roman"/>
                <w:color w:val="auto"/>
                <w:szCs w:val="21"/>
                <w:highlight w:val="none"/>
              </w:rPr>
              <w:t>自2020年1月1日至投标截止为止，承接的房屋建筑工程设计项目获得设计类奖项：获得国家级（或行业级）奖项，每项得5分；获得省级奖项，每项得4分；获得市级（含副省级）奖项，每项得3分。本项累计最高得15分。</w:t>
            </w:r>
          </w:p>
          <w:p w14:paraId="2053F8C8">
            <w:pPr>
              <w:rPr>
                <w:rFonts w:ascii="Times New Roman" w:hAnsi="Times New Roman" w:eastAsia="等线"/>
                <w:color w:val="auto"/>
                <w:highlight w:val="none"/>
              </w:rPr>
            </w:pPr>
            <w:r>
              <w:rPr>
                <w:rFonts w:ascii="Times New Roman" w:hAnsi="Times New Roman"/>
                <w:color w:val="auto"/>
                <w:szCs w:val="21"/>
                <w:highlight w:val="none"/>
              </w:rPr>
              <w:t>注：须</w:t>
            </w:r>
            <w:r>
              <w:rPr>
                <w:rFonts w:ascii="Times New Roman" w:hAnsi="Times New Roman"/>
                <w:color w:val="auto"/>
                <w:highlight w:val="none"/>
              </w:rPr>
              <w:t>提供</w:t>
            </w:r>
            <w:r>
              <w:rPr>
                <w:rFonts w:ascii="Times New Roman" w:hAnsi="Times New Roman"/>
                <w:color w:val="auto"/>
                <w:szCs w:val="21"/>
                <w:highlight w:val="none"/>
              </w:rPr>
              <w:t>获奖证书扫描件。（1）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2）省级奖项由省级（或直辖市）人民政府颁发的“省（或直辖市）科学技术奖”、省级（或直辖市）建设行政主管部门或省级（或直辖市）工程勘察设计行业协会颁发的“省（或直辖市）优秀工程勘察设计奖”；（3）市级(含副省级)奖项由市级（含副省级）人民政府颁发的“市（含副省级）科学技术奖”、市级(含副省级)建设行政主管部门或市级(含副省级)工程勘察设计行业协会颁发的“市(含副省级)优秀工程勘察设计奖”。（4）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5）获奖时间以获奖证书的发证日期为准，同一项目获得多个设计奖项的，按最高级别奖项只计一次得分，不重复计取。若同一项目勘察和设计均获奖，则分别按勘察和设计的最高奖项各计取1次。（6）不符合上述条件或未提供相关证明材料的不得分。</w:t>
            </w:r>
          </w:p>
        </w:tc>
      </w:tr>
      <w:tr w14:paraId="741257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2" w:hRule="atLeast"/>
          <w:jc w:val="center"/>
        </w:trPr>
        <w:tc>
          <w:tcPr>
            <w:tcW w:w="595" w:type="dxa"/>
            <w:vMerge w:val="continue"/>
            <w:tcBorders>
              <w:right w:val="single" w:color="auto" w:sz="6" w:space="0"/>
            </w:tcBorders>
            <w:noWrap w:val="0"/>
            <w:vAlign w:val="center"/>
          </w:tcPr>
          <w:p w14:paraId="0EFE3586">
            <w:pPr>
              <w:rPr>
                <w:rFonts w:ascii="Times New Roman" w:hAnsi="Times New Roman"/>
                <w:color w:val="auto"/>
                <w:highlight w:val="none"/>
              </w:rPr>
            </w:pPr>
          </w:p>
        </w:tc>
        <w:tc>
          <w:tcPr>
            <w:tcW w:w="883" w:type="dxa"/>
            <w:vMerge w:val="continue"/>
            <w:tcBorders>
              <w:left w:val="single" w:color="auto" w:sz="6" w:space="0"/>
              <w:right w:val="single" w:color="auto" w:sz="6" w:space="0"/>
            </w:tcBorders>
            <w:noWrap w:val="0"/>
            <w:vAlign w:val="center"/>
          </w:tcPr>
          <w:p w14:paraId="76A57198">
            <w:pPr>
              <w:rPr>
                <w:rFonts w:ascii="Times New Roman" w:hAnsi="Times New Roman"/>
                <w:color w:val="auto"/>
                <w:highlight w:val="none"/>
              </w:rPr>
            </w:pPr>
          </w:p>
        </w:tc>
        <w:tc>
          <w:tcPr>
            <w:tcW w:w="850" w:type="dxa"/>
            <w:vMerge w:val="continue"/>
            <w:tcBorders>
              <w:left w:val="single" w:color="auto" w:sz="6" w:space="0"/>
              <w:right w:val="single" w:color="auto" w:sz="6" w:space="0"/>
            </w:tcBorders>
            <w:noWrap w:val="0"/>
            <w:vAlign w:val="center"/>
          </w:tcPr>
          <w:p w14:paraId="55C26094">
            <w:pPr>
              <w:rPr>
                <w:rFonts w:ascii="Times New Roman" w:hAnsi="Times New Roman"/>
                <w:color w:val="auto"/>
                <w:highlight w:val="none"/>
              </w:rPr>
            </w:pPr>
          </w:p>
        </w:tc>
        <w:tc>
          <w:tcPr>
            <w:tcW w:w="7587" w:type="dxa"/>
            <w:tcBorders>
              <w:top w:val="single" w:color="auto" w:sz="6" w:space="0"/>
              <w:left w:val="single" w:color="auto" w:sz="6" w:space="0"/>
              <w:right w:val="single" w:color="auto" w:sz="6" w:space="0"/>
            </w:tcBorders>
            <w:noWrap w:val="0"/>
            <w:vAlign w:val="top"/>
          </w:tcPr>
          <w:p w14:paraId="1D496C02">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投标人（如为联合体投标，指联合体设计方）BIM类获奖情况：</w:t>
            </w:r>
          </w:p>
          <w:p w14:paraId="4A274B16">
            <w:pPr>
              <w:rPr>
                <w:rFonts w:ascii="Times New Roman" w:hAnsi="Times New Roman"/>
                <w:color w:val="auto"/>
                <w:szCs w:val="21"/>
                <w:highlight w:val="none"/>
              </w:rPr>
            </w:pPr>
            <w:r>
              <w:rPr>
                <w:rFonts w:ascii="Times New Roman" w:hAnsi="Times New Roman"/>
                <w:color w:val="auto"/>
                <w:szCs w:val="21"/>
                <w:highlight w:val="none"/>
              </w:rPr>
              <w:t>自2020年1月1日至投标截止为止，承接的房屋建筑工程设计项目获得建筑工程类BIM应用项目奖项：获得国家级奖项，每项得5分；获得省级奖项，每项得4分；获得市级（含副省级）奖项，每项得3分。本项累计最高得15分。</w:t>
            </w:r>
          </w:p>
          <w:p w14:paraId="6ADC54AD">
            <w:pPr>
              <w:rPr>
                <w:rFonts w:ascii="Times New Roman" w:hAnsi="Times New Roman" w:eastAsia="等线"/>
                <w:color w:val="auto"/>
                <w:highlight w:val="none"/>
              </w:rPr>
            </w:pPr>
            <w:r>
              <w:rPr>
                <w:rFonts w:ascii="Times New Roman" w:hAnsi="Times New Roman"/>
                <w:color w:val="auto"/>
                <w:szCs w:val="21"/>
                <w:highlight w:val="none"/>
              </w:rPr>
              <w:t>注：须提供获奖证书扫描件。（1）国家级获奖包括但不限于由中国勘察设计协会主办的“创新杯”建筑模型（BIM）应用大赛、中国图学学会主办的“龙图杯”全国BIM（建筑信息模型）大赛、中国建筑业协会颁发的BIM项目奖项、中国建筑业协会颁发的中国建设工程BIM大赛奖、中国施工企业管理协会颁发的工程建设行业BIM大赛奖、国家工业和信息化部人才交流中心颁发的“优路杯”全国BIM技术大赛奖、中国建筑装饰协会工业和信息化分会颁发的CBDA建筑装饰BIM应用大赛奖、中国信息协会颁发的建筑信息模型赛项(BIM)技术应用大赛奖、中国建筑装饰协会绿色智慧建造分会颁发的“优智杯”智慧建造应用大赛奖等；（2）省级、市级（含副省级）奖项是指各省、市（含副省级）</w:t>
            </w:r>
            <w:r>
              <w:rPr>
                <w:rFonts w:ascii="Times New Roman" w:hAnsi="Times New Roman"/>
                <w:color w:val="auto"/>
                <w:szCs w:val="21"/>
                <w:highlight w:val="none"/>
                <w:shd w:val="clear" w:color="auto" w:fill="FFFFFF"/>
              </w:rPr>
              <w:t>建设行政主管部门或</w:t>
            </w:r>
            <w:r>
              <w:rPr>
                <w:rFonts w:ascii="Times New Roman" w:hAnsi="Times New Roman"/>
                <w:color w:val="auto"/>
                <w:szCs w:val="21"/>
                <w:highlight w:val="none"/>
              </w:rPr>
              <w:t>工程勘察设计行业类协会颁发的BIM项目奖项。（3）获奖时间以获奖证书的发证日期为准，同一项目获得多个BIM奖项的，按最高级别奖项只计一次得分，不重复计取。（4）不符合上述条件或未提供相关证明材料的不得分。</w:t>
            </w:r>
          </w:p>
        </w:tc>
      </w:tr>
      <w:tr w14:paraId="24BF2C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595" w:type="dxa"/>
            <w:tcBorders>
              <w:top w:val="single" w:color="auto" w:sz="6" w:space="0"/>
              <w:right w:val="single" w:color="auto" w:sz="6" w:space="0"/>
            </w:tcBorders>
            <w:noWrap w:val="0"/>
            <w:vAlign w:val="center"/>
          </w:tcPr>
          <w:p w14:paraId="4A4AB459">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三</w:t>
            </w:r>
          </w:p>
        </w:tc>
        <w:tc>
          <w:tcPr>
            <w:tcW w:w="883" w:type="dxa"/>
            <w:tcBorders>
              <w:top w:val="single" w:color="auto" w:sz="6" w:space="0"/>
              <w:left w:val="single" w:color="auto" w:sz="6" w:space="0"/>
              <w:right w:val="single" w:color="auto" w:sz="6" w:space="0"/>
            </w:tcBorders>
            <w:noWrap w:val="0"/>
            <w:vAlign w:val="center"/>
          </w:tcPr>
          <w:p w14:paraId="2F9D46C1">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拟派项目负责人</w:t>
            </w:r>
            <w:r>
              <w:rPr>
                <w:rFonts w:hint="eastAsia" w:ascii="Times New Roman" w:hAnsi="Times New Roman"/>
                <w:color w:val="auto"/>
                <w:szCs w:val="21"/>
                <w:highlight w:val="none"/>
              </w:rPr>
              <w:t>注册</w:t>
            </w:r>
            <w:r>
              <w:rPr>
                <w:rFonts w:ascii="Times New Roman" w:hAnsi="Times New Roman"/>
                <w:color w:val="auto"/>
                <w:szCs w:val="21"/>
                <w:highlight w:val="none"/>
              </w:rPr>
              <w:t>执业资格</w:t>
            </w:r>
          </w:p>
          <w:p w14:paraId="1B966FCF">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4</w:t>
            </w:r>
            <w:r>
              <w:rPr>
                <w:rFonts w:ascii="Times New Roman" w:hAnsi="Times New Roman"/>
                <w:color w:val="auto"/>
                <w:szCs w:val="21"/>
                <w:highlight w:val="none"/>
              </w:rPr>
              <w:t>分）</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16560822">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4</w:t>
            </w:r>
          </w:p>
        </w:tc>
        <w:tc>
          <w:tcPr>
            <w:tcW w:w="7587" w:type="dxa"/>
            <w:tcBorders>
              <w:top w:val="single" w:color="auto" w:sz="6" w:space="0"/>
              <w:left w:val="single" w:color="auto" w:sz="6" w:space="0"/>
              <w:right w:val="single" w:color="auto" w:sz="6" w:space="0"/>
            </w:tcBorders>
            <w:noWrap w:val="0"/>
            <w:vAlign w:val="center"/>
          </w:tcPr>
          <w:p w14:paraId="472B676C">
            <w:pPr>
              <w:rPr>
                <w:color w:val="auto"/>
                <w:highlight w:val="none"/>
              </w:rPr>
            </w:pPr>
            <w:r>
              <w:rPr>
                <w:color w:val="auto"/>
                <w:highlight w:val="none"/>
              </w:rPr>
              <w:t>投标人（如为联合体投标，指联合体设计方）：</w:t>
            </w:r>
          </w:p>
          <w:p w14:paraId="2692B621">
            <w:pPr>
              <w:rPr>
                <w:color w:val="auto"/>
                <w:highlight w:val="none"/>
              </w:rPr>
            </w:pPr>
            <w:r>
              <w:rPr>
                <w:color w:val="auto"/>
                <w:highlight w:val="none"/>
              </w:rPr>
              <w:t>1.拟派项目负责人具有</w:t>
            </w:r>
            <w:r>
              <w:rPr>
                <w:rFonts w:hint="eastAsia"/>
                <w:color w:val="auto"/>
                <w:highlight w:val="none"/>
              </w:rPr>
              <w:t>20</w:t>
            </w:r>
            <w:r>
              <w:rPr>
                <w:color w:val="auto"/>
                <w:highlight w:val="none"/>
              </w:rPr>
              <w:t>年或以上工作经历的，得</w:t>
            </w:r>
            <w:r>
              <w:rPr>
                <w:rFonts w:hint="eastAsia"/>
                <w:color w:val="auto"/>
                <w:highlight w:val="none"/>
              </w:rPr>
              <w:t>8</w:t>
            </w:r>
            <w:r>
              <w:rPr>
                <w:color w:val="auto"/>
                <w:highlight w:val="none"/>
              </w:rPr>
              <w:t>分；具有1</w:t>
            </w:r>
            <w:r>
              <w:rPr>
                <w:rFonts w:hint="eastAsia"/>
                <w:color w:val="auto"/>
                <w:highlight w:val="none"/>
              </w:rPr>
              <w:t>0</w:t>
            </w:r>
            <w:r>
              <w:rPr>
                <w:color w:val="auto"/>
                <w:highlight w:val="none"/>
              </w:rPr>
              <w:t>-1</w:t>
            </w:r>
            <w:r>
              <w:rPr>
                <w:rFonts w:hint="eastAsia"/>
                <w:color w:val="auto"/>
                <w:highlight w:val="none"/>
              </w:rPr>
              <w:t>9</w:t>
            </w:r>
            <w:r>
              <w:rPr>
                <w:color w:val="auto"/>
                <w:highlight w:val="none"/>
              </w:rPr>
              <w:t>年工作经历的，得</w:t>
            </w:r>
            <w:r>
              <w:rPr>
                <w:rFonts w:hint="eastAsia"/>
                <w:color w:val="auto"/>
                <w:highlight w:val="none"/>
              </w:rPr>
              <w:t>4</w:t>
            </w:r>
            <w:r>
              <w:rPr>
                <w:color w:val="auto"/>
                <w:highlight w:val="none"/>
              </w:rPr>
              <w:t>分；具有0-9年工作经历的，得</w:t>
            </w:r>
            <w:r>
              <w:rPr>
                <w:rFonts w:hint="eastAsia"/>
                <w:color w:val="auto"/>
                <w:highlight w:val="none"/>
              </w:rPr>
              <w:t>2</w:t>
            </w:r>
            <w:r>
              <w:rPr>
                <w:color w:val="auto"/>
                <w:highlight w:val="none"/>
              </w:rPr>
              <w:t>分。本小项最高得</w:t>
            </w:r>
            <w:r>
              <w:rPr>
                <w:rFonts w:hint="eastAsia"/>
                <w:color w:val="auto"/>
                <w:highlight w:val="none"/>
              </w:rPr>
              <w:t>8</w:t>
            </w:r>
            <w:r>
              <w:rPr>
                <w:color w:val="auto"/>
                <w:highlight w:val="none"/>
              </w:rPr>
              <w:t>分。（工作经历以大专或以上学历的毕业证的时间开始计算）</w:t>
            </w:r>
          </w:p>
          <w:p w14:paraId="54CB81B4">
            <w:pPr>
              <w:rPr>
                <w:color w:val="auto"/>
                <w:highlight w:val="none"/>
              </w:rPr>
            </w:pPr>
            <w:r>
              <w:rPr>
                <w:color w:val="auto"/>
                <w:highlight w:val="none"/>
              </w:rPr>
              <w:t>2.自2020年1月1日至投标截止时间止担任项目负责人（或设计负责人）主持过总建筑面积</w:t>
            </w:r>
            <w:r>
              <w:rPr>
                <w:rFonts w:hint="eastAsia"/>
                <w:color w:val="auto"/>
                <w:highlight w:val="none"/>
              </w:rPr>
              <w:t>20</w:t>
            </w:r>
            <w:r>
              <w:rPr>
                <w:color w:val="auto"/>
                <w:highlight w:val="none"/>
              </w:rPr>
              <w:t>万平方米或以上的房屋建筑工程设计业绩的，每项得</w:t>
            </w:r>
            <w:r>
              <w:rPr>
                <w:rFonts w:hint="eastAsia"/>
                <w:color w:val="auto"/>
                <w:highlight w:val="none"/>
              </w:rPr>
              <w:t>6</w:t>
            </w:r>
            <w:r>
              <w:rPr>
                <w:color w:val="auto"/>
                <w:highlight w:val="none"/>
              </w:rPr>
              <w:t>分，本小项最高得</w:t>
            </w:r>
            <w:r>
              <w:rPr>
                <w:rFonts w:hint="eastAsia"/>
                <w:color w:val="auto"/>
                <w:highlight w:val="none"/>
              </w:rPr>
              <w:t>6</w:t>
            </w:r>
            <w:r>
              <w:rPr>
                <w:color w:val="auto"/>
                <w:highlight w:val="none"/>
              </w:rPr>
              <w:t>分。</w:t>
            </w:r>
          </w:p>
          <w:p w14:paraId="0A527709">
            <w:pPr>
              <w:rPr>
                <w:color w:val="auto"/>
                <w:highlight w:val="none"/>
              </w:rPr>
            </w:pPr>
            <w:r>
              <w:rPr>
                <w:color w:val="auto"/>
                <w:highlight w:val="none"/>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w:t>
            </w:r>
            <w:r>
              <w:rPr>
                <w:rFonts w:hint="eastAsia"/>
                <w:color w:val="auto"/>
                <w:highlight w:val="none"/>
              </w:rPr>
              <w:t>即扣除招标公告发布当月前一个月</w:t>
            </w:r>
            <w:r>
              <w:rPr>
                <w:color w:val="auto"/>
                <w:highlight w:val="none"/>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p>
          <w:p w14:paraId="48E69AED">
            <w:pPr>
              <w:rPr>
                <w:rFonts w:hint="eastAsia"/>
                <w:color w:val="auto"/>
                <w:highlight w:val="none"/>
              </w:rPr>
            </w:pPr>
            <w:r>
              <w:rPr>
                <w:color w:val="auto"/>
                <w:highlight w:val="none"/>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0FD15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8" w:hRule="atLeast"/>
          <w:jc w:val="center"/>
        </w:trPr>
        <w:tc>
          <w:tcPr>
            <w:tcW w:w="595" w:type="dxa"/>
            <w:tcBorders>
              <w:top w:val="single" w:color="auto" w:sz="6" w:space="0"/>
              <w:right w:val="single" w:color="auto" w:sz="6" w:space="0"/>
            </w:tcBorders>
            <w:noWrap w:val="0"/>
            <w:vAlign w:val="center"/>
          </w:tcPr>
          <w:p w14:paraId="3F8E5B35">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四</w:t>
            </w:r>
          </w:p>
        </w:tc>
        <w:tc>
          <w:tcPr>
            <w:tcW w:w="883" w:type="dxa"/>
            <w:tcBorders>
              <w:top w:val="single" w:color="auto" w:sz="6" w:space="0"/>
              <w:left w:val="single" w:color="auto" w:sz="6" w:space="0"/>
              <w:right w:val="single" w:color="auto" w:sz="6" w:space="0"/>
            </w:tcBorders>
            <w:noWrap w:val="0"/>
            <w:vAlign w:val="center"/>
          </w:tcPr>
          <w:p w14:paraId="3AB2FE13">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项目团队人员配备及技术水平（</w:t>
            </w:r>
            <w:r>
              <w:rPr>
                <w:rFonts w:hint="eastAsia" w:ascii="Times New Roman" w:hAnsi="Times New Roman"/>
                <w:color w:val="auto"/>
                <w:szCs w:val="21"/>
                <w:highlight w:val="none"/>
              </w:rPr>
              <w:t>17</w:t>
            </w:r>
            <w:r>
              <w:rPr>
                <w:rFonts w:ascii="Times New Roman" w:hAnsi="Times New Roman"/>
                <w:color w:val="auto"/>
                <w:szCs w:val="21"/>
                <w:highlight w:val="none"/>
              </w:rPr>
              <w:t>分）</w:t>
            </w:r>
          </w:p>
        </w:tc>
        <w:tc>
          <w:tcPr>
            <w:tcW w:w="850" w:type="dxa"/>
            <w:tcBorders>
              <w:top w:val="single" w:color="auto" w:sz="6" w:space="0"/>
              <w:left w:val="single" w:color="auto" w:sz="6" w:space="0"/>
              <w:right w:val="single" w:color="auto" w:sz="6" w:space="0"/>
            </w:tcBorders>
            <w:noWrap w:val="0"/>
            <w:vAlign w:val="center"/>
          </w:tcPr>
          <w:p w14:paraId="4BEA0162">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17</w:t>
            </w:r>
          </w:p>
        </w:tc>
        <w:tc>
          <w:tcPr>
            <w:tcW w:w="7587" w:type="dxa"/>
            <w:tcBorders>
              <w:top w:val="single" w:color="auto" w:sz="6" w:space="0"/>
              <w:left w:val="single" w:color="auto" w:sz="6" w:space="0"/>
              <w:bottom w:val="single" w:color="auto" w:sz="6" w:space="0"/>
              <w:right w:val="single" w:color="auto" w:sz="6" w:space="0"/>
            </w:tcBorders>
            <w:noWrap w:val="0"/>
            <w:vAlign w:val="center"/>
          </w:tcPr>
          <w:p w14:paraId="73D79787">
            <w:pPr>
              <w:rPr>
                <w:rFonts w:ascii="Times New Roman" w:hAnsi="Times New Roman"/>
                <w:color w:val="auto"/>
                <w:szCs w:val="21"/>
                <w:highlight w:val="none"/>
              </w:rPr>
            </w:pPr>
            <w:r>
              <w:rPr>
                <w:rFonts w:ascii="Times New Roman" w:hAnsi="Times New Roman"/>
                <w:color w:val="auto"/>
                <w:szCs w:val="21"/>
                <w:highlight w:val="none"/>
              </w:rPr>
              <w:t>拟派团队人员的技术水平：</w:t>
            </w:r>
          </w:p>
          <w:p w14:paraId="6C7CD9EF">
            <w:pPr>
              <w:rPr>
                <w:rFonts w:ascii="Times New Roman" w:hAnsi="Times New Roman"/>
                <w:color w:val="auto"/>
                <w:szCs w:val="21"/>
                <w:highlight w:val="none"/>
              </w:rPr>
            </w:pPr>
            <w:r>
              <w:rPr>
                <w:rFonts w:ascii="Times New Roman" w:hAnsi="Times New Roman"/>
                <w:color w:val="auto"/>
                <w:szCs w:val="21"/>
                <w:highlight w:val="none"/>
              </w:rPr>
              <w:t>(1)拟派团队人员满足《勘察初步设计服务人员配备要求表》要求的，得3分，不满足要求的不得分。</w:t>
            </w:r>
          </w:p>
          <w:p w14:paraId="3446CC0E">
            <w:pPr>
              <w:rPr>
                <w:rFonts w:ascii="Times New Roman" w:hAnsi="Times New Roman"/>
                <w:color w:val="auto"/>
                <w:szCs w:val="21"/>
                <w:highlight w:val="none"/>
              </w:rPr>
            </w:pPr>
            <w:r>
              <w:rPr>
                <w:rFonts w:ascii="Times New Roman" w:hAnsi="Times New Roman"/>
                <w:color w:val="auto"/>
                <w:szCs w:val="21"/>
                <w:highlight w:val="none"/>
              </w:rPr>
              <w:t>(2)在</w:t>
            </w:r>
            <w:r>
              <w:rPr>
                <w:rFonts w:ascii="Times New Roman" w:hAnsi="Times New Roman"/>
                <w:color w:val="auto"/>
                <w:highlight w:val="none"/>
              </w:rPr>
              <w:t>满足</w:t>
            </w:r>
            <w:r>
              <w:rPr>
                <w:rFonts w:ascii="Times New Roman" w:hAnsi="Times New Roman"/>
                <w:color w:val="auto"/>
                <w:szCs w:val="21"/>
                <w:highlight w:val="none"/>
              </w:rPr>
              <w:t>《勘察初步设计服务人员配备要求表》的基础上，对配备的团队人员的素质情况进行加分：</w:t>
            </w:r>
          </w:p>
          <w:p w14:paraId="34FF2E51">
            <w:pPr>
              <w:rPr>
                <w:rFonts w:ascii="Times New Roman" w:hAnsi="Times New Roman"/>
                <w:strike/>
                <w:color w:val="auto"/>
                <w:szCs w:val="21"/>
                <w:highlight w:val="none"/>
              </w:rPr>
            </w:pPr>
            <w:r>
              <w:rPr>
                <w:rFonts w:ascii="Times New Roman" w:hAnsi="Times New Roman"/>
                <w:color w:val="auto"/>
                <w:szCs w:val="21"/>
                <w:highlight w:val="none"/>
              </w:rPr>
              <w:t>1）投标人（如为联合体投标，指联合体设计方）：</w:t>
            </w:r>
          </w:p>
          <w:p w14:paraId="29A1E556">
            <w:pPr>
              <w:rPr>
                <w:rFonts w:ascii="Times New Roman" w:hAnsi="Times New Roman"/>
                <w:color w:val="auto"/>
                <w:szCs w:val="21"/>
                <w:highlight w:val="none"/>
              </w:rPr>
            </w:pPr>
            <w:r>
              <w:rPr>
                <w:rFonts w:ascii="Times New Roman" w:hAnsi="Times New Roman"/>
                <w:color w:val="auto"/>
                <w:szCs w:val="21"/>
                <w:highlight w:val="none"/>
              </w:rPr>
              <w:t>①建筑专业负责人：具有建筑工程相关专业高级工程师或以上职称的得2分；中级工程师职称的得1分；</w:t>
            </w:r>
          </w:p>
          <w:p w14:paraId="297BE43A">
            <w:pPr>
              <w:rPr>
                <w:rFonts w:ascii="Times New Roman" w:hAnsi="Times New Roman"/>
                <w:color w:val="auto"/>
                <w:szCs w:val="21"/>
                <w:highlight w:val="none"/>
              </w:rPr>
            </w:pPr>
            <w:r>
              <w:rPr>
                <w:rFonts w:ascii="Times New Roman" w:hAnsi="Times New Roman"/>
                <w:color w:val="auto"/>
                <w:szCs w:val="21"/>
                <w:highlight w:val="none"/>
              </w:rPr>
              <w:t>②结构专业负责人：具有结构相关专业高级工程师或以上职称的得2分；中级工程师职称的得1分；</w:t>
            </w:r>
          </w:p>
          <w:p w14:paraId="5E339620">
            <w:pPr>
              <w:rPr>
                <w:rFonts w:ascii="Times New Roman" w:hAnsi="Times New Roman"/>
                <w:color w:val="auto"/>
                <w:szCs w:val="21"/>
                <w:highlight w:val="none"/>
              </w:rPr>
            </w:pPr>
            <w:r>
              <w:rPr>
                <w:rFonts w:ascii="Times New Roman" w:hAnsi="Times New Roman"/>
                <w:color w:val="auto"/>
                <w:szCs w:val="21"/>
                <w:highlight w:val="none"/>
              </w:rPr>
              <w:t>③</w:t>
            </w:r>
            <w:r>
              <w:rPr>
                <w:rFonts w:ascii="Times New Roman" w:hAnsi="Times New Roman"/>
                <w:color w:val="auto"/>
                <w:highlight w:val="none"/>
              </w:rPr>
              <w:t>给排水</w:t>
            </w:r>
            <w:r>
              <w:rPr>
                <w:rFonts w:ascii="Times New Roman" w:hAnsi="Times New Roman"/>
                <w:color w:val="auto"/>
                <w:szCs w:val="21"/>
                <w:highlight w:val="none"/>
              </w:rPr>
              <w:t>专业负责人：具有给排水相关专业高级工程师或以上职称的得2分；中级工程师职称的得1分；</w:t>
            </w:r>
          </w:p>
          <w:p w14:paraId="6DD640B5">
            <w:pPr>
              <w:rPr>
                <w:rFonts w:ascii="Times New Roman" w:hAnsi="Times New Roman"/>
                <w:color w:val="auto"/>
                <w:szCs w:val="21"/>
                <w:highlight w:val="none"/>
              </w:rPr>
            </w:pPr>
            <w:r>
              <w:rPr>
                <w:rFonts w:ascii="Times New Roman" w:hAnsi="Times New Roman"/>
                <w:color w:val="auto"/>
                <w:szCs w:val="21"/>
                <w:highlight w:val="none"/>
              </w:rPr>
              <w:t>④电气专业负责人：具有电气相关专业高级工程师或以上职称的得2分；中级工程师职称的得1分；</w:t>
            </w:r>
          </w:p>
          <w:p w14:paraId="62C983AB">
            <w:pPr>
              <w:rPr>
                <w:rFonts w:ascii="Times New Roman" w:hAnsi="Times New Roman"/>
                <w:color w:val="auto"/>
                <w:szCs w:val="21"/>
                <w:highlight w:val="none"/>
              </w:rPr>
            </w:pPr>
            <w:r>
              <w:rPr>
                <w:rFonts w:ascii="Times New Roman" w:hAnsi="Times New Roman"/>
                <w:color w:val="auto"/>
                <w:szCs w:val="21"/>
                <w:highlight w:val="none"/>
              </w:rPr>
              <w:t>⑤暖通空调专业负责人：具有暖通空调相关专业高级工程师或以上职称的得2分；中级工程师职称的得1分；</w:t>
            </w:r>
          </w:p>
          <w:p w14:paraId="63BFEFA5">
            <w:pPr>
              <w:rPr>
                <w:rFonts w:ascii="Times New Roman" w:hAnsi="Times New Roman"/>
                <w:color w:val="auto"/>
                <w:szCs w:val="21"/>
                <w:highlight w:val="none"/>
              </w:rPr>
            </w:pPr>
            <w:r>
              <w:rPr>
                <w:rFonts w:ascii="Times New Roman" w:hAnsi="Times New Roman"/>
                <w:color w:val="auto"/>
                <w:szCs w:val="21"/>
                <w:highlight w:val="none"/>
              </w:rPr>
              <w:t xml:space="preserve">本小项最高得10分。 </w:t>
            </w:r>
          </w:p>
          <w:p w14:paraId="231DA080">
            <w:pPr>
              <w:rPr>
                <w:rFonts w:ascii="Times New Roman" w:hAnsi="Times New Roman"/>
                <w:color w:val="auto"/>
                <w:szCs w:val="21"/>
                <w:highlight w:val="none"/>
              </w:rPr>
            </w:pPr>
            <w:r>
              <w:rPr>
                <w:rFonts w:ascii="Times New Roman" w:hAnsi="Times New Roman"/>
                <w:color w:val="auto"/>
                <w:szCs w:val="21"/>
                <w:highlight w:val="none"/>
              </w:rPr>
              <w:t>2）投标人（如为联合体投标，指联合体设计方）：</w:t>
            </w:r>
          </w:p>
          <w:p w14:paraId="7540AF28">
            <w:pPr>
              <w:rPr>
                <w:rFonts w:ascii="Times New Roman" w:hAnsi="Times New Roman"/>
                <w:color w:val="auto"/>
                <w:szCs w:val="21"/>
                <w:highlight w:val="none"/>
              </w:rPr>
            </w:pPr>
            <w:r>
              <w:rPr>
                <w:rFonts w:ascii="Times New Roman" w:hAnsi="Times New Roman"/>
                <w:color w:val="auto"/>
                <w:szCs w:val="21"/>
                <w:highlight w:val="none"/>
              </w:rPr>
              <w:t>①满足《勘察初步设计服务人员配备要求表》的基础上，</w:t>
            </w:r>
            <w:r>
              <w:rPr>
                <w:rFonts w:hint="eastAsia" w:ascii="Times New Roman" w:hAnsi="Times New Roman"/>
                <w:color w:val="auto"/>
                <w:szCs w:val="21"/>
                <w:highlight w:val="none"/>
              </w:rPr>
              <w:t>增加一名造价专业负责人具备一级注册造价工程师(或注册造价工程师)的得2分;本小项最高得2分</w:t>
            </w:r>
            <w:r>
              <w:rPr>
                <w:rFonts w:ascii="Times New Roman" w:hAnsi="Times New Roman"/>
                <w:color w:val="auto"/>
                <w:szCs w:val="21"/>
                <w:highlight w:val="none"/>
              </w:rPr>
              <w:t>；</w:t>
            </w:r>
          </w:p>
          <w:p w14:paraId="5EED86E1">
            <w:pPr>
              <w:rPr>
                <w:rFonts w:ascii="Times New Roman" w:hAnsi="Times New Roman"/>
                <w:color w:val="auto"/>
                <w:szCs w:val="21"/>
                <w:highlight w:val="none"/>
              </w:rPr>
            </w:pPr>
            <w:r>
              <w:rPr>
                <w:rFonts w:ascii="Times New Roman" w:hAnsi="Times New Roman"/>
                <w:color w:val="auto"/>
                <w:szCs w:val="21"/>
                <w:highlight w:val="none"/>
              </w:rPr>
              <w:t>3）投标人（如为联合体投标，指联合体勘察方）：</w:t>
            </w:r>
          </w:p>
          <w:p w14:paraId="532EDD8D">
            <w:pPr>
              <w:rPr>
                <w:rFonts w:ascii="Times New Roman" w:hAnsi="Times New Roman"/>
                <w:color w:val="auto"/>
                <w:szCs w:val="21"/>
                <w:highlight w:val="none"/>
              </w:rPr>
            </w:pPr>
            <w:r>
              <w:rPr>
                <w:rFonts w:ascii="Times New Roman" w:hAnsi="Times New Roman"/>
                <w:color w:val="auto"/>
                <w:szCs w:val="21"/>
                <w:highlight w:val="none"/>
              </w:rPr>
              <w:t>①勘察专业负责人：具备建筑工程或岩土工程或勘察工程相关专业高级工程师或以上职称的得2分；中级工程师职称的得1分。本小项最高得2分。</w:t>
            </w:r>
          </w:p>
          <w:p w14:paraId="7E5EC6D2">
            <w:pPr>
              <w:rPr>
                <w:rFonts w:ascii="Times New Roman" w:hAnsi="Times New Roman"/>
                <w:color w:val="auto"/>
                <w:szCs w:val="21"/>
                <w:highlight w:val="none"/>
              </w:rPr>
            </w:pPr>
            <w:r>
              <w:rPr>
                <w:rFonts w:ascii="Times New Roman" w:hAnsi="Times New Roman"/>
                <w:color w:val="auto"/>
                <w:szCs w:val="21"/>
                <w:highlight w:val="none"/>
              </w:rPr>
              <w:t>注：上述各专业负责人不得兼任；须提供执业注册证书、职称证（拥有多个职称证书的情况下，按照最高职称计算得分）、投标截止时间近1个月（</w:t>
            </w:r>
            <w:r>
              <w:rPr>
                <w:rFonts w:hint="eastAsia" w:ascii="Times New Roman" w:hAnsi="Times New Roman"/>
                <w:color w:val="auto"/>
                <w:szCs w:val="21"/>
                <w:highlight w:val="none"/>
              </w:rPr>
              <w:t>即扣除招标公告发布当月前一个月</w:t>
            </w:r>
            <w:r>
              <w:rPr>
                <w:rFonts w:ascii="Times New Roman" w:hAnsi="Times New Roman"/>
                <w:color w:val="auto"/>
                <w:szCs w:val="21"/>
                <w:highlight w:val="none"/>
              </w:rPr>
              <w:t>）的有效社保证明等证明材料扫描件（不含投标人的子公司， 含非独立法人的分公司或分支机构）购买社保的缴费记录；因改制或重组的企业或事业单位人员社保由上级主管部门缴纳的，除提供上级主管部门缴纳社保证明扫描件外，需由上级主管部门出具证明说明）。（1）各专业负责人如多人投入，只计一人分值。（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注册造价工程师指根据原人事部、原建设部发布的《造价工程师执业资格制度暂行规定》（人发〔1996〕77号）取得的造价工程师执业资格，并经注册且在有效期内。（3）不符合上述条件或未提供相关证明材料的不得分。（上述人员为香港专业人士的，需提供资格备案的业务范围符合本招标项目对上述人员要求的香港专业人士的证明材料扫描件）。</w:t>
            </w:r>
          </w:p>
        </w:tc>
      </w:tr>
      <w:tr w14:paraId="0ADE55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95" w:type="dxa"/>
            <w:tcBorders>
              <w:top w:val="single" w:color="auto" w:sz="6" w:space="0"/>
              <w:right w:val="single" w:color="auto" w:sz="6" w:space="0"/>
            </w:tcBorders>
            <w:noWrap w:val="0"/>
            <w:vAlign w:val="center"/>
          </w:tcPr>
          <w:p w14:paraId="3E942402">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五</w:t>
            </w:r>
          </w:p>
        </w:tc>
        <w:tc>
          <w:tcPr>
            <w:tcW w:w="883" w:type="dxa"/>
            <w:tcBorders>
              <w:top w:val="single" w:color="auto" w:sz="6" w:space="0"/>
              <w:left w:val="single" w:color="auto" w:sz="6" w:space="0"/>
              <w:right w:val="single" w:color="auto" w:sz="6" w:space="0"/>
            </w:tcBorders>
            <w:noWrap w:val="0"/>
            <w:vAlign w:val="center"/>
          </w:tcPr>
          <w:p w14:paraId="792C1A82">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第三方评价</w:t>
            </w:r>
          </w:p>
          <w:p w14:paraId="166361DE">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rPr>
              <w:t>（</w:t>
            </w:r>
            <w:r>
              <w:rPr>
                <w:rFonts w:hint="eastAsia" w:ascii="Times New Roman" w:hAnsi="Times New Roman"/>
                <w:color w:val="auto"/>
                <w:szCs w:val="21"/>
                <w:highlight w:val="none"/>
              </w:rPr>
              <w:t>9</w:t>
            </w:r>
            <w:r>
              <w:rPr>
                <w:rFonts w:ascii="Times New Roman" w:hAnsi="Times New Roman"/>
                <w:color w:val="auto"/>
                <w:szCs w:val="21"/>
                <w:highlight w:val="none"/>
              </w:rPr>
              <w:t>分）</w:t>
            </w:r>
          </w:p>
        </w:tc>
        <w:tc>
          <w:tcPr>
            <w:tcW w:w="850" w:type="dxa"/>
            <w:tcBorders>
              <w:top w:val="single" w:color="auto" w:sz="6" w:space="0"/>
              <w:left w:val="single" w:color="auto" w:sz="6" w:space="0"/>
              <w:right w:val="single" w:color="auto" w:sz="6" w:space="0"/>
            </w:tcBorders>
            <w:noWrap w:val="0"/>
            <w:vAlign w:val="center"/>
          </w:tcPr>
          <w:p w14:paraId="2900C936">
            <w:pPr>
              <w:autoSpaceDE w:val="0"/>
              <w:autoSpaceDN w:val="0"/>
              <w:adjustRightInd w:val="0"/>
              <w:jc w:val="center"/>
              <w:rPr>
                <w:rFonts w:ascii="Times New Roman" w:hAnsi="Times New Roman"/>
                <w:color w:val="auto"/>
                <w:szCs w:val="21"/>
                <w:highlight w:val="none"/>
              </w:rPr>
            </w:pPr>
            <w:r>
              <w:rPr>
                <w:rFonts w:hint="eastAsia" w:ascii="Times New Roman" w:hAnsi="Times New Roman"/>
                <w:color w:val="auto"/>
                <w:szCs w:val="21"/>
                <w:highlight w:val="none"/>
              </w:rPr>
              <w:t>9</w:t>
            </w:r>
          </w:p>
        </w:tc>
        <w:tc>
          <w:tcPr>
            <w:tcW w:w="7587" w:type="dxa"/>
            <w:tcBorders>
              <w:top w:val="single" w:color="auto" w:sz="6" w:space="0"/>
              <w:left w:val="single" w:color="auto" w:sz="6" w:space="0"/>
              <w:bottom w:val="single" w:color="auto" w:sz="6" w:space="0"/>
              <w:right w:val="single" w:color="auto" w:sz="6" w:space="0"/>
            </w:tcBorders>
            <w:noWrap w:val="0"/>
            <w:vAlign w:val="center"/>
          </w:tcPr>
          <w:p w14:paraId="188E5A6B">
            <w:pPr>
              <w:rPr>
                <w:rFonts w:ascii="Times New Roman" w:hAnsi="Times New Roman"/>
                <w:color w:val="auto"/>
                <w:szCs w:val="21"/>
                <w:highlight w:val="none"/>
              </w:rPr>
            </w:pPr>
            <w:r>
              <w:rPr>
                <w:rFonts w:ascii="Times New Roman" w:hAnsi="Times New Roman"/>
                <w:color w:val="auto"/>
                <w:szCs w:val="21"/>
                <w:highlight w:val="none"/>
              </w:rPr>
              <w:t>投标人（如为联合体投标，指联合体</w:t>
            </w:r>
            <w:r>
              <w:rPr>
                <w:rFonts w:hint="eastAsia" w:ascii="Times New Roman" w:hAnsi="Times New Roman"/>
                <w:color w:val="auto"/>
                <w:szCs w:val="21"/>
                <w:highlight w:val="none"/>
              </w:rPr>
              <w:t>设计方</w:t>
            </w:r>
            <w:r>
              <w:rPr>
                <w:rFonts w:ascii="Times New Roman" w:hAnsi="Times New Roman"/>
                <w:color w:val="auto"/>
                <w:szCs w:val="21"/>
                <w:highlight w:val="none"/>
              </w:rPr>
              <w:t>）具有质量管理体系认证、职业健康安全管理体系认证、环境管理体系认证证书且在有效期内的，每具有一项得</w:t>
            </w:r>
            <w:r>
              <w:rPr>
                <w:rFonts w:hint="eastAsia" w:ascii="Times New Roman" w:hAnsi="Times New Roman"/>
                <w:color w:val="auto"/>
                <w:szCs w:val="21"/>
                <w:highlight w:val="none"/>
              </w:rPr>
              <w:t>3</w:t>
            </w:r>
            <w:r>
              <w:rPr>
                <w:rFonts w:ascii="Times New Roman" w:hAnsi="Times New Roman"/>
                <w:color w:val="auto"/>
                <w:szCs w:val="21"/>
                <w:highlight w:val="none"/>
              </w:rPr>
              <w:t>分，本项最高得</w:t>
            </w:r>
            <w:r>
              <w:rPr>
                <w:rFonts w:hint="eastAsia" w:ascii="Times New Roman" w:hAnsi="Times New Roman"/>
                <w:color w:val="auto"/>
                <w:szCs w:val="21"/>
                <w:highlight w:val="none"/>
              </w:rPr>
              <w:t>9</w:t>
            </w:r>
            <w:r>
              <w:rPr>
                <w:rFonts w:ascii="Times New Roman" w:hAnsi="Times New Roman"/>
                <w:color w:val="auto"/>
                <w:szCs w:val="21"/>
                <w:highlight w:val="none"/>
              </w:rPr>
              <w:t>分。</w:t>
            </w:r>
          </w:p>
          <w:p w14:paraId="078FA752">
            <w:pPr>
              <w:rPr>
                <w:rFonts w:ascii="Times New Roman" w:hAnsi="Times New Roman"/>
                <w:color w:val="auto"/>
                <w:szCs w:val="21"/>
                <w:highlight w:val="none"/>
              </w:rPr>
            </w:pPr>
            <w:r>
              <w:rPr>
                <w:rFonts w:ascii="Times New Roman" w:hAnsi="Times New Roman"/>
                <w:color w:val="auto"/>
                <w:szCs w:val="21"/>
                <w:highlight w:val="none"/>
              </w:rPr>
              <w:t>注：须提供认证证书扫描件。不符合上述条件或未提供相关证明材料的不得分。</w:t>
            </w:r>
          </w:p>
        </w:tc>
      </w:tr>
      <w:tr w14:paraId="7FB566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478" w:type="dxa"/>
            <w:gridSpan w:val="2"/>
            <w:tcBorders>
              <w:top w:val="single" w:color="auto" w:sz="6" w:space="0"/>
              <w:right w:val="single" w:color="auto" w:sz="6" w:space="0"/>
            </w:tcBorders>
            <w:noWrap w:val="0"/>
            <w:vAlign w:val="center"/>
          </w:tcPr>
          <w:p w14:paraId="70CEDC2F">
            <w:pPr>
              <w:autoSpaceDE w:val="0"/>
              <w:autoSpaceDN w:val="0"/>
              <w:adjustRightInd w:val="0"/>
              <w:rPr>
                <w:rFonts w:ascii="Times New Roman" w:hAnsi="Times New Roman"/>
                <w:color w:val="auto"/>
                <w:szCs w:val="21"/>
                <w:highlight w:val="none"/>
              </w:rPr>
            </w:pPr>
            <w:r>
              <w:rPr>
                <w:rFonts w:ascii="Times New Roman" w:hAnsi="Times New Roman"/>
                <w:color w:val="auto"/>
                <w:szCs w:val="21"/>
                <w:highlight w:val="none"/>
                <w:lang w:val="zh-CN"/>
              </w:rPr>
              <w:t>总计</w:t>
            </w:r>
          </w:p>
        </w:tc>
        <w:tc>
          <w:tcPr>
            <w:tcW w:w="850" w:type="dxa"/>
            <w:tcBorders>
              <w:top w:val="single" w:color="auto" w:sz="6" w:space="0"/>
              <w:left w:val="single" w:color="auto" w:sz="6" w:space="0"/>
              <w:right w:val="single" w:color="auto" w:sz="6" w:space="0"/>
            </w:tcBorders>
            <w:noWrap w:val="0"/>
            <w:vAlign w:val="center"/>
          </w:tcPr>
          <w:p w14:paraId="0A4AEDF6">
            <w:pPr>
              <w:autoSpaceDE w:val="0"/>
              <w:autoSpaceDN w:val="0"/>
              <w:adjustRightInd w:val="0"/>
              <w:jc w:val="center"/>
              <w:rPr>
                <w:rFonts w:ascii="Times New Roman" w:hAnsi="Times New Roman"/>
                <w:color w:val="auto"/>
                <w:szCs w:val="21"/>
                <w:highlight w:val="none"/>
              </w:rPr>
            </w:pPr>
            <w:r>
              <w:rPr>
                <w:rFonts w:ascii="Times New Roman" w:hAnsi="Times New Roman"/>
                <w:color w:val="auto"/>
                <w:szCs w:val="21"/>
                <w:highlight w:val="none"/>
              </w:rPr>
              <w:t>100</w:t>
            </w:r>
          </w:p>
        </w:tc>
        <w:tc>
          <w:tcPr>
            <w:tcW w:w="7587" w:type="dxa"/>
            <w:tcBorders>
              <w:top w:val="single" w:color="auto" w:sz="6" w:space="0"/>
              <w:left w:val="single" w:color="auto" w:sz="6" w:space="0"/>
              <w:right w:val="single" w:color="auto" w:sz="6" w:space="0"/>
            </w:tcBorders>
            <w:noWrap w:val="0"/>
            <w:vAlign w:val="center"/>
          </w:tcPr>
          <w:p w14:paraId="34217A5D">
            <w:pPr>
              <w:autoSpaceDE w:val="0"/>
              <w:autoSpaceDN w:val="0"/>
              <w:adjustRightInd w:val="0"/>
              <w:rPr>
                <w:rFonts w:ascii="Times New Roman" w:hAnsi="Times New Roman"/>
                <w:color w:val="auto"/>
                <w:szCs w:val="21"/>
                <w:highlight w:val="none"/>
              </w:rPr>
            </w:pPr>
          </w:p>
        </w:tc>
      </w:tr>
    </w:tbl>
    <w:p w14:paraId="2CCAE34C">
      <w:pPr>
        <w:snapToGrid w:val="0"/>
        <w:ind w:firstLine="420"/>
        <w:jc w:val="center"/>
        <w:rPr>
          <w:rFonts w:hint="default"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br w:type="page"/>
      </w:r>
      <w:r>
        <w:rPr>
          <w:rFonts w:hint="default" w:ascii="Times New Roman" w:hAnsi="Times New Roman" w:cs="Times New Roman"/>
          <w:b/>
          <w:bCs/>
          <w:color w:val="auto"/>
          <w:sz w:val="28"/>
          <w:szCs w:val="28"/>
          <w:highlight w:val="none"/>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cs="Times New Roman"/>
          <w:b/>
          <w:bCs/>
          <w:color w:val="auto"/>
          <w:sz w:val="28"/>
          <w:szCs w:val="28"/>
          <w:highlight w:val="none"/>
        </w:rPr>
        <w:t>设计服务人员配备要求表》</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1843"/>
        <w:gridCol w:w="5271"/>
      </w:tblGrid>
      <w:tr w14:paraId="026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3DA3121E">
            <w:pPr>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岗位</w:t>
            </w:r>
          </w:p>
        </w:tc>
        <w:tc>
          <w:tcPr>
            <w:tcW w:w="1843" w:type="dxa"/>
            <w:tcBorders>
              <w:top w:val="single" w:color="auto" w:sz="4" w:space="0"/>
              <w:left w:val="nil"/>
              <w:bottom w:val="single" w:color="auto" w:sz="4" w:space="0"/>
              <w:right w:val="single" w:color="auto" w:sz="4" w:space="0"/>
            </w:tcBorders>
            <w:noWrap w:val="0"/>
            <w:vAlign w:val="center"/>
          </w:tcPr>
          <w:p w14:paraId="0701A435">
            <w:pPr>
              <w:snapToGrid w:val="0"/>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最低数量（人）</w:t>
            </w:r>
          </w:p>
        </w:tc>
        <w:tc>
          <w:tcPr>
            <w:tcW w:w="5271" w:type="dxa"/>
            <w:tcBorders>
              <w:top w:val="single" w:color="auto" w:sz="4" w:space="0"/>
              <w:left w:val="nil"/>
              <w:bottom w:val="single" w:color="auto" w:sz="4" w:space="0"/>
              <w:right w:val="single" w:color="auto" w:sz="4" w:space="0"/>
            </w:tcBorders>
            <w:noWrap w:val="0"/>
            <w:vAlign w:val="center"/>
          </w:tcPr>
          <w:p w14:paraId="10D01841">
            <w:pPr>
              <w:snapToGrid w:val="0"/>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最低资格要求</w:t>
            </w:r>
          </w:p>
        </w:tc>
      </w:tr>
      <w:tr w14:paraId="75A3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56F479E">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勘察人员</w:t>
            </w:r>
          </w:p>
        </w:tc>
        <w:tc>
          <w:tcPr>
            <w:tcW w:w="1843" w:type="dxa"/>
            <w:tcBorders>
              <w:top w:val="single" w:color="auto" w:sz="4" w:space="0"/>
              <w:left w:val="nil"/>
              <w:bottom w:val="single" w:color="auto" w:sz="4" w:space="0"/>
              <w:right w:val="single" w:color="auto" w:sz="4" w:space="0"/>
            </w:tcBorders>
            <w:noWrap w:val="0"/>
            <w:vAlign w:val="center"/>
          </w:tcPr>
          <w:p w14:paraId="2D783FB7">
            <w:pPr>
              <w:snapToGrid w:val="0"/>
              <w:spacing w:before="156" w:beforeLines="50" w:after="156" w:afterLines="50"/>
              <w:jc w:val="center"/>
              <w:rPr>
                <w:rFonts w:hint="default" w:ascii="Times New Roman" w:hAnsi="Times New Roman" w:cs="Times New Roman"/>
                <w:b/>
                <w:bCs/>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4FF4AB74">
            <w:pPr>
              <w:snapToGrid w:val="0"/>
              <w:spacing w:before="156" w:beforeLines="50" w:after="156" w:afterLines="50"/>
              <w:rPr>
                <w:rFonts w:hint="default" w:ascii="Times New Roman" w:hAnsi="Times New Roman" w:cs="Times New Roman"/>
                <w:color w:val="auto"/>
                <w:sz w:val="24"/>
                <w:szCs w:val="24"/>
                <w:highlight w:val="none"/>
              </w:rPr>
            </w:pPr>
          </w:p>
        </w:tc>
      </w:tr>
      <w:tr w14:paraId="0FF3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8299BE2">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勘察专业负责人</w:t>
            </w:r>
          </w:p>
        </w:tc>
        <w:tc>
          <w:tcPr>
            <w:tcW w:w="1843" w:type="dxa"/>
            <w:tcBorders>
              <w:top w:val="single" w:color="auto" w:sz="4" w:space="0"/>
              <w:left w:val="nil"/>
              <w:bottom w:val="single" w:color="auto" w:sz="4" w:space="0"/>
              <w:right w:val="single" w:color="auto" w:sz="4" w:space="0"/>
            </w:tcBorders>
            <w:noWrap w:val="0"/>
            <w:vAlign w:val="center"/>
          </w:tcPr>
          <w:p w14:paraId="73349F9D">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572BEBEA">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具备注册岩土工程师。</w:t>
            </w:r>
          </w:p>
        </w:tc>
      </w:tr>
      <w:tr w14:paraId="1BE1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E4552F8">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设计人员</w:t>
            </w:r>
          </w:p>
        </w:tc>
        <w:tc>
          <w:tcPr>
            <w:tcW w:w="1843" w:type="dxa"/>
            <w:tcBorders>
              <w:top w:val="single" w:color="auto" w:sz="4" w:space="0"/>
              <w:left w:val="nil"/>
              <w:bottom w:val="single" w:color="auto" w:sz="4" w:space="0"/>
              <w:right w:val="single" w:color="auto" w:sz="4" w:space="0"/>
            </w:tcBorders>
            <w:noWrap w:val="0"/>
            <w:vAlign w:val="center"/>
          </w:tcPr>
          <w:p w14:paraId="57458674">
            <w:pPr>
              <w:snapToGrid w:val="0"/>
              <w:spacing w:before="156" w:beforeLines="50" w:after="156" w:afterLines="50"/>
              <w:jc w:val="center"/>
              <w:rPr>
                <w:rFonts w:hint="default" w:ascii="Times New Roman" w:hAnsi="Times New Roman" w:cs="Times New Roman"/>
                <w:b/>
                <w:bCs/>
                <w:color w:val="auto"/>
                <w:sz w:val="24"/>
                <w:szCs w:val="24"/>
                <w:highlight w:val="none"/>
              </w:rPr>
            </w:pPr>
          </w:p>
        </w:tc>
        <w:tc>
          <w:tcPr>
            <w:tcW w:w="5271" w:type="dxa"/>
            <w:tcBorders>
              <w:top w:val="single" w:color="auto" w:sz="4" w:space="0"/>
              <w:left w:val="nil"/>
              <w:bottom w:val="single" w:color="auto" w:sz="4" w:space="0"/>
              <w:right w:val="single" w:color="auto" w:sz="4" w:space="0"/>
            </w:tcBorders>
            <w:noWrap w:val="0"/>
            <w:vAlign w:val="center"/>
          </w:tcPr>
          <w:p w14:paraId="07F33A0F">
            <w:pPr>
              <w:snapToGrid w:val="0"/>
              <w:spacing w:before="156" w:beforeLines="50" w:after="156" w:afterLines="50"/>
              <w:rPr>
                <w:rFonts w:hint="default" w:ascii="Times New Roman" w:hAnsi="Times New Roman" w:cs="Times New Roman"/>
                <w:color w:val="auto"/>
                <w:sz w:val="24"/>
                <w:szCs w:val="24"/>
                <w:highlight w:val="none"/>
              </w:rPr>
            </w:pPr>
          </w:p>
        </w:tc>
      </w:tr>
      <w:tr w14:paraId="4E10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149C17B">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设计负责人</w:t>
            </w:r>
          </w:p>
          <w:p w14:paraId="79B4C196">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（项目负责人）</w:t>
            </w:r>
          </w:p>
        </w:tc>
        <w:tc>
          <w:tcPr>
            <w:tcW w:w="1843" w:type="dxa"/>
            <w:tcBorders>
              <w:top w:val="single" w:color="auto" w:sz="4" w:space="0"/>
              <w:left w:val="nil"/>
              <w:bottom w:val="single" w:color="auto" w:sz="4" w:space="0"/>
              <w:right w:val="single" w:color="auto" w:sz="4" w:space="0"/>
            </w:tcBorders>
            <w:noWrap w:val="0"/>
            <w:vAlign w:val="center"/>
          </w:tcPr>
          <w:p w14:paraId="56C4B6B2">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A68794D">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具备一级注册建筑师。</w:t>
            </w:r>
          </w:p>
        </w:tc>
      </w:tr>
      <w:tr w14:paraId="6102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0222A0C6">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项目协调人</w:t>
            </w:r>
          </w:p>
        </w:tc>
        <w:tc>
          <w:tcPr>
            <w:tcW w:w="1843" w:type="dxa"/>
            <w:tcBorders>
              <w:top w:val="single" w:color="auto" w:sz="4" w:space="0"/>
              <w:left w:val="nil"/>
              <w:bottom w:val="single" w:color="auto" w:sz="4" w:space="0"/>
              <w:right w:val="single" w:color="auto" w:sz="4" w:space="0"/>
            </w:tcBorders>
            <w:noWrap w:val="0"/>
            <w:vAlign w:val="center"/>
          </w:tcPr>
          <w:p w14:paraId="11DA3AB4">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E7625EB">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14:paraId="10DD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AA545C7">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建筑专业负责人</w:t>
            </w:r>
          </w:p>
        </w:tc>
        <w:tc>
          <w:tcPr>
            <w:tcW w:w="1843" w:type="dxa"/>
            <w:tcBorders>
              <w:top w:val="single" w:color="auto" w:sz="4" w:space="0"/>
              <w:left w:val="nil"/>
              <w:bottom w:val="single" w:color="auto" w:sz="4" w:space="0"/>
              <w:right w:val="single" w:color="auto" w:sz="4" w:space="0"/>
            </w:tcBorders>
            <w:noWrap w:val="0"/>
            <w:vAlign w:val="center"/>
          </w:tcPr>
          <w:p w14:paraId="533CAD52">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6E352E68">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具备一级注册建筑师。</w:t>
            </w:r>
          </w:p>
        </w:tc>
      </w:tr>
      <w:tr w14:paraId="4C9E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1B8BCCD">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建筑专业设计人</w:t>
            </w:r>
          </w:p>
        </w:tc>
        <w:tc>
          <w:tcPr>
            <w:tcW w:w="1843" w:type="dxa"/>
            <w:tcBorders>
              <w:top w:val="single" w:color="auto" w:sz="4" w:space="0"/>
              <w:left w:val="nil"/>
              <w:bottom w:val="single" w:color="auto" w:sz="4" w:space="0"/>
              <w:right w:val="single" w:color="auto" w:sz="4" w:space="0"/>
            </w:tcBorders>
            <w:noWrap w:val="0"/>
            <w:vAlign w:val="center"/>
          </w:tcPr>
          <w:p w14:paraId="780E1AC2">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4CF4BA79">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具备建筑专业类中级工程师或以上职称。</w:t>
            </w:r>
          </w:p>
        </w:tc>
      </w:tr>
      <w:tr w14:paraId="4283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2B9F0590">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结构专业负责人</w:t>
            </w:r>
          </w:p>
        </w:tc>
        <w:tc>
          <w:tcPr>
            <w:tcW w:w="1843" w:type="dxa"/>
            <w:tcBorders>
              <w:top w:val="single" w:color="auto" w:sz="4" w:space="0"/>
              <w:left w:val="nil"/>
              <w:bottom w:val="single" w:color="auto" w:sz="4" w:space="0"/>
              <w:right w:val="single" w:color="auto" w:sz="4" w:space="0"/>
            </w:tcBorders>
            <w:noWrap w:val="0"/>
            <w:vAlign w:val="center"/>
          </w:tcPr>
          <w:p w14:paraId="13722199">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6C77C62">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具备一级注册结构工程师。</w:t>
            </w:r>
          </w:p>
        </w:tc>
      </w:tr>
      <w:tr w14:paraId="755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DF7A397">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结构专业设计人</w:t>
            </w:r>
          </w:p>
        </w:tc>
        <w:tc>
          <w:tcPr>
            <w:tcW w:w="1843" w:type="dxa"/>
            <w:tcBorders>
              <w:top w:val="single" w:color="auto" w:sz="4" w:space="0"/>
              <w:left w:val="nil"/>
              <w:bottom w:val="single" w:color="auto" w:sz="4" w:space="0"/>
              <w:right w:val="single" w:color="auto" w:sz="4" w:space="0"/>
            </w:tcBorders>
            <w:noWrap w:val="0"/>
            <w:vAlign w:val="center"/>
          </w:tcPr>
          <w:p w14:paraId="658A9F0C">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F38A997">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具备结构专业类中级工程师或以上职称。</w:t>
            </w:r>
          </w:p>
        </w:tc>
      </w:tr>
      <w:tr w14:paraId="7B9B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FBFAE4B">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给排水专业负责人</w:t>
            </w:r>
          </w:p>
        </w:tc>
        <w:tc>
          <w:tcPr>
            <w:tcW w:w="1843" w:type="dxa"/>
            <w:tcBorders>
              <w:top w:val="single" w:color="auto" w:sz="4" w:space="0"/>
              <w:left w:val="nil"/>
              <w:bottom w:val="single" w:color="auto" w:sz="4" w:space="0"/>
              <w:right w:val="single" w:color="auto" w:sz="4" w:space="0"/>
            </w:tcBorders>
            <w:noWrap w:val="0"/>
            <w:vAlign w:val="center"/>
          </w:tcPr>
          <w:p w14:paraId="3C3032DE">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7F7F6729">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具备注册公用设备工程师（给排水）。</w:t>
            </w:r>
          </w:p>
        </w:tc>
      </w:tr>
      <w:tr w14:paraId="3AE0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1046A8F0">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给排水专业设计人</w:t>
            </w:r>
          </w:p>
        </w:tc>
        <w:tc>
          <w:tcPr>
            <w:tcW w:w="1843" w:type="dxa"/>
            <w:tcBorders>
              <w:top w:val="single" w:color="auto" w:sz="4" w:space="0"/>
              <w:left w:val="nil"/>
              <w:bottom w:val="single" w:color="auto" w:sz="4" w:space="0"/>
              <w:right w:val="single" w:color="auto" w:sz="4" w:space="0"/>
            </w:tcBorders>
            <w:noWrap w:val="0"/>
            <w:vAlign w:val="center"/>
          </w:tcPr>
          <w:p w14:paraId="50ECA8EB">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07CF5E7A">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具备给排水专业类中级工程师或以上职称。</w:t>
            </w:r>
          </w:p>
        </w:tc>
      </w:tr>
      <w:tr w14:paraId="7710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03D5989">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电气专业负责人</w:t>
            </w:r>
          </w:p>
        </w:tc>
        <w:tc>
          <w:tcPr>
            <w:tcW w:w="1843" w:type="dxa"/>
            <w:tcBorders>
              <w:top w:val="single" w:color="auto" w:sz="4" w:space="0"/>
              <w:left w:val="nil"/>
              <w:bottom w:val="single" w:color="auto" w:sz="4" w:space="0"/>
              <w:right w:val="single" w:color="auto" w:sz="4" w:space="0"/>
            </w:tcBorders>
            <w:noWrap w:val="0"/>
            <w:vAlign w:val="center"/>
          </w:tcPr>
          <w:p w14:paraId="5C6413BA">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1FF4AA9">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具备注册电气工程师。</w:t>
            </w:r>
          </w:p>
        </w:tc>
      </w:tr>
      <w:tr w14:paraId="71B4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44B06D5E">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电气专业设计人</w:t>
            </w:r>
          </w:p>
        </w:tc>
        <w:tc>
          <w:tcPr>
            <w:tcW w:w="1843" w:type="dxa"/>
            <w:tcBorders>
              <w:top w:val="single" w:color="auto" w:sz="4" w:space="0"/>
              <w:left w:val="nil"/>
              <w:bottom w:val="single" w:color="auto" w:sz="4" w:space="0"/>
              <w:right w:val="single" w:color="auto" w:sz="4" w:space="0"/>
            </w:tcBorders>
            <w:noWrap w:val="0"/>
            <w:vAlign w:val="center"/>
          </w:tcPr>
          <w:p w14:paraId="3440C629">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4980694">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具备电气专业类中级工程师或以上职称。</w:t>
            </w:r>
          </w:p>
        </w:tc>
      </w:tr>
      <w:tr w14:paraId="3D6B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C02153A">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暖通空调专业负责人</w:t>
            </w:r>
          </w:p>
        </w:tc>
        <w:tc>
          <w:tcPr>
            <w:tcW w:w="1843" w:type="dxa"/>
            <w:tcBorders>
              <w:top w:val="single" w:color="auto" w:sz="4" w:space="0"/>
              <w:left w:val="nil"/>
              <w:bottom w:val="single" w:color="auto" w:sz="4" w:space="0"/>
              <w:right w:val="single" w:color="auto" w:sz="4" w:space="0"/>
            </w:tcBorders>
            <w:noWrap w:val="0"/>
            <w:vAlign w:val="center"/>
          </w:tcPr>
          <w:p w14:paraId="267CB8F3">
            <w:pPr>
              <w:snapToGrid w:val="0"/>
              <w:spacing w:before="156" w:beforeLines="50" w:after="156" w:afterLines="5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381BFE0E">
            <w:pPr>
              <w:snapToGrid w:val="0"/>
              <w:spacing w:before="156" w:beforeLines="50" w:after="156" w:afterLines="5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具备注册公用设备工程师（暖通）。</w:t>
            </w:r>
          </w:p>
        </w:tc>
      </w:tr>
      <w:tr w14:paraId="64AC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506CEC61">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暖通空调专业设计人</w:t>
            </w:r>
          </w:p>
        </w:tc>
        <w:tc>
          <w:tcPr>
            <w:tcW w:w="1843" w:type="dxa"/>
            <w:tcBorders>
              <w:top w:val="single" w:color="auto" w:sz="4" w:space="0"/>
              <w:left w:val="nil"/>
              <w:bottom w:val="single" w:color="auto" w:sz="4" w:space="0"/>
              <w:right w:val="single" w:color="auto" w:sz="4" w:space="0"/>
            </w:tcBorders>
            <w:noWrap w:val="0"/>
            <w:vAlign w:val="center"/>
          </w:tcPr>
          <w:p w14:paraId="1054B3C3">
            <w:pPr>
              <w:snapToGrid w:val="0"/>
              <w:spacing w:before="156" w:beforeLines="50" w:after="156" w:afterLines="5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5271" w:type="dxa"/>
            <w:tcBorders>
              <w:top w:val="single" w:color="auto" w:sz="4" w:space="0"/>
              <w:left w:val="nil"/>
              <w:bottom w:val="single" w:color="auto" w:sz="4" w:space="0"/>
              <w:right w:val="single" w:color="auto" w:sz="4" w:space="0"/>
            </w:tcBorders>
            <w:noWrap w:val="0"/>
            <w:vAlign w:val="center"/>
          </w:tcPr>
          <w:p w14:paraId="110F849A">
            <w:pPr>
              <w:snapToGrid w:val="0"/>
              <w:spacing w:before="156" w:beforeLines="50" w:after="156" w:afterLines="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具备暖通空调专业类中级工程师或以上职称。</w:t>
            </w:r>
          </w:p>
        </w:tc>
      </w:tr>
    </w:tbl>
    <w:p w14:paraId="21B99EC4">
      <w:pPr>
        <w:pStyle w:val="3"/>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注：以上投入人员不得兼任。资格审查只审核项目负责人资格，其他投入人员由投标人自行提供。</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3"/>
    </w:p>
    <w:p w14:paraId="283B6448">
      <w:pPr>
        <w:pStyle w:val="3"/>
        <w:widowControl/>
        <w:rPr>
          <w:rFonts w:ascii="Times New Roman" w:hAnsi="Times New Roman" w:cs="Times New Roman"/>
          <w:color w:val="auto"/>
          <w:sz w:val="21"/>
          <w:szCs w:val="21"/>
          <w:highlight w:val="none"/>
        </w:rPr>
      </w:pPr>
      <w:bookmarkStart w:id="164"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4"/>
    </w:p>
    <w:p w14:paraId="6C99CCEF">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2B65C01E">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71FEC140">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5" w:name="_Toc28238"/>
      <w:bookmarkStart w:id="166" w:name="_Toc12459"/>
      <w:r>
        <w:rPr>
          <w:rFonts w:hint="default" w:ascii="Times New Roman" w:hAnsi="Times New Roman" w:cs="Times New Roman"/>
          <w:color w:val="auto"/>
          <w:sz w:val="21"/>
          <w:szCs w:val="21"/>
          <w:highlight w:val="none"/>
          <w:u w:val="single"/>
          <w:shd w:val="clear" w:color="auto" w:fill="FFFFFF"/>
        </w:rPr>
        <w:t>1、定标委员会</w:t>
      </w:r>
      <w:bookmarkEnd w:id="165"/>
      <w:bookmarkEnd w:id="166"/>
    </w:p>
    <w:p w14:paraId="07C176BB">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7" w:name="_Toc20976"/>
      <w:bookmarkStart w:id="168" w:name="_Toc24562"/>
      <w:r>
        <w:rPr>
          <w:rFonts w:hint="default" w:ascii="Times New Roman" w:hAnsi="Times New Roman" w:cs="Times New Roman"/>
          <w:color w:val="auto"/>
          <w:sz w:val="21"/>
          <w:szCs w:val="21"/>
          <w:highlight w:val="none"/>
          <w:u w:val="single"/>
          <w:shd w:val="clear" w:color="auto" w:fill="FFFFFF"/>
        </w:rPr>
        <w:t>2、定标会召开的时间地点：</w:t>
      </w:r>
      <w:bookmarkEnd w:id="167"/>
      <w:bookmarkEnd w:id="168"/>
    </w:p>
    <w:p w14:paraId="279E64CC">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613932F7">
      <w:pPr>
        <w:rPr>
          <w:rFonts w:ascii="Times New Roman" w:hAnsi="Times New Roman" w:cs="Times New Roman"/>
          <w:color w:val="auto"/>
          <w:szCs w:val="21"/>
          <w:highlight w:val="none"/>
        </w:rPr>
      </w:pPr>
    </w:p>
    <w:p w14:paraId="08D1A47B">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73CF0A89">
      <w:pPr>
        <w:pStyle w:val="3"/>
        <w:widowControl/>
        <w:snapToGrid w:val="0"/>
        <w:spacing w:line="180" w:lineRule="auto"/>
        <w:rPr>
          <w:rFonts w:ascii="Times New Roman" w:hAnsi="Times New Roman" w:cs="Times New Roman"/>
          <w:color w:val="auto"/>
          <w:sz w:val="21"/>
          <w:szCs w:val="21"/>
          <w:highlight w:val="none"/>
        </w:rPr>
      </w:pPr>
      <w:bookmarkStart w:id="169" w:name="_Toc7620"/>
      <w:r>
        <w:rPr>
          <w:rFonts w:hint="default" w:ascii="Times New Roman" w:hAnsi="Times New Roman" w:cs="Times New Roman"/>
          <w:color w:val="auto"/>
          <w:sz w:val="21"/>
          <w:szCs w:val="21"/>
          <w:highlight w:val="none"/>
        </w:rPr>
        <w:t>附录16 定标原则</w:t>
      </w:r>
      <w:bookmarkEnd w:id="169"/>
    </w:p>
    <w:p w14:paraId="020F3508">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5C63887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1、本项目定标办法采用“</w:t>
      </w:r>
      <w:r>
        <w:rPr>
          <w:rFonts w:hint="default" w:ascii="Times New Roman" w:hAnsi="Times New Roman" w:eastAsia="宋体" w:cs="Times New Roman"/>
          <w:color w:val="auto"/>
          <w:kern w:val="0"/>
          <w:szCs w:val="21"/>
          <w:highlight w:val="none"/>
          <w:u w:val="single"/>
          <w:lang w:val="en-US" w:eastAsia="zh-CN"/>
        </w:rPr>
        <w:t>答辩因素得分+</w:t>
      </w:r>
      <w:r>
        <w:rPr>
          <w:rFonts w:hint="default" w:ascii="Times New Roman" w:hAnsi="Times New Roman" w:eastAsia="宋体" w:cs="Times New Roman"/>
          <w:color w:val="auto"/>
          <w:kern w:val="0"/>
          <w:szCs w:val="21"/>
          <w:highlight w:val="none"/>
          <w:u w:val="single"/>
        </w:rPr>
        <w:t>方案</w:t>
      </w:r>
      <w:r>
        <w:rPr>
          <w:rFonts w:hint="default" w:ascii="Times New Roman" w:hAnsi="Times New Roman" w:eastAsia="宋体" w:cs="Times New Roman"/>
          <w:color w:val="auto"/>
          <w:kern w:val="0"/>
          <w:szCs w:val="21"/>
          <w:highlight w:val="none"/>
          <w:u w:val="single"/>
          <w:lang w:val="en-US" w:eastAsia="zh-CN"/>
        </w:rPr>
        <w:t>因素得分</w:t>
      </w: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szCs w:val="21"/>
          <w:highlight w:val="none"/>
          <w:u w:val="single"/>
        </w:rPr>
        <w:t>的定标法</w:t>
      </w:r>
      <w:r>
        <w:rPr>
          <w:rFonts w:hint="default" w:ascii="Times New Roman" w:hAnsi="Times New Roman" w:cs="Times New Roman"/>
          <w:color w:val="auto"/>
          <w:highlight w:val="none"/>
          <w:u w:val="single"/>
          <w:shd w:val="clear" w:color="auto" w:fill="FFFFFF"/>
        </w:rPr>
        <w:t>。</w:t>
      </w:r>
      <w:r>
        <w:rPr>
          <w:rFonts w:hint="default" w:ascii="Times New Roman" w:hAnsi="Times New Roman" w:eastAsia="宋体" w:cs="Times New Roman"/>
          <w:color w:val="auto"/>
          <w:kern w:val="1"/>
          <w:szCs w:val="21"/>
          <w:highlight w:val="none"/>
          <w:u w:val="single"/>
          <w:lang w:val="en-US" w:eastAsia="zh-CN"/>
        </w:rPr>
        <w:t>定标委员会</w:t>
      </w:r>
      <w:r>
        <w:rPr>
          <w:rFonts w:hint="default" w:ascii="Times New Roman" w:hAnsi="Times New Roman" w:eastAsia="宋体" w:cs="Times New Roman"/>
          <w:color w:val="auto"/>
          <w:kern w:val="1"/>
          <w:szCs w:val="21"/>
          <w:highlight w:val="none"/>
          <w:u w:val="single"/>
        </w:rPr>
        <w:t>按得分由高到低顺序</w:t>
      </w:r>
      <w:r>
        <w:rPr>
          <w:rFonts w:hint="default" w:ascii="Times New Roman" w:hAnsi="Times New Roman" w:eastAsia="宋体" w:cs="Times New Roman"/>
          <w:color w:val="auto"/>
          <w:kern w:val="1"/>
          <w:szCs w:val="21"/>
          <w:highlight w:val="none"/>
          <w:u w:val="single"/>
          <w:lang w:eastAsia="zh-CN"/>
        </w:rPr>
        <w:t>，</w:t>
      </w:r>
      <w:r>
        <w:rPr>
          <w:rFonts w:hint="default" w:ascii="Times New Roman" w:hAnsi="Times New Roman" w:eastAsia="宋体" w:cs="Times New Roman"/>
          <w:color w:val="auto"/>
          <w:kern w:val="1"/>
          <w:szCs w:val="21"/>
          <w:highlight w:val="none"/>
          <w:u w:val="single"/>
          <w:lang w:val="en-US" w:eastAsia="zh-CN"/>
        </w:rPr>
        <w:t>确定中标候选人的名次，若定标综合得分相同</w:t>
      </w:r>
      <w:r>
        <w:rPr>
          <w:rFonts w:hint="default" w:ascii="Times New Roman" w:hAnsi="Times New Roman" w:eastAsia="宋体" w:cs="Times New Roman"/>
          <w:color w:val="auto"/>
          <w:kern w:val="1"/>
          <w:szCs w:val="21"/>
          <w:highlight w:val="none"/>
          <w:u w:val="single"/>
        </w:rPr>
        <w:t>时，以</w:t>
      </w:r>
      <w:r>
        <w:rPr>
          <w:rFonts w:hint="default" w:ascii="Times New Roman" w:hAnsi="Times New Roman" w:cs="Times New Roman"/>
          <w:color w:val="auto"/>
          <w:kern w:val="1"/>
          <w:szCs w:val="21"/>
          <w:highlight w:val="none"/>
          <w:u w:val="single"/>
          <w:lang w:val="en-US" w:eastAsia="zh-CN"/>
        </w:rPr>
        <w:t>定标阶段</w:t>
      </w:r>
      <w:r>
        <w:rPr>
          <w:rFonts w:hint="default" w:ascii="Times New Roman" w:hAnsi="Times New Roman" w:eastAsia="宋体" w:cs="Times New Roman"/>
          <w:color w:val="auto"/>
          <w:kern w:val="1"/>
          <w:szCs w:val="21"/>
          <w:highlight w:val="none"/>
          <w:u w:val="single"/>
        </w:rPr>
        <w:t>方案</w:t>
      </w:r>
      <w:r>
        <w:rPr>
          <w:rFonts w:hint="default" w:ascii="Times New Roman" w:hAnsi="Times New Roman" w:eastAsia="宋体" w:cs="Times New Roman"/>
          <w:color w:val="auto"/>
          <w:kern w:val="1"/>
          <w:szCs w:val="21"/>
          <w:highlight w:val="none"/>
          <w:u w:val="single"/>
          <w:lang w:val="en-US" w:eastAsia="zh-CN"/>
        </w:rPr>
        <w:t>因素部分</w:t>
      </w:r>
      <w:r>
        <w:rPr>
          <w:rFonts w:hint="default" w:ascii="Times New Roman" w:hAnsi="Times New Roman" w:eastAsia="宋体" w:cs="Times New Roman"/>
          <w:color w:val="auto"/>
          <w:kern w:val="1"/>
          <w:szCs w:val="21"/>
          <w:highlight w:val="none"/>
          <w:u w:val="single"/>
        </w:rPr>
        <w:t>得分高的排前；如仍存在相同情况，则以</w:t>
      </w:r>
      <w:r>
        <w:rPr>
          <w:rFonts w:hint="default" w:ascii="Times New Roman" w:hAnsi="Times New Roman" w:cs="Times New Roman"/>
          <w:color w:val="auto"/>
          <w:kern w:val="1"/>
          <w:szCs w:val="21"/>
          <w:highlight w:val="none"/>
          <w:u w:val="single"/>
          <w:lang w:val="en-US" w:eastAsia="zh-CN"/>
        </w:rPr>
        <w:t>定标阶段答辩</w:t>
      </w:r>
      <w:r>
        <w:rPr>
          <w:rFonts w:hint="default" w:ascii="Times New Roman" w:hAnsi="Times New Roman" w:eastAsia="宋体" w:cs="Times New Roman"/>
          <w:color w:val="auto"/>
          <w:kern w:val="1"/>
          <w:szCs w:val="21"/>
          <w:highlight w:val="none"/>
          <w:u w:val="single"/>
          <w:lang w:val="en-US" w:eastAsia="zh-CN"/>
        </w:rPr>
        <w:t>因素</w:t>
      </w:r>
      <w:r>
        <w:rPr>
          <w:rFonts w:hint="default" w:ascii="Times New Roman" w:hAnsi="Times New Roman" w:eastAsia="宋体" w:cs="Times New Roman"/>
          <w:color w:val="auto"/>
          <w:kern w:val="1"/>
          <w:szCs w:val="21"/>
          <w:highlight w:val="none"/>
          <w:u w:val="single"/>
        </w:rPr>
        <w:t>部分得分高的排前。</w:t>
      </w:r>
      <w:r>
        <w:rPr>
          <w:rFonts w:hint="default" w:ascii="Times New Roman" w:hAnsi="Times New Roman" w:eastAsia="宋体" w:cs="Times New Roman"/>
          <w:color w:val="auto"/>
          <w:kern w:val="1"/>
          <w:szCs w:val="21"/>
          <w:highlight w:val="none"/>
          <w:u w:val="single"/>
          <w:lang w:val="en-US" w:eastAsia="zh-CN"/>
        </w:rPr>
        <w:t>如仍</w:t>
      </w:r>
      <w:r>
        <w:rPr>
          <w:rFonts w:hint="default" w:ascii="Times New Roman" w:hAnsi="Times New Roman" w:eastAsia="宋体" w:cs="Times New Roman"/>
          <w:color w:val="auto"/>
          <w:kern w:val="1"/>
          <w:szCs w:val="21"/>
          <w:highlight w:val="none"/>
          <w:u w:val="single"/>
        </w:rPr>
        <w:t>存在得分相同情况的，由定标委员会成员记名投票决定排序。</w:t>
      </w:r>
      <w:r>
        <w:rPr>
          <w:rFonts w:hint="default" w:ascii="Times New Roman" w:hAnsi="Times New Roman" w:cs="Times New Roman"/>
          <w:color w:val="auto"/>
          <w:kern w:val="1"/>
          <w:szCs w:val="21"/>
          <w:highlight w:val="none"/>
          <w:u w:val="single"/>
          <w:lang w:val="en-US" w:eastAsia="zh-CN"/>
        </w:rPr>
        <w:t>招标人</w:t>
      </w:r>
      <w:r>
        <w:rPr>
          <w:rFonts w:hint="default" w:ascii="Times New Roman" w:hAnsi="Times New Roman" w:eastAsia="宋体" w:cs="Times New Roman"/>
          <w:color w:val="auto"/>
          <w:kern w:val="1"/>
          <w:szCs w:val="21"/>
          <w:highlight w:val="none"/>
          <w:u w:val="single"/>
        </w:rPr>
        <w:t>确定排名第一的投标人为中标人。</w:t>
      </w:r>
    </w:p>
    <w:p w14:paraId="7AF5FA61">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2、定标细则</w:t>
      </w:r>
    </w:p>
    <w:p w14:paraId="3FABECA8">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（1）定标工作开始后，定标委员会</w:t>
      </w:r>
      <w:r>
        <w:rPr>
          <w:rFonts w:hint="default" w:ascii="Times New Roman" w:hAnsi="Times New Roman" w:cs="Times New Roman"/>
          <w:color w:val="auto"/>
          <w:highlight w:val="none"/>
          <w:u w:val="single"/>
          <w:shd w:val="clear" w:color="auto" w:fill="FFFFFF"/>
          <w:lang w:val="en-US" w:eastAsia="zh-CN"/>
        </w:rPr>
        <w:t>评标报告上的</w:t>
      </w:r>
      <w:r>
        <w:rPr>
          <w:rFonts w:hint="default" w:ascii="Times New Roman" w:hAnsi="Times New Roman" w:cs="Times New Roman"/>
          <w:color w:val="auto"/>
          <w:highlight w:val="none"/>
          <w:u w:val="single"/>
          <w:shd w:val="clear" w:color="auto" w:fill="FFFFFF"/>
        </w:rPr>
        <w:t>排名</w:t>
      </w:r>
      <w:r>
        <w:rPr>
          <w:rFonts w:hint="default" w:ascii="Times New Roman" w:hAnsi="Times New Roman" w:cs="Times New Roman"/>
          <w:color w:val="auto"/>
          <w:highlight w:val="none"/>
          <w:u w:val="single"/>
          <w:shd w:val="clear" w:color="auto" w:fill="FFFFFF"/>
          <w:lang w:val="en-US" w:eastAsia="zh-CN"/>
        </w:rPr>
        <w:t>顺序进行评审</w:t>
      </w:r>
      <w:r>
        <w:rPr>
          <w:rFonts w:hint="default" w:ascii="Times New Roman" w:hAnsi="Times New Roman" w:cs="Times New Roman"/>
          <w:color w:val="auto"/>
          <w:highlight w:val="none"/>
          <w:u w:val="single"/>
          <w:shd w:val="clear" w:color="auto" w:fill="FFFFFF"/>
          <w:lang w:eastAsia="zh-CN"/>
        </w:rPr>
        <w:t>。</w:t>
      </w:r>
      <w:r>
        <w:rPr>
          <w:rFonts w:hint="default" w:ascii="Times New Roman" w:hAnsi="Times New Roman" w:cs="Times New Roman"/>
          <w:color w:val="auto"/>
          <w:highlight w:val="none"/>
          <w:u w:val="single"/>
          <w:shd w:val="clear" w:color="auto" w:fill="FFFFFF"/>
          <w:lang w:val="en-US" w:eastAsia="zh-CN"/>
        </w:rPr>
        <w:t>同时，</w:t>
      </w:r>
      <w:r>
        <w:rPr>
          <w:rFonts w:hint="default" w:ascii="Times New Roman" w:hAnsi="Times New Roman" w:cs="Times New Roman"/>
          <w:color w:val="auto"/>
          <w:highlight w:val="none"/>
          <w:u w:val="single"/>
          <w:shd w:val="clear" w:color="auto" w:fill="FFFFFF"/>
        </w:rPr>
        <w:t>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02131E2">
            <w:pPr>
              <w:pStyle w:val="15"/>
              <w:widowControl w:val="0"/>
              <w:spacing w:beforeAutospacing="0" w:afterAutospacing="0" w:line="360" w:lineRule="auto"/>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A136EB7">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358B1F5F">
            <w:pPr>
              <w:pStyle w:val="15"/>
              <w:widowControl w:val="0"/>
              <w:spacing w:beforeAutospacing="0" w:afterAutospacing="0" w:line="360" w:lineRule="auto"/>
              <w:ind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6984E749">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single"/>
                <w:shd w:val="clear" w:color="auto" w:fill="FFFFFF"/>
                <w:lang w:val="en-US" w:eastAsia="zh-CN"/>
              </w:rPr>
            </w:pPr>
            <w:r>
              <w:rPr>
                <w:rFonts w:hint="default" w:ascii="Times New Roman" w:hAnsi="Times New Roman" w:cs="Times New Roman"/>
                <w:color w:val="auto"/>
                <w:sz w:val="21"/>
                <w:szCs w:val="21"/>
                <w:highlight w:val="none"/>
                <w:u w:val="singl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A33D8F3">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2FD4B011">
            <w:pPr>
              <w:spacing w:line="360" w:lineRule="atLeas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3575591C">
            <w:pPr>
              <w:pStyle w:val="15"/>
              <w:widowControl w:val="0"/>
              <w:spacing w:beforeAutospacing="0" w:afterAutospacing="0" w:line="360" w:lineRule="auto"/>
              <w:ind w:firstLine="420" w:firstLineChars="200"/>
              <w:jc w:val="both"/>
              <w:rPr>
                <w:rFonts w:hint="default" w:ascii="Times New Roman" w:hAnsi="Times New Roman" w:eastAsia="宋体" w:cs="Times New Roman"/>
                <w:color w:val="auto"/>
                <w:sz w:val="21"/>
                <w:szCs w:val="21"/>
                <w:highlight w:val="none"/>
                <w:u w:val="single"/>
                <w:shd w:val="clear" w:color="auto" w:fill="FFFFFF"/>
                <w:lang w:eastAsia="zh-CN"/>
              </w:rPr>
            </w:pPr>
            <w:r>
              <w:rPr>
                <w:rFonts w:hint="default" w:ascii="Times New Roman" w:hAnsi="Times New Roman" w:cs="Times New Roman"/>
                <w:color w:val="auto"/>
                <w:sz w:val="21"/>
                <w:szCs w:val="21"/>
                <w:highlight w:val="none"/>
                <w:u w:val="singl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49F91CDE">
            <w:pPr>
              <w:pStyle w:val="15"/>
              <w:widowControl w:val="0"/>
              <w:spacing w:beforeAutospacing="0" w:afterAutospacing="0" w:line="360" w:lineRule="auto"/>
              <w:ind w:firstLine="420" w:firstLineChars="200"/>
              <w:jc w:val="both"/>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DB889CF">
            <w:pPr>
              <w:spacing w:line="360" w:lineRule="atLeast"/>
              <w:rPr>
                <w:rFonts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小组对拟派团队履约能力与履约水平的介绍，介绍时间不得超过10分钟，定标委员会根据定标候选人代表介绍对其进行提问；介绍内容包括但不限于：项目管理班子人员、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50B0D7DF">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或各专业负责人组成1-2人的答辩小组；答辩小组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color w:val="auto"/>
          <w:sz w:val="24"/>
          <w:szCs w:val="24"/>
          <w:highlight w:val="none"/>
          <w:lang w:val="en-US" w:eastAsia="zh-CN"/>
        </w:rPr>
        <w:t>，即2025年6月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。签到时，拟派答辩小组需将其所有通讯设备调成关机或静音状态交招标代理保管，待其答辩完成后退还。</w:t>
      </w:r>
    </w:p>
    <w:p w14:paraId="7E3ABCC4">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小组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小组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（5）</w:t>
      </w:r>
      <w:r>
        <w:rPr>
          <w:rFonts w:hint="default" w:ascii="Times New Roman" w:hAnsi="Times New Roman" w:eastAsia="宋体" w:cs="Times New Roman"/>
          <w:color w:val="auto"/>
          <w:kern w:val="1"/>
          <w:szCs w:val="21"/>
          <w:highlight w:val="none"/>
          <w:u w:val="singl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single"/>
        </w:rPr>
        <w:t>按得分由高到低顺序</w:t>
      </w:r>
      <w:r>
        <w:rPr>
          <w:rFonts w:hint="default" w:ascii="Times New Roman" w:hAnsi="Times New Roman" w:eastAsia="宋体" w:cs="Times New Roman"/>
          <w:color w:val="auto"/>
          <w:kern w:val="1"/>
          <w:szCs w:val="21"/>
          <w:highlight w:val="none"/>
          <w:u w:val="single"/>
          <w:lang w:eastAsia="zh-CN"/>
        </w:rPr>
        <w:t>，</w:t>
      </w:r>
      <w:r>
        <w:rPr>
          <w:rFonts w:hint="default" w:ascii="Times New Roman" w:hAnsi="Times New Roman" w:eastAsia="宋体" w:cs="Times New Roman"/>
          <w:color w:val="auto"/>
          <w:kern w:val="1"/>
          <w:szCs w:val="21"/>
          <w:highlight w:val="none"/>
          <w:u w:val="single"/>
          <w:lang w:val="en-US" w:eastAsia="zh-CN"/>
        </w:rPr>
        <w:t>确定中标候选人的名次，若定标综合得分相同</w:t>
      </w:r>
      <w:r>
        <w:rPr>
          <w:rFonts w:hint="default" w:ascii="Times New Roman" w:hAnsi="Times New Roman" w:eastAsia="宋体" w:cs="Times New Roman"/>
          <w:color w:val="auto"/>
          <w:kern w:val="1"/>
          <w:szCs w:val="21"/>
          <w:highlight w:val="none"/>
          <w:u w:val="single"/>
        </w:rPr>
        <w:t>时，以</w:t>
      </w:r>
      <w:r>
        <w:rPr>
          <w:rFonts w:hint="default" w:ascii="Times New Roman" w:hAnsi="Times New Roman" w:cs="Times New Roman"/>
          <w:color w:val="auto"/>
          <w:kern w:val="1"/>
          <w:szCs w:val="21"/>
          <w:highlight w:val="none"/>
          <w:u w:val="single"/>
          <w:lang w:val="en-US" w:eastAsia="zh-CN"/>
        </w:rPr>
        <w:t>定标阶段</w:t>
      </w:r>
      <w:r>
        <w:rPr>
          <w:rFonts w:hint="default" w:ascii="Times New Roman" w:hAnsi="Times New Roman" w:eastAsia="宋体" w:cs="Times New Roman"/>
          <w:color w:val="auto"/>
          <w:kern w:val="1"/>
          <w:szCs w:val="21"/>
          <w:highlight w:val="none"/>
          <w:u w:val="single"/>
        </w:rPr>
        <w:t>方案</w:t>
      </w:r>
      <w:r>
        <w:rPr>
          <w:rFonts w:hint="default" w:ascii="Times New Roman" w:hAnsi="Times New Roman" w:eastAsia="宋体" w:cs="Times New Roman"/>
          <w:color w:val="auto"/>
          <w:kern w:val="1"/>
          <w:szCs w:val="21"/>
          <w:highlight w:val="none"/>
          <w:u w:val="single"/>
          <w:lang w:val="en-US" w:eastAsia="zh-CN"/>
        </w:rPr>
        <w:t>因素部分</w:t>
      </w:r>
      <w:r>
        <w:rPr>
          <w:rFonts w:hint="default" w:ascii="Times New Roman" w:hAnsi="Times New Roman" w:eastAsia="宋体" w:cs="Times New Roman"/>
          <w:color w:val="auto"/>
          <w:kern w:val="1"/>
          <w:szCs w:val="21"/>
          <w:highlight w:val="none"/>
          <w:u w:val="single"/>
        </w:rPr>
        <w:t>得分高的排前；如仍存在相同情况，则以</w:t>
      </w:r>
      <w:r>
        <w:rPr>
          <w:rFonts w:hint="default" w:ascii="Times New Roman" w:hAnsi="Times New Roman" w:cs="Times New Roman"/>
          <w:color w:val="auto"/>
          <w:kern w:val="1"/>
          <w:szCs w:val="21"/>
          <w:highlight w:val="none"/>
          <w:u w:val="single"/>
          <w:lang w:val="en-US" w:eastAsia="zh-CN"/>
        </w:rPr>
        <w:t>定标阶段答辩</w:t>
      </w:r>
      <w:r>
        <w:rPr>
          <w:rFonts w:hint="default" w:ascii="Times New Roman" w:hAnsi="Times New Roman" w:eastAsia="宋体" w:cs="Times New Roman"/>
          <w:color w:val="auto"/>
          <w:kern w:val="1"/>
          <w:szCs w:val="21"/>
          <w:highlight w:val="none"/>
          <w:u w:val="single"/>
          <w:lang w:val="en-US" w:eastAsia="zh-CN"/>
        </w:rPr>
        <w:t>因素</w:t>
      </w:r>
      <w:r>
        <w:rPr>
          <w:rFonts w:hint="default" w:ascii="Times New Roman" w:hAnsi="Times New Roman" w:eastAsia="宋体" w:cs="Times New Roman"/>
          <w:color w:val="auto"/>
          <w:kern w:val="1"/>
          <w:szCs w:val="21"/>
          <w:highlight w:val="none"/>
          <w:u w:val="single"/>
        </w:rPr>
        <w:t>部分得分高的排前。</w:t>
      </w:r>
      <w:r>
        <w:rPr>
          <w:rFonts w:hint="default" w:ascii="Times New Roman" w:hAnsi="Times New Roman" w:eastAsia="宋体" w:cs="Times New Roman"/>
          <w:color w:val="auto"/>
          <w:kern w:val="1"/>
          <w:szCs w:val="21"/>
          <w:highlight w:val="none"/>
          <w:u w:val="single"/>
          <w:lang w:val="en-US" w:eastAsia="zh-CN"/>
        </w:rPr>
        <w:t>如仍</w:t>
      </w:r>
      <w:r>
        <w:rPr>
          <w:rFonts w:hint="default" w:ascii="Times New Roman" w:hAnsi="Times New Roman" w:eastAsia="宋体" w:cs="Times New Roman"/>
          <w:color w:val="auto"/>
          <w:kern w:val="1"/>
          <w:szCs w:val="21"/>
          <w:highlight w:val="none"/>
          <w:u w:val="single"/>
        </w:rPr>
        <w:t>存在得分相同情况的，由定标委员会成员记名投票决定排序。</w:t>
      </w:r>
    </w:p>
    <w:p w14:paraId="283D053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highlight w:val="none"/>
          <w:u w:val="single"/>
          <w:shd w:val="clear" w:color="auto" w:fill="FFFFFF"/>
          <w:lang w:val="en-US" w:eastAsia="zh-CN"/>
        </w:rPr>
        <w:t>6</w:t>
      </w:r>
      <w:r>
        <w:rPr>
          <w:rFonts w:hint="default" w:ascii="Times New Roman" w:hAnsi="Times New Roman" w:cs="Times New Roman"/>
          <w:color w:val="auto"/>
          <w:highlight w:val="none"/>
          <w:u w:val="single"/>
          <w:shd w:val="clear" w:color="auto" w:fill="FFFFFF"/>
        </w:rPr>
        <w:t>）定标委员会根据</w:t>
      </w:r>
      <w:r>
        <w:rPr>
          <w:rFonts w:hint="default" w:ascii="Times New Roman" w:hAnsi="Times New Roman" w:cs="Times New Roman"/>
          <w:color w:val="auto"/>
          <w:highlight w:val="none"/>
          <w:u w:val="single"/>
          <w:shd w:val="clear" w:color="auto" w:fill="FFFFFF"/>
          <w:lang w:val="en-US" w:eastAsia="zh-CN"/>
        </w:rPr>
        <w:t>综合评分结果推荐</w:t>
      </w:r>
      <w:r>
        <w:rPr>
          <w:rFonts w:hint="default" w:ascii="Times New Roman" w:hAnsi="Times New Roman" w:cs="Times New Roman"/>
          <w:color w:val="auto"/>
          <w:highlight w:val="none"/>
          <w:u w:val="single"/>
          <w:shd w:val="clear" w:color="auto" w:fill="FFFFFF"/>
        </w:rPr>
        <w:t>中标</w:t>
      </w:r>
      <w:r>
        <w:rPr>
          <w:rFonts w:hint="default" w:ascii="Times New Roman" w:hAnsi="Times New Roman" w:cs="Times New Roman"/>
          <w:color w:val="auto"/>
          <w:highlight w:val="none"/>
          <w:u w:val="single"/>
          <w:shd w:val="clear" w:color="auto" w:fill="FFFFFF"/>
          <w:lang w:val="en-US" w:eastAsia="zh-CN"/>
        </w:rPr>
        <w:t>候选</w:t>
      </w:r>
      <w:r>
        <w:rPr>
          <w:rFonts w:hint="default" w:ascii="Times New Roman" w:hAnsi="Times New Roman" w:cs="Times New Roman"/>
          <w:color w:val="auto"/>
          <w:highlight w:val="none"/>
          <w:u w:val="single"/>
          <w:shd w:val="clear" w:color="auto" w:fill="FFFFFF"/>
        </w:rPr>
        <w:t>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highlight w:val="none"/>
          <w:u w:val="single"/>
          <w:shd w:val="clear" w:color="auto" w:fill="FFFFFF"/>
          <w:lang w:val="en-US" w:eastAsia="zh-CN"/>
        </w:rPr>
        <w:t>7</w:t>
      </w:r>
      <w:r>
        <w:rPr>
          <w:rFonts w:hint="default" w:ascii="Times New Roman" w:hAnsi="Times New Roman" w:cs="Times New Roman"/>
          <w:color w:val="auto"/>
          <w:highlight w:val="none"/>
          <w:u w:val="single"/>
          <w:shd w:val="clear" w:color="auto" w:fill="FFFFFF"/>
        </w:rPr>
        <w:t>）定标委员会向招标人提交书面定标报告后即解散，定标过程中使用的文件、表格以及其他资料不得私自带离。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highlight w:val="none"/>
          <w:u w:val="single"/>
          <w:shd w:val="clear" w:color="auto" w:fill="FFFFFF"/>
          <w:lang w:val="en-US" w:eastAsia="zh-CN"/>
        </w:rPr>
        <w:t>8</w:t>
      </w:r>
      <w:r>
        <w:rPr>
          <w:rFonts w:hint="default" w:ascii="Times New Roman" w:hAnsi="Times New Roman" w:cs="Times New Roman"/>
          <w:color w:val="auto"/>
          <w:highlight w:val="none"/>
          <w:u w:val="single"/>
          <w:shd w:val="clear" w:color="auto" w:fill="FFFFFF"/>
        </w:rPr>
        <w:t>）定标后出现中标人不符合法定情形的，招标人可按定标委员会确定的定标综合排序依序确定中标人，也可以重新招标。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highlight w:val="none"/>
          <w:u w:val="single"/>
          <w:shd w:val="clear" w:color="auto" w:fill="FFFFFF"/>
          <w:lang w:val="en-US" w:eastAsia="zh-CN"/>
        </w:rPr>
        <w:t>9</w:t>
      </w:r>
      <w:r>
        <w:rPr>
          <w:rFonts w:hint="default" w:ascii="Times New Roman" w:hAnsi="Times New Roman" w:cs="Times New Roman"/>
          <w:color w:val="auto"/>
          <w:highlight w:val="none"/>
          <w:u w:val="singl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rPr>
        <w:t>（</w:t>
      </w:r>
      <w:r>
        <w:rPr>
          <w:rFonts w:hint="default" w:ascii="Times New Roman" w:hAnsi="Times New Roman" w:cs="Times New Roman"/>
          <w:color w:val="auto"/>
          <w:highlight w:val="none"/>
          <w:u w:val="single"/>
          <w:shd w:val="clear" w:color="auto" w:fill="FFFFFF"/>
          <w:lang w:val="en-US" w:eastAsia="zh-CN"/>
        </w:rPr>
        <w:t>10</w:t>
      </w:r>
      <w:r>
        <w:rPr>
          <w:rFonts w:hint="default" w:ascii="Times New Roman" w:hAnsi="Times New Roman" w:cs="Times New Roman"/>
          <w:color w:val="auto"/>
          <w:highlight w:val="none"/>
          <w:u w:val="singl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ascii="Times New Roman" w:hAnsi="Times New Roman" w:cs="Times New Roman"/>
          <w:b/>
          <w:color w:val="auto"/>
          <w:kern w:val="0"/>
          <w:szCs w:val="21"/>
          <w:highlight w:val="none"/>
          <w:shd w:val="clear" w:color="auto" w:fill="FFFFFF"/>
        </w:rPr>
      </w:pPr>
    </w:p>
    <w:p w14:paraId="38668E1A">
      <w:pPr>
        <w:pStyle w:val="3"/>
        <w:widowControl/>
        <w:spacing w:before="0" w:after="0" w:line="360" w:lineRule="auto"/>
        <w:rPr>
          <w:rFonts w:ascii="Times New Roman" w:hAnsi="Times New Roman" w:cs="Times New Roman"/>
          <w:color w:val="auto"/>
          <w:sz w:val="21"/>
          <w:szCs w:val="21"/>
          <w:highlight w:val="none"/>
        </w:rPr>
      </w:pPr>
      <w:bookmarkStart w:id="170"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70"/>
    </w:p>
    <w:p w14:paraId="25FC11B1">
      <w:pPr>
        <w:pStyle w:val="4"/>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184427CD">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3431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14:paraId="3CBC80FA">
            <w:pPr>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noWrap w:val="0"/>
            <w:vAlign w:val="center"/>
          </w:tcPr>
          <w:p w14:paraId="2B258D9D">
            <w:pPr>
              <w:jc w:val="center"/>
              <w:rPr>
                <w:rFonts w:ascii="Times New Roman" w:hAnsi="Times New Roman"/>
                <w:b/>
                <w:bCs/>
                <w:color w:val="auto"/>
                <w:szCs w:val="21"/>
                <w:highlight w:val="none"/>
              </w:rPr>
            </w:pPr>
            <w:r>
              <w:rPr>
                <w:rFonts w:ascii="Times New Roman" w:hAnsi="Times New Roman"/>
                <w:b/>
                <w:bCs/>
                <w:color w:val="auto"/>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noWrap w:val="0"/>
            <w:vAlign w:val="center"/>
          </w:tcPr>
          <w:p w14:paraId="7C9FF3F4">
            <w:pPr>
              <w:jc w:val="center"/>
              <w:rPr>
                <w:rFonts w:ascii="Times New Roman" w:hAnsi="Times New Roman"/>
                <w:b/>
                <w:bCs/>
                <w:color w:val="auto"/>
                <w:szCs w:val="21"/>
                <w:highlight w:val="none"/>
              </w:rPr>
            </w:pPr>
            <w:r>
              <w:rPr>
                <w:rFonts w:ascii="Times New Roman" w:hAnsi="Times New Roman"/>
                <w:b/>
                <w:bCs/>
                <w:color w:val="auto"/>
                <w:szCs w:val="21"/>
                <w:highlight w:val="none"/>
              </w:rPr>
              <w:t>定标评价的内容</w:t>
            </w:r>
          </w:p>
        </w:tc>
      </w:tr>
      <w:tr w14:paraId="0ABB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noWrap w:val="0"/>
            <w:vAlign w:val="center"/>
          </w:tcPr>
          <w:p w14:paraId="4B4FA0BF">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832" w:type="dxa"/>
            <w:vMerge w:val="restart"/>
            <w:tcBorders>
              <w:top w:val="single" w:color="auto" w:sz="4" w:space="0"/>
              <w:left w:val="single" w:color="auto" w:sz="4" w:space="0"/>
              <w:right w:val="single" w:color="auto" w:sz="4" w:space="0"/>
            </w:tcBorders>
            <w:noWrap w:val="0"/>
            <w:vAlign w:val="center"/>
          </w:tcPr>
          <w:p w14:paraId="4380E801">
            <w:pPr>
              <w:jc w:val="center"/>
              <w:rPr>
                <w:rFonts w:ascii="Times New Roman" w:hAnsi="Times New Roman"/>
                <w:color w:val="auto"/>
                <w:szCs w:val="21"/>
                <w:highlight w:val="none"/>
              </w:rPr>
            </w:pPr>
            <w:r>
              <w:rPr>
                <w:rFonts w:ascii="Times New Roman" w:hAnsi="Times New Roman"/>
                <w:color w:val="auto"/>
                <w:szCs w:val="21"/>
                <w:highlight w:val="none"/>
              </w:rPr>
              <w:t>方案因素</w:t>
            </w:r>
          </w:p>
          <w:p w14:paraId="1A799B6D">
            <w:pPr>
              <w:jc w:val="center"/>
              <w:rPr>
                <w:rFonts w:ascii="Times New Roman" w:hAnsi="Times New Roman"/>
                <w:color w:val="auto"/>
                <w:szCs w:val="21"/>
                <w:highlight w:val="none"/>
              </w:rPr>
            </w:pPr>
            <w:r>
              <w:rPr>
                <w:rFonts w:ascii="Times New Roman" w:hAnsi="Times New Roman"/>
                <w:color w:val="auto"/>
                <w:szCs w:val="21"/>
                <w:highlight w:val="none"/>
              </w:rPr>
              <w:t>（60分）</w:t>
            </w:r>
          </w:p>
        </w:tc>
        <w:tc>
          <w:tcPr>
            <w:tcW w:w="2222" w:type="dxa"/>
            <w:tcBorders>
              <w:top w:val="single" w:color="auto" w:sz="4" w:space="0"/>
              <w:left w:val="single" w:color="auto" w:sz="4" w:space="0"/>
              <w:right w:val="single" w:color="auto" w:sz="4" w:space="0"/>
            </w:tcBorders>
            <w:noWrap w:val="0"/>
            <w:vAlign w:val="center"/>
          </w:tcPr>
          <w:p w14:paraId="3C2E5606">
            <w:pPr>
              <w:jc w:val="center"/>
              <w:rPr>
                <w:rFonts w:ascii="Times New Roman" w:hAnsi="Times New Roman"/>
                <w:color w:val="auto"/>
                <w:szCs w:val="21"/>
                <w:highlight w:val="none"/>
              </w:rPr>
            </w:pPr>
            <w:r>
              <w:rPr>
                <w:rFonts w:ascii="Times New Roman" w:hAnsi="Times New Roman"/>
                <w:color w:val="auto"/>
                <w:highlight w:val="none"/>
              </w:rPr>
              <w:t>勘察设计重难点分析及应对措施（25分）</w:t>
            </w:r>
          </w:p>
        </w:tc>
        <w:tc>
          <w:tcPr>
            <w:tcW w:w="10580" w:type="dxa"/>
            <w:tcBorders>
              <w:top w:val="single" w:color="auto" w:sz="4" w:space="0"/>
              <w:left w:val="single" w:color="auto" w:sz="4" w:space="0"/>
              <w:right w:val="single" w:color="auto" w:sz="4" w:space="0"/>
            </w:tcBorders>
            <w:noWrap w:val="0"/>
            <w:vAlign w:val="center"/>
          </w:tcPr>
          <w:p w14:paraId="1EAD7950">
            <w:pPr>
              <w:rPr>
                <w:rFonts w:ascii="Times New Roman" w:hAnsi="Times New Roman"/>
                <w:color w:val="auto"/>
                <w:highlight w:val="none"/>
              </w:rPr>
            </w:pPr>
            <w:r>
              <w:rPr>
                <w:rFonts w:ascii="Times New Roman" w:hAnsi="Times New Roman"/>
                <w:color w:val="auto"/>
                <w:highlight w:val="none"/>
              </w:rPr>
              <w:t>对本项目的勘察设计工作的重难点及应对措施的有效性、针对性、可行性进行评审：</w:t>
            </w:r>
          </w:p>
          <w:p w14:paraId="4CE6DE0F">
            <w:pPr>
              <w:rPr>
                <w:rFonts w:ascii="Times New Roman" w:hAnsi="Times New Roman"/>
                <w:color w:val="auto"/>
                <w:highlight w:val="none"/>
              </w:rPr>
            </w:pPr>
            <w:r>
              <w:rPr>
                <w:rFonts w:ascii="Times New Roman" w:hAnsi="Times New Roman"/>
                <w:color w:val="auto"/>
                <w:highlight w:val="none"/>
              </w:rPr>
              <w:t>优:对本项目的勘察设计工作的重难点分析准确，应对措施针对性、合理可行性强，得[25,20)分。</w:t>
            </w:r>
          </w:p>
          <w:p w14:paraId="1F320246">
            <w:pPr>
              <w:rPr>
                <w:rFonts w:ascii="Times New Roman" w:hAnsi="Times New Roman"/>
                <w:color w:val="auto"/>
                <w:highlight w:val="none"/>
              </w:rPr>
            </w:pPr>
            <w:r>
              <w:rPr>
                <w:rFonts w:ascii="Times New Roman" w:hAnsi="Times New Roman"/>
                <w:color w:val="auto"/>
                <w:highlight w:val="none"/>
              </w:rPr>
              <w:t>良:对本项目的勘察设计工作的重难点分析较准确，应对措施针对性、合理可行性较强，得[20,15)分。</w:t>
            </w:r>
          </w:p>
          <w:p w14:paraId="19180E39">
            <w:pPr>
              <w:rPr>
                <w:rFonts w:ascii="Times New Roman" w:hAnsi="Times New Roman"/>
                <w:color w:val="auto"/>
                <w:highlight w:val="none"/>
              </w:rPr>
            </w:pPr>
            <w:r>
              <w:rPr>
                <w:rFonts w:ascii="Times New Roman" w:hAnsi="Times New Roman"/>
                <w:color w:val="auto"/>
                <w:highlight w:val="none"/>
              </w:rPr>
              <w:t>中:对本项目的勘察设计工作的重难点分析一般，应对措施针对性、合理可行性一般，得[15,10)分。</w:t>
            </w:r>
          </w:p>
          <w:p w14:paraId="1CBEBD7D">
            <w:pPr>
              <w:rPr>
                <w:rFonts w:ascii="Times New Roman" w:hAnsi="Times New Roman"/>
                <w:color w:val="auto"/>
                <w:highlight w:val="none"/>
              </w:rPr>
            </w:pPr>
            <w:r>
              <w:rPr>
                <w:rFonts w:ascii="Times New Roman" w:hAnsi="Times New Roman"/>
                <w:color w:val="auto"/>
                <w:highlight w:val="none"/>
              </w:rPr>
              <w:t>差:对本项目的勘察设计工作的重难点分析较差，应对措施针对性、合理可行性较差，得[10,0)分。</w:t>
            </w:r>
          </w:p>
          <w:p w14:paraId="2E165951">
            <w:pPr>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3009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538" w:type="dxa"/>
            <w:vMerge w:val="continue"/>
            <w:tcBorders>
              <w:left w:val="single" w:color="auto" w:sz="4" w:space="0"/>
              <w:right w:val="single" w:color="auto" w:sz="4" w:space="0"/>
            </w:tcBorders>
            <w:noWrap w:val="0"/>
            <w:vAlign w:val="center"/>
          </w:tcPr>
          <w:p w14:paraId="4FB428EC">
            <w:pPr>
              <w:jc w:val="center"/>
              <w:rPr>
                <w:rFonts w:ascii="Times New Roman" w:hAnsi="Times New Roman"/>
                <w:color w:val="auto"/>
                <w:szCs w:val="21"/>
                <w:highlight w:val="none"/>
              </w:rPr>
            </w:pPr>
          </w:p>
        </w:tc>
        <w:tc>
          <w:tcPr>
            <w:tcW w:w="832" w:type="dxa"/>
            <w:vMerge w:val="continue"/>
            <w:tcBorders>
              <w:left w:val="single" w:color="auto" w:sz="4" w:space="0"/>
              <w:right w:val="single" w:color="auto" w:sz="4" w:space="0"/>
            </w:tcBorders>
            <w:noWrap w:val="0"/>
            <w:vAlign w:val="center"/>
          </w:tcPr>
          <w:p w14:paraId="406B88BA">
            <w:pPr>
              <w:jc w:val="center"/>
              <w:rPr>
                <w:rFonts w:ascii="Times New Roman" w:hAnsi="Times New Roman"/>
                <w:color w:val="auto"/>
                <w:szCs w:val="21"/>
                <w:highlight w:val="none"/>
              </w:rPr>
            </w:pPr>
          </w:p>
        </w:tc>
        <w:tc>
          <w:tcPr>
            <w:tcW w:w="2222" w:type="dxa"/>
            <w:tcBorders>
              <w:top w:val="single" w:color="auto" w:sz="4" w:space="0"/>
              <w:left w:val="single" w:color="auto" w:sz="4" w:space="0"/>
              <w:right w:val="single" w:color="auto" w:sz="4" w:space="0"/>
            </w:tcBorders>
            <w:noWrap w:val="0"/>
            <w:vAlign w:val="center"/>
          </w:tcPr>
          <w:p w14:paraId="40D5B555">
            <w:pPr>
              <w:jc w:val="center"/>
              <w:rPr>
                <w:rFonts w:ascii="Times New Roman" w:hAnsi="Times New Roman"/>
                <w:color w:val="auto"/>
                <w:highlight w:val="none"/>
              </w:rPr>
            </w:pPr>
            <w:r>
              <w:rPr>
                <w:rFonts w:hint="eastAsia" w:ascii="Times New Roman" w:hAnsi="Times New Roman"/>
                <w:color w:val="auto"/>
                <w:highlight w:val="none"/>
              </w:rPr>
              <w:t>方案</w:t>
            </w:r>
            <w:r>
              <w:rPr>
                <w:rFonts w:ascii="Times New Roman" w:hAnsi="Times New Roman"/>
                <w:color w:val="auto"/>
                <w:highlight w:val="none"/>
              </w:rPr>
              <w:t>创新措施</w:t>
            </w:r>
          </w:p>
          <w:p w14:paraId="37CD6E68">
            <w:pPr>
              <w:jc w:val="center"/>
              <w:rPr>
                <w:rFonts w:ascii="Times New Roman" w:hAnsi="Times New Roman"/>
                <w:color w:val="auto"/>
                <w:highlight w:val="none"/>
              </w:rPr>
            </w:pPr>
            <w:r>
              <w:rPr>
                <w:color w:val="auto"/>
                <w:highlight w:val="none"/>
              </w:rPr>
              <w:t>（15分）</w:t>
            </w:r>
          </w:p>
        </w:tc>
        <w:tc>
          <w:tcPr>
            <w:tcW w:w="10580" w:type="dxa"/>
            <w:tcBorders>
              <w:top w:val="single" w:color="auto" w:sz="4" w:space="0"/>
              <w:left w:val="single" w:color="auto" w:sz="4" w:space="0"/>
              <w:bottom w:val="single" w:color="auto" w:sz="4" w:space="0"/>
              <w:right w:val="single" w:color="auto" w:sz="4" w:space="0"/>
            </w:tcBorders>
            <w:noWrap w:val="0"/>
            <w:vAlign w:val="center"/>
          </w:tcPr>
          <w:p w14:paraId="19FE2AD0">
            <w:pPr>
              <w:rPr>
                <w:rFonts w:ascii="Times New Roman" w:hAnsi="Times New Roman"/>
                <w:color w:val="auto"/>
                <w:highlight w:val="none"/>
              </w:rPr>
            </w:pPr>
            <w:r>
              <w:rPr>
                <w:rFonts w:hint="eastAsia" w:ascii="Times New Roman" w:hAnsi="Times New Roman"/>
                <w:color w:val="auto"/>
                <w:highlight w:val="none"/>
              </w:rPr>
              <w:t>结合规划、景观、建筑外观、使用功能、交通、配套设施、经济、绿色节能等因素进行评审。</w:t>
            </w:r>
          </w:p>
          <w:p w14:paraId="50A4E4AB">
            <w:pPr>
              <w:rPr>
                <w:rFonts w:ascii="Times New Roman" w:hAnsi="Times New Roman"/>
                <w:color w:val="auto"/>
                <w:highlight w:val="none"/>
              </w:rPr>
            </w:pPr>
            <w:r>
              <w:rPr>
                <w:rFonts w:hint="eastAsia" w:ascii="Times New Roman" w:hAnsi="Times New Roman"/>
                <w:color w:val="auto"/>
                <w:highlight w:val="none"/>
              </w:rPr>
              <w:t>优：总体方案充分反映了招标人设计要求（详见本项目的设计任务书及相关附件）、符合设计的标准及要求（详见本项目的设计任务书及相关附件），项目实施方案完整，且方案合理可行的；</w:t>
            </w:r>
            <w:r>
              <w:rPr>
                <w:rFonts w:ascii="Times New Roman" w:hAnsi="Times New Roman"/>
                <w:color w:val="auto"/>
                <w:highlight w:val="none"/>
              </w:rPr>
              <w:t>得[15,12)分。</w:t>
            </w:r>
          </w:p>
          <w:p w14:paraId="0D856DD6">
            <w:pPr>
              <w:rPr>
                <w:rFonts w:ascii="Times New Roman" w:hAnsi="Times New Roman"/>
                <w:color w:val="auto"/>
                <w:highlight w:val="none"/>
              </w:rPr>
            </w:pPr>
            <w:r>
              <w:rPr>
                <w:rFonts w:hint="eastAsia" w:ascii="Times New Roman" w:hAnsi="Times New Roman"/>
                <w:color w:val="auto"/>
                <w:highlight w:val="none"/>
              </w:rPr>
              <w:t>良：总体方案基本满足招标人设计要求（详见本项目的设计任务书及相关附件）、符合设计的标准及要求（详见本项目的设计任务书及相关附件），项目实施方案内容完整，但缺乏针对性的；</w:t>
            </w:r>
            <w:r>
              <w:rPr>
                <w:rFonts w:ascii="Times New Roman" w:hAnsi="Times New Roman"/>
                <w:color w:val="auto"/>
                <w:highlight w:val="none"/>
              </w:rPr>
              <w:t>得[12,9)分。</w:t>
            </w:r>
          </w:p>
          <w:p w14:paraId="79AD0FC6">
            <w:pPr>
              <w:rPr>
                <w:rFonts w:ascii="Times New Roman" w:hAnsi="Times New Roman"/>
                <w:color w:val="auto"/>
                <w:highlight w:val="none"/>
              </w:rPr>
            </w:pPr>
            <w:r>
              <w:rPr>
                <w:rFonts w:hint="eastAsia" w:ascii="Times New Roman" w:hAnsi="Times New Roman"/>
                <w:color w:val="auto"/>
                <w:highlight w:val="none"/>
              </w:rPr>
              <w:t>中：总体方案部分符合招标人设计要求（详见本项目的设计任务书及相关附件）、部分符合设计的标准及要求（详见本项目的设计任务书及相关附件）；项目实施方案内容不完整，且缺乏可行性或针对性的。</w:t>
            </w:r>
            <w:r>
              <w:rPr>
                <w:rFonts w:ascii="Times New Roman" w:hAnsi="Times New Roman"/>
                <w:color w:val="auto"/>
                <w:highlight w:val="none"/>
              </w:rPr>
              <w:t>[9,6)分。</w:t>
            </w:r>
          </w:p>
          <w:p w14:paraId="0EB669F5">
            <w:pPr>
              <w:rPr>
                <w:rFonts w:ascii="Times New Roman" w:hAnsi="Times New Roman"/>
                <w:color w:val="auto"/>
                <w:highlight w:val="none"/>
              </w:rPr>
            </w:pPr>
            <w:r>
              <w:rPr>
                <w:rFonts w:hint="eastAsia" w:ascii="Times New Roman" w:hAnsi="Times New Roman"/>
                <w:color w:val="auto"/>
                <w:highlight w:val="none"/>
              </w:rPr>
              <w:t>差：总体方案不符合招标人设计要求（详见本项目的设计任务书及相关附件）、不符合设计的标准及要求（详见本项目的设计任务书及相关附件）；项目实施方案内容缺失，且缺乏可行性或针对性的。</w:t>
            </w:r>
            <w:r>
              <w:rPr>
                <w:rFonts w:ascii="Times New Roman" w:hAnsi="Times New Roman"/>
                <w:color w:val="auto"/>
                <w:highlight w:val="none"/>
              </w:rPr>
              <w:t>得[6,0)分。</w:t>
            </w:r>
          </w:p>
          <w:p w14:paraId="167562B4">
            <w:pPr>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57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noWrap w:val="0"/>
            <w:vAlign w:val="center"/>
          </w:tcPr>
          <w:p w14:paraId="22F5F20B">
            <w:pPr>
              <w:jc w:val="center"/>
              <w:rPr>
                <w:rFonts w:ascii="Times New Roman" w:hAnsi="Times New Roman"/>
                <w:color w:val="auto"/>
                <w:szCs w:val="21"/>
                <w:highlight w:val="none"/>
              </w:rPr>
            </w:pPr>
          </w:p>
        </w:tc>
        <w:tc>
          <w:tcPr>
            <w:tcW w:w="832" w:type="dxa"/>
            <w:vMerge w:val="continue"/>
            <w:tcBorders>
              <w:top w:val="single" w:color="auto" w:sz="4" w:space="0"/>
              <w:left w:val="single" w:color="auto" w:sz="4" w:space="0"/>
              <w:right w:val="single" w:color="auto" w:sz="4" w:space="0"/>
            </w:tcBorders>
            <w:noWrap w:val="0"/>
            <w:vAlign w:val="center"/>
          </w:tcPr>
          <w:p w14:paraId="1ECBB201">
            <w:pPr>
              <w:jc w:val="center"/>
              <w:rPr>
                <w:rFonts w:ascii="Times New Roman" w:hAnsi="Times New Roman"/>
                <w:color w:val="auto"/>
                <w:szCs w:val="21"/>
                <w:highlight w:val="none"/>
              </w:rPr>
            </w:pPr>
          </w:p>
        </w:tc>
        <w:tc>
          <w:tcPr>
            <w:tcW w:w="2222" w:type="dxa"/>
            <w:tcBorders>
              <w:top w:val="single" w:color="auto" w:sz="4" w:space="0"/>
              <w:left w:val="single" w:color="auto" w:sz="4" w:space="0"/>
              <w:right w:val="single" w:color="auto" w:sz="4" w:space="0"/>
            </w:tcBorders>
            <w:noWrap w:val="0"/>
            <w:vAlign w:val="center"/>
          </w:tcPr>
          <w:p w14:paraId="24382AD3">
            <w:pPr>
              <w:jc w:val="center"/>
              <w:rPr>
                <w:rFonts w:ascii="Times New Roman" w:hAnsi="Times New Roman"/>
                <w:color w:val="auto"/>
                <w:highlight w:val="none"/>
              </w:rPr>
            </w:pPr>
            <w:r>
              <w:rPr>
                <w:rFonts w:ascii="Times New Roman" w:hAnsi="Times New Roman"/>
                <w:color w:val="auto"/>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noWrap w:val="0"/>
            <w:vAlign w:val="center"/>
          </w:tcPr>
          <w:p w14:paraId="2FDC3E85">
            <w:pPr>
              <w:ind w:left="420" w:hanging="420" w:hangingChars="200"/>
              <w:rPr>
                <w:rFonts w:ascii="Times New Roman" w:hAnsi="Times New Roman"/>
                <w:color w:val="auto"/>
                <w:highlight w:val="none"/>
              </w:rPr>
            </w:pPr>
            <w:r>
              <w:rPr>
                <w:rFonts w:ascii="Times New Roman" w:hAnsi="Times New Roman"/>
                <w:color w:val="auto"/>
                <w:highlight w:val="none"/>
              </w:rPr>
              <w:t>针对本项目BIM信息化技术应用方案进行评审：</w:t>
            </w:r>
          </w:p>
          <w:p w14:paraId="4EEBD3D6">
            <w:pPr>
              <w:ind w:left="420" w:hanging="420" w:hangingChars="200"/>
              <w:rPr>
                <w:rFonts w:ascii="Times New Roman" w:hAnsi="Times New Roman"/>
                <w:color w:val="auto"/>
                <w:highlight w:val="none"/>
              </w:rPr>
            </w:pPr>
            <w:r>
              <w:rPr>
                <w:rFonts w:ascii="Times New Roman" w:hAnsi="Times New Roman"/>
                <w:color w:val="auto"/>
                <w:highlight w:val="none"/>
              </w:rPr>
              <w:t>优：根据项目特点，论述BIM服务内容与措施清晰准确，可以辅助业主实现设计的项目精细化管理，得[15,12)分。</w:t>
            </w:r>
          </w:p>
          <w:p w14:paraId="7B3AF29D">
            <w:pPr>
              <w:ind w:left="420" w:hanging="420" w:hangingChars="200"/>
              <w:rPr>
                <w:rFonts w:ascii="Times New Roman" w:hAnsi="Times New Roman"/>
                <w:color w:val="auto"/>
                <w:highlight w:val="none"/>
              </w:rPr>
            </w:pPr>
            <w:r>
              <w:rPr>
                <w:rFonts w:ascii="Times New Roman" w:hAnsi="Times New Roman"/>
                <w:color w:val="auto"/>
                <w:highlight w:val="none"/>
              </w:rPr>
              <w:t>良：根据项目特点，论述BIM服务内容与措施较为清晰，可以辅助业主实现设计的项目精细化管理，得[12,9)分。</w:t>
            </w:r>
          </w:p>
          <w:p w14:paraId="0C4C8D99">
            <w:pPr>
              <w:ind w:left="420" w:hanging="420" w:hangingChars="200"/>
              <w:rPr>
                <w:rFonts w:ascii="Times New Roman" w:hAnsi="Times New Roman"/>
                <w:color w:val="auto"/>
                <w:highlight w:val="none"/>
              </w:rPr>
            </w:pPr>
            <w:r>
              <w:rPr>
                <w:rFonts w:ascii="Times New Roman" w:hAnsi="Times New Roman"/>
                <w:color w:val="auto"/>
                <w:highlight w:val="none"/>
              </w:rPr>
              <w:t>中：根据项目特点，论述BIM服务内容与措施一般，可以辅助业主实现设计的项目精细化管理，得[9,6)分。</w:t>
            </w:r>
          </w:p>
          <w:p w14:paraId="0E5EAADA">
            <w:pPr>
              <w:ind w:left="420" w:hanging="420" w:hangingChars="200"/>
              <w:rPr>
                <w:rFonts w:ascii="Times New Roman" w:hAnsi="Times New Roman"/>
                <w:color w:val="auto"/>
                <w:highlight w:val="none"/>
              </w:rPr>
            </w:pPr>
            <w:r>
              <w:rPr>
                <w:rFonts w:ascii="Times New Roman" w:hAnsi="Times New Roman"/>
                <w:color w:val="auto"/>
                <w:highlight w:val="none"/>
              </w:rPr>
              <w:t>差：根据项目特点，论述BIM服务内容与措施较差，无法辅助业主实现设计的项目精细化管理，得[6,0)分。</w:t>
            </w:r>
          </w:p>
          <w:p w14:paraId="423805EF">
            <w:pPr>
              <w:jc w:val="left"/>
              <w:rPr>
                <w:rFonts w:ascii="Times New Roman" w:hAnsi="Times New Roman"/>
                <w:color w:val="auto"/>
                <w:szCs w:val="21"/>
                <w:highlight w:val="none"/>
              </w:rPr>
            </w:pPr>
            <w:r>
              <w:rPr>
                <w:rFonts w:ascii="Times New Roman" w:hAnsi="Times New Roman"/>
                <w:color w:val="auto"/>
                <w:szCs w:val="21"/>
                <w:highlight w:val="none"/>
              </w:rPr>
              <w:t>未提供或评审内容不全的不得分。</w:t>
            </w:r>
          </w:p>
        </w:tc>
      </w:tr>
      <w:tr w14:paraId="6A8E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noWrap w:val="0"/>
            <w:vAlign w:val="center"/>
          </w:tcPr>
          <w:p w14:paraId="28CE902B">
            <w:pPr>
              <w:jc w:val="center"/>
              <w:rPr>
                <w:rFonts w:ascii="Times New Roman" w:hAnsi="Times New Roman"/>
                <w:color w:val="auto"/>
                <w:szCs w:val="21"/>
                <w:highlight w:val="none"/>
              </w:rPr>
            </w:pPr>
          </w:p>
        </w:tc>
        <w:tc>
          <w:tcPr>
            <w:tcW w:w="832" w:type="dxa"/>
            <w:vMerge w:val="continue"/>
            <w:tcBorders>
              <w:top w:val="single" w:color="auto" w:sz="4" w:space="0"/>
              <w:left w:val="single" w:color="auto" w:sz="4" w:space="0"/>
              <w:right w:val="single" w:color="auto" w:sz="4" w:space="0"/>
            </w:tcBorders>
            <w:noWrap w:val="0"/>
            <w:vAlign w:val="center"/>
          </w:tcPr>
          <w:p w14:paraId="10BB79AE">
            <w:pPr>
              <w:jc w:val="center"/>
              <w:rPr>
                <w:rFonts w:ascii="Times New Roman" w:hAnsi="Times New Roman"/>
                <w:color w:val="auto"/>
                <w:szCs w:val="21"/>
                <w:highlight w:val="none"/>
              </w:rPr>
            </w:pPr>
          </w:p>
        </w:tc>
        <w:tc>
          <w:tcPr>
            <w:tcW w:w="2222" w:type="dxa"/>
            <w:tcBorders>
              <w:top w:val="single" w:color="auto" w:sz="4" w:space="0"/>
              <w:left w:val="single" w:color="auto" w:sz="4" w:space="0"/>
              <w:right w:val="single" w:color="auto" w:sz="4" w:space="0"/>
            </w:tcBorders>
            <w:noWrap w:val="0"/>
            <w:vAlign w:val="center"/>
          </w:tcPr>
          <w:p w14:paraId="5A8497B4">
            <w:pPr>
              <w:jc w:val="center"/>
              <w:rPr>
                <w:rFonts w:ascii="Times New Roman" w:hAnsi="Times New Roman"/>
                <w:color w:val="auto"/>
                <w:szCs w:val="21"/>
                <w:highlight w:val="none"/>
              </w:rPr>
            </w:pPr>
            <w:r>
              <w:rPr>
                <w:rFonts w:ascii="Times New Roman" w:hAnsi="Times New Roman"/>
                <w:color w:val="auto"/>
                <w:szCs w:val="21"/>
                <w:highlight w:val="none"/>
              </w:rPr>
              <w:t>质量控制措施（5分）</w:t>
            </w:r>
          </w:p>
        </w:tc>
        <w:tc>
          <w:tcPr>
            <w:tcW w:w="10580" w:type="dxa"/>
            <w:tcBorders>
              <w:top w:val="single" w:color="auto" w:sz="4" w:space="0"/>
              <w:left w:val="single" w:color="auto" w:sz="4" w:space="0"/>
              <w:bottom w:val="single" w:color="auto" w:sz="4" w:space="0"/>
              <w:right w:val="single" w:color="auto" w:sz="4" w:space="0"/>
            </w:tcBorders>
            <w:noWrap w:val="0"/>
            <w:vAlign w:val="center"/>
          </w:tcPr>
          <w:p w14:paraId="0E732B9D">
            <w:pPr>
              <w:ind w:left="420" w:hanging="420" w:hangingChars="200"/>
              <w:rPr>
                <w:rFonts w:ascii="Times New Roman" w:hAnsi="Times New Roman"/>
                <w:color w:val="auto"/>
                <w:highlight w:val="none"/>
              </w:rPr>
            </w:pPr>
            <w:r>
              <w:rPr>
                <w:rFonts w:ascii="Times New Roman" w:hAnsi="Times New Roman"/>
                <w:color w:val="auto"/>
                <w:highlight w:val="none"/>
              </w:rPr>
              <w:t>针对本项目编制质量管理目标、质量管理体系、质量保证措施进行评审：</w:t>
            </w:r>
          </w:p>
          <w:p w14:paraId="60E90555">
            <w:pPr>
              <w:ind w:left="420" w:hanging="420" w:hangingChars="200"/>
              <w:rPr>
                <w:rFonts w:ascii="Times New Roman" w:hAnsi="Times New Roman"/>
                <w:color w:val="auto"/>
                <w:highlight w:val="none"/>
              </w:rPr>
            </w:pPr>
            <w:r>
              <w:rPr>
                <w:rFonts w:ascii="Times New Roman" w:hAnsi="Times New Roman"/>
                <w:color w:val="auto"/>
                <w:highlight w:val="none"/>
              </w:rPr>
              <w:t>优：目标、体系结合措施效果显著、合理性相对较强、可操作性相对较强，得[5,4)分。</w:t>
            </w:r>
          </w:p>
          <w:p w14:paraId="0F722C67">
            <w:pPr>
              <w:ind w:left="420" w:hanging="420" w:hangingChars="200"/>
              <w:rPr>
                <w:rFonts w:ascii="Times New Roman" w:hAnsi="Times New Roman"/>
                <w:color w:val="auto"/>
                <w:highlight w:val="none"/>
              </w:rPr>
            </w:pPr>
            <w:r>
              <w:rPr>
                <w:rFonts w:ascii="Times New Roman" w:hAnsi="Times New Roman"/>
                <w:color w:val="auto"/>
                <w:highlight w:val="none"/>
              </w:rPr>
              <w:t>良：目标、体系结合措施相对有效、合理、可操作性相对良好，得[4,3)分。</w:t>
            </w:r>
          </w:p>
          <w:p w14:paraId="1C7D3059">
            <w:pPr>
              <w:ind w:left="420" w:hanging="420" w:hangingChars="200"/>
              <w:rPr>
                <w:rFonts w:ascii="Times New Roman" w:hAnsi="Times New Roman"/>
                <w:color w:val="auto"/>
                <w:highlight w:val="none"/>
              </w:rPr>
            </w:pPr>
            <w:r>
              <w:rPr>
                <w:rFonts w:ascii="Times New Roman" w:hAnsi="Times New Roman"/>
                <w:color w:val="auto"/>
                <w:highlight w:val="none"/>
              </w:rPr>
              <w:t>中：目标、体系结合措施相对效果一般，现场可操作性相对一般，得[3,2)分。</w:t>
            </w:r>
          </w:p>
          <w:p w14:paraId="03070EAE">
            <w:pPr>
              <w:ind w:left="420" w:hanging="420" w:hangingChars="200"/>
              <w:rPr>
                <w:rFonts w:ascii="Times New Roman" w:hAnsi="Times New Roman"/>
                <w:color w:val="auto"/>
                <w:highlight w:val="none"/>
              </w:rPr>
            </w:pPr>
            <w:r>
              <w:rPr>
                <w:rFonts w:ascii="Times New Roman" w:hAnsi="Times New Roman"/>
                <w:color w:val="auto"/>
                <w:highlight w:val="none"/>
              </w:rPr>
              <w:t>差：目标、体系结合措施相对效果较差，现场可操作性相对不高，得[2,0)分。</w:t>
            </w:r>
          </w:p>
          <w:p w14:paraId="708133D1">
            <w:pPr>
              <w:ind w:left="420" w:hanging="420" w:hangingChars="200"/>
              <w:rPr>
                <w:rFonts w:ascii="Times New Roman" w:hAnsi="Times New Roman"/>
                <w:color w:val="auto"/>
                <w:szCs w:val="21"/>
                <w:highlight w:val="none"/>
              </w:rPr>
            </w:pPr>
            <w:r>
              <w:rPr>
                <w:rFonts w:ascii="Times New Roman" w:hAnsi="Times New Roman"/>
                <w:color w:val="auto"/>
                <w:highlight w:val="none"/>
              </w:rPr>
              <w:t>未提供或评审内容不全的不得分。</w:t>
            </w:r>
          </w:p>
        </w:tc>
      </w:tr>
      <w:tr w14:paraId="7133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noWrap w:val="0"/>
            <w:vAlign w:val="center"/>
          </w:tcPr>
          <w:p w14:paraId="469D8CAB">
            <w:pP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noWrap w:val="0"/>
            <w:vAlign w:val="center"/>
          </w:tcPr>
          <w:p w14:paraId="551C5CE0">
            <w:pPr>
              <w:jc w:val="center"/>
              <w:rPr>
                <w:rFonts w:ascii="Times New Roman" w:hAnsi="Times New Roman"/>
                <w:color w:val="auto"/>
                <w:szCs w:val="21"/>
                <w:highlight w:val="none"/>
              </w:rPr>
            </w:pPr>
            <w:r>
              <w:rPr>
                <w:rFonts w:ascii="Times New Roman" w:hAnsi="Times New Roman"/>
                <w:color w:val="auto"/>
                <w:szCs w:val="21"/>
                <w:highlight w:val="none"/>
              </w:rPr>
              <w:t>答辩因素</w:t>
            </w:r>
          </w:p>
          <w:p w14:paraId="7FC01F32">
            <w:pPr>
              <w:jc w:val="center"/>
              <w:rPr>
                <w:rFonts w:ascii="Times New Roman" w:hAnsi="Times New Roman"/>
                <w:color w:val="auto"/>
                <w:szCs w:val="21"/>
                <w:highlight w:val="none"/>
              </w:rPr>
            </w:pPr>
            <w:r>
              <w:rPr>
                <w:rFonts w:ascii="Times New Roman" w:hAnsi="Times New Roman"/>
                <w:color w:val="auto"/>
                <w:szCs w:val="21"/>
                <w:highlight w:val="none"/>
              </w:rPr>
              <w:t>（40分）</w:t>
            </w:r>
          </w:p>
        </w:tc>
        <w:tc>
          <w:tcPr>
            <w:tcW w:w="10580" w:type="dxa"/>
            <w:tcBorders>
              <w:top w:val="single" w:color="auto" w:sz="4" w:space="0"/>
              <w:left w:val="single" w:color="auto" w:sz="4" w:space="0"/>
              <w:bottom w:val="single" w:color="auto" w:sz="4" w:space="0"/>
              <w:right w:val="single" w:color="auto" w:sz="4" w:space="0"/>
            </w:tcBorders>
            <w:noWrap w:val="0"/>
            <w:vAlign w:val="center"/>
          </w:tcPr>
          <w:p w14:paraId="58FCAAAE">
            <w:pPr>
              <w:jc w:val="left"/>
              <w:rPr>
                <w:rFonts w:ascii="Times New Roman" w:hAnsi="Times New Roman"/>
                <w:color w:val="auto"/>
                <w:szCs w:val="21"/>
                <w:highlight w:val="none"/>
              </w:rPr>
            </w:pPr>
            <w:r>
              <w:rPr>
                <w:rFonts w:ascii="Times New Roman" w:hAnsi="Times New Roman"/>
                <w:color w:val="auto"/>
                <w:szCs w:val="21"/>
                <w:highlight w:val="none"/>
              </w:rPr>
              <w:t>投标人派本项目</w:t>
            </w:r>
            <w:r>
              <w:rPr>
                <w:rFonts w:hint="eastAsia" w:ascii="Times New Roman" w:hAnsi="Times New Roman"/>
                <w:color w:val="auto"/>
                <w:szCs w:val="21"/>
                <w:highlight w:val="none"/>
              </w:rPr>
              <w:t>或</w:t>
            </w:r>
            <w:r>
              <w:rPr>
                <w:rFonts w:ascii="Times New Roman" w:hAnsi="Times New Roman"/>
                <w:color w:val="auto"/>
                <w:szCs w:val="21"/>
                <w:highlight w:val="none"/>
              </w:rPr>
              <w:t>各专业负责人组成1-2人的答辩小组进行现场答辩：</w:t>
            </w:r>
          </w:p>
          <w:p w14:paraId="6B0AEE74">
            <w:pPr>
              <w:jc w:val="left"/>
              <w:rPr>
                <w:rFonts w:ascii="Times New Roman" w:hAnsi="Times New Roman"/>
                <w:color w:val="auto"/>
                <w:szCs w:val="21"/>
                <w:highlight w:val="none"/>
              </w:rPr>
            </w:pPr>
            <w:r>
              <w:rPr>
                <w:rFonts w:ascii="Times New Roman" w:hAnsi="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52527A72">
            <w:pPr>
              <w:jc w:val="left"/>
              <w:rPr>
                <w:rFonts w:ascii="Times New Roman" w:hAnsi="Times New Roman"/>
                <w:color w:val="auto"/>
                <w:szCs w:val="21"/>
                <w:highlight w:val="none"/>
              </w:rPr>
            </w:pPr>
            <w:r>
              <w:rPr>
                <w:rFonts w:ascii="Times New Roman" w:hAnsi="Times New Roman"/>
                <w:color w:val="auto"/>
                <w:szCs w:val="21"/>
                <w:highlight w:val="none"/>
              </w:rPr>
              <w:t>表现优秀得[20,15)分，良好得[15,10)分，一般得[10,5)分，差得[5,0)分。本小项最高得20分。</w:t>
            </w:r>
          </w:p>
          <w:p w14:paraId="4A13E93B">
            <w:pPr>
              <w:jc w:val="left"/>
              <w:rPr>
                <w:rFonts w:ascii="Times New Roman" w:hAnsi="Times New Roman"/>
                <w:color w:val="auto"/>
                <w:szCs w:val="21"/>
                <w:highlight w:val="none"/>
              </w:rPr>
            </w:pPr>
            <w:r>
              <w:rPr>
                <w:rFonts w:ascii="Times New Roman" w:hAnsi="Times New Roman"/>
                <w:color w:val="auto"/>
                <w:szCs w:val="21"/>
                <w:highlight w:val="none"/>
              </w:rPr>
              <w:t>2.答辩人员就本项目接受定标委员会提问并进行问答：表现优秀得[20,15)分，良好得[15,10)分，一般得[10,5)分，差得[5,0)分。本小项最高得20分。</w:t>
            </w:r>
          </w:p>
          <w:p w14:paraId="52706639">
            <w:pPr>
              <w:widowControl/>
              <w:jc w:val="left"/>
              <w:rPr>
                <w:rFonts w:ascii="Times New Roman" w:hAnsi="Times New Roman"/>
                <w:color w:val="auto"/>
                <w:szCs w:val="21"/>
                <w:highlight w:val="none"/>
              </w:rPr>
            </w:pPr>
            <w:r>
              <w:rPr>
                <w:rFonts w:ascii="Times New Roman" w:hAnsi="Times New Roman"/>
                <w:color w:val="auto"/>
                <w:szCs w:val="21"/>
                <w:highlight w:val="none"/>
              </w:rPr>
              <w:t>3.投标人未按要求参加现场答辩，以上两项均为0分。</w:t>
            </w:r>
          </w:p>
        </w:tc>
      </w:tr>
    </w:tbl>
    <w:p w14:paraId="58480398">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75D59BD4">
      <w:pPr>
        <w:spacing w:line="440" w:lineRule="exact"/>
        <w:rPr>
          <w:rFonts w:hint="default" w:ascii="Times New Roman" w:hAnsi="Times New Roman" w:cs="Times New Roman"/>
          <w:b/>
          <w:bCs/>
          <w:color w:val="auto"/>
          <w:sz w:val="28"/>
          <w:szCs w:val="28"/>
          <w:highlight w:val="none"/>
        </w:rPr>
      </w:pPr>
      <w:bookmarkStart w:id="171"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1B4F8814">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509D2EBE">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广州开城联晟城市开发投资有限公司</w:t>
      </w:r>
      <w:r>
        <w:rPr>
          <w:rFonts w:hint="default" w:ascii="Times New Roman" w:hAnsi="Times New Roman" w:cs="Times New Roman"/>
          <w:color w:val="auto"/>
          <w:sz w:val="24"/>
          <w:highlight w:val="none"/>
        </w:rPr>
        <w:t>：</w:t>
      </w:r>
    </w:p>
    <w:p w14:paraId="5765FC5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广州市</w:t>
      </w:r>
      <w:bookmarkStart w:id="173" w:name="_GoBack"/>
      <w:bookmarkEnd w:id="173"/>
      <w:r>
        <w:rPr>
          <w:rFonts w:hint="eastAsia" w:ascii="Times New Roman" w:hAnsi="Times New Roman" w:cs="Times New Roman"/>
          <w:color w:val="auto"/>
          <w:sz w:val="24"/>
          <w:szCs w:val="24"/>
          <w:highlight w:val="none"/>
          <w:u w:val="single"/>
          <w:lang w:eastAsia="zh-CN"/>
        </w:rPr>
        <w:t>黄埔区云埔街火村社区莲潭经济合作社城中村改造项目（簕竹片区）复建02地块</w:t>
      </w:r>
      <w:r>
        <w:rPr>
          <w:rFonts w:hint="default" w:ascii="Times New Roman" w:hAnsi="Times New Roman" w:cs="Times New Roman"/>
          <w:color w:val="auto"/>
          <w:sz w:val="24"/>
          <w:szCs w:val="24"/>
          <w:highlight w:val="none"/>
          <w:u w:val="single"/>
        </w:rPr>
        <w:t>勘察初步设计</w:t>
      </w:r>
      <w:r>
        <w:rPr>
          <w:rFonts w:hint="default" w:ascii="Times New Roman" w:hAnsi="Times New Roman" w:cs="Times New Roman"/>
          <w:color w:val="auto"/>
          <w:sz w:val="24"/>
          <w:highlight w:val="none"/>
        </w:rPr>
        <w:t>项目的评标工作，作出郑重声明：</w:t>
      </w:r>
    </w:p>
    <w:p w14:paraId="14C463C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1E534FF3">
      <w:pPr>
        <w:spacing w:line="440" w:lineRule="exact"/>
        <w:ind w:firstLine="5280" w:firstLineChars="2200"/>
        <w:rPr>
          <w:rFonts w:hint="default" w:ascii="Times New Roman" w:hAnsi="Times New Roman" w:cs="Times New Roman"/>
          <w:color w:val="auto"/>
          <w:sz w:val="24"/>
          <w:highlight w:val="none"/>
        </w:rPr>
      </w:pPr>
    </w:p>
    <w:p w14:paraId="7BCC661B">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3C55611A">
      <w:pPr>
        <w:widowControl/>
        <w:jc w:val="right"/>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年   月  日</w:t>
      </w:r>
    </w:p>
    <w:p w14:paraId="6ED417D4">
      <w:pPr>
        <w:widowControl/>
        <w:jc w:val="left"/>
        <w:rPr>
          <w:rFonts w:ascii="Times New Roman" w:hAnsi="Times New Roman" w:cs="Times New Roman"/>
          <w:color w:val="auto"/>
          <w:highlight w:val="none"/>
        </w:rPr>
      </w:pPr>
    </w:p>
    <w:bookmarkEnd w:id="171"/>
    <w:p w14:paraId="4788B529">
      <w:pPr>
        <w:pStyle w:val="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17C9C7A3">
      <w:pPr>
        <w:jc w:val="center"/>
        <w:outlineLvl w:val="0"/>
        <w:rPr>
          <w:rFonts w:hint="default" w:ascii="Times New Roman" w:hAnsi="Times New Roman" w:cs="Times New Roman"/>
          <w:b/>
          <w:color w:val="auto"/>
          <w:sz w:val="32"/>
          <w:szCs w:val="32"/>
          <w:highlight w:val="none"/>
        </w:rPr>
      </w:pPr>
      <w:bookmarkStart w:id="172" w:name="_Toc44943466"/>
      <w:r>
        <w:rPr>
          <w:rFonts w:hint="default" w:ascii="Times New Roman" w:hAnsi="Times New Roman" w:cs="Times New Roman"/>
          <w:b/>
          <w:color w:val="auto"/>
          <w:sz w:val="32"/>
          <w:szCs w:val="32"/>
          <w:highlight w:val="none"/>
        </w:rPr>
        <w:t>本项目拟投入的人员基本情况表</w:t>
      </w:r>
      <w:bookmarkEnd w:id="17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51A8F1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46FD9D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5B5747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4101D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7661277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0C47E6C3">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17FABA35">
            <w:pPr>
              <w:rPr>
                <w:rFonts w:hint="default" w:ascii="Times New Roman" w:hAnsi="Times New Roman" w:cs="Times New Roman"/>
                <w:color w:val="auto"/>
                <w:highlight w:val="none"/>
              </w:rPr>
            </w:pPr>
          </w:p>
        </w:tc>
        <w:tc>
          <w:tcPr>
            <w:tcW w:w="1166" w:type="dxa"/>
            <w:noWrap w:val="0"/>
            <w:vAlign w:val="center"/>
          </w:tcPr>
          <w:p w14:paraId="1B25AF16">
            <w:pPr>
              <w:rPr>
                <w:rFonts w:hint="default" w:ascii="Times New Roman" w:hAnsi="Times New Roman" w:cs="Times New Roman"/>
                <w:color w:val="auto"/>
                <w:highlight w:val="none"/>
              </w:rPr>
            </w:pPr>
          </w:p>
        </w:tc>
        <w:tc>
          <w:tcPr>
            <w:tcW w:w="1203" w:type="dxa"/>
            <w:noWrap w:val="0"/>
            <w:vAlign w:val="center"/>
          </w:tcPr>
          <w:p w14:paraId="7912251B">
            <w:pPr>
              <w:rPr>
                <w:rFonts w:hint="default" w:ascii="Times New Roman" w:hAnsi="Times New Roman" w:cs="Times New Roman"/>
                <w:color w:val="auto"/>
                <w:highlight w:val="none"/>
              </w:rPr>
            </w:pPr>
          </w:p>
        </w:tc>
        <w:tc>
          <w:tcPr>
            <w:tcW w:w="2278" w:type="dxa"/>
            <w:noWrap w:val="0"/>
            <w:vAlign w:val="center"/>
          </w:tcPr>
          <w:p w14:paraId="60C53AA2">
            <w:pPr>
              <w:rPr>
                <w:rFonts w:hint="default" w:ascii="Times New Roman" w:hAnsi="Times New Roman" w:cs="Times New Roman"/>
                <w:color w:val="auto"/>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5C873EE9">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DE75EFF">
            <w:pPr>
              <w:rPr>
                <w:rFonts w:hint="default" w:ascii="Times New Roman" w:hAnsi="Times New Roman" w:cs="Times New Roman"/>
                <w:color w:val="auto"/>
                <w:highlight w:val="none"/>
              </w:rPr>
            </w:pPr>
          </w:p>
        </w:tc>
        <w:tc>
          <w:tcPr>
            <w:tcW w:w="1166" w:type="dxa"/>
            <w:noWrap w:val="0"/>
            <w:vAlign w:val="center"/>
          </w:tcPr>
          <w:p w14:paraId="5C795223">
            <w:pPr>
              <w:rPr>
                <w:rFonts w:hint="default" w:ascii="Times New Roman" w:hAnsi="Times New Roman" w:cs="Times New Roman"/>
                <w:color w:val="auto"/>
                <w:highlight w:val="none"/>
              </w:rPr>
            </w:pPr>
          </w:p>
        </w:tc>
        <w:tc>
          <w:tcPr>
            <w:tcW w:w="1203" w:type="dxa"/>
            <w:noWrap w:val="0"/>
            <w:vAlign w:val="center"/>
          </w:tcPr>
          <w:p w14:paraId="6DB83E05">
            <w:pPr>
              <w:rPr>
                <w:rFonts w:hint="default" w:ascii="Times New Roman" w:hAnsi="Times New Roman" w:cs="Times New Roman"/>
                <w:color w:val="auto"/>
                <w:highlight w:val="none"/>
              </w:rPr>
            </w:pPr>
          </w:p>
        </w:tc>
        <w:tc>
          <w:tcPr>
            <w:tcW w:w="2278" w:type="dxa"/>
            <w:noWrap w:val="0"/>
            <w:vAlign w:val="center"/>
          </w:tcPr>
          <w:p w14:paraId="33CEE3E0">
            <w:pPr>
              <w:rPr>
                <w:rFonts w:hint="default" w:ascii="Times New Roman" w:hAnsi="Times New Roman" w:cs="Times New Roman"/>
                <w:color w:val="auto"/>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4743CFE5">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A96BFBB">
            <w:pPr>
              <w:rPr>
                <w:rFonts w:hint="default" w:ascii="Times New Roman" w:hAnsi="Times New Roman" w:cs="Times New Roman"/>
                <w:color w:val="auto"/>
                <w:highlight w:val="none"/>
              </w:rPr>
            </w:pPr>
          </w:p>
        </w:tc>
        <w:tc>
          <w:tcPr>
            <w:tcW w:w="1166" w:type="dxa"/>
            <w:noWrap w:val="0"/>
            <w:vAlign w:val="center"/>
          </w:tcPr>
          <w:p w14:paraId="0AC54FC0">
            <w:pPr>
              <w:rPr>
                <w:rFonts w:hint="default" w:ascii="Times New Roman" w:hAnsi="Times New Roman" w:cs="Times New Roman"/>
                <w:color w:val="auto"/>
                <w:highlight w:val="none"/>
              </w:rPr>
            </w:pPr>
          </w:p>
        </w:tc>
        <w:tc>
          <w:tcPr>
            <w:tcW w:w="1203" w:type="dxa"/>
            <w:noWrap w:val="0"/>
            <w:vAlign w:val="center"/>
          </w:tcPr>
          <w:p w14:paraId="1E71A8BF">
            <w:pPr>
              <w:rPr>
                <w:rFonts w:hint="default" w:ascii="Times New Roman" w:hAnsi="Times New Roman" w:cs="Times New Roman"/>
                <w:color w:val="auto"/>
                <w:highlight w:val="none"/>
              </w:rPr>
            </w:pPr>
          </w:p>
        </w:tc>
        <w:tc>
          <w:tcPr>
            <w:tcW w:w="2278" w:type="dxa"/>
            <w:noWrap w:val="0"/>
            <w:vAlign w:val="center"/>
          </w:tcPr>
          <w:p w14:paraId="66B1BB22">
            <w:pPr>
              <w:rPr>
                <w:rFonts w:hint="default" w:ascii="Times New Roman" w:hAnsi="Times New Roman" w:cs="Times New Roman"/>
                <w:color w:val="auto"/>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70978A2C">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B94BFDA">
            <w:pPr>
              <w:rPr>
                <w:rFonts w:hint="default" w:ascii="Times New Roman" w:hAnsi="Times New Roman" w:cs="Times New Roman"/>
                <w:color w:val="auto"/>
                <w:highlight w:val="none"/>
              </w:rPr>
            </w:pPr>
          </w:p>
        </w:tc>
        <w:tc>
          <w:tcPr>
            <w:tcW w:w="1166" w:type="dxa"/>
            <w:noWrap w:val="0"/>
            <w:vAlign w:val="center"/>
          </w:tcPr>
          <w:p w14:paraId="2F69118C">
            <w:pPr>
              <w:rPr>
                <w:rFonts w:hint="default" w:ascii="Times New Roman" w:hAnsi="Times New Roman" w:cs="Times New Roman"/>
                <w:color w:val="auto"/>
                <w:highlight w:val="none"/>
              </w:rPr>
            </w:pPr>
          </w:p>
        </w:tc>
        <w:tc>
          <w:tcPr>
            <w:tcW w:w="1203" w:type="dxa"/>
            <w:noWrap w:val="0"/>
            <w:vAlign w:val="center"/>
          </w:tcPr>
          <w:p w14:paraId="532350E5">
            <w:pPr>
              <w:rPr>
                <w:rFonts w:hint="default" w:ascii="Times New Roman" w:hAnsi="Times New Roman" w:cs="Times New Roman"/>
                <w:color w:val="auto"/>
                <w:highlight w:val="none"/>
              </w:rPr>
            </w:pPr>
          </w:p>
        </w:tc>
        <w:tc>
          <w:tcPr>
            <w:tcW w:w="2278" w:type="dxa"/>
            <w:noWrap w:val="0"/>
            <w:vAlign w:val="center"/>
          </w:tcPr>
          <w:p w14:paraId="70FC51B9">
            <w:pPr>
              <w:rPr>
                <w:rFonts w:hint="default" w:ascii="Times New Roman" w:hAnsi="Times New Roman" w:cs="Times New Roman"/>
                <w:color w:val="auto"/>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5A734EBD">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8EEF7D9">
            <w:pPr>
              <w:rPr>
                <w:rFonts w:hint="default" w:ascii="Times New Roman" w:hAnsi="Times New Roman" w:cs="Times New Roman"/>
                <w:color w:val="auto"/>
                <w:highlight w:val="none"/>
              </w:rPr>
            </w:pPr>
          </w:p>
        </w:tc>
        <w:tc>
          <w:tcPr>
            <w:tcW w:w="1166" w:type="dxa"/>
            <w:noWrap w:val="0"/>
            <w:vAlign w:val="center"/>
          </w:tcPr>
          <w:p w14:paraId="24C90FC1">
            <w:pPr>
              <w:rPr>
                <w:rFonts w:hint="default" w:ascii="Times New Roman" w:hAnsi="Times New Roman" w:cs="Times New Roman"/>
                <w:color w:val="auto"/>
                <w:highlight w:val="none"/>
              </w:rPr>
            </w:pPr>
          </w:p>
        </w:tc>
        <w:tc>
          <w:tcPr>
            <w:tcW w:w="1203" w:type="dxa"/>
            <w:noWrap w:val="0"/>
            <w:vAlign w:val="center"/>
          </w:tcPr>
          <w:p w14:paraId="4197393C">
            <w:pPr>
              <w:rPr>
                <w:rFonts w:hint="default" w:ascii="Times New Roman" w:hAnsi="Times New Roman" w:cs="Times New Roman"/>
                <w:color w:val="auto"/>
                <w:highlight w:val="none"/>
              </w:rPr>
            </w:pPr>
          </w:p>
        </w:tc>
        <w:tc>
          <w:tcPr>
            <w:tcW w:w="2278" w:type="dxa"/>
            <w:noWrap w:val="0"/>
            <w:vAlign w:val="center"/>
          </w:tcPr>
          <w:p w14:paraId="07052E21">
            <w:pPr>
              <w:rPr>
                <w:rFonts w:hint="default" w:ascii="Times New Roman" w:hAnsi="Times New Roman" w:cs="Times New Roman"/>
                <w:color w:val="auto"/>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7B48AE21">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41D46C7">
            <w:pPr>
              <w:rPr>
                <w:rFonts w:hint="default" w:ascii="Times New Roman" w:hAnsi="Times New Roman" w:cs="Times New Roman"/>
                <w:color w:val="auto"/>
                <w:highlight w:val="none"/>
              </w:rPr>
            </w:pPr>
          </w:p>
        </w:tc>
        <w:tc>
          <w:tcPr>
            <w:tcW w:w="1166" w:type="dxa"/>
            <w:noWrap w:val="0"/>
            <w:vAlign w:val="center"/>
          </w:tcPr>
          <w:p w14:paraId="5F5E7812">
            <w:pPr>
              <w:rPr>
                <w:rFonts w:hint="default" w:ascii="Times New Roman" w:hAnsi="Times New Roman" w:cs="Times New Roman"/>
                <w:color w:val="auto"/>
                <w:highlight w:val="none"/>
              </w:rPr>
            </w:pPr>
          </w:p>
        </w:tc>
        <w:tc>
          <w:tcPr>
            <w:tcW w:w="1203" w:type="dxa"/>
            <w:noWrap w:val="0"/>
            <w:vAlign w:val="center"/>
          </w:tcPr>
          <w:p w14:paraId="7EC25B61">
            <w:pPr>
              <w:rPr>
                <w:rFonts w:hint="default" w:ascii="Times New Roman" w:hAnsi="Times New Roman" w:cs="Times New Roman"/>
                <w:color w:val="auto"/>
                <w:highlight w:val="none"/>
              </w:rPr>
            </w:pPr>
          </w:p>
        </w:tc>
        <w:tc>
          <w:tcPr>
            <w:tcW w:w="2278" w:type="dxa"/>
            <w:noWrap w:val="0"/>
            <w:vAlign w:val="center"/>
          </w:tcPr>
          <w:p w14:paraId="23360874">
            <w:pPr>
              <w:rPr>
                <w:rFonts w:hint="default" w:ascii="Times New Roman" w:hAnsi="Times New Roman" w:cs="Times New Roman"/>
                <w:color w:val="auto"/>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507E413E">
            <w:pPr>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27EBD2">
            <w:pPr>
              <w:rPr>
                <w:rFonts w:hint="default" w:ascii="Times New Roman" w:hAnsi="Times New Roman" w:cs="Times New Roman"/>
                <w:color w:val="auto"/>
                <w:highlight w:val="none"/>
              </w:rPr>
            </w:pPr>
          </w:p>
        </w:tc>
        <w:tc>
          <w:tcPr>
            <w:tcW w:w="1166" w:type="dxa"/>
            <w:noWrap w:val="0"/>
            <w:vAlign w:val="center"/>
          </w:tcPr>
          <w:p w14:paraId="57406A40">
            <w:pPr>
              <w:rPr>
                <w:rFonts w:hint="default" w:ascii="Times New Roman" w:hAnsi="Times New Roman" w:cs="Times New Roman"/>
                <w:color w:val="auto"/>
                <w:highlight w:val="none"/>
              </w:rPr>
            </w:pPr>
          </w:p>
        </w:tc>
        <w:tc>
          <w:tcPr>
            <w:tcW w:w="1203" w:type="dxa"/>
            <w:noWrap w:val="0"/>
            <w:vAlign w:val="center"/>
          </w:tcPr>
          <w:p w14:paraId="2C53B2D0">
            <w:pPr>
              <w:rPr>
                <w:rFonts w:hint="default" w:ascii="Times New Roman" w:hAnsi="Times New Roman" w:cs="Times New Roman"/>
                <w:color w:val="auto"/>
                <w:highlight w:val="none"/>
              </w:rPr>
            </w:pPr>
          </w:p>
        </w:tc>
        <w:tc>
          <w:tcPr>
            <w:tcW w:w="2278" w:type="dxa"/>
            <w:noWrap w:val="0"/>
            <w:vAlign w:val="center"/>
          </w:tcPr>
          <w:p w14:paraId="6F5A7E26">
            <w:pPr>
              <w:rPr>
                <w:rFonts w:hint="default" w:ascii="Times New Roman" w:hAnsi="Times New Roman" w:cs="Times New Roman"/>
                <w:color w:val="auto"/>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5DE0E4C0">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0C504674">
            <w:pPr>
              <w:rPr>
                <w:rFonts w:hint="default" w:ascii="Times New Roman" w:hAnsi="Times New Roman" w:cs="Times New Roman"/>
                <w:color w:val="auto"/>
                <w:highlight w:val="none"/>
              </w:rPr>
            </w:pPr>
          </w:p>
        </w:tc>
        <w:tc>
          <w:tcPr>
            <w:tcW w:w="1166" w:type="dxa"/>
            <w:noWrap w:val="0"/>
            <w:vAlign w:val="center"/>
          </w:tcPr>
          <w:p w14:paraId="18F5EB28">
            <w:pPr>
              <w:rPr>
                <w:rFonts w:hint="default" w:ascii="Times New Roman" w:hAnsi="Times New Roman" w:cs="Times New Roman"/>
                <w:color w:val="auto"/>
                <w:highlight w:val="none"/>
              </w:rPr>
            </w:pPr>
          </w:p>
        </w:tc>
        <w:tc>
          <w:tcPr>
            <w:tcW w:w="1203" w:type="dxa"/>
            <w:noWrap w:val="0"/>
            <w:vAlign w:val="center"/>
          </w:tcPr>
          <w:p w14:paraId="1FA534C1">
            <w:pPr>
              <w:rPr>
                <w:rFonts w:hint="default" w:ascii="Times New Roman" w:hAnsi="Times New Roman" w:cs="Times New Roman"/>
                <w:color w:val="auto"/>
                <w:highlight w:val="none"/>
              </w:rPr>
            </w:pPr>
          </w:p>
        </w:tc>
        <w:tc>
          <w:tcPr>
            <w:tcW w:w="2278" w:type="dxa"/>
            <w:noWrap w:val="0"/>
            <w:vAlign w:val="center"/>
          </w:tcPr>
          <w:p w14:paraId="6DBF6EBA">
            <w:pPr>
              <w:rPr>
                <w:rFonts w:hint="default" w:ascii="Times New Roman" w:hAnsi="Times New Roman" w:cs="Times New Roman"/>
                <w:color w:val="auto"/>
                <w:highlight w:val="none"/>
              </w:rPr>
            </w:pPr>
          </w:p>
        </w:tc>
      </w:tr>
    </w:tbl>
    <w:p w14:paraId="77128AD3">
      <w:pPr>
        <w:rPr>
          <w:rFonts w:hint="default" w:ascii="Times New Roman" w:hAnsi="Times New Roman" w:cs="Times New Roman"/>
          <w:color w:val="auto"/>
          <w:szCs w:val="21"/>
          <w:highlight w:val="none"/>
        </w:rPr>
      </w:pPr>
    </w:p>
    <w:p w14:paraId="442669E8">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2739EA2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1D0FC43A">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2A837CD8">
      <w:pPr>
        <w:rPr>
          <w:rFonts w:hint="default" w:ascii="Times New Roman" w:hAnsi="Times New Roman" w:cs="Times New Roman"/>
          <w:color w:val="auto"/>
          <w:highlight w:val="none"/>
        </w:rPr>
      </w:pPr>
    </w:p>
    <w:p w14:paraId="3B8A942C">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5FE4189">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2A3F8CC7">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72A52772">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37EDE3BF">
            <w:pPr>
              <w:autoSpaceDE w:val="0"/>
              <w:autoSpaceDN w:val="0"/>
              <w:adjustRightInd w:val="0"/>
              <w:spacing w:before="9" w:line="260" w:lineRule="exact"/>
              <w:rPr>
                <w:rFonts w:hint="default" w:ascii="Times New Roman" w:hAnsi="Times New Roman" w:cs="Times New Roman"/>
                <w:color w:val="auto"/>
                <w:sz w:val="26"/>
                <w:szCs w:val="26"/>
                <w:highlight w:val="none"/>
              </w:rPr>
            </w:pPr>
          </w:p>
          <w:p w14:paraId="50367912">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FCA6CD7">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2F9CA1DB">
            <w:pPr>
              <w:autoSpaceDE w:val="0"/>
              <w:autoSpaceDN w:val="0"/>
              <w:adjustRightInd w:val="0"/>
              <w:spacing w:before="2"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执业注册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72BCF581">
            <w:pPr>
              <w:autoSpaceDE w:val="0"/>
              <w:autoSpaceDN w:val="0"/>
              <w:adjustRightInd w:val="0"/>
              <w:rPr>
                <w:rFonts w:hint="default" w:ascii="Times New Roman" w:hAnsi="Times New Roman" w:cs="Times New Roman"/>
                <w:color w:val="auto"/>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26C34CE">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77D1346C">
            <w:pPr>
              <w:autoSpaceDE w:val="0"/>
              <w:autoSpaceDN w:val="0"/>
              <w:adjustRightInd w:val="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51D879E1">
            <w:pPr>
              <w:autoSpaceDE w:val="0"/>
              <w:autoSpaceDN w:val="0"/>
              <w:adjustRightInd w:val="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7DFBF77D">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63DF98E3">
            <w:pPr>
              <w:autoSpaceDE w:val="0"/>
              <w:autoSpaceDN w:val="0"/>
              <w:adjustRightInd w:val="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55E9ACBF">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76C0B53">
            <w:pPr>
              <w:autoSpaceDE w:val="0"/>
              <w:autoSpaceDN w:val="0"/>
              <w:adjustRightInd w:val="0"/>
              <w:spacing w:before="3" w:line="170" w:lineRule="exact"/>
              <w:rPr>
                <w:rFonts w:hint="default" w:ascii="Times New Roman" w:hAnsi="Times New Roman" w:cs="Times New Roman"/>
                <w:color w:val="auto"/>
                <w:sz w:val="17"/>
                <w:szCs w:val="17"/>
                <w:highlight w:val="none"/>
              </w:rPr>
            </w:pPr>
          </w:p>
          <w:p w14:paraId="2FF73BAE">
            <w:pPr>
              <w:autoSpaceDE w:val="0"/>
              <w:autoSpaceDN w:val="0"/>
              <w:adjustRightInd w:val="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435B58E9">
            <w:pPr>
              <w:autoSpaceDE w:val="0"/>
              <w:autoSpaceDN w:val="0"/>
              <w:adjustRightInd w:val="0"/>
              <w:rPr>
                <w:rFonts w:hint="default" w:ascii="Times New Roman" w:hAnsi="Times New Roman" w:cs="Times New Roman"/>
                <w:color w:val="auto"/>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05141EC">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77258077">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0B9555D2">
            <w:pPr>
              <w:autoSpaceDE w:val="0"/>
              <w:autoSpaceDN w:val="0"/>
              <w:adjustRightInd w:val="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6A8E8C1D">
            <w:pPr>
              <w:autoSpaceDE w:val="0"/>
              <w:autoSpaceDN w:val="0"/>
              <w:adjustRightInd w:val="0"/>
              <w:spacing w:before="6" w:line="170" w:lineRule="exact"/>
              <w:rPr>
                <w:rFonts w:hint="default" w:ascii="Times New Roman" w:hAnsi="Times New Roman" w:cs="Times New Roman"/>
                <w:color w:val="auto"/>
                <w:sz w:val="17"/>
                <w:szCs w:val="17"/>
                <w:highlight w:val="none"/>
              </w:rPr>
            </w:pPr>
          </w:p>
          <w:p w14:paraId="3C8D4077">
            <w:pPr>
              <w:autoSpaceDE w:val="0"/>
              <w:autoSpaceDN w:val="0"/>
              <w:adjustRightInd w:val="0"/>
              <w:ind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4C7CA0C1">
            <w:pPr>
              <w:autoSpaceDE w:val="0"/>
              <w:autoSpaceDN w:val="0"/>
              <w:adjustRightInd w:val="0"/>
              <w:rPr>
                <w:rFonts w:hint="default" w:ascii="Times New Roman" w:hAnsi="Times New Roman" w:cs="Times New Roman"/>
                <w:color w:val="auto"/>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7CB26F74">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4ACEBC89">
            <w:pPr>
              <w:autoSpaceDE w:val="0"/>
              <w:autoSpaceDN w:val="0"/>
              <w:adjustRightInd w:val="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40AC5C56">
            <w:pPr>
              <w:autoSpaceDE w:val="0"/>
              <w:autoSpaceDN w:val="0"/>
              <w:adjustRightInd w:val="0"/>
              <w:spacing w:before="8" w:line="170" w:lineRule="exact"/>
              <w:rPr>
                <w:rFonts w:hint="default" w:ascii="Times New Roman" w:hAnsi="Times New Roman" w:cs="Times New Roman"/>
                <w:color w:val="auto"/>
                <w:sz w:val="17"/>
                <w:szCs w:val="17"/>
                <w:highlight w:val="none"/>
              </w:rPr>
            </w:pPr>
          </w:p>
          <w:p w14:paraId="352827B1">
            <w:pPr>
              <w:autoSpaceDE w:val="0"/>
              <w:autoSpaceDN w:val="0"/>
              <w:adjustRightInd w:val="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009BCFFC">
            <w:pPr>
              <w:autoSpaceDE w:val="0"/>
              <w:autoSpaceDN w:val="0"/>
              <w:adjustRightInd w:val="0"/>
              <w:spacing w:before="1" w:line="170" w:lineRule="exact"/>
              <w:rPr>
                <w:rFonts w:hint="default" w:ascii="Times New Roman" w:hAnsi="Times New Roman" w:cs="Times New Roman"/>
                <w:color w:val="auto"/>
                <w:sz w:val="17"/>
                <w:szCs w:val="17"/>
                <w:highlight w:val="none"/>
              </w:rPr>
            </w:pPr>
          </w:p>
          <w:p w14:paraId="65122F56">
            <w:pPr>
              <w:autoSpaceDE w:val="0"/>
              <w:autoSpaceDN w:val="0"/>
              <w:adjustRightInd w:val="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EA8004E">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63F48F12">
            <w:pPr>
              <w:autoSpaceDE w:val="0"/>
              <w:autoSpaceDN w:val="0"/>
              <w:adjustRightInd w:val="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2F1C2432">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864A8D2">
            <w:pPr>
              <w:autoSpaceDE w:val="0"/>
              <w:autoSpaceDN w:val="0"/>
              <w:adjustRightInd w:val="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25037BD1">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20E7FF99">
            <w:pPr>
              <w:autoSpaceDE w:val="0"/>
              <w:autoSpaceDN w:val="0"/>
              <w:adjustRightInd w:val="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2D902964">
            <w:pPr>
              <w:autoSpaceDE w:val="0"/>
              <w:autoSpaceDN w:val="0"/>
              <w:adjustRightInd w:val="0"/>
              <w:spacing w:before="3" w:line="180" w:lineRule="exact"/>
              <w:rPr>
                <w:rFonts w:hint="default" w:ascii="Times New Roman" w:hAnsi="Times New Roman" w:cs="Times New Roman"/>
                <w:color w:val="auto"/>
                <w:sz w:val="18"/>
                <w:szCs w:val="18"/>
                <w:highlight w:val="none"/>
              </w:rPr>
            </w:pPr>
          </w:p>
          <w:p w14:paraId="77A3C935">
            <w:pPr>
              <w:autoSpaceDE w:val="0"/>
              <w:autoSpaceDN w:val="0"/>
              <w:adjustRightInd w:val="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811653D">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6E057D0">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7F48C3">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CF8548F">
            <w:pPr>
              <w:autoSpaceDE w:val="0"/>
              <w:autoSpaceDN w:val="0"/>
              <w:adjustRightInd w:val="0"/>
              <w:rPr>
                <w:rFonts w:hint="default" w:ascii="Times New Roman" w:hAnsi="Times New Roman" w:cs="Times New Roman"/>
                <w:color w:val="auto"/>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1532CF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D61B9BD">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C837E77">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07CF72">
            <w:pPr>
              <w:autoSpaceDE w:val="0"/>
              <w:autoSpaceDN w:val="0"/>
              <w:adjustRightInd w:val="0"/>
              <w:rPr>
                <w:rFonts w:hint="default" w:ascii="Times New Roman" w:hAnsi="Times New Roman" w:cs="Times New Roman"/>
                <w:color w:val="auto"/>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5FAFD8EE">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26D0204">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2F19EC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4CCD69B9">
            <w:pPr>
              <w:autoSpaceDE w:val="0"/>
              <w:autoSpaceDN w:val="0"/>
              <w:adjustRightInd w:val="0"/>
              <w:rPr>
                <w:rFonts w:hint="default" w:ascii="Times New Roman" w:hAnsi="Times New Roman" w:cs="Times New Roman"/>
                <w:color w:val="auto"/>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06F8AE6B">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DE344E1">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40DC1A9">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4A0A597">
            <w:pPr>
              <w:autoSpaceDE w:val="0"/>
              <w:autoSpaceDN w:val="0"/>
              <w:adjustRightInd w:val="0"/>
              <w:rPr>
                <w:rFonts w:hint="default" w:ascii="Times New Roman" w:hAnsi="Times New Roman" w:cs="Times New Roman"/>
                <w:color w:val="auto"/>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C4B6A27">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0522B5D7">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DB28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78E3A576">
            <w:pPr>
              <w:autoSpaceDE w:val="0"/>
              <w:autoSpaceDN w:val="0"/>
              <w:adjustRightInd w:val="0"/>
              <w:rPr>
                <w:rFonts w:hint="default" w:ascii="Times New Roman" w:hAnsi="Times New Roman" w:cs="Times New Roman"/>
                <w:color w:val="auto"/>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623EA8AF">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4F31189A">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AC1069D">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C2A3EDA">
            <w:pPr>
              <w:autoSpaceDE w:val="0"/>
              <w:autoSpaceDN w:val="0"/>
              <w:adjustRightInd w:val="0"/>
              <w:rPr>
                <w:rFonts w:hint="default" w:ascii="Times New Roman" w:hAnsi="Times New Roman" w:cs="Times New Roman"/>
                <w:color w:val="auto"/>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377D093">
            <w:pPr>
              <w:autoSpaceDE w:val="0"/>
              <w:autoSpaceDN w:val="0"/>
              <w:adjustRightInd w:val="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315888">
            <w:pPr>
              <w:autoSpaceDE w:val="0"/>
              <w:autoSpaceDN w:val="0"/>
              <w:adjustRightInd w:val="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F4C6554">
            <w:pPr>
              <w:autoSpaceDE w:val="0"/>
              <w:autoSpaceDN w:val="0"/>
              <w:adjustRightInd w:val="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0697E3A1">
            <w:pPr>
              <w:autoSpaceDE w:val="0"/>
              <w:autoSpaceDN w:val="0"/>
              <w:adjustRightInd w:val="0"/>
              <w:rPr>
                <w:rFonts w:hint="default" w:ascii="Times New Roman" w:hAnsi="Times New Roman" w:cs="Times New Roman"/>
                <w:color w:val="auto"/>
                <w:sz w:val="24"/>
                <w:highlight w:val="none"/>
              </w:rPr>
            </w:pPr>
          </w:p>
        </w:tc>
      </w:tr>
    </w:tbl>
    <w:p w14:paraId="60A91B2D">
      <w:pPr>
        <w:autoSpaceDE w:val="0"/>
        <w:autoSpaceDN w:val="0"/>
        <w:adjustRightInd w:val="0"/>
        <w:spacing w:line="110" w:lineRule="exact"/>
        <w:rPr>
          <w:rFonts w:hint="default" w:ascii="Times New Roman" w:hAnsi="Times New Roman" w:cs="Times New Roman"/>
          <w:color w:val="auto"/>
          <w:sz w:val="11"/>
          <w:szCs w:val="11"/>
          <w:highlight w:val="none"/>
        </w:rPr>
      </w:pPr>
    </w:p>
    <w:p w14:paraId="6400E732">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271B092">
      <w:pPr>
        <w:pStyle w:val="3"/>
        <w:widowControl/>
        <w:rPr>
          <w:rFonts w:ascii="Times New Roman" w:hAnsi="Times New Roman" w:cs="Times New Roman"/>
          <w:color w:val="auto"/>
          <w:sz w:val="24"/>
          <w:szCs w:val="24"/>
          <w:highlight w:val="none"/>
        </w:rPr>
      </w:pPr>
    </w:p>
    <w:p w14:paraId="2D7A4A60">
      <w:pPr>
        <w:spacing w:line="360" w:lineRule="auto"/>
        <w:jc w:val="left"/>
        <w:rPr>
          <w:rFonts w:hint="default" w:ascii="Times New Roman" w:hAnsi="Times New Roman" w:cs="Times New Roman"/>
          <w:color w:val="auto"/>
          <w:sz w:val="18"/>
          <w:szCs w:val="18"/>
          <w:highlight w:val="none"/>
        </w:rPr>
      </w:pPr>
    </w:p>
    <w:p w14:paraId="5ACB16A4">
      <w:pPr>
        <w:pStyle w:val="5"/>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1DC27B99">
      <w:pPr>
        <w:rPr>
          <w:rFonts w:hint="default" w:ascii="Times New Roman" w:hAnsi="Times New Roman" w:cs="Times New Roman"/>
          <w:color w:val="auto"/>
          <w:highlight w:val="none"/>
        </w:rPr>
      </w:pPr>
    </w:p>
    <w:p w14:paraId="6F88D6FC">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22674398">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default" w:ascii="Times New Roman" w:hAnsi="Times New Roman" w:cs="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default" w:ascii="Times New Roman" w:hAnsi="Times New Roman" w:cs="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default" w:ascii="Times New Roman" w:hAnsi="Times New Roman" w:cs="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default" w:ascii="Times New Roman" w:hAnsi="Times New Roman" w:cs="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default" w:ascii="Times New Roman" w:hAnsi="Times New Roman" w:cs="Times New Roman"/>
                <w:color w:val="auto"/>
                <w:szCs w:val="21"/>
                <w:highlight w:val="none"/>
              </w:rPr>
            </w:pPr>
          </w:p>
        </w:tc>
      </w:tr>
    </w:tbl>
    <w:p w14:paraId="1DD063CE">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3BF2675B">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CC2F7C3">
      <w:pPr>
        <w:pStyle w:val="2"/>
        <w:rPr>
          <w:rFonts w:ascii="Times New Roman" w:hAnsi="Times New Roman" w:cs="Times New Roman"/>
          <w:color w:val="auto"/>
          <w:highlight w:val="none"/>
        </w:rPr>
      </w:pPr>
    </w:p>
    <w:p w14:paraId="0FC04DA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4E3B00"/>
    <w:rsid w:val="037473F9"/>
    <w:rsid w:val="03B1713F"/>
    <w:rsid w:val="04073486"/>
    <w:rsid w:val="047563BF"/>
    <w:rsid w:val="05B44CC5"/>
    <w:rsid w:val="05E05ABA"/>
    <w:rsid w:val="05E22F6E"/>
    <w:rsid w:val="06A74829"/>
    <w:rsid w:val="072145DC"/>
    <w:rsid w:val="075306D3"/>
    <w:rsid w:val="075A2B1B"/>
    <w:rsid w:val="0874698D"/>
    <w:rsid w:val="08BC414F"/>
    <w:rsid w:val="0908779C"/>
    <w:rsid w:val="090A12E5"/>
    <w:rsid w:val="09653AB7"/>
    <w:rsid w:val="0A36214C"/>
    <w:rsid w:val="0AC161B4"/>
    <w:rsid w:val="0BCA279B"/>
    <w:rsid w:val="0C211B34"/>
    <w:rsid w:val="0CEE31B2"/>
    <w:rsid w:val="0D0227BA"/>
    <w:rsid w:val="0D324F55"/>
    <w:rsid w:val="0D330895"/>
    <w:rsid w:val="0D8D11A1"/>
    <w:rsid w:val="0DCD01BE"/>
    <w:rsid w:val="0DF01340"/>
    <w:rsid w:val="0E407A3D"/>
    <w:rsid w:val="0EB80B43"/>
    <w:rsid w:val="0EC37D85"/>
    <w:rsid w:val="0F44530B"/>
    <w:rsid w:val="0FD74963"/>
    <w:rsid w:val="0FD9494D"/>
    <w:rsid w:val="11281150"/>
    <w:rsid w:val="123B3FE9"/>
    <w:rsid w:val="14BE0E10"/>
    <w:rsid w:val="151B105B"/>
    <w:rsid w:val="15B31601"/>
    <w:rsid w:val="162808E4"/>
    <w:rsid w:val="17A728DB"/>
    <w:rsid w:val="17FE4468"/>
    <w:rsid w:val="18040CDB"/>
    <w:rsid w:val="18385765"/>
    <w:rsid w:val="19460C23"/>
    <w:rsid w:val="19A54BF8"/>
    <w:rsid w:val="19C21748"/>
    <w:rsid w:val="1ACC4407"/>
    <w:rsid w:val="1AD55FDC"/>
    <w:rsid w:val="1B9F308F"/>
    <w:rsid w:val="1BA01AB8"/>
    <w:rsid w:val="1BA2004B"/>
    <w:rsid w:val="1BF9784E"/>
    <w:rsid w:val="1C392E7F"/>
    <w:rsid w:val="1C8D0666"/>
    <w:rsid w:val="1CD81789"/>
    <w:rsid w:val="1D3B2B65"/>
    <w:rsid w:val="1D5232E9"/>
    <w:rsid w:val="1D5D57EA"/>
    <w:rsid w:val="1D7D4F25"/>
    <w:rsid w:val="1E733517"/>
    <w:rsid w:val="1F9F3887"/>
    <w:rsid w:val="1FC83E8A"/>
    <w:rsid w:val="1FD06D62"/>
    <w:rsid w:val="20064213"/>
    <w:rsid w:val="223631D9"/>
    <w:rsid w:val="223B434C"/>
    <w:rsid w:val="224157CD"/>
    <w:rsid w:val="227513A1"/>
    <w:rsid w:val="228D0920"/>
    <w:rsid w:val="22A26D6B"/>
    <w:rsid w:val="22DA74AD"/>
    <w:rsid w:val="23E2270E"/>
    <w:rsid w:val="24950BFD"/>
    <w:rsid w:val="24DC5439"/>
    <w:rsid w:val="24FF105C"/>
    <w:rsid w:val="2536529E"/>
    <w:rsid w:val="265754CC"/>
    <w:rsid w:val="26CA0394"/>
    <w:rsid w:val="27710810"/>
    <w:rsid w:val="27D52B4D"/>
    <w:rsid w:val="28217B1C"/>
    <w:rsid w:val="29947F83"/>
    <w:rsid w:val="2A084BFF"/>
    <w:rsid w:val="2B475A44"/>
    <w:rsid w:val="2BB720FB"/>
    <w:rsid w:val="2BEC2AEE"/>
    <w:rsid w:val="2D2307FE"/>
    <w:rsid w:val="2D27476B"/>
    <w:rsid w:val="2DA37F4F"/>
    <w:rsid w:val="2DCA2A28"/>
    <w:rsid w:val="2DF00CF5"/>
    <w:rsid w:val="2DF66D0F"/>
    <w:rsid w:val="2E426A62"/>
    <w:rsid w:val="2E7E638B"/>
    <w:rsid w:val="2F095030"/>
    <w:rsid w:val="2F45067D"/>
    <w:rsid w:val="2FD92212"/>
    <w:rsid w:val="308275EA"/>
    <w:rsid w:val="312608BD"/>
    <w:rsid w:val="314B6311"/>
    <w:rsid w:val="33291F9F"/>
    <w:rsid w:val="333C43C8"/>
    <w:rsid w:val="340A11BC"/>
    <w:rsid w:val="348B5C73"/>
    <w:rsid w:val="355F09A3"/>
    <w:rsid w:val="3569521C"/>
    <w:rsid w:val="35764C90"/>
    <w:rsid w:val="359077B7"/>
    <w:rsid w:val="364827E6"/>
    <w:rsid w:val="36925FE7"/>
    <w:rsid w:val="3704289E"/>
    <w:rsid w:val="37841E99"/>
    <w:rsid w:val="37976071"/>
    <w:rsid w:val="37FE2480"/>
    <w:rsid w:val="3810372D"/>
    <w:rsid w:val="384339BF"/>
    <w:rsid w:val="38CC0B75"/>
    <w:rsid w:val="39557F91"/>
    <w:rsid w:val="3A0713A0"/>
    <w:rsid w:val="3B0A5D0C"/>
    <w:rsid w:val="3B0A6B5A"/>
    <w:rsid w:val="3B9F373E"/>
    <w:rsid w:val="3D2A729E"/>
    <w:rsid w:val="3DAC6D7B"/>
    <w:rsid w:val="3E420D1E"/>
    <w:rsid w:val="400E49F6"/>
    <w:rsid w:val="40343FC8"/>
    <w:rsid w:val="410A340F"/>
    <w:rsid w:val="411C3143"/>
    <w:rsid w:val="414E7948"/>
    <w:rsid w:val="416A5942"/>
    <w:rsid w:val="4170543C"/>
    <w:rsid w:val="42B10150"/>
    <w:rsid w:val="43C73BDB"/>
    <w:rsid w:val="4461570D"/>
    <w:rsid w:val="446472DA"/>
    <w:rsid w:val="45357930"/>
    <w:rsid w:val="454E2F73"/>
    <w:rsid w:val="45C73E0C"/>
    <w:rsid w:val="45DE1FED"/>
    <w:rsid w:val="46213156"/>
    <w:rsid w:val="46BE6B28"/>
    <w:rsid w:val="47353A03"/>
    <w:rsid w:val="47466840"/>
    <w:rsid w:val="47AA512C"/>
    <w:rsid w:val="47B642F1"/>
    <w:rsid w:val="48DC1609"/>
    <w:rsid w:val="4A031344"/>
    <w:rsid w:val="4A58343D"/>
    <w:rsid w:val="4AD30AF6"/>
    <w:rsid w:val="4B615BF4"/>
    <w:rsid w:val="4BD42F98"/>
    <w:rsid w:val="4C83325D"/>
    <w:rsid w:val="4D632C04"/>
    <w:rsid w:val="4DB12E65"/>
    <w:rsid w:val="4E230DD5"/>
    <w:rsid w:val="4F437141"/>
    <w:rsid w:val="502E0428"/>
    <w:rsid w:val="51BC0559"/>
    <w:rsid w:val="52081BED"/>
    <w:rsid w:val="520D0164"/>
    <w:rsid w:val="53634C0D"/>
    <w:rsid w:val="53A54A39"/>
    <w:rsid w:val="53E62F65"/>
    <w:rsid w:val="54302D35"/>
    <w:rsid w:val="5440782E"/>
    <w:rsid w:val="55944BB7"/>
    <w:rsid w:val="55B94C14"/>
    <w:rsid w:val="57256D9D"/>
    <w:rsid w:val="57F30C49"/>
    <w:rsid w:val="58030761"/>
    <w:rsid w:val="585F2D49"/>
    <w:rsid w:val="58990935"/>
    <w:rsid w:val="593C1FE0"/>
    <w:rsid w:val="59B241EC"/>
    <w:rsid w:val="5A357E6A"/>
    <w:rsid w:val="5A5D10E7"/>
    <w:rsid w:val="5C7F276B"/>
    <w:rsid w:val="5D1859F9"/>
    <w:rsid w:val="5D1F55D0"/>
    <w:rsid w:val="5DC4760A"/>
    <w:rsid w:val="5E9A4BA5"/>
    <w:rsid w:val="5EB30DEE"/>
    <w:rsid w:val="5EEE213C"/>
    <w:rsid w:val="5F3C75E9"/>
    <w:rsid w:val="5F5521EA"/>
    <w:rsid w:val="5F5624F8"/>
    <w:rsid w:val="5F9F3570"/>
    <w:rsid w:val="6008124A"/>
    <w:rsid w:val="603E67DA"/>
    <w:rsid w:val="606C4AC2"/>
    <w:rsid w:val="61581B1D"/>
    <w:rsid w:val="61783F6D"/>
    <w:rsid w:val="61DE243D"/>
    <w:rsid w:val="61EF77DE"/>
    <w:rsid w:val="62D63407"/>
    <w:rsid w:val="6329542F"/>
    <w:rsid w:val="63377F9B"/>
    <w:rsid w:val="63780255"/>
    <w:rsid w:val="63A728E8"/>
    <w:rsid w:val="64104931"/>
    <w:rsid w:val="64610811"/>
    <w:rsid w:val="64B13D89"/>
    <w:rsid w:val="67112E9A"/>
    <w:rsid w:val="679E512F"/>
    <w:rsid w:val="67C73559"/>
    <w:rsid w:val="69592EED"/>
    <w:rsid w:val="699E5E58"/>
    <w:rsid w:val="69F3341D"/>
    <w:rsid w:val="6A6A228A"/>
    <w:rsid w:val="6A717343"/>
    <w:rsid w:val="6A7A48B2"/>
    <w:rsid w:val="6AC23015"/>
    <w:rsid w:val="6ACC03FB"/>
    <w:rsid w:val="6AD66881"/>
    <w:rsid w:val="6AFD4215"/>
    <w:rsid w:val="6BCE017D"/>
    <w:rsid w:val="6C3A0AAD"/>
    <w:rsid w:val="6C85415D"/>
    <w:rsid w:val="6CDE55CC"/>
    <w:rsid w:val="6D6455EA"/>
    <w:rsid w:val="6D987B52"/>
    <w:rsid w:val="6DFB5D0A"/>
    <w:rsid w:val="6EBA6A7F"/>
    <w:rsid w:val="6F3D15DC"/>
    <w:rsid w:val="6FB5461F"/>
    <w:rsid w:val="70474E83"/>
    <w:rsid w:val="71CF59B7"/>
    <w:rsid w:val="72607F50"/>
    <w:rsid w:val="73167922"/>
    <w:rsid w:val="73196D06"/>
    <w:rsid w:val="73857B20"/>
    <w:rsid w:val="73CC079E"/>
    <w:rsid w:val="77C81353"/>
    <w:rsid w:val="78FD6DDA"/>
    <w:rsid w:val="79D63CA4"/>
    <w:rsid w:val="7A167330"/>
    <w:rsid w:val="7AFC17EA"/>
    <w:rsid w:val="7BFC781D"/>
    <w:rsid w:val="7C066A04"/>
    <w:rsid w:val="7C156228"/>
    <w:rsid w:val="7C560EBC"/>
    <w:rsid w:val="7CA0592E"/>
    <w:rsid w:val="7CE85FF3"/>
    <w:rsid w:val="7D221A47"/>
    <w:rsid w:val="7DE51D7E"/>
    <w:rsid w:val="7E307C52"/>
    <w:rsid w:val="7F7B6C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eastAsia="宋体" w:cs="宋体"/>
      <w:sz w:val="21"/>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ascii="(使用中文字体)"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3"/>
    <w:qFormat/>
    <w:uiPriority w:val="9"/>
    <w:rPr>
      <w:rFonts w:ascii="Times New Roman" w:hAnsi="Times New Roman" w:eastAsia="宋体" w:cs="Times New Roman"/>
      <w:b/>
      <w:kern w:val="44"/>
      <w:sz w:val="44"/>
      <w:szCs w:val="44"/>
    </w:rPr>
  </w:style>
  <w:style w:type="character" w:customStyle="1" w:styleId="26">
    <w:name w:val="标题 2 字符"/>
    <w:link w:val="4"/>
    <w:qFormat/>
    <w:uiPriority w:val="9"/>
    <w:rPr>
      <w:rFonts w:ascii="Calibri Light" w:hAnsi="Calibri Light" w:eastAsia="宋体" w:cs="Times New Roman"/>
      <w:b/>
      <w:bCs/>
      <w:sz w:val="32"/>
      <w:szCs w:val="32"/>
    </w:rPr>
  </w:style>
  <w:style w:type="character" w:customStyle="1" w:styleId="27">
    <w:name w:val="标题 3 字符"/>
    <w:link w:val="5"/>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27968</Words>
  <Characters>29734</Characters>
  <Lines>2475</Lines>
  <Paragraphs>1820</Paragraphs>
  <TotalTime>7</TotalTime>
  <ScaleCrop>false</ScaleCrop>
  <LinksUpToDate>false</LinksUpToDate>
  <CharactersWithSpaces>30816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陈龙</cp:lastModifiedBy>
  <dcterms:modified xsi:type="dcterms:W3CDTF">2025-11-06T12:02:22Z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5106184EF1D5424CB6FE4F6D09686CBD_13</vt:lpwstr>
  </property>
  <property fmtid="{D5CDD505-2E9C-101B-9397-08002B2CF9AE}" pid="4" name="KSOTemplateDocerSaveRecord">
    <vt:lpwstr>eyJoZGlkIjoiZmFjNTBhMDE0MzcxMjkwMmZjMWQzNTNkMjg5ZDUyMmUiLCJ1c2VySWQiOiIzMjk5OTAxODcifQ==</vt:lpwstr>
  </property>
</Properties>
</file>