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0942C">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仿宋" w:hAnsi="仿宋" w:eastAsia="仿宋" w:cs="宋体"/>
          <w:b/>
          <w:color w:val="333333"/>
          <w:kern w:val="0"/>
          <w:sz w:val="32"/>
          <w:szCs w:val="32"/>
        </w:rPr>
      </w:pPr>
      <w:r>
        <w:rPr>
          <w:rFonts w:hint="eastAsia" w:ascii="仿宋" w:hAnsi="仿宋" w:eastAsia="仿宋" w:cs="宋体"/>
          <w:b/>
          <w:color w:val="333333"/>
          <w:kern w:val="0"/>
          <w:sz w:val="32"/>
          <w:szCs w:val="32"/>
          <w:lang w:eastAsia="zh-CN"/>
        </w:rPr>
        <w:t>广东机电职业技术学院钟落潭校区教学实训楼S-3项目前期设计项目</w:t>
      </w:r>
      <w:r>
        <w:rPr>
          <w:rFonts w:ascii="仿宋" w:hAnsi="仿宋" w:eastAsia="仿宋" w:cs="宋体"/>
          <w:b/>
          <w:color w:val="333333"/>
          <w:kern w:val="0"/>
          <w:sz w:val="32"/>
          <w:szCs w:val="32"/>
        </w:rPr>
        <w:t>补充公告</w:t>
      </w:r>
    </w:p>
    <w:p w14:paraId="2DC49A3B">
      <w:pPr>
        <w:keepNext w:val="0"/>
        <w:keepLines w:val="0"/>
        <w:pageBreakBefore w:val="0"/>
        <w:shd w:val="clear" w:color="auto" w:fill="FFFFFF"/>
        <w:kinsoku/>
        <w:wordWrap/>
        <w:overflowPunct/>
        <w:topLinePunct w:val="0"/>
        <w:autoSpaceDE/>
        <w:autoSpaceDN/>
        <w:bidi w:val="0"/>
        <w:adjustRightInd/>
        <w:snapToGrid/>
        <w:spacing w:line="360" w:lineRule="auto"/>
        <w:ind w:right="-164" w:rightChars="-78" w:firstLine="560" w:firstLineChars="200"/>
        <w:textAlignment w:val="auto"/>
        <w:rPr>
          <w:rFonts w:hint="eastAsia" w:ascii="仿宋" w:hAnsi="仿宋" w:eastAsia="仿宋" w:cs="宋体"/>
          <w:color w:val="3C3C3C"/>
          <w:kern w:val="0"/>
          <w:sz w:val="28"/>
          <w:szCs w:val="28"/>
        </w:rPr>
      </w:pPr>
    </w:p>
    <w:p w14:paraId="616F13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cs="宋体"/>
          <w:color w:val="3C3C3C"/>
          <w:kern w:val="0"/>
          <w:sz w:val="28"/>
          <w:szCs w:val="28"/>
        </w:rPr>
      </w:pPr>
      <w:r>
        <w:rPr>
          <w:rFonts w:hint="eastAsia" w:ascii="仿宋" w:hAnsi="仿宋" w:eastAsia="仿宋" w:cs="宋体"/>
          <w:color w:val="3C3C3C"/>
          <w:kern w:val="0"/>
          <w:sz w:val="28"/>
          <w:szCs w:val="28"/>
          <w:lang w:eastAsia="zh-CN"/>
        </w:rPr>
        <w:t>广东机电职业技术学院钟落潭校区教学实训楼S-3项目前期设计项目</w:t>
      </w:r>
      <w:r>
        <w:rPr>
          <w:rFonts w:hint="eastAsia" w:ascii="仿宋" w:hAnsi="仿宋" w:eastAsia="仿宋" w:cs="宋体"/>
          <w:color w:val="3C3C3C"/>
          <w:kern w:val="0"/>
          <w:sz w:val="28"/>
          <w:szCs w:val="28"/>
        </w:rPr>
        <w:t>[项目编号：JG2025-5102]</w:t>
      </w:r>
      <w:r>
        <w:rPr>
          <w:rFonts w:ascii="仿宋" w:hAnsi="仿宋" w:eastAsia="仿宋" w:cs="宋体"/>
          <w:color w:val="3C3C3C"/>
          <w:kern w:val="0"/>
          <w:sz w:val="28"/>
          <w:szCs w:val="28"/>
        </w:rPr>
        <w:t>招标项目，发布补充公告，内容如下：</w:t>
      </w:r>
    </w:p>
    <w:p w14:paraId="74651881">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宋体"/>
          <w:color w:val="3C3C3C"/>
          <w:kern w:val="0"/>
          <w:sz w:val="28"/>
          <w:szCs w:val="28"/>
          <w:lang w:eastAsia="zh-CN"/>
        </w:rPr>
      </w:pPr>
      <w:r>
        <w:rPr>
          <w:rFonts w:hint="eastAsia" w:ascii="仿宋" w:hAnsi="仿宋" w:eastAsia="仿宋" w:cs="宋体"/>
          <w:color w:val="3C3C3C"/>
          <w:kern w:val="0"/>
          <w:sz w:val="28"/>
          <w:szCs w:val="28"/>
          <w:lang w:eastAsia="zh-CN"/>
        </w:rPr>
        <w:t>一、招标公告及招标文件的修改：</w:t>
      </w:r>
    </w:p>
    <w:tbl>
      <w:tblPr>
        <w:tblStyle w:val="1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20"/>
        <w:gridCol w:w="3402"/>
        <w:gridCol w:w="3402"/>
      </w:tblGrid>
      <w:tr w14:paraId="1AF4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59A2F4F7">
            <w:pPr>
              <w:pStyle w:val="2"/>
              <w:jc w:val="center"/>
              <w:rPr>
                <w:rFonts w:hint="eastAsia" w:ascii="仿宋" w:hAnsi="仿宋" w:eastAsia="仿宋" w:cs="宋体"/>
                <w:color w:val="3C3C3C"/>
                <w:kern w:val="0"/>
                <w:sz w:val="24"/>
                <w:szCs w:val="24"/>
                <w:vertAlign w:val="baseline"/>
                <w:lang w:eastAsia="zh-CN"/>
              </w:rPr>
            </w:pPr>
            <w:r>
              <w:rPr>
                <w:rFonts w:hint="eastAsia" w:ascii="仿宋" w:hAnsi="仿宋" w:eastAsia="仿宋" w:cs="宋体"/>
                <w:color w:val="3C3C3C"/>
                <w:kern w:val="0"/>
                <w:sz w:val="24"/>
                <w:szCs w:val="24"/>
                <w:vertAlign w:val="baseline"/>
                <w:lang w:eastAsia="zh-CN"/>
              </w:rPr>
              <w:t>序号</w:t>
            </w:r>
          </w:p>
        </w:tc>
        <w:tc>
          <w:tcPr>
            <w:tcW w:w="1620" w:type="dxa"/>
            <w:vAlign w:val="center"/>
          </w:tcPr>
          <w:p w14:paraId="60AD7814">
            <w:pPr>
              <w:pStyle w:val="2"/>
              <w:jc w:val="center"/>
              <w:rPr>
                <w:rFonts w:hint="eastAsia" w:ascii="仿宋" w:hAnsi="仿宋" w:eastAsia="仿宋" w:cs="宋体"/>
                <w:color w:val="3C3C3C"/>
                <w:kern w:val="0"/>
                <w:sz w:val="24"/>
                <w:szCs w:val="24"/>
                <w:vertAlign w:val="baseline"/>
                <w:lang w:eastAsia="zh-CN"/>
              </w:rPr>
            </w:pPr>
            <w:r>
              <w:rPr>
                <w:rFonts w:hint="eastAsia" w:ascii="仿宋" w:hAnsi="仿宋" w:eastAsia="仿宋" w:cs="宋体"/>
                <w:color w:val="3C3C3C"/>
                <w:kern w:val="0"/>
                <w:sz w:val="24"/>
                <w:szCs w:val="24"/>
                <w:vertAlign w:val="baseline"/>
                <w:lang w:eastAsia="zh-CN"/>
              </w:rPr>
              <w:t>条款号</w:t>
            </w:r>
          </w:p>
        </w:tc>
        <w:tc>
          <w:tcPr>
            <w:tcW w:w="3402" w:type="dxa"/>
            <w:vAlign w:val="center"/>
          </w:tcPr>
          <w:p w14:paraId="0A7AEBF6">
            <w:pPr>
              <w:pStyle w:val="2"/>
              <w:jc w:val="center"/>
              <w:rPr>
                <w:rFonts w:hint="eastAsia" w:ascii="仿宋" w:hAnsi="仿宋" w:eastAsia="仿宋" w:cs="宋体"/>
                <w:color w:val="3C3C3C"/>
                <w:kern w:val="0"/>
                <w:sz w:val="24"/>
                <w:szCs w:val="24"/>
                <w:vertAlign w:val="baseline"/>
                <w:lang w:eastAsia="zh-CN"/>
              </w:rPr>
            </w:pPr>
            <w:r>
              <w:rPr>
                <w:rFonts w:hint="eastAsia" w:ascii="仿宋" w:hAnsi="仿宋" w:eastAsia="仿宋" w:cs="宋体"/>
                <w:color w:val="3C3C3C"/>
                <w:kern w:val="0"/>
                <w:sz w:val="24"/>
                <w:szCs w:val="24"/>
                <w:vertAlign w:val="baseline"/>
                <w:lang w:eastAsia="zh-CN"/>
              </w:rPr>
              <w:t>原文</w:t>
            </w:r>
          </w:p>
        </w:tc>
        <w:tc>
          <w:tcPr>
            <w:tcW w:w="3402" w:type="dxa"/>
            <w:vAlign w:val="center"/>
          </w:tcPr>
          <w:p w14:paraId="14B47BD1">
            <w:pPr>
              <w:pStyle w:val="2"/>
              <w:jc w:val="center"/>
              <w:rPr>
                <w:rFonts w:hint="eastAsia" w:ascii="仿宋" w:hAnsi="仿宋" w:eastAsia="仿宋" w:cs="宋体"/>
                <w:color w:val="3C3C3C"/>
                <w:kern w:val="0"/>
                <w:sz w:val="24"/>
                <w:szCs w:val="24"/>
                <w:vertAlign w:val="baseline"/>
                <w:lang w:eastAsia="zh-CN"/>
              </w:rPr>
            </w:pPr>
            <w:r>
              <w:rPr>
                <w:rFonts w:hint="eastAsia" w:ascii="仿宋" w:hAnsi="仿宋" w:eastAsia="仿宋" w:cs="宋体"/>
                <w:color w:val="3C3C3C"/>
                <w:kern w:val="0"/>
                <w:sz w:val="24"/>
                <w:szCs w:val="24"/>
                <w:vertAlign w:val="baseline"/>
                <w:lang w:eastAsia="zh-CN"/>
              </w:rPr>
              <w:t>现文</w:t>
            </w:r>
          </w:p>
        </w:tc>
      </w:tr>
      <w:tr w14:paraId="1F30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61A522F1">
            <w:pPr>
              <w:pStyle w:val="2"/>
              <w:jc w:val="center"/>
              <w:rPr>
                <w:rFonts w:hint="eastAsia"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1</w:t>
            </w:r>
          </w:p>
        </w:tc>
        <w:tc>
          <w:tcPr>
            <w:tcW w:w="1620" w:type="dxa"/>
            <w:vAlign w:val="center"/>
          </w:tcPr>
          <w:p w14:paraId="09AF9102">
            <w:pPr>
              <w:pStyle w:val="2"/>
              <w:jc w:val="center"/>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招标公告第3.9款：信誉要求</w:t>
            </w:r>
          </w:p>
        </w:tc>
        <w:tc>
          <w:tcPr>
            <w:tcW w:w="3402" w:type="dxa"/>
            <w:vAlign w:val="center"/>
          </w:tcPr>
          <w:p w14:paraId="196223C2">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3.9 信誉要求：投标人未被列入拖欠农民工工资失信联合惩戒对象名单、未被列入失信被执行人</w:t>
            </w:r>
            <w:r>
              <w:rPr>
                <w:rFonts w:hint="eastAsia" w:ascii="仿宋" w:hAnsi="仿宋" w:eastAsia="仿宋" w:cs="宋体"/>
                <w:b/>
                <w:bCs/>
                <w:color w:val="3C3C3C"/>
                <w:kern w:val="0"/>
                <w:sz w:val="24"/>
                <w:szCs w:val="24"/>
                <w:u w:val="single"/>
                <w:vertAlign w:val="baseline"/>
              </w:rPr>
              <w:t>记录名单</w:t>
            </w:r>
            <w:r>
              <w:rPr>
                <w:rFonts w:hint="eastAsia" w:ascii="仿宋" w:hAnsi="仿宋" w:eastAsia="仿宋" w:cs="宋体"/>
                <w:color w:val="3C3C3C"/>
                <w:kern w:val="0"/>
                <w:sz w:val="24"/>
                <w:szCs w:val="24"/>
                <w:vertAlign w:val="baseline"/>
              </w:rPr>
              <w:t>（注：本项投标人无需提供资料，按投标截止时间广州交易集团有限公司（广州公共资源交易中心）交易系统比对结果进行评审）。</w:t>
            </w:r>
          </w:p>
        </w:tc>
        <w:tc>
          <w:tcPr>
            <w:tcW w:w="3402" w:type="dxa"/>
            <w:vAlign w:val="center"/>
          </w:tcPr>
          <w:p w14:paraId="20AD5AA8">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3.9 信誉要求：投标人未被列入拖欠农民工工资失信联合惩戒对象名单、未被列入失信被执行人（注：本项投标人无需提供资料，按投标截止时间广州交易集团有限公司（广州公共资源交易中心）交易系统比对结果进行评审）。</w:t>
            </w:r>
          </w:p>
        </w:tc>
      </w:tr>
      <w:tr w14:paraId="675F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5FD9E51F">
            <w:pPr>
              <w:pStyle w:val="2"/>
              <w:jc w:val="center"/>
              <w:rPr>
                <w:rFonts w:hint="eastAsia"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2</w:t>
            </w:r>
          </w:p>
        </w:tc>
        <w:tc>
          <w:tcPr>
            <w:tcW w:w="1620" w:type="dxa"/>
            <w:vAlign w:val="center"/>
          </w:tcPr>
          <w:p w14:paraId="01E2A6FD">
            <w:pPr>
              <w:pStyle w:val="2"/>
              <w:jc w:val="center"/>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招标公告附件二：《投标人声明》及招标文件第六章投标文件格式的格式四</w:t>
            </w:r>
          </w:p>
        </w:tc>
        <w:tc>
          <w:tcPr>
            <w:tcW w:w="3402" w:type="dxa"/>
            <w:vAlign w:val="center"/>
          </w:tcPr>
          <w:p w14:paraId="396EAE81">
            <w:pPr>
              <w:pStyle w:val="2"/>
              <w:jc w:val="left"/>
              <w:rPr>
                <w:rFonts w:hint="eastAsia" w:ascii="仿宋" w:hAnsi="仿宋" w:eastAsia="仿宋" w:cs="宋体"/>
                <w:color w:val="3C3C3C"/>
                <w:kern w:val="0"/>
                <w:sz w:val="24"/>
                <w:szCs w:val="24"/>
                <w:vertAlign w:val="baseline"/>
                <w:lang w:eastAsia="zh-CN"/>
              </w:rPr>
            </w:pPr>
            <w:r>
              <w:rPr>
                <w:rFonts w:hint="eastAsia" w:ascii="仿宋" w:hAnsi="仿宋" w:eastAsia="仿宋" w:cs="宋体"/>
                <w:color w:val="3C3C3C"/>
                <w:kern w:val="0"/>
                <w:sz w:val="24"/>
                <w:szCs w:val="24"/>
                <w:vertAlign w:val="baseline"/>
                <w:lang w:eastAsia="zh-CN"/>
              </w:rPr>
              <w:t>详见原招标公告及招标文件</w:t>
            </w:r>
          </w:p>
        </w:tc>
        <w:tc>
          <w:tcPr>
            <w:tcW w:w="3402" w:type="dxa"/>
            <w:vAlign w:val="center"/>
          </w:tcPr>
          <w:p w14:paraId="12205E54">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详见本补充公告附件一</w:t>
            </w:r>
          </w:p>
        </w:tc>
      </w:tr>
      <w:tr w14:paraId="22F3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02E61380">
            <w:pPr>
              <w:pStyle w:val="2"/>
              <w:jc w:val="center"/>
              <w:rPr>
                <w:rFonts w:hint="eastAsia"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3</w:t>
            </w:r>
          </w:p>
        </w:tc>
        <w:tc>
          <w:tcPr>
            <w:tcW w:w="1620" w:type="dxa"/>
            <w:vAlign w:val="center"/>
          </w:tcPr>
          <w:p w14:paraId="11CAA780">
            <w:pPr>
              <w:pStyle w:val="2"/>
              <w:jc w:val="center"/>
              <w:rPr>
                <w:rFonts w:hint="default"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eastAsia="zh-CN"/>
              </w:rPr>
              <w:t>招标文件第二章投标人须知的《投标人须知前附表》的10.7“经济标评审优惠政策”第</w:t>
            </w:r>
            <w:r>
              <w:rPr>
                <w:rFonts w:hint="eastAsia" w:ascii="仿宋" w:hAnsi="仿宋" w:eastAsia="仿宋" w:cs="宋体"/>
                <w:color w:val="3C3C3C"/>
                <w:kern w:val="0"/>
                <w:sz w:val="24"/>
                <w:szCs w:val="24"/>
                <w:vertAlign w:val="baseline"/>
                <w:lang w:val="en-US" w:eastAsia="zh-CN"/>
              </w:rPr>
              <w:t>4点</w:t>
            </w:r>
          </w:p>
        </w:tc>
        <w:tc>
          <w:tcPr>
            <w:tcW w:w="3402" w:type="dxa"/>
            <w:vAlign w:val="center"/>
          </w:tcPr>
          <w:p w14:paraId="563BCAD9">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本招标项目执行经济标评审优惠政策，当大中型企业向一家或者多家小微企业分包，且分包承诺小微企业的合同份额占到合同总金额30%或以上的，应附</w:t>
            </w:r>
            <w:r>
              <w:rPr>
                <w:rFonts w:hint="eastAsia" w:ascii="仿宋" w:hAnsi="仿宋" w:eastAsia="仿宋" w:cs="宋体"/>
                <w:b/>
                <w:bCs/>
                <w:color w:val="3C3C3C"/>
                <w:kern w:val="0"/>
                <w:sz w:val="24"/>
                <w:szCs w:val="24"/>
                <w:u w:val="single"/>
                <w:vertAlign w:val="baseline"/>
              </w:rPr>
              <w:t>分包意向协议</w:t>
            </w:r>
            <w:r>
              <w:rPr>
                <w:rFonts w:hint="eastAsia" w:ascii="仿宋" w:hAnsi="仿宋" w:eastAsia="仿宋" w:cs="宋体"/>
                <w:color w:val="3C3C3C"/>
                <w:kern w:val="0"/>
                <w:sz w:val="24"/>
                <w:szCs w:val="24"/>
                <w:vertAlign w:val="baseline"/>
              </w:rPr>
              <w:t>（格式详见第六章投标文件格式）对该内容进行明确。</w:t>
            </w:r>
          </w:p>
        </w:tc>
        <w:tc>
          <w:tcPr>
            <w:tcW w:w="3402" w:type="dxa"/>
            <w:vAlign w:val="center"/>
          </w:tcPr>
          <w:p w14:paraId="75302018">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本招标项目执行经济标评审优惠政策，当大中型企业向一家或者多家小微企业分包，且分包承诺小微企业的合同份额占到合同总金额30%或以上的，应附</w:t>
            </w:r>
            <w:r>
              <w:rPr>
                <w:rFonts w:hint="eastAsia" w:ascii="仿宋" w:hAnsi="仿宋" w:eastAsia="仿宋" w:cs="宋体"/>
                <w:b/>
                <w:bCs/>
                <w:color w:val="3C3C3C"/>
                <w:kern w:val="0"/>
                <w:sz w:val="24"/>
                <w:szCs w:val="24"/>
                <w:u w:val="single"/>
                <w:vertAlign w:val="baseline"/>
              </w:rPr>
              <w:t>分包承诺书（格式详见</w:t>
            </w:r>
            <w:r>
              <w:rPr>
                <w:rFonts w:hint="eastAsia" w:ascii="仿宋" w:hAnsi="仿宋" w:eastAsia="仿宋" w:cs="宋体"/>
                <w:b/>
                <w:bCs/>
                <w:color w:val="3C3C3C"/>
                <w:kern w:val="0"/>
                <w:sz w:val="24"/>
                <w:szCs w:val="24"/>
                <w:u w:val="single"/>
                <w:vertAlign w:val="baseline"/>
                <w:lang w:eastAsia="zh-CN"/>
              </w:rPr>
              <w:t>本补充公告附件三</w:t>
            </w:r>
            <w:r>
              <w:rPr>
                <w:rFonts w:hint="eastAsia" w:ascii="仿宋" w:hAnsi="仿宋" w:eastAsia="仿宋" w:cs="宋体"/>
                <w:b/>
                <w:bCs/>
                <w:color w:val="3C3C3C"/>
                <w:kern w:val="0"/>
                <w:sz w:val="24"/>
                <w:szCs w:val="24"/>
                <w:u w:val="single"/>
                <w:vertAlign w:val="baseline"/>
              </w:rPr>
              <w:t>）</w:t>
            </w:r>
            <w:r>
              <w:rPr>
                <w:rFonts w:hint="eastAsia" w:ascii="仿宋" w:hAnsi="仿宋" w:eastAsia="仿宋" w:cs="宋体"/>
                <w:color w:val="3C3C3C"/>
                <w:kern w:val="0"/>
                <w:sz w:val="24"/>
                <w:szCs w:val="24"/>
                <w:vertAlign w:val="baseline"/>
              </w:rPr>
              <w:t>对该内容进行明确。</w:t>
            </w:r>
          </w:p>
        </w:tc>
      </w:tr>
      <w:tr w14:paraId="27FE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0B989952">
            <w:pPr>
              <w:pStyle w:val="2"/>
              <w:jc w:val="center"/>
              <w:rPr>
                <w:rFonts w:hint="eastAsia"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4</w:t>
            </w:r>
          </w:p>
        </w:tc>
        <w:tc>
          <w:tcPr>
            <w:tcW w:w="1620" w:type="dxa"/>
            <w:shd w:val="clear" w:color="auto" w:fill="auto"/>
            <w:vAlign w:val="center"/>
          </w:tcPr>
          <w:p w14:paraId="6A9CA520">
            <w:pPr>
              <w:pStyle w:val="2"/>
              <w:jc w:val="center"/>
              <w:rPr>
                <w:rFonts w:hint="default" w:ascii="仿宋" w:hAnsi="仿宋" w:eastAsia="仿宋" w:cs="宋体"/>
                <w:color w:val="3C3C3C"/>
                <w:kern w:val="0"/>
                <w:sz w:val="24"/>
                <w:szCs w:val="24"/>
                <w:vertAlign w:val="baseline"/>
                <w:lang w:val="en-US" w:eastAsia="zh-CN" w:bidi="ar-SA"/>
              </w:rPr>
            </w:pPr>
            <w:r>
              <w:rPr>
                <w:rFonts w:hint="eastAsia" w:ascii="仿宋" w:hAnsi="仿宋" w:eastAsia="仿宋" w:cs="宋体"/>
                <w:color w:val="3C3C3C"/>
                <w:kern w:val="0"/>
                <w:sz w:val="24"/>
                <w:szCs w:val="24"/>
                <w:vertAlign w:val="baseline"/>
                <w:lang w:eastAsia="zh-CN"/>
              </w:rPr>
              <w:t>招标文件第二章投标人须知的《投标人须知前附表》的10.8“中小企业政策”第</w:t>
            </w:r>
            <w:r>
              <w:rPr>
                <w:rFonts w:hint="eastAsia" w:ascii="仿宋" w:hAnsi="仿宋" w:eastAsia="仿宋" w:cs="宋体"/>
                <w:color w:val="3C3C3C"/>
                <w:kern w:val="0"/>
                <w:sz w:val="24"/>
                <w:szCs w:val="24"/>
                <w:vertAlign w:val="baseline"/>
                <w:lang w:val="en-US" w:eastAsia="zh-CN"/>
              </w:rPr>
              <w:t>2点</w:t>
            </w:r>
          </w:p>
        </w:tc>
        <w:tc>
          <w:tcPr>
            <w:tcW w:w="3402" w:type="dxa"/>
            <w:vAlign w:val="center"/>
          </w:tcPr>
          <w:p w14:paraId="64394047">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2.本项目评标计算价格分时，对小微企业投标的，在采用原报价进行评分的基础上增加其价格得分的5%作为其价格分:对大中型企业与小微企业组成联合体或者大中型企业向一家或者多家小微企业分包(须提供《联合体协议书》（如有）或</w:t>
            </w:r>
            <w:r>
              <w:rPr>
                <w:rFonts w:hint="eastAsia" w:ascii="仿宋" w:hAnsi="仿宋" w:eastAsia="仿宋" w:cs="宋体"/>
                <w:b/>
                <w:bCs/>
                <w:color w:val="3C3C3C"/>
                <w:kern w:val="0"/>
                <w:sz w:val="24"/>
                <w:szCs w:val="24"/>
                <w:u w:val="single"/>
                <w:vertAlign w:val="baseline"/>
              </w:rPr>
              <w:t>《分包意向协议》</w:t>
            </w:r>
            <w:r>
              <w:rPr>
                <w:rFonts w:hint="eastAsia" w:ascii="仿宋" w:hAnsi="仿宋" w:eastAsia="仿宋" w:cs="宋体"/>
                <w:color w:val="3C3C3C"/>
                <w:kern w:val="0"/>
                <w:sz w:val="24"/>
                <w:szCs w:val="24"/>
                <w:vertAlign w:val="baseline"/>
              </w:rPr>
              <w:t>（如有），约定小微企业的合同份额占到合同总金额30%或以上)的,在采用原报价进行评分的基础上增加其价格得分的2%作为其价格分。若原报价已满分，仍可突破满分上限继续享受加分优惠，以实际计算结果作为最终价格分。</w:t>
            </w:r>
          </w:p>
        </w:tc>
        <w:tc>
          <w:tcPr>
            <w:tcW w:w="3402" w:type="dxa"/>
            <w:vAlign w:val="center"/>
          </w:tcPr>
          <w:p w14:paraId="6ED0750D">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2.本项目评标计算价格分时，对小微企业投标的，在采用原报价进行评分的基础上增加其价格得分的5%作为其价格分:对大中型企业与小微企业组成联合体或者大中型企业向一家或者多家小微企业分包(须提供《联合体协议书》（如有）或</w:t>
            </w:r>
            <w:r>
              <w:rPr>
                <w:rFonts w:hint="eastAsia" w:ascii="仿宋" w:hAnsi="仿宋" w:eastAsia="仿宋" w:cs="宋体"/>
                <w:b/>
                <w:bCs/>
                <w:color w:val="3C3C3C"/>
                <w:kern w:val="0"/>
                <w:sz w:val="24"/>
                <w:szCs w:val="24"/>
                <w:u w:val="single"/>
                <w:vertAlign w:val="baseline"/>
              </w:rPr>
              <w:t>《分包承诺书》</w:t>
            </w:r>
            <w:r>
              <w:rPr>
                <w:rFonts w:hint="eastAsia" w:ascii="仿宋" w:hAnsi="仿宋" w:eastAsia="仿宋" w:cs="宋体"/>
                <w:color w:val="3C3C3C"/>
                <w:kern w:val="0"/>
                <w:sz w:val="24"/>
                <w:szCs w:val="24"/>
                <w:vertAlign w:val="baseline"/>
              </w:rPr>
              <w:t>（如有），约定小微企业的合同份额占到合同总金额30%或以上)的,在采用原报价进行评分的基础上增加其价格得分的2%作为其价格分。若原报价已满分，仍可突破满分上限继续享受加分优惠，以实际计算结果作为最终价格分。</w:t>
            </w:r>
          </w:p>
        </w:tc>
      </w:tr>
      <w:tr w14:paraId="26C0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20E41838">
            <w:pPr>
              <w:pStyle w:val="2"/>
              <w:jc w:val="center"/>
              <w:rPr>
                <w:rFonts w:hint="eastAsia"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5</w:t>
            </w:r>
          </w:p>
        </w:tc>
        <w:tc>
          <w:tcPr>
            <w:tcW w:w="1620" w:type="dxa"/>
            <w:vAlign w:val="center"/>
          </w:tcPr>
          <w:p w14:paraId="0FD03026">
            <w:pPr>
              <w:pStyle w:val="2"/>
              <w:jc w:val="center"/>
              <w:rPr>
                <w:rFonts w:hint="eastAsia" w:ascii="仿宋" w:hAnsi="仿宋" w:eastAsia="仿宋" w:cs="宋体"/>
                <w:color w:val="3C3C3C"/>
                <w:kern w:val="0"/>
                <w:sz w:val="24"/>
                <w:szCs w:val="24"/>
                <w:vertAlign w:val="baseline"/>
                <w:lang w:eastAsia="zh-CN"/>
              </w:rPr>
            </w:pPr>
            <w:r>
              <w:rPr>
                <w:rFonts w:hint="eastAsia" w:ascii="仿宋" w:hAnsi="仿宋" w:eastAsia="仿宋" w:cs="宋体"/>
                <w:color w:val="3C3C3C"/>
                <w:kern w:val="0"/>
                <w:sz w:val="24"/>
                <w:szCs w:val="24"/>
                <w:vertAlign w:val="baseline"/>
              </w:rPr>
              <w:t>招标文件第二章投标人须知的3.1 投标文件的组成</w:t>
            </w:r>
            <w:r>
              <w:rPr>
                <w:rFonts w:hint="eastAsia" w:ascii="仿宋" w:hAnsi="仿宋" w:eastAsia="仿宋" w:cs="宋体"/>
                <w:color w:val="3C3C3C"/>
                <w:kern w:val="0"/>
                <w:sz w:val="24"/>
                <w:szCs w:val="24"/>
                <w:vertAlign w:val="baseline"/>
                <w:lang w:eastAsia="zh-CN"/>
              </w:rPr>
              <w:t>的（</w:t>
            </w:r>
            <w:r>
              <w:rPr>
                <w:rFonts w:hint="eastAsia" w:ascii="仿宋" w:hAnsi="仿宋" w:eastAsia="仿宋" w:cs="宋体"/>
                <w:color w:val="3C3C3C"/>
                <w:kern w:val="0"/>
                <w:sz w:val="24"/>
                <w:szCs w:val="24"/>
                <w:vertAlign w:val="baseline"/>
                <w:lang w:val="en-US" w:eastAsia="zh-CN"/>
              </w:rPr>
              <w:t>4</w:t>
            </w:r>
            <w:r>
              <w:rPr>
                <w:rFonts w:hint="eastAsia" w:ascii="仿宋" w:hAnsi="仿宋" w:eastAsia="仿宋" w:cs="宋体"/>
                <w:color w:val="3C3C3C"/>
                <w:kern w:val="0"/>
                <w:sz w:val="24"/>
                <w:szCs w:val="24"/>
                <w:vertAlign w:val="baseline"/>
                <w:lang w:eastAsia="zh-CN"/>
              </w:rPr>
              <w:t>）</w:t>
            </w:r>
          </w:p>
        </w:tc>
        <w:tc>
          <w:tcPr>
            <w:tcW w:w="3402" w:type="dxa"/>
            <w:vAlign w:val="center"/>
          </w:tcPr>
          <w:p w14:paraId="1476FC4A">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（4）投标人认为需要增加的其他资料【包括但不限于：《中小企业声明函》（如有）、</w:t>
            </w:r>
            <w:r>
              <w:rPr>
                <w:rFonts w:hint="eastAsia" w:ascii="仿宋" w:hAnsi="仿宋" w:eastAsia="仿宋" w:cs="宋体"/>
                <w:b/>
                <w:bCs/>
                <w:color w:val="3C3C3C"/>
                <w:kern w:val="0"/>
                <w:sz w:val="24"/>
                <w:szCs w:val="24"/>
                <w:u w:val="single"/>
                <w:vertAlign w:val="baseline"/>
              </w:rPr>
              <w:t>《分包意向协议》</w:t>
            </w:r>
            <w:r>
              <w:rPr>
                <w:rFonts w:hint="eastAsia" w:ascii="仿宋" w:hAnsi="仿宋" w:eastAsia="仿宋" w:cs="宋体"/>
                <w:color w:val="3C3C3C"/>
                <w:kern w:val="0"/>
                <w:sz w:val="24"/>
                <w:szCs w:val="24"/>
                <w:vertAlign w:val="baseline"/>
              </w:rPr>
              <w:t>（如有）、监狱企业的证明文件（如有）、《残疾人福利性单位声明函》（如有）。（按招标文件第六章所附格式要求填写并提交）】。</w:t>
            </w:r>
          </w:p>
        </w:tc>
        <w:tc>
          <w:tcPr>
            <w:tcW w:w="3402" w:type="dxa"/>
            <w:vAlign w:val="center"/>
          </w:tcPr>
          <w:p w14:paraId="16BCF18D">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（4）投标人认为需要增加的其他资料【包括但不限于：《中小企业声明函》（如有）、</w:t>
            </w:r>
            <w:r>
              <w:rPr>
                <w:rFonts w:hint="eastAsia" w:ascii="仿宋" w:hAnsi="仿宋" w:eastAsia="仿宋" w:cs="宋体"/>
                <w:b/>
                <w:bCs/>
                <w:color w:val="3C3C3C"/>
                <w:kern w:val="0"/>
                <w:sz w:val="24"/>
                <w:szCs w:val="24"/>
                <w:u w:val="single"/>
                <w:vertAlign w:val="baseline"/>
              </w:rPr>
              <w:t>《分包承诺书》</w:t>
            </w:r>
            <w:r>
              <w:rPr>
                <w:rFonts w:hint="eastAsia" w:ascii="仿宋" w:hAnsi="仿宋" w:eastAsia="仿宋" w:cs="宋体"/>
                <w:color w:val="3C3C3C"/>
                <w:kern w:val="0"/>
                <w:sz w:val="24"/>
                <w:szCs w:val="24"/>
                <w:vertAlign w:val="baseline"/>
              </w:rPr>
              <w:t>（如有）、监狱企业的证明文件（如有）、《残疾人福利性单位声明函》（如有）。（按招标文件第六章所附格式要求填写并提交）】。</w:t>
            </w:r>
          </w:p>
        </w:tc>
      </w:tr>
      <w:tr w14:paraId="2869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37EF9293">
            <w:pPr>
              <w:pStyle w:val="2"/>
              <w:jc w:val="center"/>
              <w:rPr>
                <w:rFonts w:hint="eastAsia"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6</w:t>
            </w:r>
          </w:p>
        </w:tc>
        <w:tc>
          <w:tcPr>
            <w:tcW w:w="1620" w:type="dxa"/>
            <w:vAlign w:val="center"/>
          </w:tcPr>
          <w:p w14:paraId="332B1AA3">
            <w:pPr>
              <w:pStyle w:val="2"/>
              <w:jc w:val="center"/>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第三章评标办法（综合评估法）的“评标办法前附表”2.2.1的“编列内容”</w:t>
            </w:r>
          </w:p>
        </w:tc>
        <w:tc>
          <w:tcPr>
            <w:tcW w:w="3402" w:type="dxa"/>
            <w:vAlign w:val="center"/>
          </w:tcPr>
          <w:p w14:paraId="193D3682">
            <w:pPr>
              <w:pStyle w:val="2"/>
              <w:jc w:val="left"/>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商务文件（资信业绩评分标准）：30分</w:t>
            </w:r>
          </w:p>
          <w:p w14:paraId="3F975E8C">
            <w:pPr>
              <w:pStyle w:val="2"/>
              <w:jc w:val="left"/>
              <w:rPr>
                <w:rFonts w:hint="eastAsia" w:ascii="仿宋" w:hAnsi="仿宋" w:eastAsia="仿宋" w:cs="宋体"/>
                <w:b w:val="0"/>
                <w:bCs w:val="0"/>
                <w:color w:val="3C3C3C"/>
                <w:kern w:val="0"/>
                <w:sz w:val="24"/>
                <w:szCs w:val="24"/>
                <w:u w:val="none"/>
                <w:vertAlign w:val="baseline"/>
              </w:rPr>
            </w:pPr>
            <w:r>
              <w:rPr>
                <w:rFonts w:hint="eastAsia" w:ascii="仿宋" w:hAnsi="仿宋" w:eastAsia="仿宋" w:cs="宋体"/>
                <w:color w:val="3C3C3C"/>
                <w:kern w:val="0"/>
                <w:sz w:val="24"/>
                <w:szCs w:val="24"/>
                <w:vertAlign w:val="baseline"/>
              </w:rPr>
              <w:t>技术文</w:t>
            </w:r>
            <w:r>
              <w:rPr>
                <w:rFonts w:hint="eastAsia" w:ascii="仿宋" w:hAnsi="仿宋" w:eastAsia="仿宋" w:cs="宋体"/>
                <w:b w:val="0"/>
                <w:bCs w:val="0"/>
                <w:color w:val="3C3C3C"/>
                <w:kern w:val="0"/>
                <w:sz w:val="24"/>
                <w:szCs w:val="24"/>
                <w:u w:val="none"/>
                <w:vertAlign w:val="baseline"/>
              </w:rPr>
              <w:t>件（设计方案评分标准）：60分</w:t>
            </w:r>
          </w:p>
          <w:p w14:paraId="09C351E7">
            <w:pPr>
              <w:pStyle w:val="2"/>
              <w:jc w:val="left"/>
              <w:rPr>
                <w:rFonts w:hint="eastAsia" w:ascii="仿宋" w:hAnsi="仿宋" w:eastAsia="仿宋" w:cs="宋体"/>
                <w:b w:val="0"/>
                <w:bCs w:val="0"/>
                <w:color w:val="3C3C3C"/>
                <w:kern w:val="0"/>
                <w:sz w:val="24"/>
                <w:szCs w:val="24"/>
                <w:u w:val="none"/>
                <w:vertAlign w:val="baseline"/>
              </w:rPr>
            </w:pPr>
            <w:r>
              <w:rPr>
                <w:rFonts w:hint="eastAsia" w:ascii="仿宋" w:hAnsi="仿宋" w:eastAsia="仿宋" w:cs="宋体"/>
                <w:b w:val="0"/>
                <w:bCs w:val="0"/>
                <w:color w:val="3C3C3C"/>
                <w:kern w:val="0"/>
                <w:sz w:val="24"/>
                <w:szCs w:val="24"/>
                <w:u w:val="none"/>
                <w:vertAlign w:val="baseline"/>
              </w:rPr>
              <w:t>投标报价（投标报价评分标准）：10分</w:t>
            </w:r>
          </w:p>
          <w:p w14:paraId="736BBD9B">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综合得分（总得分）=商务文件（资信业绩评分</w:t>
            </w:r>
            <w:r>
              <w:rPr>
                <w:rFonts w:hint="eastAsia" w:ascii="仿宋" w:hAnsi="仿宋" w:eastAsia="仿宋" w:cs="宋体"/>
                <w:b/>
                <w:bCs/>
                <w:color w:val="3C3C3C"/>
                <w:kern w:val="0"/>
                <w:sz w:val="24"/>
                <w:szCs w:val="24"/>
                <w:u w:val="single"/>
                <w:vertAlign w:val="baseline"/>
              </w:rPr>
              <w:t>标准</w:t>
            </w:r>
            <w:r>
              <w:rPr>
                <w:rFonts w:hint="eastAsia" w:ascii="仿宋" w:hAnsi="仿宋" w:eastAsia="仿宋" w:cs="宋体"/>
                <w:color w:val="3C3C3C"/>
                <w:kern w:val="0"/>
                <w:sz w:val="24"/>
                <w:szCs w:val="24"/>
                <w:vertAlign w:val="baseline"/>
              </w:rPr>
              <w:t>）得分+技术文件（设计方案评分</w:t>
            </w:r>
            <w:r>
              <w:rPr>
                <w:rFonts w:hint="eastAsia" w:ascii="仿宋" w:hAnsi="仿宋" w:eastAsia="仿宋" w:cs="宋体"/>
                <w:b/>
                <w:bCs/>
                <w:color w:val="3C3C3C"/>
                <w:kern w:val="0"/>
                <w:sz w:val="24"/>
                <w:szCs w:val="24"/>
                <w:u w:val="single"/>
                <w:vertAlign w:val="baseline"/>
              </w:rPr>
              <w:t>标准</w:t>
            </w:r>
            <w:r>
              <w:rPr>
                <w:rFonts w:hint="eastAsia" w:ascii="仿宋" w:hAnsi="仿宋" w:eastAsia="仿宋" w:cs="宋体"/>
                <w:color w:val="3C3C3C"/>
                <w:kern w:val="0"/>
                <w:sz w:val="24"/>
                <w:szCs w:val="24"/>
                <w:vertAlign w:val="baseline"/>
              </w:rPr>
              <w:t>）得分+投标报价（投标报价评分</w:t>
            </w:r>
            <w:r>
              <w:rPr>
                <w:rFonts w:hint="eastAsia" w:ascii="仿宋" w:hAnsi="仿宋" w:eastAsia="仿宋" w:cs="宋体"/>
                <w:b/>
                <w:bCs/>
                <w:color w:val="3C3C3C"/>
                <w:kern w:val="0"/>
                <w:sz w:val="24"/>
                <w:szCs w:val="24"/>
                <w:u w:val="single"/>
                <w:vertAlign w:val="baseline"/>
              </w:rPr>
              <w:t>标准</w:t>
            </w:r>
            <w:r>
              <w:rPr>
                <w:rFonts w:hint="eastAsia" w:ascii="仿宋" w:hAnsi="仿宋" w:eastAsia="仿宋" w:cs="宋体"/>
                <w:color w:val="3C3C3C"/>
                <w:kern w:val="0"/>
                <w:sz w:val="24"/>
                <w:szCs w:val="24"/>
                <w:vertAlign w:val="baseline"/>
              </w:rPr>
              <w:t>）</w:t>
            </w:r>
          </w:p>
        </w:tc>
        <w:tc>
          <w:tcPr>
            <w:tcW w:w="3402" w:type="dxa"/>
            <w:vAlign w:val="center"/>
          </w:tcPr>
          <w:p w14:paraId="34DD80C9">
            <w:pPr>
              <w:pStyle w:val="2"/>
              <w:jc w:val="left"/>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商务文件（资信业绩评分标准）：30分</w:t>
            </w:r>
          </w:p>
          <w:p w14:paraId="497BD6F7">
            <w:pPr>
              <w:pStyle w:val="2"/>
              <w:jc w:val="left"/>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技术文件（设计方案评分标准）：60分</w:t>
            </w:r>
          </w:p>
          <w:p w14:paraId="79DE8E1F">
            <w:pPr>
              <w:pStyle w:val="2"/>
              <w:jc w:val="left"/>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投标报价（投标报价评分标准）：10分</w:t>
            </w:r>
          </w:p>
          <w:p w14:paraId="566ADA10">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综合得分（总得分）=商务文件（资信业绩评分）得分+技术文件（设计方案评分）得分+投标报价（投标报价评分）</w:t>
            </w:r>
          </w:p>
        </w:tc>
      </w:tr>
      <w:tr w14:paraId="730C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285AC3B7">
            <w:pPr>
              <w:pStyle w:val="2"/>
              <w:jc w:val="center"/>
              <w:rPr>
                <w:rFonts w:hint="eastAsia"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7</w:t>
            </w:r>
          </w:p>
        </w:tc>
        <w:tc>
          <w:tcPr>
            <w:tcW w:w="1620" w:type="dxa"/>
            <w:vAlign w:val="center"/>
          </w:tcPr>
          <w:p w14:paraId="27F8FAF6">
            <w:pPr>
              <w:pStyle w:val="2"/>
              <w:jc w:val="center"/>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第三章评标办法（综合评估法）的附件一</w:t>
            </w:r>
          </w:p>
        </w:tc>
        <w:tc>
          <w:tcPr>
            <w:tcW w:w="3402" w:type="dxa"/>
            <w:vAlign w:val="center"/>
          </w:tcPr>
          <w:p w14:paraId="12A298F0">
            <w:pPr>
              <w:pStyle w:val="2"/>
              <w:jc w:val="left"/>
              <w:rPr>
                <w:rFonts w:hint="eastAsia" w:ascii="仿宋" w:hAnsi="仿宋" w:eastAsia="仿宋" w:cs="宋体"/>
                <w:color w:val="3C3C3C"/>
                <w:kern w:val="0"/>
                <w:sz w:val="24"/>
                <w:szCs w:val="24"/>
                <w:vertAlign w:val="baseline"/>
                <w:lang w:eastAsia="zh-CN"/>
              </w:rPr>
            </w:pPr>
            <w:r>
              <w:rPr>
                <w:rFonts w:hint="eastAsia" w:ascii="仿宋" w:hAnsi="仿宋" w:eastAsia="仿宋" w:cs="宋体"/>
                <w:color w:val="3C3C3C"/>
                <w:kern w:val="0"/>
                <w:sz w:val="24"/>
                <w:szCs w:val="24"/>
                <w:vertAlign w:val="baseline"/>
                <w:lang w:eastAsia="zh-CN"/>
              </w:rPr>
              <w:t>详见原招标文件</w:t>
            </w:r>
          </w:p>
        </w:tc>
        <w:tc>
          <w:tcPr>
            <w:tcW w:w="3402" w:type="dxa"/>
            <w:vAlign w:val="center"/>
          </w:tcPr>
          <w:p w14:paraId="6F5BAAFC">
            <w:pPr>
              <w:pStyle w:val="2"/>
              <w:jc w:val="left"/>
              <w:rPr>
                <w:rFonts w:hint="eastAsia" w:ascii="仿宋" w:hAnsi="仿宋" w:eastAsia="仿宋" w:cs="宋体"/>
                <w:color w:val="3C3C3C"/>
                <w:kern w:val="0"/>
                <w:sz w:val="24"/>
                <w:szCs w:val="24"/>
                <w:vertAlign w:val="baseline"/>
                <w:lang w:eastAsia="zh-CN"/>
              </w:rPr>
            </w:pPr>
            <w:r>
              <w:rPr>
                <w:rFonts w:hint="eastAsia" w:ascii="仿宋" w:hAnsi="仿宋" w:eastAsia="仿宋" w:cs="宋体"/>
                <w:color w:val="3C3C3C"/>
                <w:kern w:val="0"/>
                <w:sz w:val="24"/>
                <w:szCs w:val="24"/>
                <w:vertAlign w:val="baseline"/>
              </w:rPr>
              <w:t>详见本补充公告附件</w:t>
            </w:r>
            <w:r>
              <w:rPr>
                <w:rFonts w:hint="eastAsia" w:ascii="仿宋" w:hAnsi="仿宋" w:eastAsia="仿宋" w:cs="宋体"/>
                <w:color w:val="3C3C3C"/>
                <w:kern w:val="0"/>
                <w:sz w:val="24"/>
                <w:szCs w:val="24"/>
                <w:vertAlign w:val="baseline"/>
                <w:lang w:eastAsia="zh-CN"/>
              </w:rPr>
              <w:t>二</w:t>
            </w:r>
          </w:p>
        </w:tc>
      </w:tr>
      <w:tr w14:paraId="0C87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748DEC71">
            <w:pPr>
              <w:pStyle w:val="2"/>
              <w:jc w:val="center"/>
              <w:rPr>
                <w:rFonts w:hint="default"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8</w:t>
            </w:r>
          </w:p>
        </w:tc>
        <w:tc>
          <w:tcPr>
            <w:tcW w:w="1620" w:type="dxa"/>
            <w:vAlign w:val="center"/>
          </w:tcPr>
          <w:p w14:paraId="3FFCD004">
            <w:pPr>
              <w:pStyle w:val="2"/>
              <w:jc w:val="center"/>
              <w:rPr>
                <w:rFonts w:hint="eastAsia" w:ascii="仿宋" w:hAnsi="仿宋" w:eastAsia="仿宋" w:cs="宋体"/>
                <w:color w:val="3C3C3C"/>
                <w:kern w:val="0"/>
                <w:sz w:val="24"/>
                <w:szCs w:val="24"/>
                <w:vertAlign w:val="baseline"/>
                <w:lang w:eastAsia="zh-CN"/>
              </w:rPr>
            </w:pPr>
            <w:r>
              <w:rPr>
                <w:rFonts w:hint="eastAsia" w:ascii="仿宋" w:hAnsi="仿宋" w:eastAsia="仿宋" w:cs="宋体"/>
                <w:color w:val="3C3C3C"/>
                <w:kern w:val="0"/>
                <w:sz w:val="24"/>
                <w:szCs w:val="24"/>
                <w:vertAlign w:val="baseline"/>
              </w:rPr>
              <w:t>第三章评标办法（综合评估法）的附件</w:t>
            </w:r>
            <w:r>
              <w:rPr>
                <w:rFonts w:hint="eastAsia" w:ascii="仿宋" w:hAnsi="仿宋" w:eastAsia="仿宋" w:cs="宋体"/>
                <w:color w:val="3C3C3C"/>
                <w:kern w:val="0"/>
                <w:sz w:val="24"/>
                <w:szCs w:val="24"/>
                <w:vertAlign w:val="baseline"/>
                <w:lang w:eastAsia="zh-CN"/>
              </w:rPr>
              <w:t>二的2.2.4（2）的“对项目设计重点、难点、关键性技术问题的认识及应对策措施”</w:t>
            </w:r>
          </w:p>
        </w:tc>
        <w:tc>
          <w:tcPr>
            <w:tcW w:w="3402" w:type="dxa"/>
            <w:vAlign w:val="center"/>
          </w:tcPr>
          <w:p w14:paraId="6055E83E">
            <w:pPr>
              <w:pStyle w:val="2"/>
              <w:jc w:val="left"/>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1.优：对招标项目设计重点、难点、关键性技术问题的认识及应对策措施描述准确、符合实际的，得 10分；</w:t>
            </w:r>
          </w:p>
          <w:p w14:paraId="285DA4E0">
            <w:pPr>
              <w:pStyle w:val="2"/>
              <w:jc w:val="left"/>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2.良：对招标项目设计重点、难点、关键性技术问题的认识及应 对策措施描述一般的，得6分；</w:t>
            </w:r>
          </w:p>
          <w:p w14:paraId="1E04FBDB">
            <w:pPr>
              <w:pStyle w:val="2"/>
              <w:jc w:val="left"/>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3.一般：对招标项目设计重点、难点、关键性技术问题有阐述的，得2分；</w:t>
            </w:r>
          </w:p>
          <w:p w14:paraId="6FD9C824">
            <w:pPr>
              <w:pStyle w:val="2"/>
              <w:jc w:val="left"/>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4.不提供的得0分。</w:t>
            </w:r>
          </w:p>
        </w:tc>
        <w:tc>
          <w:tcPr>
            <w:tcW w:w="3402" w:type="dxa"/>
            <w:vAlign w:val="center"/>
          </w:tcPr>
          <w:p w14:paraId="77A2FA7D">
            <w:pPr>
              <w:pStyle w:val="2"/>
              <w:jc w:val="left"/>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1.优：对招标项目设计重点、难点、关键性技术问题的认识及应对策措施描述准确、符合实际的，得 10分；</w:t>
            </w:r>
          </w:p>
          <w:p w14:paraId="1DDC8138">
            <w:pPr>
              <w:pStyle w:val="2"/>
              <w:jc w:val="left"/>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2.良：对招标项目设计重点、难点、关键性技术问题的认识及应 对策措施描述一般的，得6分；</w:t>
            </w:r>
          </w:p>
          <w:p w14:paraId="128E235D">
            <w:pPr>
              <w:pStyle w:val="2"/>
              <w:jc w:val="left"/>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3.一般：对招标项目设计重点、难点、关键性技术问题有阐述的，得2分；</w:t>
            </w:r>
          </w:p>
          <w:p w14:paraId="5F9A66BF">
            <w:pPr>
              <w:pStyle w:val="2"/>
              <w:jc w:val="left"/>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4.不提供的得0分。</w:t>
            </w:r>
          </w:p>
          <w:p w14:paraId="4B2DBD92">
            <w:pPr>
              <w:pStyle w:val="2"/>
              <w:jc w:val="left"/>
              <w:rPr>
                <w:rFonts w:hint="eastAsia" w:ascii="仿宋" w:hAnsi="仿宋" w:eastAsia="仿宋" w:cs="宋体"/>
                <w:color w:val="3C3C3C"/>
                <w:kern w:val="0"/>
                <w:sz w:val="24"/>
                <w:szCs w:val="24"/>
                <w:vertAlign w:val="baseline"/>
                <w:lang w:eastAsia="zh-CN"/>
              </w:rPr>
            </w:pPr>
            <w:r>
              <w:rPr>
                <w:rFonts w:hint="eastAsia" w:ascii="仿宋" w:hAnsi="仿宋" w:eastAsia="仿宋" w:cs="宋体"/>
                <w:b/>
                <w:bCs/>
                <w:color w:val="3C3C3C"/>
                <w:kern w:val="0"/>
                <w:sz w:val="24"/>
                <w:szCs w:val="24"/>
                <w:u w:val="single"/>
                <w:vertAlign w:val="baseline"/>
                <w:lang w:eastAsia="zh-CN"/>
              </w:rPr>
              <w:t>注：本项目的重点、难点详见《设计任务书》（修改版）的重点、难点。</w:t>
            </w:r>
          </w:p>
        </w:tc>
      </w:tr>
      <w:tr w14:paraId="01BC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44DA2996">
            <w:pPr>
              <w:pStyle w:val="2"/>
              <w:jc w:val="center"/>
              <w:rPr>
                <w:rFonts w:hint="default"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8</w:t>
            </w:r>
          </w:p>
        </w:tc>
        <w:tc>
          <w:tcPr>
            <w:tcW w:w="1620" w:type="dxa"/>
            <w:vAlign w:val="center"/>
          </w:tcPr>
          <w:p w14:paraId="26D9D379">
            <w:pPr>
              <w:pStyle w:val="2"/>
              <w:jc w:val="center"/>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第三章评标办法（综合评估法）的3.1.1条</w:t>
            </w:r>
          </w:p>
        </w:tc>
        <w:tc>
          <w:tcPr>
            <w:tcW w:w="3402" w:type="dxa"/>
            <w:vAlign w:val="center"/>
          </w:tcPr>
          <w:p w14:paraId="2197A611">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3.1.1 评标委员会如认为有必要，可以要求投标人提交第二章“投标人须知”规定的有关证明和证件的原件，以便核验。评标委员会依据本章第2.1款规定的标准依次对投标人进行商务文件形式评审、资格评审、商务文件响应性评审。有一项不符合评审标准的，评标委员会应当否决其投标，未能通过评审的投标人，其投标不再参与后续的评审程序。当通过评审的有效投标人不足3名时为招标失败。如果有否决投标提议，则评标委员会成员共同表决，按照少数服从多数的原则决定是否否决其投标。不得将文件顺序、明显的文字错误等列为否决投标的情形。评委发现投标文件中含义不明确、对同类问题表述不一致、有明显文字和计算错误的，应当要求投标人作必要的澄清、说明后再判定投标人是否通过评审，不得直接否决投标。</w:t>
            </w:r>
          </w:p>
        </w:tc>
        <w:tc>
          <w:tcPr>
            <w:tcW w:w="3402" w:type="dxa"/>
            <w:vAlign w:val="center"/>
          </w:tcPr>
          <w:p w14:paraId="4EC86763">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3.1.1 评标委员会如认为有必要，可以要求投标人提交第二章“投标人须知”规定的有关证明和证件的原件，以便核验。评标委员会依据本章第2.1款规定的标准依次对投标人进行商务文件形式评审、资格评审、商务文件响应性评审。有一项不符合评审标准的，评标委员会应当否决其投标，未能通过评审的投标人，其投标不再参与后续的</w:t>
            </w:r>
            <w:r>
              <w:rPr>
                <w:rFonts w:hint="eastAsia" w:ascii="仿宋" w:hAnsi="仿宋" w:eastAsia="仿宋" w:cs="宋体"/>
                <w:b/>
                <w:bCs/>
                <w:color w:val="3C3C3C"/>
                <w:kern w:val="0"/>
                <w:sz w:val="24"/>
                <w:szCs w:val="24"/>
                <w:u w:val="single"/>
                <w:vertAlign w:val="baseline"/>
              </w:rPr>
              <w:t>商务文件</w:t>
            </w:r>
            <w:r>
              <w:rPr>
                <w:rFonts w:hint="eastAsia" w:ascii="仿宋" w:hAnsi="仿宋" w:eastAsia="仿宋" w:cs="宋体"/>
                <w:color w:val="3C3C3C"/>
                <w:kern w:val="0"/>
                <w:sz w:val="24"/>
                <w:szCs w:val="24"/>
                <w:vertAlign w:val="baseline"/>
              </w:rPr>
              <w:t>评审程序。当通过评审的有效投标人不足3名时为招标失败。如果有否决投标提议，则评标委员会成员共同表决，按照少数服从多数的原则决定是否否决其投标。不得将文件顺序、明显的文字错误等列为否决投标的情形。评委发现投标文件中含义不明确、对同类问题表述不一致、有明显文字和计算错误的，应当要求投标人作必要的澄清、说明后再判定投标人是否通过评审，不得直接否决投标。</w:t>
            </w:r>
          </w:p>
        </w:tc>
      </w:tr>
      <w:tr w14:paraId="6FB7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0" w:hRule="atLeast"/>
          <w:jc w:val="center"/>
        </w:trPr>
        <w:tc>
          <w:tcPr>
            <w:tcW w:w="714" w:type="dxa"/>
            <w:vAlign w:val="center"/>
          </w:tcPr>
          <w:p w14:paraId="6CD26765">
            <w:pPr>
              <w:pStyle w:val="2"/>
              <w:jc w:val="center"/>
              <w:rPr>
                <w:rFonts w:hint="default"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9</w:t>
            </w:r>
          </w:p>
        </w:tc>
        <w:tc>
          <w:tcPr>
            <w:tcW w:w="1620" w:type="dxa"/>
            <w:vAlign w:val="center"/>
          </w:tcPr>
          <w:p w14:paraId="7A12EC18">
            <w:pPr>
              <w:pStyle w:val="2"/>
              <w:jc w:val="center"/>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第三章评标办法（综合评估法）的3.3.1 条</w:t>
            </w:r>
          </w:p>
        </w:tc>
        <w:tc>
          <w:tcPr>
            <w:tcW w:w="3402" w:type="dxa"/>
            <w:vAlign w:val="center"/>
          </w:tcPr>
          <w:p w14:paraId="6B7DFD9F">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3.3.1 评标委员会依据本章第2.1款规定的标准对投标人进行技术文件（设计方案）初步评审。有一项不符合评审标准的，评标委员会应当否决其投标，未能通过评审的投标人，其投标不再参与后续的评审程序。当通过评审的有效投标人不足3名时为招标失败。如果有否决投标提议，则评标委员会成员共同表决，按照少数服从多数的原则决定是否否决其投标。不得将文件顺序、明显的文字错误等列为否决投标的情形。</w:t>
            </w:r>
          </w:p>
        </w:tc>
        <w:tc>
          <w:tcPr>
            <w:tcW w:w="3402" w:type="dxa"/>
            <w:vAlign w:val="center"/>
          </w:tcPr>
          <w:p w14:paraId="5E90A83C">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3.3.1 评标委员会依据本章第2.1款规定的标准对投标人进行技术文件（设计方案）初步评审。有一项不符合评审标准的，评标委员会应当否决其投标，未能通过评审的投标人，其投标不再参与后续的</w:t>
            </w:r>
            <w:r>
              <w:rPr>
                <w:rFonts w:hint="eastAsia" w:ascii="仿宋" w:hAnsi="仿宋" w:eastAsia="仿宋" w:cs="宋体"/>
                <w:b/>
                <w:bCs/>
                <w:color w:val="3C3C3C"/>
                <w:kern w:val="0"/>
                <w:sz w:val="24"/>
                <w:szCs w:val="24"/>
                <w:u w:val="single"/>
                <w:vertAlign w:val="baseline"/>
              </w:rPr>
              <w:t>技术文件</w:t>
            </w:r>
            <w:r>
              <w:rPr>
                <w:rFonts w:hint="eastAsia" w:ascii="仿宋" w:hAnsi="仿宋" w:eastAsia="仿宋" w:cs="宋体"/>
                <w:color w:val="3C3C3C"/>
                <w:kern w:val="0"/>
                <w:sz w:val="24"/>
                <w:szCs w:val="24"/>
                <w:vertAlign w:val="baseline"/>
              </w:rPr>
              <w:t>评审程序。当通过评审的有效投标人不足3名时为招标失败。如果有否决投标提议，则评标委员会成员共同表决，按照少数服从多数的原则决定是否否决其投标。不得将文件顺序、明显的文字错误等列为否决投标的情形。</w:t>
            </w:r>
          </w:p>
        </w:tc>
      </w:tr>
      <w:tr w14:paraId="301A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747228B6">
            <w:pPr>
              <w:pStyle w:val="2"/>
              <w:jc w:val="center"/>
              <w:rPr>
                <w:rFonts w:hint="default"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10</w:t>
            </w:r>
          </w:p>
        </w:tc>
        <w:tc>
          <w:tcPr>
            <w:tcW w:w="1620" w:type="dxa"/>
            <w:vAlign w:val="center"/>
          </w:tcPr>
          <w:p w14:paraId="1A020F90">
            <w:pPr>
              <w:pStyle w:val="2"/>
              <w:jc w:val="center"/>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招标文件第六章投标文件格式附录2《投标申请表（关键人员配备）》</w:t>
            </w:r>
          </w:p>
        </w:tc>
        <w:tc>
          <w:tcPr>
            <w:tcW w:w="3402" w:type="dxa"/>
            <w:vAlign w:val="center"/>
          </w:tcPr>
          <w:p w14:paraId="3000DBCA">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lang w:eastAsia="zh-CN"/>
              </w:rPr>
              <w:t>详见原招标文件</w:t>
            </w:r>
          </w:p>
        </w:tc>
        <w:tc>
          <w:tcPr>
            <w:tcW w:w="3402" w:type="dxa"/>
            <w:vAlign w:val="center"/>
          </w:tcPr>
          <w:p w14:paraId="5654CC9C">
            <w:pPr>
              <w:pStyle w:val="2"/>
              <w:jc w:val="left"/>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详见本补充公告附件</w:t>
            </w:r>
            <w:r>
              <w:rPr>
                <w:rFonts w:hint="eastAsia" w:ascii="仿宋" w:hAnsi="仿宋" w:eastAsia="仿宋" w:cs="宋体"/>
                <w:color w:val="3C3C3C"/>
                <w:kern w:val="0"/>
                <w:sz w:val="24"/>
                <w:szCs w:val="24"/>
                <w:vertAlign w:val="baseline"/>
                <w:lang w:val="en-US" w:eastAsia="zh-CN"/>
              </w:rPr>
              <w:t>四</w:t>
            </w:r>
          </w:p>
        </w:tc>
      </w:tr>
      <w:tr w14:paraId="6C98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7145BDD4">
            <w:pPr>
              <w:pStyle w:val="2"/>
              <w:jc w:val="center"/>
              <w:rPr>
                <w:rFonts w:hint="default"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11</w:t>
            </w:r>
          </w:p>
        </w:tc>
        <w:tc>
          <w:tcPr>
            <w:tcW w:w="1620" w:type="dxa"/>
            <w:vAlign w:val="center"/>
          </w:tcPr>
          <w:p w14:paraId="52ED0AB5">
            <w:pPr>
              <w:pStyle w:val="2"/>
              <w:jc w:val="center"/>
              <w:rPr>
                <w:rFonts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招标文件第六章投标文件格式的格式一《资格审查文件、商务文件投标文件封面》</w:t>
            </w:r>
          </w:p>
        </w:tc>
        <w:tc>
          <w:tcPr>
            <w:tcW w:w="3402" w:type="dxa"/>
            <w:shd w:val="clear" w:color="auto" w:fill="auto"/>
            <w:vAlign w:val="center"/>
          </w:tcPr>
          <w:p w14:paraId="10C13593">
            <w:pPr>
              <w:pStyle w:val="2"/>
              <w:jc w:val="left"/>
              <w:rPr>
                <w:rFonts w:ascii="仿宋" w:hAnsi="仿宋" w:eastAsia="仿宋" w:cs="宋体"/>
                <w:color w:val="3C3C3C"/>
                <w:kern w:val="0"/>
                <w:sz w:val="24"/>
                <w:szCs w:val="24"/>
                <w:vertAlign w:val="baseline"/>
                <w:lang w:val="en-US" w:eastAsia="zh-CN" w:bidi="ar-SA"/>
              </w:rPr>
            </w:pPr>
            <w:r>
              <w:rPr>
                <w:rFonts w:hint="eastAsia" w:ascii="仿宋" w:hAnsi="仿宋" w:eastAsia="仿宋" w:cs="宋体"/>
                <w:color w:val="3C3C3C"/>
                <w:kern w:val="0"/>
                <w:sz w:val="24"/>
                <w:szCs w:val="24"/>
                <w:vertAlign w:val="baseline"/>
                <w:lang w:eastAsia="zh-CN"/>
              </w:rPr>
              <w:t>详见原招标文件</w:t>
            </w:r>
          </w:p>
        </w:tc>
        <w:tc>
          <w:tcPr>
            <w:tcW w:w="3402" w:type="dxa"/>
            <w:shd w:val="clear" w:color="auto" w:fill="auto"/>
            <w:vAlign w:val="center"/>
          </w:tcPr>
          <w:p w14:paraId="5AC0C498">
            <w:pPr>
              <w:pStyle w:val="2"/>
              <w:jc w:val="left"/>
              <w:rPr>
                <w:rFonts w:ascii="仿宋" w:hAnsi="仿宋" w:eastAsia="仿宋" w:cs="宋体"/>
                <w:color w:val="3C3C3C"/>
                <w:kern w:val="0"/>
                <w:sz w:val="24"/>
                <w:szCs w:val="24"/>
                <w:vertAlign w:val="baseline"/>
                <w:lang w:val="en-US" w:eastAsia="zh-CN" w:bidi="ar-SA"/>
              </w:rPr>
            </w:pPr>
            <w:r>
              <w:rPr>
                <w:rFonts w:hint="eastAsia" w:ascii="仿宋" w:hAnsi="仿宋" w:eastAsia="仿宋" w:cs="宋体"/>
                <w:color w:val="3C3C3C"/>
                <w:kern w:val="0"/>
                <w:sz w:val="24"/>
                <w:szCs w:val="24"/>
                <w:vertAlign w:val="baseline"/>
              </w:rPr>
              <w:t>详见本补充公告附件</w:t>
            </w:r>
            <w:r>
              <w:rPr>
                <w:rFonts w:hint="eastAsia" w:ascii="仿宋" w:hAnsi="仿宋" w:eastAsia="仿宋" w:cs="宋体"/>
                <w:color w:val="3C3C3C"/>
                <w:kern w:val="0"/>
                <w:sz w:val="24"/>
                <w:szCs w:val="24"/>
                <w:vertAlign w:val="baseline"/>
                <w:lang w:val="en-US" w:eastAsia="zh-CN"/>
              </w:rPr>
              <w:t>五</w:t>
            </w:r>
          </w:p>
        </w:tc>
      </w:tr>
      <w:tr w14:paraId="4854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71608DF9">
            <w:pPr>
              <w:pStyle w:val="2"/>
              <w:jc w:val="center"/>
              <w:rPr>
                <w:rFonts w:hint="default"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12</w:t>
            </w:r>
          </w:p>
        </w:tc>
        <w:tc>
          <w:tcPr>
            <w:tcW w:w="1620" w:type="dxa"/>
            <w:vAlign w:val="center"/>
          </w:tcPr>
          <w:p w14:paraId="1A7FF5E6">
            <w:pPr>
              <w:pStyle w:val="2"/>
              <w:jc w:val="center"/>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招标文件第六章投标文件格式的格式五《投标书及投标书附录》</w:t>
            </w:r>
          </w:p>
        </w:tc>
        <w:tc>
          <w:tcPr>
            <w:tcW w:w="3402" w:type="dxa"/>
            <w:shd w:val="clear" w:color="auto" w:fill="auto"/>
            <w:vAlign w:val="center"/>
          </w:tcPr>
          <w:p w14:paraId="34551695">
            <w:pPr>
              <w:pStyle w:val="2"/>
              <w:jc w:val="left"/>
              <w:rPr>
                <w:rFonts w:hint="eastAsia" w:ascii="仿宋" w:hAnsi="仿宋" w:eastAsia="仿宋" w:cs="宋体"/>
                <w:color w:val="3C3C3C"/>
                <w:kern w:val="0"/>
                <w:sz w:val="24"/>
                <w:szCs w:val="24"/>
                <w:vertAlign w:val="baseline"/>
                <w:lang w:val="en-US" w:eastAsia="zh-CN" w:bidi="ar-SA"/>
              </w:rPr>
            </w:pPr>
            <w:r>
              <w:rPr>
                <w:rFonts w:hint="eastAsia" w:ascii="仿宋" w:hAnsi="仿宋" w:eastAsia="仿宋" w:cs="宋体"/>
                <w:color w:val="3C3C3C"/>
                <w:kern w:val="0"/>
                <w:sz w:val="24"/>
                <w:szCs w:val="24"/>
                <w:vertAlign w:val="baseline"/>
                <w:lang w:eastAsia="zh-CN"/>
              </w:rPr>
              <w:t>详见原招标文件</w:t>
            </w:r>
          </w:p>
        </w:tc>
        <w:tc>
          <w:tcPr>
            <w:tcW w:w="3402" w:type="dxa"/>
            <w:shd w:val="clear" w:color="auto" w:fill="auto"/>
            <w:vAlign w:val="center"/>
          </w:tcPr>
          <w:p w14:paraId="738EDA06">
            <w:pPr>
              <w:pStyle w:val="2"/>
              <w:jc w:val="left"/>
              <w:rPr>
                <w:rFonts w:hint="eastAsia" w:ascii="仿宋" w:hAnsi="仿宋" w:eastAsia="仿宋" w:cs="宋体"/>
                <w:color w:val="3C3C3C"/>
                <w:kern w:val="0"/>
                <w:sz w:val="24"/>
                <w:szCs w:val="24"/>
                <w:vertAlign w:val="baseline"/>
                <w:lang w:val="en-US" w:eastAsia="zh-CN" w:bidi="ar-SA"/>
              </w:rPr>
            </w:pPr>
            <w:r>
              <w:rPr>
                <w:rFonts w:hint="eastAsia" w:ascii="仿宋" w:hAnsi="仿宋" w:eastAsia="仿宋" w:cs="宋体"/>
                <w:color w:val="3C3C3C"/>
                <w:kern w:val="0"/>
                <w:sz w:val="24"/>
                <w:szCs w:val="24"/>
                <w:vertAlign w:val="baseline"/>
              </w:rPr>
              <w:t>详见本补充公告附件</w:t>
            </w:r>
            <w:r>
              <w:rPr>
                <w:rFonts w:hint="eastAsia" w:ascii="仿宋" w:hAnsi="仿宋" w:eastAsia="仿宋" w:cs="宋体"/>
                <w:color w:val="3C3C3C"/>
                <w:kern w:val="0"/>
                <w:sz w:val="24"/>
                <w:szCs w:val="24"/>
                <w:vertAlign w:val="baseline"/>
                <w:lang w:val="en-US" w:eastAsia="zh-CN"/>
              </w:rPr>
              <w:t>六</w:t>
            </w:r>
          </w:p>
        </w:tc>
      </w:tr>
      <w:tr w14:paraId="6AE9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2BC83131">
            <w:pPr>
              <w:pStyle w:val="2"/>
              <w:jc w:val="center"/>
              <w:rPr>
                <w:rFonts w:hint="default"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13</w:t>
            </w:r>
          </w:p>
        </w:tc>
        <w:tc>
          <w:tcPr>
            <w:tcW w:w="1620" w:type="dxa"/>
            <w:vAlign w:val="center"/>
          </w:tcPr>
          <w:p w14:paraId="085A9440">
            <w:pPr>
              <w:pStyle w:val="2"/>
              <w:jc w:val="center"/>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招标文件第六章投标文件格式的格式八《中小企业声明函》（如有）</w:t>
            </w:r>
          </w:p>
        </w:tc>
        <w:tc>
          <w:tcPr>
            <w:tcW w:w="3402" w:type="dxa"/>
            <w:shd w:val="clear" w:color="auto" w:fill="auto"/>
            <w:vAlign w:val="center"/>
          </w:tcPr>
          <w:p w14:paraId="731AC60B">
            <w:pPr>
              <w:pStyle w:val="2"/>
              <w:jc w:val="left"/>
              <w:rPr>
                <w:rFonts w:hint="eastAsia" w:ascii="仿宋" w:hAnsi="仿宋" w:eastAsia="仿宋" w:cs="宋体"/>
                <w:color w:val="3C3C3C"/>
                <w:kern w:val="0"/>
                <w:sz w:val="24"/>
                <w:szCs w:val="24"/>
                <w:vertAlign w:val="baseline"/>
                <w:lang w:val="en-US" w:eastAsia="zh-CN" w:bidi="ar-SA"/>
              </w:rPr>
            </w:pPr>
            <w:r>
              <w:rPr>
                <w:rFonts w:hint="eastAsia" w:ascii="仿宋" w:hAnsi="仿宋" w:eastAsia="仿宋" w:cs="宋体"/>
                <w:color w:val="3C3C3C"/>
                <w:kern w:val="0"/>
                <w:sz w:val="24"/>
                <w:szCs w:val="24"/>
                <w:vertAlign w:val="baseline"/>
                <w:lang w:eastAsia="zh-CN"/>
              </w:rPr>
              <w:t>详见原招标文件</w:t>
            </w:r>
          </w:p>
        </w:tc>
        <w:tc>
          <w:tcPr>
            <w:tcW w:w="3402" w:type="dxa"/>
            <w:shd w:val="clear" w:color="auto" w:fill="auto"/>
            <w:vAlign w:val="center"/>
          </w:tcPr>
          <w:p w14:paraId="4FF59775">
            <w:pPr>
              <w:pStyle w:val="2"/>
              <w:jc w:val="left"/>
              <w:rPr>
                <w:rFonts w:hint="eastAsia" w:ascii="仿宋" w:hAnsi="仿宋" w:eastAsia="仿宋" w:cs="宋体"/>
                <w:color w:val="3C3C3C"/>
                <w:kern w:val="0"/>
                <w:sz w:val="24"/>
                <w:szCs w:val="24"/>
                <w:vertAlign w:val="baseline"/>
                <w:lang w:val="en-US" w:eastAsia="zh-CN" w:bidi="ar-SA"/>
              </w:rPr>
            </w:pPr>
            <w:r>
              <w:rPr>
                <w:rFonts w:hint="eastAsia" w:ascii="仿宋" w:hAnsi="仿宋" w:eastAsia="仿宋" w:cs="宋体"/>
                <w:color w:val="3C3C3C"/>
                <w:kern w:val="0"/>
                <w:sz w:val="24"/>
                <w:szCs w:val="24"/>
                <w:vertAlign w:val="baseline"/>
              </w:rPr>
              <w:t>详见本补充公告附件</w:t>
            </w:r>
            <w:r>
              <w:rPr>
                <w:rFonts w:hint="eastAsia" w:ascii="仿宋" w:hAnsi="仿宋" w:eastAsia="仿宋" w:cs="宋体"/>
                <w:color w:val="3C3C3C"/>
                <w:kern w:val="0"/>
                <w:sz w:val="24"/>
                <w:szCs w:val="24"/>
                <w:vertAlign w:val="baseline"/>
                <w:lang w:val="en-US" w:eastAsia="zh-CN"/>
              </w:rPr>
              <w:t>七</w:t>
            </w:r>
          </w:p>
        </w:tc>
      </w:tr>
      <w:tr w14:paraId="3007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0296192E">
            <w:pPr>
              <w:pStyle w:val="2"/>
              <w:jc w:val="center"/>
              <w:rPr>
                <w:rFonts w:hint="default"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14</w:t>
            </w:r>
          </w:p>
        </w:tc>
        <w:tc>
          <w:tcPr>
            <w:tcW w:w="1620" w:type="dxa"/>
            <w:vAlign w:val="center"/>
          </w:tcPr>
          <w:p w14:paraId="3D89D115">
            <w:pPr>
              <w:pStyle w:val="2"/>
              <w:jc w:val="center"/>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招标文件第六章投标文件格式的格式十《残疾人福利性单位声明函》（如有）</w:t>
            </w:r>
          </w:p>
        </w:tc>
        <w:tc>
          <w:tcPr>
            <w:tcW w:w="3402" w:type="dxa"/>
            <w:shd w:val="clear" w:color="auto" w:fill="auto"/>
            <w:vAlign w:val="center"/>
          </w:tcPr>
          <w:p w14:paraId="20308703">
            <w:pPr>
              <w:pStyle w:val="2"/>
              <w:jc w:val="left"/>
              <w:rPr>
                <w:rFonts w:hint="eastAsia" w:ascii="仿宋" w:hAnsi="仿宋" w:eastAsia="仿宋" w:cs="宋体"/>
                <w:color w:val="3C3C3C"/>
                <w:kern w:val="0"/>
                <w:sz w:val="24"/>
                <w:szCs w:val="24"/>
                <w:vertAlign w:val="baseline"/>
                <w:lang w:eastAsia="zh-CN"/>
              </w:rPr>
            </w:pPr>
            <w:r>
              <w:rPr>
                <w:rFonts w:hint="eastAsia" w:ascii="仿宋" w:hAnsi="仿宋" w:eastAsia="仿宋" w:cs="宋体"/>
                <w:color w:val="3C3C3C"/>
                <w:kern w:val="0"/>
                <w:sz w:val="24"/>
                <w:szCs w:val="24"/>
                <w:vertAlign w:val="baseline"/>
                <w:lang w:eastAsia="zh-CN"/>
              </w:rPr>
              <w:t>详见原招标文件</w:t>
            </w:r>
          </w:p>
        </w:tc>
        <w:tc>
          <w:tcPr>
            <w:tcW w:w="3402" w:type="dxa"/>
            <w:shd w:val="clear" w:color="auto" w:fill="auto"/>
            <w:vAlign w:val="center"/>
          </w:tcPr>
          <w:p w14:paraId="2A6B800A">
            <w:pPr>
              <w:pStyle w:val="2"/>
              <w:jc w:val="left"/>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详见本补充公告附件</w:t>
            </w:r>
            <w:r>
              <w:rPr>
                <w:rFonts w:hint="eastAsia" w:ascii="仿宋" w:hAnsi="仿宋" w:eastAsia="仿宋" w:cs="宋体"/>
                <w:color w:val="3C3C3C"/>
                <w:kern w:val="0"/>
                <w:sz w:val="24"/>
                <w:szCs w:val="24"/>
                <w:vertAlign w:val="baseline"/>
                <w:lang w:val="en-US" w:eastAsia="zh-CN"/>
              </w:rPr>
              <w:t>八</w:t>
            </w:r>
          </w:p>
        </w:tc>
      </w:tr>
      <w:tr w14:paraId="549A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3081139B">
            <w:pPr>
              <w:pStyle w:val="2"/>
              <w:jc w:val="center"/>
              <w:rPr>
                <w:rFonts w:hint="default" w:ascii="仿宋" w:hAnsi="仿宋" w:eastAsia="仿宋" w:cs="宋体"/>
                <w:color w:val="3C3C3C"/>
                <w:kern w:val="0"/>
                <w:sz w:val="24"/>
                <w:szCs w:val="24"/>
                <w:vertAlign w:val="baseline"/>
                <w:lang w:val="en-US" w:eastAsia="zh-CN"/>
              </w:rPr>
            </w:pPr>
            <w:r>
              <w:rPr>
                <w:rFonts w:hint="eastAsia" w:ascii="仿宋" w:hAnsi="仿宋" w:eastAsia="仿宋" w:cs="宋体"/>
                <w:color w:val="3C3C3C"/>
                <w:kern w:val="0"/>
                <w:sz w:val="24"/>
                <w:szCs w:val="24"/>
                <w:vertAlign w:val="baseline"/>
                <w:lang w:val="en-US" w:eastAsia="zh-CN"/>
              </w:rPr>
              <w:t>15</w:t>
            </w:r>
          </w:p>
        </w:tc>
        <w:tc>
          <w:tcPr>
            <w:tcW w:w="1620" w:type="dxa"/>
            <w:vAlign w:val="center"/>
          </w:tcPr>
          <w:p w14:paraId="00BE5093">
            <w:pPr>
              <w:pStyle w:val="2"/>
              <w:jc w:val="center"/>
              <w:rPr>
                <w:rFonts w:hint="eastAsia" w:ascii="仿宋" w:hAnsi="仿宋" w:eastAsia="仿宋" w:cs="宋体"/>
                <w:color w:val="3C3C3C"/>
                <w:kern w:val="0"/>
                <w:sz w:val="24"/>
                <w:szCs w:val="24"/>
                <w:vertAlign w:val="baseline"/>
              </w:rPr>
            </w:pPr>
            <w:r>
              <w:rPr>
                <w:rFonts w:hint="eastAsia" w:ascii="仿宋" w:hAnsi="仿宋" w:eastAsia="仿宋" w:cs="宋体"/>
                <w:color w:val="3C3C3C"/>
                <w:kern w:val="0"/>
                <w:sz w:val="24"/>
                <w:szCs w:val="24"/>
                <w:vertAlign w:val="baseline"/>
              </w:rPr>
              <w:t>本项目的设计任务书</w:t>
            </w:r>
          </w:p>
        </w:tc>
        <w:tc>
          <w:tcPr>
            <w:tcW w:w="3402" w:type="dxa"/>
            <w:shd w:val="clear" w:color="auto" w:fill="auto"/>
            <w:vAlign w:val="center"/>
          </w:tcPr>
          <w:p w14:paraId="1D652FC1">
            <w:pPr>
              <w:pStyle w:val="2"/>
              <w:jc w:val="left"/>
              <w:rPr>
                <w:rFonts w:hint="eastAsia" w:ascii="仿宋" w:hAnsi="仿宋" w:eastAsia="仿宋" w:cs="宋体"/>
                <w:color w:val="3C3C3C"/>
                <w:kern w:val="0"/>
                <w:sz w:val="24"/>
                <w:szCs w:val="24"/>
                <w:vertAlign w:val="baseline"/>
                <w:lang w:val="en-US" w:eastAsia="zh-CN" w:bidi="ar-SA"/>
              </w:rPr>
            </w:pPr>
            <w:r>
              <w:rPr>
                <w:rFonts w:hint="eastAsia" w:ascii="仿宋" w:hAnsi="仿宋" w:eastAsia="仿宋" w:cs="宋体"/>
                <w:color w:val="3C3C3C"/>
                <w:kern w:val="0"/>
                <w:sz w:val="24"/>
                <w:szCs w:val="24"/>
                <w:vertAlign w:val="baseline"/>
                <w:lang w:eastAsia="zh-CN"/>
              </w:rPr>
              <w:t>详见原招标文件</w:t>
            </w:r>
          </w:p>
        </w:tc>
        <w:tc>
          <w:tcPr>
            <w:tcW w:w="3402" w:type="dxa"/>
            <w:shd w:val="clear" w:color="auto" w:fill="auto"/>
            <w:vAlign w:val="center"/>
          </w:tcPr>
          <w:p w14:paraId="69F07BD2">
            <w:pPr>
              <w:pStyle w:val="2"/>
              <w:jc w:val="left"/>
              <w:rPr>
                <w:rFonts w:hint="eastAsia" w:ascii="仿宋" w:hAnsi="仿宋" w:eastAsia="仿宋" w:cs="宋体"/>
                <w:color w:val="3C3C3C"/>
                <w:kern w:val="0"/>
                <w:sz w:val="24"/>
                <w:szCs w:val="24"/>
                <w:vertAlign w:val="baseline"/>
                <w:lang w:val="en-US" w:eastAsia="zh-CN" w:bidi="ar-SA"/>
              </w:rPr>
            </w:pPr>
            <w:r>
              <w:rPr>
                <w:rFonts w:hint="eastAsia" w:ascii="仿宋" w:hAnsi="仿宋" w:eastAsia="仿宋" w:cs="宋体"/>
                <w:color w:val="3C3C3C"/>
                <w:kern w:val="0"/>
                <w:sz w:val="24"/>
                <w:szCs w:val="24"/>
                <w:vertAlign w:val="baseline"/>
              </w:rPr>
              <w:t>详见本补充公告附件</w:t>
            </w:r>
            <w:r>
              <w:rPr>
                <w:rFonts w:hint="eastAsia" w:ascii="仿宋" w:hAnsi="仿宋" w:eastAsia="仿宋" w:cs="宋体"/>
                <w:color w:val="3C3C3C"/>
                <w:kern w:val="0"/>
                <w:sz w:val="24"/>
                <w:szCs w:val="24"/>
                <w:vertAlign w:val="baseline"/>
                <w:lang w:val="en-US" w:eastAsia="zh-CN"/>
              </w:rPr>
              <w:t>九</w:t>
            </w:r>
          </w:p>
        </w:tc>
      </w:tr>
    </w:tbl>
    <w:p w14:paraId="5F3351FC">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color w:val="3C3C3C"/>
          <w:kern w:val="0"/>
          <w:sz w:val="28"/>
          <w:szCs w:val="28"/>
          <w:lang w:val="en-US" w:eastAsia="zh-CN"/>
        </w:rPr>
      </w:pPr>
      <w:r>
        <w:rPr>
          <w:rFonts w:hint="default" w:ascii="仿宋" w:hAnsi="仿宋" w:eastAsia="仿宋" w:cs="宋体"/>
          <w:color w:val="3C3C3C"/>
          <w:kern w:val="0"/>
          <w:sz w:val="28"/>
          <w:szCs w:val="28"/>
          <w:lang w:val="en-US" w:eastAsia="zh-CN"/>
        </w:rPr>
        <w:t>本项目具体招标投标日程及场地安排请各投标人密切留意广州公共资源交易中心公布的本项目日程安排，投标人可登录广州公共资源交易中心网站首页，输入项目编号或项目名称查询最新信息。</w:t>
      </w:r>
    </w:p>
    <w:p w14:paraId="41AA64F3">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宋体"/>
          <w:color w:val="3C3C3C"/>
          <w:kern w:val="0"/>
          <w:sz w:val="28"/>
          <w:szCs w:val="28"/>
        </w:rPr>
      </w:pPr>
      <w:r>
        <w:rPr>
          <w:rFonts w:hint="default" w:ascii="仿宋" w:hAnsi="仿宋" w:eastAsia="仿宋" w:cs="宋体"/>
          <w:color w:val="3C3C3C"/>
          <w:kern w:val="0"/>
          <w:sz w:val="28"/>
          <w:szCs w:val="28"/>
          <w:lang w:val="en-US" w:eastAsia="zh-CN"/>
        </w:rPr>
        <w:t>本补充公告对于原招标公告、招标文件及其他函件内相同（或相同性质）的内容一并修改或补充。补充公告与原招标公告、招标文件不一致的以本补充公告为准。</w:t>
      </w:r>
    </w:p>
    <w:p w14:paraId="37DFA706">
      <w:pPr>
        <w:pStyle w:val="8"/>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default" w:ascii="仿宋" w:hAnsi="仿宋" w:eastAsia="仿宋" w:cs="宋体"/>
          <w:color w:val="3C3C3C"/>
          <w:kern w:val="0"/>
          <w:sz w:val="28"/>
          <w:szCs w:val="28"/>
          <w:lang w:val="en-US" w:eastAsia="zh-CN"/>
        </w:rPr>
      </w:pPr>
    </w:p>
    <w:p w14:paraId="3DD046DE">
      <w:pPr>
        <w:pStyle w:val="8"/>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eastAsia" w:ascii="仿宋" w:hAnsi="仿宋" w:eastAsia="仿宋" w:cs="宋体"/>
          <w:color w:val="3C3C3C"/>
          <w:kern w:val="0"/>
          <w:sz w:val="28"/>
          <w:szCs w:val="28"/>
          <w:lang w:val="en-US" w:eastAsia="zh-CN"/>
        </w:rPr>
      </w:pPr>
      <w:r>
        <w:rPr>
          <w:rFonts w:hint="default" w:ascii="仿宋" w:hAnsi="仿宋" w:eastAsia="仿宋" w:cs="宋体"/>
          <w:color w:val="3C3C3C"/>
          <w:kern w:val="0"/>
          <w:sz w:val="28"/>
          <w:szCs w:val="28"/>
          <w:lang w:val="en-US" w:eastAsia="zh-CN"/>
        </w:rPr>
        <w:t>附件</w:t>
      </w:r>
      <w:r>
        <w:rPr>
          <w:rFonts w:hint="eastAsia" w:ascii="仿宋" w:hAnsi="仿宋" w:eastAsia="仿宋" w:cs="宋体"/>
          <w:color w:val="3C3C3C"/>
          <w:kern w:val="0"/>
          <w:sz w:val="28"/>
          <w:szCs w:val="28"/>
          <w:lang w:val="en-US" w:eastAsia="zh-CN"/>
        </w:rPr>
        <w:t>一</w:t>
      </w:r>
      <w:r>
        <w:rPr>
          <w:rFonts w:hint="default" w:ascii="仿宋" w:hAnsi="仿宋" w:eastAsia="仿宋" w:cs="宋体"/>
          <w:color w:val="3C3C3C"/>
          <w:kern w:val="0"/>
          <w:sz w:val="28"/>
          <w:szCs w:val="28"/>
          <w:lang w:val="en-US" w:eastAsia="zh-CN"/>
        </w:rPr>
        <w:t>：</w:t>
      </w:r>
      <w:r>
        <w:rPr>
          <w:rFonts w:hint="eastAsia" w:ascii="仿宋" w:hAnsi="仿宋" w:eastAsia="仿宋" w:cs="宋体"/>
          <w:color w:val="3C3C3C"/>
          <w:kern w:val="0"/>
          <w:sz w:val="28"/>
          <w:szCs w:val="28"/>
          <w:lang w:val="en-US" w:eastAsia="zh-CN"/>
        </w:rPr>
        <w:t>《投标人声明》</w:t>
      </w:r>
    </w:p>
    <w:p w14:paraId="39758397">
      <w:pPr>
        <w:pStyle w:val="8"/>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t>附件二：评标办法（综合评估法）的附件一</w:t>
      </w:r>
    </w:p>
    <w:p w14:paraId="6724D6F7">
      <w:pPr>
        <w:pStyle w:val="8"/>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t>附件三：《分包承诺书》</w:t>
      </w:r>
    </w:p>
    <w:p w14:paraId="2EB51E87">
      <w:pPr>
        <w:pStyle w:val="8"/>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t>附件四：《投标申请表（关键人员配备）》</w:t>
      </w:r>
    </w:p>
    <w:p w14:paraId="74E4360F">
      <w:pPr>
        <w:pStyle w:val="8"/>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t>附件五：《资格审查文件、商务文件投标文件封面》</w:t>
      </w:r>
    </w:p>
    <w:p w14:paraId="62D2BF38">
      <w:pPr>
        <w:pStyle w:val="8"/>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t>附件六：《投标书及投标书附录》</w:t>
      </w:r>
    </w:p>
    <w:p w14:paraId="0871583C">
      <w:pPr>
        <w:pStyle w:val="8"/>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t>附件七：《中小企业声明函》（如有）</w:t>
      </w:r>
    </w:p>
    <w:p w14:paraId="3542485B">
      <w:pPr>
        <w:pStyle w:val="8"/>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t>附件八：《残疾人福利性单位声明函》（如有）</w:t>
      </w:r>
    </w:p>
    <w:p w14:paraId="7899BC37">
      <w:pPr>
        <w:pStyle w:val="8"/>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t>附件九：设计任务书（修改版）</w:t>
      </w:r>
    </w:p>
    <w:p w14:paraId="222B8722">
      <w:pPr>
        <w:pStyle w:val="8"/>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eastAsia" w:ascii="仿宋" w:hAnsi="仿宋" w:eastAsia="仿宋" w:cs="宋体"/>
          <w:color w:val="3C3C3C"/>
          <w:kern w:val="0"/>
          <w:sz w:val="28"/>
          <w:szCs w:val="28"/>
          <w:lang w:val="en-US" w:eastAsia="zh-CN"/>
        </w:rPr>
      </w:pPr>
    </w:p>
    <w:p w14:paraId="1C99421A">
      <w:pPr>
        <w:pStyle w:val="8"/>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eastAsia" w:ascii="仿宋" w:hAnsi="仿宋" w:eastAsia="仿宋" w:cs="宋体"/>
          <w:color w:val="3C3C3C"/>
          <w:kern w:val="0"/>
          <w:sz w:val="28"/>
          <w:szCs w:val="28"/>
          <w:lang w:val="en-US" w:eastAsia="zh-CN"/>
        </w:rPr>
      </w:pPr>
    </w:p>
    <w:p w14:paraId="59069B2E">
      <w:pPr>
        <w:keepNext w:val="0"/>
        <w:keepLines w:val="0"/>
        <w:pageBreakBefore w:val="0"/>
        <w:shd w:val="clear" w:color="auto" w:fill="FFFFFF"/>
        <w:kinsoku/>
        <w:wordWrap w:val="0"/>
        <w:overflowPunct/>
        <w:topLinePunct w:val="0"/>
        <w:autoSpaceDE/>
        <w:autoSpaceDN/>
        <w:bidi w:val="0"/>
        <w:adjustRightInd/>
        <w:snapToGrid/>
        <w:spacing w:line="360" w:lineRule="auto"/>
        <w:ind w:left="0" w:leftChars="0" w:right="-164" w:rightChars="-78" w:firstLine="0" w:firstLineChars="0"/>
        <w:jc w:val="right"/>
        <w:textAlignment w:val="auto"/>
        <w:rPr>
          <w:rFonts w:hint="default" w:ascii="仿宋" w:hAnsi="仿宋" w:eastAsia="仿宋" w:cs="宋体"/>
          <w:b w:val="0"/>
          <w:bCs/>
          <w:color w:val="333333"/>
          <w:kern w:val="44"/>
          <w:sz w:val="28"/>
          <w:szCs w:val="28"/>
          <w:lang w:val="en-US" w:eastAsia="zh-CN"/>
        </w:rPr>
      </w:pPr>
      <w:r>
        <w:rPr>
          <w:rFonts w:hint="eastAsia" w:ascii="仿宋" w:hAnsi="仿宋" w:eastAsia="仿宋" w:cs="宋体"/>
          <w:b w:val="0"/>
          <w:bCs/>
          <w:color w:val="333333"/>
          <w:kern w:val="44"/>
          <w:sz w:val="28"/>
          <w:szCs w:val="28"/>
        </w:rPr>
        <w:t>广东机电职业技术学院</w:t>
      </w:r>
      <w:r>
        <w:rPr>
          <w:rFonts w:hint="eastAsia" w:ascii="仿宋" w:hAnsi="仿宋" w:eastAsia="仿宋" w:cs="宋体"/>
          <w:b w:val="0"/>
          <w:bCs/>
          <w:color w:val="333333"/>
          <w:kern w:val="44"/>
          <w:sz w:val="28"/>
          <w:szCs w:val="28"/>
          <w:lang w:val="en-US" w:eastAsia="zh-CN"/>
        </w:rPr>
        <w:t xml:space="preserve">  </w:t>
      </w:r>
    </w:p>
    <w:p w14:paraId="100FD587">
      <w:pPr>
        <w:keepNext w:val="0"/>
        <w:keepLines w:val="0"/>
        <w:pageBreakBefore w:val="0"/>
        <w:shd w:val="clear" w:color="auto" w:fill="FFFFFF"/>
        <w:kinsoku/>
        <w:wordWrap w:val="0"/>
        <w:overflowPunct/>
        <w:topLinePunct w:val="0"/>
        <w:autoSpaceDE/>
        <w:autoSpaceDN/>
        <w:bidi w:val="0"/>
        <w:adjustRightInd/>
        <w:snapToGrid/>
        <w:spacing w:line="360" w:lineRule="auto"/>
        <w:ind w:left="0" w:leftChars="0" w:right="-164" w:rightChars="-78" w:firstLine="0" w:firstLineChars="0"/>
        <w:jc w:val="right"/>
        <w:textAlignment w:val="auto"/>
        <w:rPr>
          <w:rFonts w:hint="eastAsia" w:ascii="仿宋" w:hAnsi="仿宋" w:eastAsia="仿宋" w:cs="宋体"/>
          <w:b w:val="0"/>
          <w:bCs/>
          <w:color w:val="333333"/>
          <w:kern w:val="44"/>
          <w:sz w:val="28"/>
          <w:szCs w:val="28"/>
          <w:lang w:val="en-US" w:eastAsia="zh-CN"/>
        </w:rPr>
      </w:pPr>
      <w:r>
        <w:rPr>
          <w:rFonts w:hint="eastAsia" w:ascii="仿宋" w:hAnsi="仿宋" w:eastAsia="仿宋" w:cs="宋体"/>
          <w:b w:val="0"/>
          <w:bCs/>
          <w:color w:val="333333"/>
          <w:kern w:val="44"/>
          <w:sz w:val="28"/>
          <w:szCs w:val="28"/>
          <w:lang w:val="en-US" w:eastAsia="zh-CN"/>
        </w:rPr>
        <w:t xml:space="preserve">广州珠江监理咨询集团有限公司  </w:t>
      </w:r>
    </w:p>
    <w:p w14:paraId="047E98B7">
      <w:pPr>
        <w:pStyle w:val="8"/>
        <w:keepNext w:val="0"/>
        <w:keepLines w:val="0"/>
        <w:pageBreakBefore w:val="0"/>
        <w:widowControl w:val="0"/>
        <w:kinsoku/>
        <w:wordWrap w:val="0"/>
        <w:overflowPunct/>
        <w:topLinePunct w:val="0"/>
        <w:autoSpaceDE/>
        <w:autoSpaceDN/>
        <w:bidi w:val="0"/>
        <w:adjustRightInd/>
        <w:snapToGrid/>
        <w:spacing w:line="360" w:lineRule="auto"/>
        <w:ind w:firstLine="977" w:firstLineChars="349"/>
        <w:jc w:val="right"/>
        <w:textAlignment w:val="auto"/>
        <w:rPr>
          <w:rFonts w:hint="default" w:ascii="仿宋" w:hAnsi="仿宋" w:eastAsia="仿宋" w:cs="宋体"/>
          <w:b w:val="0"/>
          <w:bCs/>
          <w:color w:val="333333"/>
          <w:kern w:val="44"/>
          <w:sz w:val="28"/>
          <w:szCs w:val="28"/>
          <w:lang w:val="en-US" w:eastAsia="zh-CN"/>
        </w:rPr>
      </w:pPr>
      <w:r>
        <w:rPr>
          <w:rFonts w:hint="eastAsia" w:ascii="仿宋" w:hAnsi="仿宋" w:eastAsia="仿宋" w:cs="宋体"/>
          <w:b w:val="0"/>
          <w:bCs/>
          <w:color w:val="333333"/>
          <w:kern w:val="44"/>
          <w:sz w:val="28"/>
          <w:szCs w:val="28"/>
          <w:lang w:val="en-US" w:eastAsia="zh-CN"/>
        </w:rPr>
        <w:t>2025年11月20</w:t>
      </w:r>
      <w:bookmarkStart w:id="7" w:name="_GoBack"/>
      <w:bookmarkEnd w:id="7"/>
      <w:r>
        <w:rPr>
          <w:rFonts w:hint="eastAsia" w:ascii="仿宋" w:hAnsi="仿宋" w:eastAsia="仿宋" w:cs="宋体"/>
          <w:b w:val="0"/>
          <w:bCs/>
          <w:color w:val="333333"/>
          <w:kern w:val="44"/>
          <w:sz w:val="28"/>
          <w:szCs w:val="28"/>
          <w:lang w:val="en-US" w:eastAsia="zh-CN"/>
        </w:rPr>
        <w:t xml:space="preserve">日 </w:t>
      </w:r>
    </w:p>
    <w:p w14:paraId="791E0466">
      <w:pPr>
        <w:pStyle w:val="8"/>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default" w:ascii="仿宋" w:hAnsi="仿宋" w:eastAsia="仿宋" w:cs="宋体"/>
          <w:b w:val="0"/>
          <w:bCs/>
          <w:color w:val="333333"/>
          <w:kern w:val="44"/>
          <w:sz w:val="28"/>
          <w:szCs w:val="28"/>
          <w:lang w:val="en-US" w:eastAsia="zh-CN"/>
        </w:rPr>
      </w:pPr>
    </w:p>
    <w:p w14:paraId="550C9CEC">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宋体"/>
          <w:color w:val="3C3C3C"/>
          <w:kern w:val="0"/>
          <w:sz w:val="28"/>
          <w:szCs w:val="28"/>
          <w:lang w:val="en-US" w:eastAsia="zh-CN"/>
        </w:rPr>
      </w:pPr>
      <w:r>
        <w:rPr>
          <w:rFonts w:ascii="仿宋" w:hAnsi="仿宋" w:eastAsia="仿宋" w:cs="宋体"/>
          <w:color w:val="3C3C3C"/>
          <w:kern w:val="0"/>
          <w:sz w:val="28"/>
          <w:szCs w:val="28"/>
        </w:rPr>
        <w:br w:type="page"/>
      </w:r>
      <w:bookmarkStart w:id="0" w:name="_Toc22326"/>
      <w:bookmarkStart w:id="1" w:name="_Toc23693"/>
      <w:bookmarkStart w:id="2" w:name="_Toc2977"/>
      <w:bookmarkStart w:id="3" w:name="_Toc3879"/>
      <w:bookmarkStart w:id="4" w:name="_Toc4683"/>
      <w:bookmarkStart w:id="5" w:name="_Toc63065933"/>
      <w:bookmarkStart w:id="6" w:name="_Toc16527"/>
      <w:r>
        <w:rPr>
          <w:rFonts w:hint="default" w:ascii="仿宋" w:hAnsi="仿宋" w:eastAsia="仿宋" w:cs="宋体"/>
          <w:color w:val="3C3C3C"/>
          <w:kern w:val="0"/>
          <w:sz w:val="28"/>
          <w:szCs w:val="28"/>
          <w:lang w:val="en-US" w:eastAsia="zh-CN"/>
        </w:rPr>
        <w:t>附件</w:t>
      </w:r>
      <w:r>
        <w:rPr>
          <w:rFonts w:hint="eastAsia" w:ascii="仿宋" w:hAnsi="仿宋" w:eastAsia="仿宋" w:cs="宋体"/>
          <w:color w:val="3C3C3C"/>
          <w:kern w:val="0"/>
          <w:sz w:val="28"/>
          <w:szCs w:val="28"/>
          <w:lang w:val="en-US" w:eastAsia="zh-CN"/>
        </w:rPr>
        <w:t>一</w:t>
      </w:r>
      <w:r>
        <w:rPr>
          <w:rFonts w:hint="default" w:ascii="仿宋" w:hAnsi="仿宋" w:eastAsia="仿宋" w:cs="宋体"/>
          <w:color w:val="3C3C3C"/>
          <w:kern w:val="0"/>
          <w:sz w:val="28"/>
          <w:szCs w:val="28"/>
          <w:lang w:val="en-US" w:eastAsia="zh-CN"/>
        </w:rPr>
        <w:t>：</w:t>
      </w:r>
      <w:r>
        <w:rPr>
          <w:rFonts w:hint="eastAsia" w:ascii="仿宋" w:hAnsi="仿宋" w:eastAsia="仿宋" w:cs="宋体"/>
          <w:color w:val="3C3C3C"/>
          <w:kern w:val="0"/>
          <w:sz w:val="28"/>
          <w:szCs w:val="28"/>
          <w:lang w:val="en-US" w:eastAsia="zh-CN"/>
        </w:rPr>
        <w:t>《投标人声明》</w:t>
      </w:r>
    </w:p>
    <w:p w14:paraId="1AF3860F">
      <w:pPr>
        <w:spacing w:line="360" w:lineRule="auto"/>
        <w:jc w:val="center"/>
        <w:rPr>
          <w:rFonts w:ascii="宋体" w:hAnsi="宋体"/>
          <w:b/>
          <w:bCs/>
          <w:color w:val="auto"/>
          <w:sz w:val="24"/>
          <w:highlight w:val="none"/>
        </w:rPr>
      </w:pPr>
      <w:r>
        <w:rPr>
          <w:rFonts w:hint="eastAsia" w:ascii="宋体" w:hAnsi="宋体"/>
          <w:b/>
          <w:bCs/>
          <w:color w:val="auto"/>
          <w:sz w:val="24"/>
          <w:highlight w:val="none"/>
        </w:rPr>
        <w:t>投标人声明</w:t>
      </w:r>
    </w:p>
    <w:p w14:paraId="0AB6A6E2">
      <w:pPr>
        <w:pStyle w:val="2"/>
        <w:rPr>
          <w:color w:val="auto"/>
          <w:highlight w:val="none"/>
        </w:rPr>
      </w:pPr>
    </w:p>
    <w:p w14:paraId="257F73AC">
      <w:pPr>
        <w:pStyle w:val="12"/>
        <w:ind w:firstLine="0"/>
        <w:rPr>
          <w:rFonts w:ascii="宋体" w:hAnsi="宋体" w:eastAsia="宋体"/>
          <w:color w:val="auto"/>
          <w:sz w:val="24"/>
          <w:szCs w:val="24"/>
          <w:highlight w:val="none"/>
        </w:rPr>
      </w:pPr>
      <w:r>
        <w:rPr>
          <w:rFonts w:hint="eastAsia" w:ascii="宋体" w:hAnsi="宋体" w:eastAsia="宋体"/>
          <w:color w:val="auto"/>
          <w:sz w:val="24"/>
          <w:szCs w:val="24"/>
          <w:highlight w:val="none"/>
          <w:u w:val="single"/>
          <w:lang w:eastAsia="zh-CN"/>
        </w:rPr>
        <w:t>广东机电职业技术学院</w:t>
      </w:r>
      <w:r>
        <w:rPr>
          <w:rFonts w:hint="eastAsia" w:ascii="宋体" w:hAnsi="宋体" w:eastAsia="宋体"/>
          <w:color w:val="auto"/>
          <w:sz w:val="24"/>
          <w:szCs w:val="24"/>
          <w:highlight w:val="none"/>
          <w:u w:val="single"/>
        </w:rPr>
        <w:t>及招标监督机构</w:t>
      </w:r>
      <w:r>
        <w:rPr>
          <w:rFonts w:hint="eastAsia" w:ascii="宋体" w:hAnsi="宋体" w:eastAsia="宋体"/>
          <w:color w:val="auto"/>
          <w:sz w:val="24"/>
          <w:szCs w:val="24"/>
          <w:highlight w:val="none"/>
        </w:rPr>
        <w:t>：</w:t>
      </w:r>
    </w:p>
    <w:p w14:paraId="4A4C6415">
      <w:pPr>
        <w:pStyle w:val="12"/>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0E8F7AD5">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一、本公司保证投标登记材料及其后提供的一切材料都是真实的。如我司成为本项目中标候选人，我司同意并授权招标人将我司投标文件商务部分的人员、业绩、奖项等资料进行公开。</w:t>
      </w:r>
    </w:p>
    <w:p w14:paraId="3DD62F43">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二、本公司保证不与其他单位围标、串标，不出让投标资格，不向招标人或评标委员会成员行贿。</w:t>
      </w:r>
    </w:p>
    <w:p w14:paraId="4FEB2BF1">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三、本公司与招标人过去3年内无合同履约纠纷，不存在招标文件第二章投标人须知第</w:t>
      </w:r>
      <w:r>
        <w:rPr>
          <w:rFonts w:hint="eastAsia" w:ascii="宋体" w:hAnsi="宋体" w:eastAsia="宋体" w:cs="宋体"/>
          <w:b/>
          <w:color w:val="auto"/>
          <w:sz w:val="24"/>
          <w:szCs w:val="24"/>
          <w:highlight w:val="none"/>
        </w:rPr>
        <w:t>1.4.3</w:t>
      </w:r>
      <w:r>
        <w:rPr>
          <w:rFonts w:hint="eastAsia" w:ascii="宋体" w:hAnsi="宋体" w:eastAsia="宋体" w:cs="宋体"/>
          <w:color w:val="auto"/>
          <w:sz w:val="24"/>
          <w:szCs w:val="24"/>
          <w:highlight w:val="none"/>
        </w:rPr>
        <w:t>项所规定的任何一种情形。</w:t>
      </w:r>
    </w:p>
    <w:p w14:paraId="2BDBF685">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20F308E9">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五、本公司承诺，中标后严格执行安全生产相关管理规定。</w:t>
      </w:r>
    </w:p>
    <w:p w14:paraId="3F4EBFF1">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本公司违反上述保证，或本声明陈述与事实不符，经查实，本公司愿意接受公开通报，承担由此带来的法律后果，并自愿停止参加广州市行政辖区内的招标投标活动三个月。</w:t>
      </w:r>
    </w:p>
    <w:p w14:paraId="5DF09456">
      <w:pPr>
        <w:pStyle w:val="12"/>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t>特此声明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1410232">
      <w:pPr>
        <w:pStyle w:val="13"/>
        <w:ind w:left="0" w:right="85" w:firstLine="4048" w:firstLineChars="1687"/>
        <w:jc w:val="left"/>
        <w:rPr>
          <w:rFonts w:hint="eastAsia" w:ascii="宋体" w:hAnsi="宋体" w:eastAsia="宋体"/>
          <w:color w:val="auto"/>
          <w:sz w:val="24"/>
          <w:szCs w:val="24"/>
          <w:highlight w:val="none"/>
        </w:rPr>
      </w:pPr>
    </w:p>
    <w:p w14:paraId="0C0254C2">
      <w:pPr>
        <w:pStyle w:val="13"/>
        <w:ind w:left="0" w:right="85" w:firstLine="4048" w:firstLineChars="16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投标人：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p>
    <w:p w14:paraId="1BE3B9B9">
      <w:pPr>
        <w:pStyle w:val="8"/>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default" w:ascii="仿宋" w:hAnsi="仿宋" w:eastAsia="宋体" w:cs="宋体"/>
          <w:color w:val="3C3C3C"/>
          <w:kern w:val="0"/>
          <w:sz w:val="28"/>
          <w:szCs w:val="28"/>
          <w:lang w:val="en-US" w:eastAsia="zh-CN"/>
        </w:rPr>
      </w:pPr>
      <w:r>
        <w:rPr>
          <w:rFonts w:hint="eastAsia" w:ascii="宋体" w:hAnsi="宋体" w:eastAsia="宋体"/>
          <w:color w:val="auto"/>
          <w:sz w:val="24"/>
          <w:szCs w:val="24"/>
          <w:highlight w:val="none"/>
        </w:rPr>
        <w:t>年   月   日</w:t>
      </w:r>
      <w:r>
        <w:rPr>
          <w:rFonts w:hint="eastAsia" w:ascii="宋体" w:hAnsi="宋体" w:eastAsia="宋体"/>
          <w:color w:val="auto"/>
          <w:sz w:val="24"/>
          <w:szCs w:val="24"/>
          <w:highlight w:val="none"/>
          <w:lang w:val="en-US" w:eastAsia="zh-CN"/>
        </w:rPr>
        <w:t xml:space="preserve">          </w:t>
      </w:r>
    </w:p>
    <w:p w14:paraId="24562461">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br w:type="page"/>
      </w:r>
      <w:r>
        <w:rPr>
          <w:rFonts w:hint="eastAsia" w:ascii="仿宋" w:hAnsi="仿宋" w:eastAsia="仿宋" w:cs="宋体"/>
          <w:color w:val="3C3C3C"/>
          <w:kern w:val="0"/>
          <w:sz w:val="28"/>
          <w:szCs w:val="28"/>
          <w:lang w:val="en-US" w:eastAsia="zh-CN"/>
        </w:rPr>
        <w:t>附件二：评标办法（综合评估法）的附件一</w:t>
      </w:r>
    </w:p>
    <w:tbl>
      <w:tblPr>
        <w:tblStyle w:val="9"/>
        <w:tblW w:w="8681"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1060"/>
        <w:gridCol w:w="1819"/>
        <w:gridCol w:w="4908"/>
      </w:tblGrid>
      <w:tr w14:paraId="0D464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954" w:type="dxa"/>
            <w:gridSpan w:val="2"/>
            <w:noWrap w:val="0"/>
            <w:vAlign w:val="center"/>
          </w:tcPr>
          <w:p w14:paraId="663C3159">
            <w:pPr>
              <w:pStyle w:val="18"/>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条款号</w:t>
            </w:r>
          </w:p>
        </w:tc>
        <w:tc>
          <w:tcPr>
            <w:tcW w:w="1819" w:type="dxa"/>
            <w:noWrap w:val="0"/>
            <w:vAlign w:val="center"/>
          </w:tcPr>
          <w:p w14:paraId="5216CF5D">
            <w:pPr>
              <w:pStyle w:val="18"/>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评分因素</w:t>
            </w:r>
          </w:p>
        </w:tc>
        <w:tc>
          <w:tcPr>
            <w:tcW w:w="4908" w:type="dxa"/>
            <w:noWrap w:val="0"/>
            <w:vAlign w:val="center"/>
          </w:tcPr>
          <w:p w14:paraId="7702A4C8">
            <w:pPr>
              <w:pStyle w:val="18"/>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评分标准</w:t>
            </w:r>
          </w:p>
        </w:tc>
      </w:tr>
      <w:tr w14:paraId="2D2FC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4" w:hRule="atLeast"/>
        </w:trPr>
        <w:tc>
          <w:tcPr>
            <w:tcW w:w="894" w:type="dxa"/>
            <w:vMerge w:val="restart"/>
            <w:noWrap w:val="0"/>
            <w:vAlign w:val="center"/>
          </w:tcPr>
          <w:p w14:paraId="63E38ADF">
            <w:pPr>
              <w:pStyle w:val="18"/>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2.2.4（1）</w:t>
            </w:r>
          </w:p>
        </w:tc>
        <w:tc>
          <w:tcPr>
            <w:tcW w:w="1060" w:type="dxa"/>
            <w:vMerge w:val="restart"/>
            <w:noWrap w:val="0"/>
            <w:vAlign w:val="center"/>
          </w:tcPr>
          <w:p w14:paraId="7F8F6D42">
            <w:pPr>
              <w:pStyle w:val="18"/>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商务文件（资信业绩评分标准）（30分）</w:t>
            </w:r>
          </w:p>
        </w:tc>
        <w:tc>
          <w:tcPr>
            <w:tcW w:w="1819" w:type="dxa"/>
            <w:noWrap w:val="0"/>
            <w:vAlign w:val="center"/>
          </w:tcPr>
          <w:p w14:paraId="553A2D9B">
            <w:pPr>
              <w:pStyle w:val="3"/>
              <w:spacing w:line="360" w:lineRule="auto"/>
              <w:ind w:firstLine="0" w:firstLineChars="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企业类似业绩</w:t>
            </w:r>
          </w:p>
          <w:p w14:paraId="4B8E2C66">
            <w:pPr>
              <w:pStyle w:val="3"/>
              <w:spacing w:line="360" w:lineRule="auto"/>
              <w:ind w:firstLine="0" w:firstLineChars="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（5分）</w:t>
            </w:r>
          </w:p>
        </w:tc>
        <w:tc>
          <w:tcPr>
            <w:tcW w:w="4908" w:type="dxa"/>
            <w:noWrap w:val="0"/>
            <w:vAlign w:val="center"/>
          </w:tcPr>
          <w:p w14:paraId="0AAC7030">
            <w:pPr>
              <w:pStyle w:val="18"/>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1、投标人自2022年1月1日至投标截止日承接的总建筑面积1万平方米或以上的</w:t>
            </w:r>
            <w:r>
              <w:rPr>
                <w:rFonts w:hint="eastAsia" w:ascii="仿宋" w:hAnsi="仿宋" w:eastAsia="仿宋" w:cs="仿宋"/>
                <w:b/>
                <w:bCs/>
                <w:color w:val="auto"/>
                <w:sz w:val="21"/>
                <w:szCs w:val="21"/>
                <w:highlight w:val="none"/>
                <w:u w:val="single"/>
                <w:lang w:eastAsia="zh-CN"/>
              </w:rPr>
              <w:t>房屋</w:t>
            </w:r>
            <w:r>
              <w:rPr>
                <w:rFonts w:hint="eastAsia" w:ascii="仿宋" w:hAnsi="仿宋" w:eastAsia="仿宋" w:cs="仿宋"/>
                <w:color w:val="auto"/>
                <w:sz w:val="21"/>
                <w:szCs w:val="21"/>
                <w:highlight w:val="none"/>
              </w:rPr>
              <w:t>建筑工程设计业绩或工程总承包（包括勘察设计施工总承包或设计施工总承包或设计采购施工总承包或勘察设计采购施工总承包等），每项得0.5分，最多得3分。</w:t>
            </w:r>
          </w:p>
          <w:p w14:paraId="4E48FE41">
            <w:pPr>
              <w:pStyle w:val="18"/>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2、投标人自2022年1月1日至投标截止日投标人具有二星级及以上绿色建筑设计的服务业绩的，每项得1分，最多得2分。</w:t>
            </w:r>
          </w:p>
          <w:p w14:paraId="105B2EF7">
            <w:pPr>
              <w:pStyle w:val="6"/>
              <w:spacing w:before="0" w:beforeAutospacing="0" w:after="0" w:afterAutospacing="0" w:line="360" w:lineRule="auto"/>
              <w:rPr>
                <w:rFonts w:hint="eastAsia" w:ascii="仿宋" w:hAnsi="仿宋" w:eastAsia="仿宋" w:cs="仿宋"/>
                <w:b/>
                <w:bCs/>
                <w:color w:val="auto"/>
                <w:sz w:val="21"/>
                <w:szCs w:val="21"/>
                <w:highlight w:val="none"/>
                <w:u w:val="single"/>
                <w:lang w:val="en-US" w:eastAsia="zh-CN"/>
              </w:rPr>
            </w:pPr>
            <w:r>
              <w:rPr>
                <w:rFonts w:hint="eastAsia" w:ascii="仿宋" w:hAnsi="仿宋" w:eastAsia="仿宋" w:cs="仿宋"/>
                <w:b/>
                <w:bCs/>
                <w:color w:val="auto"/>
                <w:sz w:val="21"/>
                <w:szCs w:val="21"/>
                <w:highlight w:val="none"/>
                <w:u w:val="single"/>
              </w:rPr>
              <w:t>注：</w:t>
            </w:r>
            <w:r>
              <w:rPr>
                <w:rFonts w:hint="eastAsia" w:ascii="仿宋" w:hAnsi="仿宋" w:eastAsia="仿宋" w:cs="仿宋"/>
                <w:b/>
                <w:bCs/>
                <w:color w:val="auto"/>
                <w:sz w:val="21"/>
                <w:szCs w:val="21"/>
                <w:highlight w:val="none"/>
                <w:u w:val="single"/>
                <w:lang w:val="en-US" w:eastAsia="zh-CN"/>
              </w:rPr>
              <w:t>1、房屋建筑工程设计业绩或工程总承包：设计业绩经验需同时提供（1）中标通知书或免招标的相关证明；（2）设计合同（关键页）；（3）初步设计审查报告或施工图审查合格证明文件或业主证明。建筑面积以合同内容或初步设计审查报告或施工图审查合格证明文件或业主出具的有效证明材料为准；时间以合同签订的时间为准；如上述资料的建筑面积不一致时，以合同内容或业主出具的有效证明材料为准(合同内容与业主证明不一致的以业主证明为准)。</w:t>
            </w:r>
          </w:p>
          <w:p w14:paraId="58296122">
            <w:pPr>
              <w:pStyle w:val="6"/>
              <w:spacing w:before="0" w:beforeAutospacing="0" w:after="0" w:afterAutospacing="0" w:line="360" w:lineRule="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u w:val="single"/>
                <w:lang w:val="en-US" w:eastAsia="zh-CN"/>
              </w:rPr>
              <w:t>2、二星级及以上绿色建筑设计的服务业绩：</w:t>
            </w:r>
            <w:r>
              <w:rPr>
                <w:rFonts w:hint="eastAsia" w:ascii="仿宋" w:hAnsi="仿宋" w:eastAsia="仿宋" w:cs="仿宋"/>
                <w:color w:val="auto"/>
                <w:sz w:val="21"/>
                <w:szCs w:val="21"/>
                <w:highlight w:val="none"/>
              </w:rPr>
              <w:t>所有提供业绩时间以合同签订时间为准，业绩合同中需体现绿色建筑设计的技术要求，证明材料需提供中标通知书（或免招标证明文件）、合同关键页扫描件并提供项目</w:t>
            </w:r>
            <w:r>
              <w:rPr>
                <w:rFonts w:hint="eastAsia" w:ascii="仿宋" w:hAnsi="仿宋" w:eastAsia="仿宋" w:cs="仿宋"/>
                <w:b/>
                <w:bCs/>
                <w:color w:val="auto"/>
                <w:sz w:val="21"/>
                <w:szCs w:val="21"/>
                <w:highlight w:val="none"/>
                <w:u w:val="single"/>
              </w:rPr>
              <w:t>初步设计审查报告或施工图审查合格证明文件或业主证明</w:t>
            </w:r>
            <w:r>
              <w:rPr>
                <w:rFonts w:hint="eastAsia" w:ascii="仿宋" w:hAnsi="仿宋" w:eastAsia="仿宋" w:cs="仿宋"/>
                <w:color w:val="auto"/>
                <w:sz w:val="21"/>
                <w:szCs w:val="21"/>
                <w:highlight w:val="none"/>
              </w:rPr>
              <w:t>（体现二星级</w:t>
            </w:r>
            <w:r>
              <w:rPr>
                <w:rFonts w:hint="eastAsia" w:ascii="仿宋" w:hAnsi="仿宋" w:eastAsia="仿宋" w:cs="仿宋"/>
                <w:b/>
                <w:bCs/>
                <w:color w:val="auto"/>
                <w:sz w:val="21"/>
                <w:szCs w:val="21"/>
                <w:highlight w:val="none"/>
                <w:u w:val="single"/>
                <w:lang w:val="en-US" w:eastAsia="zh-CN"/>
              </w:rPr>
              <w:t>及以上</w:t>
            </w:r>
            <w:r>
              <w:rPr>
                <w:rFonts w:hint="eastAsia" w:ascii="仿宋" w:hAnsi="仿宋" w:eastAsia="仿宋" w:cs="仿宋"/>
                <w:color w:val="auto"/>
                <w:sz w:val="21"/>
                <w:szCs w:val="21"/>
                <w:highlight w:val="none"/>
              </w:rPr>
              <w:t>绿色建筑设计）。</w:t>
            </w:r>
            <w:r>
              <w:rPr>
                <w:rFonts w:hint="eastAsia" w:ascii="仿宋" w:hAnsi="仿宋" w:eastAsia="仿宋" w:cs="仿宋"/>
                <w:b/>
                <w:bCs/>
                <w:color w:val="auto"/>
                <w:sz w:val="21"/>
                <w:szCs w:val="21"/>
                <w:highlight w:val="none"/>
                <w:u w:val="single"/>
                <w:lang w:val="en-US" w:eastAsia="zh-CN"/>
              </w:rPr>
              <w:t>如上述资料不能体现二星级及以上绿色建筑设计时，以业主出具的其它有效证明材料为准。</w:t>
            </w:r>
          </w:p>
        </w:tc>
      </w:tr>
      <w:tr w14:paraId="0F1A5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894" w:type="dxa"/>
            <w:vMerge w:val="continue"/>
            <w:noWrap w:val="0"/>
            <w:vAlign w:val="center"/>
          </w:tcPr>
          <w:p w14:paraId="02E41978">
            <w:pPr>
              <w:pStyle w:val="18"/>
              <w:spacing w:line="360" w:lineRule="auto"/>
              <w:jc w:val="center"/>
              <w:rPr>
                <w:rFonts w:hint="eastAsia" w:ascii="仿宋" w:hAnsi="仿宋" w:eastAsia="仿宋" w:cs="仿宋"/>
                <w:color w:val="auto"/>
                <w:sz w:val="21"/>
                <w:szCs w:val="21"/>
                <w:highlight w:val="none"/>
              </w:rPr>
            </w:pPr>
          </w:p>
        </w:tc>
        <w:tc>
          <w:tcPr>
            <w:tcW w:w="1060" w:type="dxa"/>
            <w:vMerge w:val="continue"/>
            <w:noWrap w:val="0"/>
            <w:vAlign w:val="center"/>
          </w:tcPr>
          <w:p w14:paraId="648C9C27">
            <w:pPr>
              <w:pStyle w:val="18"/>
              <w:spacing w:line="360" w:lineRule="auto"/>
              <w:jc w:val="center"/>
              <w:rPr>
                <w:rFonts w:hint="eastAsia" w:ascii="仿宋" w:hAnsi="仿宋" w:eastAsia="仿宋" w:cs="仿宋"/>
                <w:color w:val="auto"/>
                <w:sz w:val="21"/>
                <w:szCs w:val="21"/>
                <w:highlight w:val="none"/>
              </w:rPr>
            </w:pPr>
          </w:p>
        </w:tc>
        <w:tc>
          <w:tcPr>
            <w:tcW w:w="1819" w:type="dxa"/>
            <w:noWrap w:val="0"/>
            <w:vAlign w:val="center"/>
          </w:tcPr>
          <w:p w14:paraId="4197EB94">
            <w:pPr>
              <w:pStyle w:val="3"/>
              <w:spacing w:line="360" w:lineRule="auto"/>
              <w:ind w:firstLine="0" w:firstLineChars="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企业业绩获奖</w:t>
            </w:r>
          </w:p>
          <w:p w14:paraId="3A99D063">
            <w:pPr>
              <w:pStyle w:val="3"/>
              <w:spacing w:line="360" w:lineRule="auto"/>
              <w:ind w:firstLine="0" w:firstLineChars="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（9分）</w:t>
            </w:r>
          </w:p>
          <w:p w14:paraId="07BE6FA3">
            <w:pPr>
              <w:spacing w:line="360" w:lineRule="auto"/>
              <w:rPr>
                <w:rFonts w:hint="eastAsia" w:ascii="仿宋" w:hAnsi="仿宋" w:eastAsia="仿宋" w:cs="仿宋"/>
                <w:color w:val="auto"/>
                <w:highlight w:val="none"/>
              </w:rPr>
            </w:pPr>
          </w:p>
        </w:tc>
        <w:tc>
          <w:tcPr>
            <w:tcW w:w="4908" w:type="dxa"/>
            <w:noWrap w:val="0"/>
            <w:vAlign w:val="center"/>
          </w:tcPr>
          <w:p w14:paraId="6B65A65F">
            <w:pPr>
              <w:pStyle w:val="18"/>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1、投标人自2022年1月1日至投标截止时间承接的房屋建筑工程设计项目获得的奖项情况：获得国家级奖项，每项得2分；获得省级奖项，每项得1分；获得市级奖项，每项得0.5分。本项最多得5分。</w:t>
            </w:r>
          </w:p>
          <w:p w14:paraId="58BE2496">
            <w:pPr>
              <w:pStyle w:val="18"/>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国家级奖项包括住建部颁发的全国优秀工程勘察设计奖、中国勘察设计协会颁发的全国优秀工程勘察设计行业奖、国务院颁发的国家科学技术奖、住建部的华夏建设科学技术奖励委员会颁发的华夏建设科学技术奖；省级奖项包括省级工程勘察设计行业协会颁发的优秀工程勘察设计奖（</w:t>
            </w:r>
            <w:r>
              <w:rPr>
                <w:rFonts w:hint="eastAsia" w:ascii="仿宋" w:hAnsi="仿宋" w:eastAsia="仿宋" w:cs="仿宋"/>
                <w:b/>
                <w:bCs/>
                <w:color w:val="auto"/>
                <w:sz w:val="21"/>
                <w:szCs w:val="21"/>
                <w:highlight w:val="none"/>
                <w:u w:val="single"/>
                <w:lang w:val="en-US" w:eastAsia="zh-CN"/>
              </w:rPr>
              <w:t>或</w:t>
            </w:r>
            <w:r>
              <w:rPr>
                <w:rFonts w:hint="eastAsia" w:ascii="仿宋" w:hAnsi="仿宋" w:eastAsia="仿宋" w:cs="仿宋"/>
                <w:color w:val="auto"/>
                <w:sz w:val="21"/>
                <w:szCs w:val="21"/>
                <w:highlight w:val="none"/>
              </w:rPr>
              <w:t>优秀工程勘察设计成果）、省级人民政府颁发的科学技术奖；</w:t>
            </w:r>
            <w:r>
              <w:rPr>
                <w:rFonts w:hint="eastAsia" w:ascii="仿宋" w:hAnsi="仿宋" w:eastAsia="仿宋" w:cs="仿宋"/>
                <w:b/>
                <w:bCs/>
                <w:color w:val="auto"/>
                <w:sz w:val="21"/>
                <w:szCs w:val="21"/>
                <w:highlight w:val="none"/>
                <w:u w:val="single"/>
              </w:rPr>
              <w:t>市级奖项包括</w:t>
            </w:r>
            <w:r>
              <w:rPr>
                <w:rFonts w:hint="eastAsia" w:ascii="仿宋" w:hAnsi="仿宋" w:eastAsia="仿宋" w:cs="仿宋"/>
                <w:b/>
                <w:bCs/>
                <w:color w:val="auto"/>
                <w:sz w:val="21"/>
                <w:szCs w:val="21"/>
                <w:highlight w:val="none"/>
                <w:u w:val="single"/>
                <w:lang w:eastAsia="zh-CN"/>
              </w:rPr>
              <w:t>市</w:t>
            </w:r>
            <w:r>
              <w:rPr>
                <w:rFonts w:hint="eastAsia" w:ascii="仿宋" w:hAnsi="仿宋" w:eastAsia="仿宋" w:cs="仿宋"/>
                <w:b/>
                <w:bCs/>
                <w:color w:val="auto"/>
                <w:sz w:val="21"/>
                <w:szCs w:val="21"/>
                <w:highlight w:val="none"/>
                <w:u w:val="single"/>
              </w:rPr>
              <w:t>级工程勘察设计行业协会颁发的优秀工程勘察设计奖（</w:t>
            </w:r>
            <w:r>
              <w:rPr>
                <w:rFonts w:hint="eastAsia" w:ascii="仿宋" w:hAnsi="仿宋" w:eastAsia="仿宋" w:cs="仿宋"/>
                <w:b/>
                <w:bCs/>
                <w:color w:val="auto"/>
                <w:sz w:val="21"/>
                <w:szCs w:val="21"/>
                <w:highlight w:val="none"/>
                <w:u w:val="single"/>
                <w:lang w:val="en-US" w:eastAsia="zh-CN"/>
              </w:rPr>
              <w:t>或</w:t>
            </w:r>
            <w:r>
              <w:rPr>
                <w:rFonts w:hint="eastAsia" w:ascii="仿宋" w:hAnsi="仿宋" w:eastAsia="仿宋" w:cs="仿宋"/>
                <w:b/>
                <w:bCs/>
                <w:color w:val="auto"/>
                <w:sz w:val="21"/>
                <w:szCs w:val="21"/>
                <w:highlight w:val="none"/>
                <w:u w:val="single"/>
              </w:rPr>
              <w:t>优秀工程勘察设计成果）、</w:t>
            </w:r>
            <w:r>
              <w:rPr>
                <w:rFonts w:hint="eastAsia" w:ascii="仿宋" w:hAnsi="仿宋" w:eastAsia="仿宋" w:cs="仿宋"/>
                <w:b/>
                <w:bCs/>
                <w:color w:val="auto"/>
                <w:sz w:val="21"/>
                <w:szCs w:val="21"/>
                <w:highlight w:val="none"/>
                <w:u w:val="single"/>
                <w:lang w:eastAsia="zh-CN"/>
              </w:rPr>
              <w:t>市</w:t>
            </w:r>
            <w:r>
              <w:rPr>
                <w:rFonts w:hint="eastAsia" w:ascii="仿宋" w:hAnsi="仿宋" w:eastAsia="仿宋" w:cs="仿宋"/>
                <w:b/>
                <w:bCs/>
                <w:color w:val="auto"/>
                <w:sz w:val="21"/>
                <w:szCs w:val="21"/>
                <w:highlight w:val="none"/>
                <w:u w:val="single"/>
              </w:rPr>
              <w:t>级人民政府颁发的科学技术奖。</w:t>
            </w:r>
            <w:r>
              <w:rPr>
                <w:rFonts w:hint="eastAsia" w:ascii="仿宋" w:hAnsi="仿宋" w:eastAsia="仿宋" w:cs="仿宋"/>
                <w:color w:val="auto"/>
                <w:sz w:val="21"/>
                <w:szCs w:val="21"/>
                <w:highlight w:val="none"/>
              </w:rPr>
              <w:t>同一项目获得多个级别奖项的，按所满足的最高等级计分一次。投标人须提供相关获奖证书扫描件，获奖时间以证书中载明的的发证时间。</w:t>
            </w:r>
          </w:p>
          <w:p w14:paraId="03E65B89">
            <w:pPr>
              <w:pStyle w:val="18"/>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2、投标人自2022年1月1日至投标截止时间获得的科学技术奖：获得省级科学技术奖一等奖</w:t>
            </w:r>
            <w:r>
              <w:rPr>
                <w:rFonts w:hint="eastAsia" w:ascii="仿宋" w:hAnsi="仿宋" w:eastAsia="仿宋" w:cs="仿宋"/>
                <w:b/>
                <w:bCs/>
                <w:color w:val="auto"/>
                <w:sz w:val="21"/>
                <w:szCs w:val="21"/>
                <w:highlight w:val="none"/>
                <w:u w:val="single"/>
                <w:lang w:eastAsia="zh-CN"/>
              </w:rPr>
              <w:t>或国家级科学技术奖</w:t>
            </w:r>
            <w:r>
              <w:rPr>
                <w:rFonts w:hint="eastAsia" w:ascii="仿宋" w:hAnsi="仿宋" w:eastAsia="仿宋" w:cs="仿宋"/>
                <w:color w:val="auto"/>
                <w:sz w:val="21"/>
                <w:szCs w:val="21"/>
                <w:highlight w:val="none"/>
              </w:rPr>
              <w:t>的，每项得1分；获得省级科学技术奖二等奖的，每项得0.5分。最多得4分。</w:t>
            </w:r>
          </w:p>
          <w:p w14:paraId="2BEC0309">
            <w:pPr>
              <w:pStyle w:val="18"/>
              <w:spacing w:line="360" w:lineRule="auto"/>
              <w:rPr>
                <w:rFonts w:hint="eastAsia" w:ascii="仿宋" w:hAnsi="仿宋" w:eastAsia="仿宋" w:cs="仿宋"/>
                <w:color w:val="auto"/>
                <w:highlight w:val="none"/>
              </w:rPr>
            </w:pPr>
            <w:r>
              <w:rPr>
                <w:rFonts w:hint="eastAsia" w:ascii="仿宋" w:hAnsi="仿宋" w:eastAsia="仿宋" w:cs="仿宋"/>
                <w:color w:val="auto"/>
                <w:sz w:val="21"/>
                <w:szCs w:val="21"/>
                <w:highlight w:val="none"/>
              </w:rPr>
              <w:t>注：①省级奖项：省级人民政府、省级住建部门、省级勘察设计协会或工程勘察设计行业协会、省级建筑业协会；②获奖时间以奖项证明的落款日期为准。</w:t>
            </w:r>
          </w:p>
        </w:tc>
      </w:tr>
      <w:tr w14:paraId="038F2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1" w:hRule="atLeast"/>
        </w:trPr>
        <w:tc>
          <w:tcPr>
            <w:tcW w:w="894" w:type="dxa"/>
            <w:vMerge w:val="continue"/>
            <w:noWrap w:val="0"/>
            <w:vAlign w:val="center"/>
          </w:tcPr>
          <w:p w14:paraId="35A01CCE">
            <w:pPr>
              <w:pStyle w:val="18"/>
              <w:spacing w:line="360" w:lineRule="auto"/>
              <w:jc w:val="center"/>
              <w:rPr>
                <w:rFonts w:hint="eastAsia" w:ascii="仿宋" w:hAnsi="仿宋" w:eastAsia="仿宋" w:cs="仿宋"/>
                <w:color w:val="auto"/>
                <w:sz w:val="21"/>
                <w:szCs w:val="21"/>
                <w:highlight w:val="none"/>
              </w:rPr>
            </w:pPr>
          </w:p>
        </w:tc>
        <w:tc>
          <w:tcPr>
            <w:tcW w:w="1060" w:type="dxa"/>
            <w:vMerge w:val="continue"/>
            <w:noWrap w:val="0"/>
            <w:vAlign w:val="center"/>
          </w:tcPr>
          <w:p w14:paraId="0A806E93">
            <w:pPr>
              <w:pStyle w:val="18"/>
              <w:spacing w:line="360" w:lineRule="auto"/>
              <w:jc w:val="center"/>
              <w:rPr>
                <w:rFonts w:hint="eastAsia" w:ascii="仿宋" w:hAnsi="仿宋" w:eastAsia="仿宋" w:cs="仿宋"/>
                <w:color w:val="auto"/>
                <w:sz w:val="21"/>
                <w:szCs w:val="21"/>
                <w:highlight w:val="none"/>
              </w:rPr>
            </w:pPr>
          </w:p>
        </w:tc>
        <w:tc>
          <w:tcPr>
            <w:tcW w:w="1819" w:type="dxa"/>
            <w:noWrap w:val="0"/>
            <w:vAlign w:val="center"/>
          </w:tcPr>
          <w:p w14:paraId="1F6727C8">
            <w:pPr>
              <w:spacing w:line="360" w:lineRule="auto"/>
              <w:jc w:val="center"/>
              <w:rPr>
                <w:rFonts w:hint="eastAsia" w:ascii="仿宋" w:hAnsi="仿宋" w:eastAsia="仿宋" w:cs="仿宋"/>
                <w:color w:val="auto"/>
                <w:kern w:val="1"/>
                <w:szCs w:val="21"/>
                <w:highlight w:val="none"/>
                <w:lang w:val="zh-CN"/>
              </w:rPr>
            </w:pPr>
            <w:r>
              <w:rPr>
                <w:rFonts w:hint="eastAsia" w:ascii="仿宋" w:hAnsi="仿宋" w:eastAsia="仿宋" w:cs="仿宋"/>
                <w:color w:val="auto"/>
                <w:kern w:val="1"/>
                <w:szCs w:val="21"/>
                <w:highlight w:val="none"/>
                <w:lang w:val="zh-CN"/>
              </w:rPr>
              <w:t>项目负责人资历</w:t>
            </w:r>
          </w:p>
          <w:p w14:paraId="05F08C15">
            <w:pPr>
              <w:spacing w:line="360" w:lineRule="auto"/>
              <w:jc w:val="center"/>
              <w:rPr>
                <w:rFonts w:hint="eastAsia" w:ascii="仿宋" w:hAnsi="仿宋" w:eastAsia="仿宋" w:cs="仿宋"/>
                <w:color w:val="auto"/>
                <w:kern w:val="1"/>
                <w:szCs w:val="21"/>
                <w:highlight w:val="none"/>
                <w:lang w:val="zh-CN"/>
              </w:rPr>
            </w:pPr>
            <w:r>
              <w:rPr>
                <w:rFonts w:hint="eastAsia" w:ascii="仿宋" w:hAnsi="仿宋" w:eastAsia="仿宋" w:cs="仿宋"/>
                <w:color w:val="auto"/>
                <w:kern w:val="1"/>
                <w:szCs w:val="21"/>
                <w:highlight w:val="none"/>
                <w:lang w:val="zh-CN"/>
              </w:rPr>
              <w:t>（</w:t>
            </w:r>
            <w:r>
              <w:rPr>
                <w:rFonts w:hint="eastAsia" w:ascii="仿宋" w:hAnsi="仿宋" w:eastAsia="仿宋" w:cs="仿宋"/>
                <w:color w:val="auto"/>
                <w:kern w:val="1"/>
                <w:szCs w:val="21"/>
                <w:highlight w:val="none"/>
              </w:rPr>
              <w:t>4</w:t>
            </w:r>
            <w:r>
              <w:rPr>
                <w:rFonts w:hint="eastAsia" w:ascii="仿宋" w:hAnsi="仿宋" w:eastAsia="仿宋" w:cs="仿宋"/>
                <w:color w:val="auto"/>
                <w:kern w:val="1"/>
                <w:szCs w:val="21"/>
                <w:highlight w:val="none"/>
                <w:lang w:val="zh-CN"/>
              </w:rPr>
              <w:t>分）</w:t>
            </w:r>
          </w:p>
          <w:p w14:paraId="515B7EE0">
            <w:pPr>
              <w:spacing w:line="360" w:lineRule="auto"/>
              <w:rPr>
                <w:rFonts w:hint="eastAsia" w:ascii="仿宋" w:hAnsi="仿宋" w:eastAsia="仿宋" w:cs="仿宋"/>
                <w:color w:val="auto"/>
                <w:kern w:val="1"/>
                <w:szCs w:val="21"/>
                <w:highlight w:val="none"/>
                <w:lang w:val="zh-CN"/>
              </w:rPr>
            </w:pPr>
          </w:p>
        </w:tc>
        <w:tc>
          <w:tcPr>
            <w:tcW w:w="4908" w:type="dxa"/>
            <w:noWrap w:val="0"/>
            <w:vAlign w:val="center"/>
          </w:tcPr>
          <w:p w14:paraId="57E77585">
            <w:pPr>
              <w:spacing w:line="360" w:lineRule="auto"/>
              <w:rPr>
                <w:rFonts w:hint="eastAsia" w:ascii="仿宋" w:hAnsi="仿宋" w:eastAsia="仿宋" w:cs="仿宋"/>
                <w:color w:val="auto"/>
                <w:kern w:val="1"/>
                <w:szCs w:val="21"/>
                <w:highlight w:val="none"/>
                <w:lang w:val="zh-CN"/>
              </w:rPr>
            </w:pPr>
            <w:r>
              <w:rPr>
                <w:rFonts w:hint="eastAsia" w:ascii="仿宋" w:hAnsi="仿宋" w:eastAsia="仿宋" w:cs="仿宋"/>
                <w:color w:val="auto"/>
                <w:kern w:val="1"/>
                <w:szCs w:val="21"/>
                <w:highlight w:val="none"/>
              </w:rPr>
              <w:t>1、</w:t>
            </w:r>
            <w:r>
              <w:rPr>
                <w:rFonts w:hint="eastAsia" w:ascii="仿宋" w:hAnsi="仿宋" w:eastAsia="仿宋" w:cs="仿宋"/>
                <w:color w:val="auto"/>
                <w:kern w:val="1"/>
                <w:szCs w:val="21"/>
                <w:highlight w:val="none"/>
                <w:lang w:val="zh-CN"/>
              </w:rPr>
              <w:t>具有</w:t>
            </w:r>
            <w:r>
              <w:rPr>
                <w:rFonts w:hint="eastAsia" w:ascii="仿宋" w:hAnsi="仿宋" w:eastAsia="仿宋" w:cs="仿宋"/>
                <w:b/>
                <w:bCs/>
                <w:color w:val="auto"/>
                <w:kern w:val="1"/>
                <w:szCs w:val="21"/>
                <w:highlight w:val="none"/>
                <w:u w:val="single"/>
                <w:lang w:val="zh-CN"/>
              </w:rPr>
              <w:t>建筑类专业</w:t>
            </w:r>
            <w:r>
              <w:rPr>
                <w:rFonts w:hint="eastAsia" w:ascii="仿宋" w:hAnsi="仿宋" w:eastAsia="仿宋" w:cs="仿宋"/>
                <w:color w:val="auto"/>
                <w:kern w:val="1"/>
                <w:szCs w:val="21"/>
                <w:highlight w:val="none"/>
                <w:lang w:val="zh-CN"/>
              </w:rPr>
              <w:t>高级（或以上）工程师职称的得</w:t>
            </w:r>
            <w:r>
              <w:rPr>
                <w:rFonts w:hint="eastAsia" w:ascii="仿宋" w:hAnsi="仿宋" w:eastAsia="仿宋" w:cs="仿宋"/>
                <w:color w:val="auto"/>
                <w:kern w:val="1"/>
                <w:szCs w:val="21"/>
                <w:highlight w:val="none"/>
              </w:rPr>
              <w:t>1</w:t>
            </w:r>
            <w:r>
              <w:rPr>
                <w:rFonts w:hint="eastAsia" w:ascii="仿宋" w:hAnsi="仿宋" w:eastAsia="仿宋" w:cs="仿宋"/>
                <w:color w:val="auto"/>
                <w:kern w:val="1"/>
                <w:szCs w:val="21"/>
                <w:highlight w:val="none"/>
                <w:lang w:val="zh-CN"/>
              </w:rPr>
              <w:t>分；具备建筑类专业中级技术职称的得</w:t>
            </w:r>
            <w:r>
              <w:rPr>
                <w:rFonts w:hint="eastAsia" w:ascii="仿宋" w:hAnsi="仿宋" w:eastAsia="仿宋" w:cs="仿宋"/>
                <w:color w:val="auto"/>
                <w:kern w:val="1"/>
                <w:szCs w:val="21"/>
                <w:highlight w:val="none"/>
              </w:rPr>
              <w:t>0.5</w:t>
            </w:r>
            <w:r>
              <w:rPr>
                <w:rFonts w:hint="eastAsia" w:ascii="仿宋" w:hAnsi="仿宋" w:eastAsia="仿宋" w:cs="仿宋"/>
                <w:color w:val="auto"/>
                <w:kern w:val="1"/>
                <w:szCs w:val="21"/>
                <w:highlight w:val="none"/>
                <w:lang w:val="zh-CN"/>
              </w:rPr>
              <w:t>分。本小项最高得</w:t>
            </w:r>
            <w:r>
              <w:rPr>
                <w:rFonts w:hint="eastAsia" w:ascii="仿宋" w:hAnsi="仿宋" w:eastAsia="仿宋" w:cs="仿宋"/>
                <w:color w:val="auto"/>
                <w:kern w:val="1"/>
                <w:szCs w:val="21"/>
                <w:highlight w:val="none"/>
              </w:rPr>
              <w:t>1</w:t>
            </w:r>
            <w:r>
              <w:rPr>
                <w:rFonts w:hint="eastAsia" w:ascii="仿宋" w:hAnsi="仿宋" w:eastAsia="仿宋" w:cs="仿宋"/>
                <w:color w:val="auto"/>
                <w:kern w:val="1"/>
                <w:szCs w:val="21"/>
                <w:highlight w:val="none"/>
                <w:lang w:val="zh-CN"/>
              </w:rPr>
              <w:t>分。</w:t>
            </w:r>
          </w:p>
          <w:p w14:paraId="35AEFB7D">
            <w:pPr>
              <w:spacing w:line="360" w:lineRule="auto"/>
              <w:rPr>
                <w:rFonts w:hint="eastAsia" w:ascii="仿宋" w:hAnsi="仿宋" w:eastAsia="仿宋" w:cs="仿宋"/>
                <w:color w:val="auto"/>
                <w:kern w:val="1"/>
                <w:szCs w:val="21"/>
                <w:highlight w:val="none"/>
                <w:lang w:val="zh-CN"/>
              </w:rPr>
            </w:pPr>
            <w:r>
              <w:rPr>
                <w:rFonts w:hint="eastAsia" w:ascii="仿宋" w:hAnsi="仿宋" w:eastAsia="仿宋" w:cs="仿宋"/>
                <w:color w:val="auto"/>
                <w:kern w:val="1"/>
                <w:szCs w:val="21"/>
                <w:highlight w:val="none"/>
              </w:rPr>
              <w:t>2、</w:t>
            </w:r>
            <w:r>
              <w:rPr>
                <w:rFonts w:hint="eastAsia" w:ascii="仿宋" w:hAnsi="仿宋" w:eastAsia="仿宋" w:cs="仿宋"/>
                <w:color w:val="auto"/>
                <w:kern w:val="1"/>
                <w:szCs w:val="21"/>
                <w:highlight w:val="none"/>
                <w:lang w:val="zh-CN"/>
              </w:rPr>
              <w:t>类似项目业绩：202</w:t>
            </w:r>
            <w:r>
              <w:rPr>
                <w:rFonts w:hint="eastAsia" w:ascii="仿宋" w:hAnsi="仿宋" w:eastAsia="仿宋" w:cs="仿宋"/>
                <w:color w:val="auto"/>
                <w:kern w:val="1"/>
                <w:szCs w:val="21"/>
                <w:highlight w:val="none"/>
              </w:rPr>
              <w:t>2</w:t>
            </w:r>
            <w:r>
              <w:rPr>
                <w:rFonts w:hint="eastAsia" w:ascii="仿宋" w:hAnsi="仿宋" w:eastAsia="仿宋" w:cs="仿宋"/>
                <w:color w:val="auto"/>
                <w:kern w:val="1"/>
                <w:szCs w:val="21"/>
                <w:highlight w:val="none"/>
                <w:lang w:val="zh-CN"/>
              </w:rPr>
              <w:t>年1月1日至今，担任项目负责人承接过项目总建筑面积</w:t>
            </w:r>
            <w:r>
              <w:rPr>
                <w:rFonts w:hint="eastAsia" w:ascii="仿宋" w:hAnsi="仿宋" w:eastAsia="仿宋" w:cs="仿宋"/>
                <w:color w:val="auto"/>
                <w:kern w:val="1"/>
                <w:szCs w:val="21"/>
                <w:highlight w:val="none"/>
              </w:rPr>
              <w:t>1</w:t>
            </w:r>
            <w:r>
              <w:rPr>
                <w:rFonts w:hint="eastAsia" w:ascii="仿宋" w:hAnsi="仿宋" w:eastAsia="仿宋" w:cs="仿宋"/>
                <w:color w:val="auto"/>
                <w:kern w:val="1"/>
                <w:szCs w:val="21"/>
                <w:highlight w:val="none"/>
                <w:lang w:val="zh-CN"/>
              </w:rPr>
              <w:t>万平方米或以上的房屋建筑工程设计业绩或工程总承包（包括勘察设计施工总承包或设计施工总承包或设计采购施工总承包或勘察设计采购施工总承包等）项目中的设计部分业绩，每项得1分，最多得3分。</w:t>
            </w:r>
          </w:p>
          <w:p w14:paraId="14B70CD7">
            <w:pPr>
              <w:spacing w:line="360" w:lineRule="auto"/>
              <w:rPr>
                <w:rFonts w:hint="eastAsia" w:ascii="仿宋" w:hAnsi="仿宋" w:eastAsia="仿宋" w:cs="仿宋"/>
                <w:b/>
                <w:bCs/>
                <w:color w:val="auto"/>
                <w:kern w:val="1"/>
                <w:szCs w:val="21"/>
                <w:highlight w:val="none"/>
                <w:u w:val="single"/>
                <w:lang w:val="zh-CN"/>
              </w:rPr>
            </w:pPr>
            <w:r>
              <w:rPr>
                <w:rFonts w:hint="eastAsia" w:ascii="仿宋" w:hAnsi="仿宋" w:eastAsia="仿宋" w:cs="仿宋"/>
                <w:b/>
                <w:bCs/>
                <w:color w:val="auto"/>
                <w:kern w:val="1"/>
                <w:szCs w:val="21"/>
                <w:highlight w:val="none"/>
                <w:u w:val="single"/>
                <w:lang w:val="zh-CN"/>
              </w:rPr>
              <w:t>注：（</w:t>
            </w:r>
            <w:r>
              <w:rPr>
                <w:rFonts w:hint="eastAsia" w:ascii="仿宋" w:hAnsi="仿宋" w:eastAsia="仿宋" w:cs="仿宋"/>
                <w:b/>
                <w:bCs/>
                <w:color w:val="auto"/>
                <w:kern w:val="1"/>
                <w:szCs w:val="21"/>
                <w:highlight w:val="none"/>
                <w:u w:val="single"/>
                <w:lang w:val="en-US" w:eastAsia="zh-CN"/>
              </w:rPr>
              <w:t>1</w:t>
            </w:r>
            <w:r>
              <w:rPr>
                <w:rFonts w:hint="eastAsia" w:ascii="仿宋" w:hAnsi="仿宋" w:eastAsia="仿宋" w:cs="仿宋"/>
                <w:b/>
                <w:bCs/>
                <w:color w:val="auto"/>
                <w:kern w:val="1"/>
                <w:szCs w:val="21"/>
                <w:highlight w:val="none"/>
                <w:u w:val="single"/>
                <w:lang w:val="zh-CN"/>
              </w:rPr>
              <w:t>）</w:t>
            </w:r>
            <w:r>
              <w:rPr>
                <w:rFonts w:hint="eastAsia" w:ascii="仿宋" w:hAnsi="仿宋" w:eastAsia="仿宋" w:cs="仿宋"/>
                <w:b/>
                <w:bCs/>
                <w:color w:val="auto"/>
                <w:kern w:val="1"/>
                <w:szCs w:val="21"/>
                <w:highlight w:val="none"/>
                <w:u w:val="single"/>
                <w:lang w:val="en-US" w:eastAsia="zh-CN"/>
              </w:rPr>
              <w:t>时间以合同签订时间为准；</w:t>
            </w:r>
            <w:r>
              <w:rPr>
                <w:rFonts w:hint="eastAsia" w:ascii="仿宋" w:hAnsi="仿宋" w:eastAsia="仿宋" w:cs="仿宋"/>
                <w:b/>
                <w:bCs/>
                <w:color w:val="auto"/>
                <w:kern w:val="1"/>
                <w:szCs w:val="21"/>
                <w:highlight w:val="none"/>
                <w:u w:val="single"/>
                <w:lang w:val="zh-CN"/>
              </w:rPr>
              <w:t>建筑面积以合同内容或初步设计审查报告或施工图审查合格证明文件或业主出具的有效证明材料为准；如上述资料的建筑面积不一致时，以合同内容或业主出具的有效证明材料为准(合同内容与业主证明不一致的以业主证明为准)。</w:t>
            </w:r>
          </w:p>
          <w:p w14:paraId="5143C799">
            <w:pPr>
              <w:spacing w:line="360" w:lineRule="auto"/>
              <w:rPr>
                <w:rFonts w:hint="eastAsia" w:ascii="仿宋" w:hAnsi="仿宋" w:eastAsia="仿宋" w:cs="仿宋"/>
                <w:b/>
                <w:bCs/>
                <w:color w:val="auto"/>
                <w:kern w:val="1"/>
                <w:szCs w:val="21"/>
                <w:highlight w:val="none"/>
                <w:u w:val="single"/>
                <w:lang w:val="zh-CN"/>
              </w:rPr>
            </w:pPr>
            <w:r>
              <w:rPr>
                <w:rFonts w:hint="eastAsia" w:ascii="仿宋" w:hAnsi="仿宋" w:eastAsia="仿宋" w:cs="仿宋"/>
                <w:b/>
                <w:bCs/>
                <w:color w:val="auto"/>
                <w:kern w:val="1"/>
                <w:szCs w:val="21"/>
                <w:highlight w:val="none"/>
                <w:u w:val="single"/>
                <w:lang w:val="zh-CN"/>
              </w:rPr>
              <w:t>须按评审要求提供对应文件；业绩经验须同时提供：1）中标通知书或免招标的相关证明；2）设计合同（关键页）；3）初步设计审查报告或施工图审查合格证明文件或业主证明。</w:t>
            </w:r>
          </w:p>
          <w:p w14:paraId="142C44DB">
            <w:pPr>
              <w:spacing w:line="360" w:lineRule="auto"/>
              <w:rPr>
                <w:rFonts w:hint="eastAsia" w:ascii="仿宋" w:hAnsi="仿宋" w:eastAsia="仿宋" w:cs="仿宋"/>
                <w:b/>
                <w:bCs/>
                <w:u w:val="single"/>
                <w:lang w:val="en-US" w:eastAsia="zh-CN"/>
              </w:rPr>
            </w:pPr>
            <w:r>
              <w:rPr>
                <w:rFonts w:hint="eastAsia" w:ascii="仿宋" w:hAnsi="仿宋" w:eastAsia="仿宋" w:cs="仿宋"/>
                <w:b/>
                <w:bCs/>
                <w:u w:val="single"/>
                <w:lang w:val="en-US" w:eastAsia="zh-CN"/>
              </w:rPr>
              <w:t>如上述业绩经验证明资料中无法体现项目负责人姓名，可以另行提供业主出具的有效证明材料。上述业绩经验证明资料中项目负责人姓名不一致时，以初步设计审查报告或施工图审查合格证明文件或业主业绩证明为准。</w:t>
            </w:r>
          </w:p>
          <w:p w14:paraId="2E3F5FB5">
            <w:pPr>
              <w:spacing w:line="360" w:lineRule="auto"/>
              <w:rPr>
                <w:rFonts w:hint="eastAsia" w:ascii="仿宋" w:hAnsi="仿宋" w:eastAsia="仿宋" w:cs="仿宋"/>
                <w:color w:val="auto"/>
                <w:kern w:val="1"/>
                <w:szCs w:val="21"/>
                <w:highlight w:val="none"/>
                <w:lang w:val="zh-CN"/>
              </w:rPr>
            </w:pPr>
            <w:r>
              <w:rPr>
                <w:rFonts w:hint="eastAsia" w:ascii="仿宋" w:hAnsi="仿宋" w:eastAsia="仿宋" w:cs="仿宋"/>
                <w:b/>
                <w:bCs/>
                <w:color w:val="auto"/>
                <w:kern w:val="1"/>
                <w:szCs w:val="21"/>
                <w:highlight w:val="none"/>
                <w:u w:val="single"/>
                <w:lang w:val="zh-CN"/>
              </w:rPr>
              <w:t>（</w:t>
            </w:r>
            <w:r>
              <w:rPr>
                <w:rFonts w:hint="eastAsia" w:ascii="仿宋" w:hAnsi="仿宋" w:eastAsia="仿宋" w:cs="仿宋"/>
                <w:b/>
                <w:bCs/>
                <w:color w:val="auto"/>
                <w:kern w:val="1"/>
                <w:szCs w:val="21"/>
                <w:highlight w:val="none"/>
                <w:u w:val="single"/>
                <w:lang w:val="en-US" w:eastAsia="zh-CN"/>
              </w:rPr>
              <w:t>4</w:t>
            </w:r>
            <w:r>
              <w:rPr>
                <w:rFonts w:hint="eastAsia" w:ascii="仿宋" w:hAnsi="仿宋" w:eastAsia="仿宋" w:cs="仿宋"/>
                <w:b/>
                <w:bCs/>
                <w:color w:val="auto"/>
                <w:kern w:val="1"/>
                <w:szCs w:val="21"/>
                <w:highlight w:val="none"/>
                <w:u w:val="single"/>
                <w:lang w:val="zh-CN"/>
              </w:rPr>
              <w:t>）</w:t>
            </w:r>
            <w:r>
              <w:rPr>
                <w:rFonts w:hint="eastAsia" w:ascii="仿宋" w:hAnsi="仿宋" w:eastAsia="仿宋" w:cs="仿宋"/>
                <w:color w:val="auto"/>
                <w:kern w:val="1"/>
                <w:szCs w:val="21"/>
                <w:highlight w:val="none"/>
                <w:lang w:val="zh-CN"/>
              </w:rPr>
              <w:t>本小项最高得</w:t>
            </w:r>
            <w:r>
              <w:rPr>
                <w:rFonts w:hint="eastAsia" w:ascii="仿宋" w:hAnsi="仿宋" w:eastAsia="仿宋" w:cs="仿宋"/>
                <w:color w:val="auto"/>
                <w:kern w:val="1"/>
                <w:szCs w:val="21"/>
                <w:highlight w:val="none"/>
                <w:lang w:val="en-US" w:eastAsia="zh-CN"/>
              </w:rPr>
              <w:t>4</w:t>
            </w:r>
            <w:r>
              <w:rPr>
                <w:rFonts w:hint="eastAsia" w:ascii="仿宋" w:hAnsi="仿宋" w:eastAsia="仿宋" w:cs="仿宋"/>
                <w:color w:val="auto"/>
                <w:kern w:val="1"/>
                <w:szCs w:val="21"/>
                <w:highlight w:val="none"/>
                <w:lang w:val="zh-CN"/>
              </w:rPr>
              <w:t>分，证明材料需提供相应证书扫描件，并提供开标前近</w:t>
            </w:r>
            <w:r>
              <w:rPr>
                <w:rFonts w:hint="eastAsia" w:ascii="仿宋" w:hAnsi="仿宋" w:eastAsia="仿宋" w:cs="仿宋"/>
                <w:color w:val="auto"/>
                <w:kern w:val="1"/>
                <w:szCs w:val="21"/>
                <w:highlight w:val="none"/>
              </w:rPr>
              <w:t>1</w:t>
            </w:r>
            <w:r>
              <w:rPr>
                <w:rFonts w:hint="eastAsia" w:ascii="仿宋" w:hAnsi="仿宋" w:eastAsia="仿宋" w:cs="仿宋"/>
                <w:color w:val="auto"/>
                <w:kern w:val="1"/>
                <w:szCs w:val="21"/>
                <w:highlight w:val="none"/>
                <w:lang w:val="zh-CN"/>
              </w:rPr>
              <w:t>个月（</w:t>
            </w:r>
            <w:r>
              <w:rPr>
                <w:rFonts w:hint="eastAsia" w:ascii="仿宋" w:hAnsi="仿宋" w:eastAsia="仿宋" w:cs="仿宋"/>
                <w:color w:val="auto"/>
                <w:kern w:val="1"/>
                <w:szCs w:val="21"/>
                <w:highlight w:val="none"/>
              </w:rPr>
              <w:t>2025年</w:t>
            </w:r>
            <w:r>
              <w:rPr>
                <w:rFonts w:hint="eastAsia" w:ascii="仿宋" w:hAnsi="仿宋" w:eastAsia="仿宋" w:cs="仿宋"/>
                <w:color w:val="auto"/>
                <w:kern w:val="1"/>
                <w:szCs w:val="21"/>
                <w:highlight w:val="none"/>
                <w:lang w:val="en-US" w:eastAsia="zh-CN"/>
              </w:rPr>
              <w:t>10</w:t>
            </w:r>
            <w:r>
              <w:rPr>
                <w:rFonts w:hint="eastAsia" w:ascii="仿宋" w:hAnsi="仿宋" w:eastAsia="仿宋" w:cs="仿宋"/>
                <w:color w:val="auto"/>
                <w:kern w:val="1"/>
                <w:szCs w:val="21"/>
                <w:highlight w:val="none"/>
              </w:rPr>
              <w:t>月</w:t>
            </w:r>
            <w:r>
              <w:rPr>
                <w:rFonts w:hint="eastAsia" w:ascii="仿宋" w:hAnsi="仿宋" w:eastAsia="仿宋" w:cs="仿宋"/>
                <w:color w:val="auto"/>
                <w:kern w:val="1"/>
                <w:szCs w:val="21"/>
                <w:highlight w:val="none"/>
                <w:lang w:val="zh-CN"/>
              </w:rPr>
              <w:t>）社保证明。</w:t>
            </w:r>
          </w:p>
        </w:tc>
      </w:tr>
      <w:tr w14:paraId="35ED0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894" w:type="dxa"/>
            <w:vMerge w:val="continue"/>
            <w:noWrap w:val="0"/>
            <w:vAlign w:val="center"/>
          </w:tcPr>
          <w:p w14:paraId="19DAAA11">
            <w:pPr>
              <w:pStyle w:val="18"/>
              <w:spacing w:line="360" w:lineRule="auto"/>
              <w:jc w:val="center"/>
              <w:rPr>
                <w:rFonts w:hint="eastAsia" w:ascii="仿宋" w:hAnsi="仿宋" w:eastAsia="仿宋" w:cs="仿宋"/>
                <w:color w:val="auto"/>
                <w:sz w:val="21"/>
                <w:szCs w:val="21"/>
                <w:highlight w:val="none"/>
              </w:rPr>
            </w:pPr>
          </w:p>
        </w:tc>
        <w:tc>
          <w:tcPr>
            <w:tcW w:w="1060" w:type="dxa"/>
            <w:vMerge w:val="continue"/>
            <w:noWrap w:val="0"/>
            <w:vAlign w:val="center"/>
          </w:tcPr>
          <w:p w14:paraId="50D624EB">
            <w:pPr>
              <w:pStyle w:val="18"/>
              <w:spacing w:line="360" w:lineRule="auto"/>
              <w:jc w:val="center"/>
              <w:rPr>
                <w:rFonts w:hint="eastAsia" w:ascii="仿宋" w:hAnsi="仿宋" w:eastAsia="仿宋" w:cs="仿宋"/>
                <w:color w:val="auto"/>
                <w:sz w:val="21"/>
                <w:szCs w:val="21"/>
                <w:highlight w:val="none"/>
              </w:rPr>
            </w:pPr>
          </w:p>
        </w:tc>
        <w:tc>
          <w:tcPr>
            <w:tcW w:w="1819" w:type="dxa"/>
            <w:noWrap w:val="0"/>
            <w:vAlign w:val="center"/>
          </w:tcPr>
          <w:p w14:paraId="42BB5819">
            <w:pPr>
              <w:pStyle w:val="3"/>
              <w:ind w:firstLine="0" w:firstLineChars="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设计管理班子配备情况（</w:t>
            </w:r>
            <w:r>
              <w:rPr>
                <w:rFonts w:hint="eastAsia" w:ascii="仿宋" w:hAnsi="仿宋" w:eastAsia="仿宋" w:cs="仿宋"/>
                <w:color w:val="auto"/>
                <w:kern w:val="0"/>
                <w:szCs w:val="21"/>
                <w:highlight w:val="none"/>
              </w:rPr>
              <w:t>6</w:t>
            </w:r>
            <w:r>
              <w:rPr>
                <w:rFonts w:hint="eastAsia" w:ascii="仿宋" w:hAnsi="仿宋" w:eastAsia="仿宋" w:cs="仿宋"/>
                <w:color w:val="auto"/>
                <w:kern w:val="0"/>
                <w:szCs w:val="21"/>
                <w:highlight w:val="none"/>
                <w:lang w:val="zh-CN"/>
              </w:rPr>
              <w:t>分）</w:t>
            </w:r>
          </w:p>
          <w:p w14:paraId="3566789F">
            <w:pPr>
              <w:spacing w:line="360" w:lineRule="auto"/>
              <w:rPr>
                <w:rFonts w:hint="eastAsia" w:ascii="仿宋" w:hAnsi="仿宋" w:eastAsia="仿宋" w:cs="仿宋"/>
                <w:color w:val="auto"/>
                <w:highlight w:val="none"/>
                <w:lang w:val="zh-CN"/>
              </w:rPr>
            </w:pPr>
          </w:p>
        </w:tc>
        <w:tc>
          <w:tcPr>
            <w:tcW w:w="4908" w:type="dxa"/>
            <w:noWrap w:val="0"/>
            <w:vAlign w:val="center"/>
          </w:tcPr>
          <w:p w14:paraId="4D5705D6">
            <w:pPr>
              <w:pStyle w:val="21"/>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除项目负责人外，各专业负责人业务能力</w:t>
            </w:r>
          </w:p>
          <w:p w14:paraId="36483354">
            <w:pPr>
              <w:pStyle w:val="21"/>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（1）建筑专业负责人：具备</w:t>
            </w:r>
            <w:r>
              <w:rPr>
                <w:rFonts w:hint="eastAsia" w:ascii="仿宋" w:hAnsi="仿宋" w:eastAsia="仿宋" w:cs="仿宋"/>
                <w:b/>
                <w:bCs/>
                <w:color w:val="auto"/>
                <w:sz w:val="21"/>
                <w:szCs w:val="21"/>
                <w:highlight w:val="none"/>
                <w:u w:val="single"/>
              </w:rPr>
              <w:t>一级注册建筑师注册</w:t>
            </w:r>
            <w:r>
              <w:rPr>
                <w:rFonts w:hint="eastAsia" w:ascii="仿宋" w:hAnsi="仿宋" w:eastAsia="仿宋" w:cs="仿宋"/>
                <w:color w:val="auto"/>
                <w:sz w:val="21"/>
                <w:szCs w:val="21"/>
                <w:highlight w:val="none"/>
              </w:rPr>
              <w:t>证得0.5分；具备高级或以上职称得0.5分，具备中级职称得0.2分；本项最多得1分。</w:t>
            </w:r>
          </w:p>
          <w:p w14:paraId="01295010">
            <w:pPr>
              <w:pStyle w:val="21"/>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（2）结构专业负责人：具备</w:t>
            </w:r>
            <w:r>
              <w:rPr>
                <w:rFonts w:hint="eastAsia" w:ascii="仿宋" w:hAnsi="仿宋" w:eastAsia="仿宋" w:cs="仿宋"/>
                <w:b/>
                <w:bCs/>
                <w:color w:val="auto"/>
                <w:sz w:val="21"/>
                <w:szCs w:val="21"/>
                <w:highlight w:val="none"/>
                <w:u w:val="single"/>
              </w:rPr>
              <w:t>一级注册结构工程师</w:t>
            </w:r>
            <w:r>
              <w:rPr>
                <w:rFonts w:hint="eastAsia" w:ascii="仿宋" w:hAnsi="仿宋" w:eastAsia="仿宋" w:cs="仿宋"/>
                <w:color w:val="auto"/>
                <w:sz w:val="21"/>
                <w:szCs w:val="21"/>
                <w:highlight w:val="none"/>
              </w:rPr>
              <w:t>证书得0.5分；具备高级或以上职称得0.5分，具备中级职称得0.2分；本项最多得1分。</w:t>
            </w:r>
          </w:p>
          <w:p w14:paraId="12326634">
            <w:pPr>
              <w:pStyle w:val="21"/>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（3）给排水专业负责人：具备</w:t>
            </w:r>
            <w:r>
              <w:rPr>
                <w:rFonts w:hint="eastAsia" w:ascii="仿宋" w:hAnsi="仿宋" w:eastAsia="仿宋" w:cs="仿宋"/>
                <w:b/>
                <w:bCs/>
                <w:color w:val="auto"/>
                <w:sz w:val="21"/>
                <w:szCs w:val="21"/>
                <w:highlight w:val="none"/>
                <w:u w:val="single"/>
              </w:rPr>
              <w:t>注册公用设备工程师</w:t>
            </w:r>
            <w:r>
              <w:rPr>
                <w:rFonts w:hint="eastAsia" w:ascii="仿宋" w:hAnsi="仿宋" w:eastAsia="仿宋" w:cs="仿宋"/>
                <w:color w:val="auto"/>
                <w:sz w:val="21"/>
                <w:szCs w:val="21"/>
                <w:highlight w:val="none"/>
              </w:rPr>
              <w:t>证书得0.5分；具备高级或以上职称得0.5分，具备中级职称得0.2分；本项最多得1分。</w:t>
            </w:r>
          </w:p>
          <w:p w14:paraId="4783B269">
            <w:pPr>
              <w:pStyle w:val="21"/>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（4）电气专业负责人：具备</w:t>
            </w:r>
            <w:r>
              <w:rPr>
                <w:rFonts w:hint="eastAsia" w:ascii="仿宋" w:hAnsi="仿宋" w:eastAsia="仿宋" w:cs="仿宋"/>
                <w:b/>
                <w:bCs/>
                <w:color w:val="auto"/>
                <w:sz w:val="21"/>
                <w:szCs w:val="21"/>
                <w:highlight w:val="none"/>
                <w:u w:val="single"/>
              </w:rPr>
              <w:t>注册电气工程师证书</w:t>
            </w:r>
            <w:r>
              <w:rPr>
                <w:rFonts w:hint="eastAsia" w:ascii="仿宋" w:hAnsi="仿宋" w:eastAsia="仿宋" w:cs="仿宋"/>
                <w:color w:val="auto"/>
                <w:sz w:val="21"/>
                <w:szCs w:val="21"/>
                <w:highlight w:val="none"/>
              </w:rPr>
              <w:t>得0.5分；具备高级或以上职称得0.5分，具备中级职称得0.2分；本项最多得1分。</w:t>
            </w:r>
          </w:p>
          <w:p w14:paraId="4DE21C44">
            <w:pPr>
              <w:pStyle w:val="21"/>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（5）暖通专业负责人：具备</w:t>
            </w:r>
            <w:r>
              <w:rPr>
                <w:rFonts w:hint="eastAsia" w:ascii="仿宋" w:hAnsi="仿宋" w:eastAsia="仿宋" w:cs="仿宋"/>
                <w:b/>
                <w:bCs/>
                <w:color w:val="auto"/>
                <w:sz w:val="21"/>
                <w:szCs w:val="21"/>
                <w:highlight w:val="none"/>
                <w:u w:val="single"/>
              </w:rPr>
              <w:t>注册公用设备工程师</w:t>
            </w:r>
            <w:r>
              <w:rPr>
                <w:rFonts w:hint="eastAsia" w:ascii="仿宋" w:hAnsi="仿宋" w:eastAsia="仿宋" w:cs="仿宋"/>
                <w:color w:val="auto"/>
                <w:sz w:val="21"/>
                <w:szCs w:val="21"/>
                <w:highlight w:val="none"/>
              </w:rPr>
              <w:t>证书得0.5分；具备高级或以上职称得0.5分，具备中级职称得0.2分；本项最多得1分。</w:t>
            </w:r>
          </w:p>
          <w:p w14:paraId="56B74EF8">
            <w:pPr>
              <w:pStyle w:val="21"/>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（6）造价专业负责人：具备一级注册造价工程师证书得0.5分；具备高级或以上职称得0.5分，具备中级职称得0.2分；本项最多得1分。</w:t>
            </w:r>
            <w:r>
              <w:rPr>
                <w:rFonts w:hint="eastAsia" w:ascii="仿宋" w:hAnsi="仿宋" w:eastAsia="仿宋" w:cs="仿宋"/>
                <w:b/>
                <w:bCs/>
                <w:color w:val="auto"/>
                <w:sz w:val="21"/>
                <w:szCs w:val="21"/>
                <w:highlight w:val="none"/>
              </w:rPr>
              <w:t>注：按照《造价工程师职业资格制度规定》的规定，根据原人事部、原建设部发布的《造价工程师执业资格制度暂行规定》（人发〔1996〕77号）取得的造价工程师执业资格，并经注册且在有效期内的，等同于一级注册造价工程师，有效的一级注册造价工程师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2903339F">
            <w:pPr>
              <w:spacing w:line="360" w:lineRule="auto"/>
              <w:rPr>
                <w:rFonts w:hint="eastAsia" w:ascii="仿宋" w:hAnsi="仿宋" w:eastAsia="仿宋" w:cs="仿宋"/>
                <w:color w:val="auto"/>
                <w:kern w:val="1"/>
                <w:szCs w:val="21"/>
                <w:highlight w:val="none"/>
                <w:lang w:val="zh-CN"/>
              </w:rPr>
            </w:pPr>
            <w:r>
              <w:rPr>
                <w:rFonts w:hint="eastAsia" w:ascii="仿宋" w:hAnsi="仿宋" w:eastAsia="仿宋" w:cs="仿宋"/>
                <w:color w:val="auto"/>
                <w:szCs w:val="21"/>
                <w:highlight w:val="none"/>
              </w:rPr>
              <w:t>注：以上合计最多得6分，同一人员重复不计分。须提供拟派人员的相关证书及提供开标前近1个月（2025年</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月）社保证明。</w:t>
            </w:r>
          </w:p>
        </w:tc>
      </w:tr>
      <w:tr w14:paraId="44C26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94" w:type="dxa"/>
            <w:vMerge w:val="continue"/>
            <w:noWrap w:val="0"/>
            <w:vAlign w:val="center"/>
          </w:tcPr>
          <w:p w14:paraId="1809E1A0">
            <w:pPr>
              <w:spacing w:line="360" w:lineRule="auto"/>
              <w:jc w:val="center"/>
              <w:rPr>
                <w:rFonts w:hint="eastAsia" w:ascii="仿宋" w:hAnsi="仿宋" w:eastAsia="仿宋" w:cs="仿宋"/>
                <w:color w:val="auto"/>
                <w:szCs w:val="21"/>
                <w:highlight w:val="none"/>
              </w:rPr>
            </w:pPr>
          </w:p>
        </w:tc>
        <w:tc>
          <w:tcPr>
            <w:tcW w:w="1060" w:type="dxa"/>
            <w:vMerge w:val="continue"/>
            <w:noWrap w:val="0"/>
            <w:vAlign w:val="center"/>
          </w:tcPr>
          <w:p w14:paraId="1D34CC28">
            <w:pPr>
              <w:spacing w:line="360" w:lineRule="auto"/>
              <w:jc w:val="center"/>
              <w:rPr>
                <w:rFonts w:hint="eastAsia" w:ascii="仿宋" w:hAnsi="仿宋" w:eastAsia="仿宋" w:cs="仿宋"/>
                <w:color w:val="auto"/>
                <w:szCs w:val="21"/>
                <w:highlight w:val="none"/>
              </w:rPr>
            </w:pPr>
          </w:p>
        </w:tc>
        <w:tc>
          <w:tcPr>
            <w:tcW w:w="1819" w:type="dxa"/>
            <w:noWrap w:val="0"/>
            <w:vAlign w:val="center"/>
          </w:tcPr>
          <w:p w14:paraId="187C95F8">
            <w:pPr>
              <w:pStyle w:val="3"/>
              <w:spacing w:line="360" w:lineRule="auto"/>
              <w:ind w:firstLine="0" w:firstLineChars="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信誉及创新能力</w:t>
            </w:r>
          </w:p>
          <w:p w14:paraId="72FD84E8">
            <w:pPr>
              <w:pStyle w:val="3"/>
              <w:spacing w:line="360" w:lineRule="auto"/>
              <w:ind w:firstLine="0" w:firstLineChars="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（6分）</w:t>
            </w:r>
          </w:p>
          <w:p w14:paraId="2A681FE8">
            <w:pPr>
              <w:spacing w:line="360" w:lineRule="auto"/>
              <w:rPr>
                <w:rFonts w:hint="eastAsia" w:ascii="仿宋" w:hAnsi="仿宋" w:eastAsia="仿宋" w:cs="仿宋"/>
                <w:color w:val="auto"/>
                <w:highlight w:val="none"/>
              </w:rPr>
            </w:pPr>
          </w:p>
        </w:tc>
        <w:tc>
          <w:tcPr>
            <w:tcW w:w="4908" w:type="dxa"/>
            <w:noWrap w:val="0"/>
            <w:vAlign w:val="center"/>
          </w:tcPr>
          <w:p w14:paraId="59BF6DBB">
            <w:pPr>
              <w:pStyle w:val="18"/>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（1）投标人具备质量管理体系认证、环境管理体系认证、职业健康安全管理体系认证的证书且在有效期内的，每具有1项得0.5分，本小项最多得1.5分。</w:t>
            </w:r>
          </w:p>
          <w:p w14:paraId="7FA2120D">
            <w:pPr>
              <w:pStyle w:val="18"/>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注：投标人须提交上述证书扫描件，</w:t>
            </w:r>
            <w:r>
              <w:rPr>
                <w:rFonts w:hint="eastAsia" w:ascii="仿宋" w:hAnsi="仿宋" w:eastAsia="仿宋" w:cs="仿宋"/>
                <w:b/>
                <w:bCs/>
                <w:color w:val="auto"/>
                <w:sz w:val="21"/>
                <w:szCs w:val="21"/>
                <w:highlight w:val="none"/>
                <w:u w:val="single"/>
              </w:rPr>
              <w:t>认证证书须在有效期内。不符合上述条件或未提供上述资料的不得分。</w:t>
            </w:r>
          </w:p>
          <w:p w14:paraId="4F62AE5A">
            <w:pPr>
              <w:pStyle w:val="18"/>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（2）投标人取得国家税务总局颁发的“纳税信用A级纳税人”称号：连续5个年度或以上的得4.5分；连续3-4个年度的得2.5分；连续1-2个年度的得0.5分；没有不得分。</w:t>
            </w:r>
          </w:p>
          <w:p w14:paraId="199C9E15">
            <w:pPr>
              <w:pStyle w:val="18"/>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投标人须提供企业纳税信用等级证书原件扫描件或在“国家税务总局”官网（http://www.chinatax.gov.cn/index.html）（或省级税务局网站）纳税信用信息查询结果网页截图。纳税人只计算投标人自身（不计算投标人的分公司和子公司）。</w:t>
            </w:r>
          </w:p>
          <w:p w14:paraId="6EE93870">
            <w:pPr>
              <w:pStyle w:val="18"/>
              <w:rPr>
                <w:rFonts w:hint="eastAsia" w:ascii="仿宋" w:hAnsi="仿宋" w:eastAsia="仿宋" w:cs="仿宋"/>
                <w:color w:val="auto"/>
                <w:highlight w:val="none"/>
              </w:rPr>
            </w:pPr>
            <w:r>
              <w:rPr>
                <w:rFonts w:hint="eastAsia" w:ascii="仿宋" w:hAnsi="仿宋" w:eastAsia="仿宋" w:cs="仿宋"/>
                <w:color w:val="auto"/>
                <w:sz w:val="21"/>
                <w:szCs w:val="21"/>
                <w:highlight w:val="none"/>
              </w:rPr>
              <w:t>注：提供相关证明材料扫描件。</w:t>
            </w:r>
          </w:p>
        </w:tc>
      </w:tr>
    </w:tbl>
    <w:p w14:paraId="2A1A6799">
      <w:pPr>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br w:type="page"/>
      </w:r>
    </w:p>
    <w:p w14:paraId="0EAF3654">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t>附件三：《分包承诺书》</w:t>
      </w:r>
    </w:p>
    <w:p w14:paraId="35566588">
      <w:pPr>
        <w:widowControl/>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分包承诺书</w:t>
      </w:r>
      <w:r>
        <w:rPr>
          <w:rFonts w:hint="eastAsia" w:ascii="宋体" w:hAnsi="宋体"/>
          <w:b/>
          <w:color w:val="auto"/>
          <w:sz w:val="32"/>
          <w:szCs w:val="32"/>
          <w:highlight w:val="none"/>
        </w:rPr>
        <w:t>（如有）</w:t>
      </w:r>
    </w:p>
    <w:p w14:paraId="3CF04202">
      <w:pPr>
        <w:tabs>
          <w:tab w:val="left" w:pos="720"/>
        </w:tabs>
        <w:snapToGrid w:val="0"/>
        <w:spacing w:line="360" w:lineRule="auto"/>
        <w:jc w:val="center"/>
        <w:rPr>
          <w:rFonts w:hint="eastAsia" w:ascii="宋体" w:hAnsi="宋体" w:cs="宋体"/>
          <w:b/>
          <w:color w:val="auto"/>
          <w:sz w:val="32"/>
          <w:szCs w:val="32"/>
          <w:highlight w:val="none"/>
        </w:rPr>
      </w:pPr>
    </w:p>
    <w:p w14:paraId="4D8BDB44">
      <w:pPr>
        <w:pStyle w:val="12"/>
        <w:ind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广东机电职业技术学院</w:t>
      </w:r>
    </w:p>
    <w:p w14:paraId="1A040647">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广东机电职业技术学院钟落潭校区教学实训楼S-3项目前期设计项目</w:t>
      </w:r>
      <w:r>
        <w:rPr>
          <w:rFonts w:hint="eastAsia" w:ascii="宋体" w:hAnsi="宋体" w:eastAsia="宋体" w:cs="宋体"/>
          <w:color w:val="auto"/>
          <w:sz w:val="24"/>
          <w:szCs w:val="24"/>
          <w:highlight w:val="none"/>
        </w:rPr>
        <w:t>投标工作，作出郑重承诺：</w:t>
      </w:r>
    </w:p>
    <w:p w14:paraId="7BAA53B9">
      <w:pPr>
        <w:pStyle w:val="12"/>
        <w:numPr>
          <w:ilvl w:val="0"/>
          <w:numId w:val="2"/>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若本公司中标，会将把合同金额的30%以上分包给一家或多家小微企业。</w:t>
      </w:r>
    </w:p>
    <w:p w14:paraId="2D084D7F">
      <w:pPr>
        <w:pStyle w:val="12"/>
        <w:numPr>
          <w:ilvl w:val="0"/>
          <w:numId w:val="2"/>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接受分包合同的小微企业与分包企业之间不存在直接控股、管理关系。</w:t>
      </w:r>
    </w:p>
    <w:p w14:paraId="1BFD6299">
      <w:pPr>
        <w:pStyle w:val="12"/>
        <w:numPr>
          <w:ilvl w:val="0"/>
          <w:numId w:val="2"/>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违反上述承诺或本承诺与事实不符，经查实，本公司愿意接受公开通报，记录不良行为，承担由此带来的法律后果。其中，违反上述承诺或本承诺与事实不符，属于弄虚作假骗取中标，将依法接受有关监管部门的处罚。</w:t>
      </w:r>
    </w:p>
    <w:p w14:paraId="0147ACB6">
      <w:pPr>
        <w:pStyle w:val="12"/>
        <w:ind w:left="399" w:leftChars="190" w:firstLine="19" w:firstLineChars="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4BC25BE">
      <w:pPr>
        <w:pStyle w:val="4"/>
        <w:kinsoku w:val="0"/>
        <w:overflowPunct w:val="0"/>
        <w:spacing w:line="360" w:lineRule="auto"/>
        <w:ind w:left="0" w:firstLine="2881" w:firstLineChars="1200"/>
        <w:rPr>
          <w:b/>
          <w:color w:val="auto"/>
          <w:sz w:val="24"/>
          <w:szCs w:val="24"/>
          <w:highlight w:val="none"/>
          <w:lang w:eastAsia="zh-CN"/>
        </w:rPr>
      </w:pPr>
      <w:r>
        <w:rPr>
          <w:rFonts w:hint="eastAsia"/>
          <w:b/>
          <w:color w:val="auto"/>
          <w:sz w:val="24"/>
          <w:szCs w:val="24"/>
          <w:highlight w:val="none"/>
          <w:lang w:eastAsia="zh-CN"/>
        </w:rPr>
        <w:t>投标</w:t>
      </w:r>
      <w:r>
        <w:rPr>
          <w:rFonts w:hint="eastAsia"/>
          <w:b/>
          <w:color w:val="auto"/>
          <w:spacing w:val="-2"/>
          <w:sz w:val="24"/>
          <w:szCs w:val="24"/>
          <w:highlight w:val="none"/>
          <w:lang w:eastAsia="zh-CN"/>
        </w:rPr>
        <w:t>人名称：</w:t>
      </w:r>
      <w:r>
        <w:rPr>
          <w:rFonts w:hint="eastAsia"/>
          <w:b/>
          <w:color w:val="auto"/>
          <w:spacing w:val="-2"/>
          <w:sz w:val="24"/>
          <w:szCs w:val="24"/>
          <w:highlight w:val="none"/>
          <w:u w:val="single"/>
          <w:lang w:eastAsia="zh-CN"/>
        </w:rPr>
        <w:t xml:space="preserve">      </w:t>
      </w:r>
    </w:p>
    <w:p w14:paraId="594C11BB">
      <w:pPr>
        <w:ind w:firstLine="2881" w:firstLineChars="1200"/>
        <w:jc w:val="left"/>
        <w:rPr>
          <w:rFonts w:ascii="宋体" w:hAnsi="宋体" w:eastAsia="宋体"/>
          <w:color w:val="auto"/>
          <w:sz w:val="24"/>
          <w:szCs w:val="24"/>
          <w:highlight w:val="none"/>
        </w:rPr>
      </w:pPr>
      <w:r>
        <w:rPr>
          <w:rFonts w:ascii="宋体" w:hAnsi="宋体" w:eastAsia="宋体"/>
          <w:b/>
          <w:color w:val="auto"/>
          <w:sz w:val="24"/>
          <w:szCs w:val="24"/>
          <w:highlight w:val="none"/>
          <w:u w:val="single"/>
        </w:rPr>
        <w:tab/>
      </w:r>
      <w:r>
        <w:rPr>
          <w:rFonts w:hint="eastAsia" w:ascii="宋体" w:hAnsi="宋体" w:eastAsia="宋体"/>
          <w:b/>
          <w:color w:val="auto"/>
          <w:sz w:val="24"/>
          <w:szCs w:val="24"/>
          <w:highlight w:val="none"/>
          <w:u w:val="single"/>
        </w:rPr>
        <w:t xml:space="preserve">  </w:t>
      </w:r>
      <w:r>
        <w:rPr>
          <w:rFonts w:hint="eastAsia" w:ascii="宋体" w:hAnsi="宋体" w:eastAsia="宋体"/>
          <w:b/>
          <w:color w:val="auto"/>
          <w:sz w:val="24"/>
          <w:szCs w:val="24"/>
          <w:highlight w:val="none"/>
        </w:rPr>
        <w:t>年</w:t>
      </w:r>
      <w:r>
        <w:rPr>
          <w:rFonts w:hint="eastAsia" w:ascii="宋体" w:hAnsi="宋体" w:eastAsia="宋体"/>
          <w:b/>
          <w:color w:val="auto"/>
          <w:sz w:val="24"/>
          <w:szCs w:val="24"/>
          <w:highlight w:val="none"/>
          <w:u w:val="single"/>
        </w:rPr>
        <w:t xml:space="preserve">  </w:t>
      </w:r>
      <w:r>
        <w:rPr>
          <w:rFonts w:ascii="宋体" w:hAnsi="宋体" w:eastAsia="宋体"/>
          <w:b/>
          <w:color w:val="auto"/>
          <w:sz w:val="24"/>
          <w:szCs w:val="24"/>
          <w:highlight w:val="none"/>
          <w:u w:val="single"/>
        </w:rPr>
        <w:tab/>
      </w:r>
      <w:r>
        <w:rPr>
          <w:rFonts w:hint="eastAsia" w:ascii="宋体" w:hAnsi="宋体" w:eastAsia="宋体"/>
          <w:b/>
          <w:color w:val="auto"/>
          <w:sz w:val="24"/>
          <w:szCs w:val="24"/>
          <w:highlight w:val="none"/>
        </w:rPr>
        <w:t>月</w:t>
      </w:r>
      <w:r>
        <w:rPr>
          <w:rFonts w:ascii="宋体" w:hAnsi="宋体" w:eastAsia="宋体"/>
          <w:b/>
          <w:color w:val="auto"/>
          <w:sz w:val="24"/>
          <w:szCs w:val="24"/>
          <w:highlight w:val="none"/>
          <w:u w:val="single"/>
        </w:rPr>
        <w:tab/>
      </w:r>
      <w:r>
        <w:rPr>
          <w:rFonts w:hint="eastAsia" w:ascii="宋体" w:hAnsi="宋体" w:eastAsia="宋体"/>
          <w:b/>
          <w:color w:val="auto"/>
          <w:sz w:val="24"/>
          <w:szCs w:val="24"/>
          <w:highlight w:val="none"/>
          <w:u w:val="single"/>
        </w:rPr>
        <w:t xml:space="preserve">  </w:t>
      </w:r>
      <w:r>
        <w:rPr>
          <w:rFonts w:hint="eastAsia" w:ascii="宋体" w:hAnsi="宋体" w:eastAsia="宋体"/>
          <w:b/>
          <w:color w:val="auto"/>
          <w:sz w:val="24"/>
          <w:szCs w:val="24"/>
          <w:highlight w:val="none"/>
        </w:rPr>
        <w:t>日</w:t>
      </w:r>
    </w:p>
    <w:p w14:paraId="2E26181F">
      <w:pPr>
        <w:widowControl/>
        <w:tabs>
          <w:tab w:val="left" w:pos="7740"/>
        </w:tabs>
        <w:spacing w:line="360" w:lineRule="auto"/>
        <w:rPr>
          <w:rFonts w:hint="eastAsia" w:ascii="宋体" w:hAnsi="宋体"/>
          <w:color w:val="auto"/>
          <w:highlight w:val="none"/>
        </w:rPr>
      </w:pPr>
    </w:p>
    <w:p w14:paraId="42BB4954">
      <w:pPr>
        <w:tabs>
          <w:tab w:val="left" w:pos="7740"/>
        </w:tabs>
        <w:spacing w:line="360" w:lineRule="auto"/>
        <w:ind w:left="647" w:hanging="617" w:hangingChars="294"/>
        <w:rPr>
          <w:rFonts w:hint="eastAsia" w:ascii="宋体" w:hAnsi="宋体"/>
          <w:color w:val="auto"/>
          <w:highlight w:val="none"/>
        </w:rPr>
      </w:pPr>
      <w:r>
        <w:rPr>
          <w:rFonts w:hint="eastAsia" w:ascii="宋体" w:hAnsi="宋体"/>
          <w:color w:val="auto"/>
          <w:highlight w:val="none"/>
        </w:rPr>
        <w:t>注：</w:t>
      </w:r>
    </w:p>
    <w:p w14:paraId="706C3F1B">
      <w:pPr>
        <w:numPr>
          <w:ilvl w:val="0"/>
          <w:numId w:val="3"/>
        </w:numPr>
        <w:tabs>
          <w:tab w:val="left" w:pos="7740"/>
        </w:tabs>
        <w:spacing w:line="360" w:lineRule="auto"/>
        <w:rPr>
          <w:rFonts w:hint="eastAsia" w:ascii="宋体" w:hAnsi="宋体" w:eastAsia="宋体"/>
          <w:color w:val="auto"/>
          <w:highlight w:val="none"/>
          <w:lang w:eastAsia="zh-CN"/>
        </w:rPr>
      </w:pPr>
      <w:r>
        <w:rPr>
          <w:rFonts w:hint="eastAsia" w:ascii="宋体" w:hAnsi="宋体" w:eastAsia="宋体"/>
          <w:color w:val="auto"/>
          <w:highlight w:val="none"/>
          <w:lang w:eastAsia="zh-CN"/>
        </w:rPr>
        <w:t>监狱企业、残疾人福利性单位视同小型、微型企业。</w:t>
      </w:r>
    </w:p>
    <w:p w14:paraId="12299BF3">
      <w:pPr>
        <w:snapToGrid w:val="0"/>
        <w:spacing w:line="360" w:lineRule="auto"/>
        <w:rPr>
          <w:rFonts w:hint="eastAsia" w:ascii="宋体" w:hAnsi="宋体"/>
          <w:bCs/>
          <w:color w:val="auto"/>
          <w:szCs w:val="21"/>
          <w:highlight w:val="none"/>
        </w:rPr>
      </w:pPr>
      <w:r>
        <w:rPr>
          <w:rFonts w:hint="eastAsia" w:ascii="宋体" w:hAnsi="宋体" w:eastAsia="宋体"/>
          <w:color w:val="auto"/>
          <w:highlight w:val="none"/>
          <w:lang w:val="en-US" w:eastAsia="zh-CN"/>
        </w:rPr>
        <w:t>2.</w:t>
      </w:r>
      <w:r>
        <w:rPr>
          <w:rFonts w:hint="eastAsia" w:ascii="宋体" w:hAnsi="宋体" w:eastAsia="宋体"/>
          <w:color w:val="auto"/>
          <w:highlight w:val="none"/>
          <w:lang w:eastAsia="zh-CN"/>
        </w:rPr>
        <w:t>分包承诺书</w:t>
      </w:r>
      <w:r>
        <w:rPr>
          <w:rFonts w:hint="eastAsia" w:ascii="宋体" w:hAnsi="宋体"/>
          <w:color w:val="auto"/>
          <w:highlight w:val="none"/>
          <w:lang w:eastAsia="zh-CN"/>
        </w:rPr>
        <w:t>（如有）适用于大中型企业向一家或者多家小微企业分包且承诺分包小微企业的合同份额占到合同总金额30%以上的</w:t>
      </w:r>
      <w:r>
        <w:rPr>
          <w:rFonts w:hint="eastAsia" w:ascii="宋体" w:hAnsi="宋体" w:eastAsia="宋体"/>
          <w:color w:val="auto"/>
          <w:highlight w:val="none"/>
          <w:lang w:eastAsia="zh-CN"/>
        </w:rPr>
        <w:t>，</w:t>
      </w:r>
      <w:r>
        <w:rPr>
          <w:rFonts w:hint="eastAsia" w:ascii="宋体" w:hAnsi="宋体" w:eastAsia="宋体"/>
          <w:b/>
          <w:bCs/>
          <w:color w:val="auto"/>
          <w:highlight w:val="none"/>
          <w:lang w:eastAsia="zh-CN"/>
        </w:rPr>
        <w:t>否则无须提供</w:t>
      </w:r>
      <w:r>
        <w:rPr>
          <w:rFonts w:hint="eastAsia" w:ascii="宋体" w:hAnsi="宋体"/>
          <w:bCs/>
          <w:color w:val="auto"/>
          <w:szCs w:val="21"/>
          <w:highlight w:val="none"/>
        </w:rPr>
        <w:t>。</w:t>
      </w:r>
    </w:p>
    <w:p w14:paraId="425E6B4C">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宋体"/>
          <w:color w:val="3C3C3C"/>
          <w:kern w:val="0"/>
          <w:sz w:val="28"/>
          <w:szCs w:val="28"/>
          <w:lang w:val="en-US" w:eastAsia="zh-CN"/>
        </w:rPr>
        <w:sectPr>
          <w:footerReference r:id="rId3" w:type="default"/>
          <w:pgSz w:w="11906" w:h="16838"/>
          <w:pgMar w:top="1440" w:right="1800" w:bottom="1440" w:left="1800" w:header="851" w:footer="992" w:gutter="0"/>
          <w:cols w:space="720" w:num="1"/>
          <w:docGrid w:type="lines" w:linePitch="312" w:charSpace="0"/>
        </w:sectPr>
      </w:pPr>
    </w:p>
    <w:p w14:paraId="5D69208D">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t>附件四：《投标申请表（关键人员配备）》</w:t>
      </w:r>
    </w:p>
    <w:p w14:paraId="4533205A">
      <w:pPr>
        <w:jc w:val="center"/>
        <w:rPr>
          <w:rFonts w:ascii="宋体" w:hAnsi="宋体"/>
          <w:b/>
          <w:color w:val="auto"/>
          <w:sz w:val="32"/>
          <w:szCs w:val="32"/>
          <w:highlight w:val="none"/>
        </w:rPr>
      </w:pPr>
      <w:r>
        <w:rPr>
          <w:rFonts w:hint="eastAsia" w:ascii="宋体" w:hAnsi="宋体"/>
          <w:b/>
          <w:color w:val="auto"/>
          <w:sz w:val="32"/>
          <w:szCs w:val="32"/>
          <w:highlight w:val="none"/>
        </w:rPr>
        <w:t>投标申请表（关键人员配备）</w:t>
      </w:r>
    </w:p>
    <w:tbl>
      <w:tblPr>
        <w:tblStyle w:val="9"/>
        <w:tblW w:w="12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2438"/>
        <w:gridCol w:w="1522"/>
        <w:gridCol w:w="1260"/>
        <w:gridCol w:w="1620"/>
        <w:gridCol w:w="4140"/>
      </w:tblGrid>
      <w:tr w14:paraId="21BE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648" w:type="dxa"/>
            <w:noWrap w:val="0"/>
            <w:vAlign w:val="center"/>
          </w:tcPr>
          <w:p w14:paraId="39A01FF1">
            <w:pPr>
              <w:jc w:val="center"/>
              <w:rPr>
                <w:rFonts w:ascii="宋体" w:hAnsi="宋体"/>
                <w:color w:val="auto"/>
                <w:szCs w:val="21"/>
                <w:highlight w:val="none"/>
              </w:rPr>
            </w:pPr>
            <w:r>
              <w:rPr>
                <w:rFonts w:hint="eastAsia" w:ascii="宋体" w:hAnsi="宋体"/>
                <w:color w:val="auto"/>
                <w:szCs w:val="21"/>
                <w:highlight w:val="none"/>
              </w:rPr>
              <w:t>序号</w:t>
            </w:r>
          </w:p>
        </w:tc>
        <w:tc>
          <w:tcPr>
            <w:tcW w:w="1080" w:type="dxa"/>
            <w:noWrap w:val="0"/>
            <w:vAlign w:val="center"/>
          </w:tcPr>
          <w:p w14:paraId="184892E7">
            <w:pPr>
              <w:jc w:val="center"/>
              <w:rPr>
                <w:rFonts w:ascii="宋体" w:hAnsi="宋体"/>
                <w:color w:val="auto"/>
                <w:szCs w:val="21"/>
                <w:highlight w:val="none"/>
              </w:rPr>
            </w:pPr>
            <w:r>
              <w:rPr>
                <w:rFonts w:hint="eastAsia" w:ascii="宋体" w:hAnsi="宋体"/>
                <w:color w:val="auto"/>
                <w:szCs w:val="21"/>
                <w:highlight w:val="none"/>
              </w:rPr>
              <w:t>姓名</w:t>
            </w:r>
          </w:p>
        </w:tc>
        <w:tc>
          <w:tcPr>
            <w:tcW w:w="2438" w:type="dxa"/>
            <w:noWrap w:val="0"/>
            <w:vAlign w:val="center"/>
          </w:tcPr>
          <w:p w14:paraId="626EF965">
            <w:pPr>
              <w:jc w:val="center"/>
              <w:rPr>
                <w:rFonts w:ascii="宋体" w:hAnsi="宋体"/>
                <w:color w:val="auto"/>
                <w:szCs w:val="21"/>
                <w:highlight w:val="none"/>
              </w:rPr>
            </w:pPr>
            <w:r>
              <w:rPr>
                <w:rFonts w:hint="eastAsia" w:ascii="宋体" w:hAnsi="宋体"/>
                <w:color w:val="auto"/>
                <w:szCs w:val="21"/>
                <w:highlight w:val="none"/>
              </w:rPr>
              <w:t>专业分工</w:t>
            </w:r>
          </w:p>
        </w:tc>
        <w:tc>
          <w:tcPr>
            <w:tcW w:w="1522" w:type="dxa"/>
            <w:noWrap w:val="0"/>
            <w:vAlign w:val="center"/>
          </w:tcPr>
          <w:p w14:paraId="6FDA284C">
            <w:pPr>
              <w:jc w:val="center"/>
              <w:rPr>
                <w:rFonts w:ascii="宋体" w:hAnsi="宋体"/>
                <w:color w:val="auto"/>
                <w:szCs w:val="21"/>
                <w:highlight w:val="none"/>
              </w:rPr>
            </w:pPr>
            <w:r>
              <w:rPr>
                <w:rFonts w:hint="eastAsia" w:ascii="宋体" w:hAnsi="宋体"/>
                <w:color w:val="auto"/>
                <w:szCs w:val="21"/>
                <w:highlight w:val="none"/>
              </w:rPr>
              <w:t>职务</w:t>
            </w:r>
          </w:p>
        </w:tc>
        <w:tc>
          <w:tcPr>
            <w:tcW w:w="1260" w:type="dxa"/>
            <w:noWrap w:val="0"/>
            <w:vAlign w:val="center"/>
          </w:tcPr>
          <w:p w14:paraId="6E419AB7">
            <w:pPr>
              <w:jc w:val="center"/>
              <w:rPr>
                <w:rFonts w:ascii="宋体" w:hAnsi="宋体"/>
                <w:color w:val="auto"/>
                <w:szCs w:val="21"/>
                <w:highlight w:val="none"/>
              </w:rPr>
            </w:pPr>
            <w:r>
              <w:rPr>
                <w:rFonts w:hint="eastAsia" w:ascii="宋体" w:hAnsi="宋体"/>
                <w:color w:val="auto"/>
                <w:szCs w:val="21"/>
                <w:highlight w:val="none"/>
              </w:rPr>
              <w:t>专业职称</w:t>
            </w:r>
          </w:p>
        </w:tc>
        <w:tc>
          <w:tcPr>
            <w:tcW w:w="1620" w:type="dxa"/>
            <w:noWrap w:val="0"/>
            <w:vAlign w:val="center"/>
          </w:tcPr>
          <w:p w14:paraId="4558536A">
            <w:pPr>
              <w:jc w:val="center"/>
              <w:rPr>
                <w:rFonts w:ascii="宋体" w:hAnsi="宋体"/>
                <w:color w:val="auto"/>
                <w:szCs w:val="21"/>
                <w:highlight w:val="none"/>
              </w:rPr>
            </w:pPr>
            <w:r>
              <w:rPr>
                <w:rFonts w:hint="eastAsia" w:ascii="宋体" w:hAnsi="宋体"/>
                <w:color w:val="auto"/>
                <w:szCs w:val="21"/>
                <w:highlight w:val="none"/>
              </w:rPr>
              <w:t>专业工作年限（年）</w:t>
            </w:r>
          </w:p>
        </w:tc>
        <w:tc>
          <w:tcPr>
            <w:tcW w:w="4140" w:type="dxa"/>
            <w:noWrap w:val="0"/>
            <w:vAlign w:val="center"/>
          </w:tcPr>
          <w:p w14:paraId="49321027">
            <w:pPr>
              <w:jc w:val="center"/>
              <w:rPr>
                <w:rFonts w:ascii="宋体" w:hAnsi="宋体"/>
                <w:color w:val="auto"/>
                <w:szCs w:val="21"/>
                <w:highlight w:val="none"/>
              </w:rPr>
            </w:pPr>
            <w:r>
              <w:rPr>
                <w:rFonts w:hint="eastAsia" w:ascii="宋体" w:hAnsi="宋体"/>
                <w:color w:val="auto"/>
                <w:szCs w:val="21"/>
                <w:highlight w:val="none"/>
              </w:rPr>
              <w:t>主要负责过的项目名称及规模</w:t>
            </w:r>
          </w:p>
        </w:tc>
      </w:tr>
      <w:tr w14:paraId="5A16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7275C71D">
            <w:pPr>
              <w:jc w:val="center"/>
              <w:rPr>
                <w:rFonts w:ascii="宋体" w:hAnsi="宋体"/>
                <w:color w:val="auto"/>
                <w:szCs w:val="21"/>
                <w:highlight w:val="none"/>
              </w:rPr>
            </w:pPr>
          </w:p>
        </w:tc>
        <w:tc>
          <w:tcPr>
            <w:tcW w:w="1080" w:type="dxa"/>
            <w:noWrap w:val="0"/>
            <w:vAlign w:val="center"/>
          </w:tcPr>
          <w:p w14:paraId="3F82AFBB">
            <w:pPr>
              <w:jc w:val="center"/>
              <w:rPr>
                <w:rFonts w:ascii="宋体" w:hAnsi="宋体"/>
                <w:color w:val="auto"/>
                <w:szCs w:val="21"/>
                <w:highlight w:val="none"/>
              </w:rPr>
            </w:pPr>
          </w:p>
        </w:tc>
        <w:tc>
          <w:tcPr>
            <w:tcW w:w="2438" w:type="dxa"/>
            <w:noWrap w:val="0"/>
            <w:vAlign w:val="center"/>
          </w:tcPr>
          <w:p w14:paraId="773A24F1">
            <w:pPr>
              <w:spacing w:line="300" w:lineRule="auto"/>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项目负责人</w:t>
            </w:r>
          </w:p>
        </w:tc>
        <w:tc>
          <w:tcPr>
            <w:tcW w:w="1522" w:type="dxa"/>
            <w:noWrap w:val="0"/>
            <w:vAlign w:val="center"/>
          </w:tcPr>
          <w:p w14:paraId="6BD5D953">
            <w:pPr>
              <w:jc w:val="center"/>
              <w:rPr>
                <w:rFonts w:ascii="宋体" w:hAnsi="宋体"/>
                <w:color w:val="auto"/>
                <w:szCs w:val="21"/>
                <w:highlight w:val="none"/>
              </w:rPr>
            </w:pPr>
          </w:p>
        </w:tc>
        <w:tc>
          <w:tcPr>
            <w:tcW w:w="1260" w:type="dxa"/>
            <w:noWrap w:val="0"/>
            <w:vAlign w:val="center"/>
          </w:tcPr>
          <w:p w14:paraId="7989248A">
            <w:pPr>
              <w:widowControl/>
              <w:spacing w:line="0" w:lineRule="atLeast"/>
              <w:rPr>
                <w:rFonts w:ascii="宋体" w:hAnsi="宋体"/>
                <w:color w:val="auto"/>
                <w:szCs w:val="21"/>
                <w:highlight w:val="none"/>
              </w:rPr>
            </w:pPr>
          </w:p>
        </w:tc>
        <w:tc>
          <w:tcPr>
            <w:tcW w:w="1620" w:type="dxa"/>
            <w:noWrap w:val="0"/>
            <w:vAlign w:val="top"/>
          </w:tcPr>
          <w:p w14:paraId="64CB405D">
            <w:pPr>
              <w:jc w:val="center"/>
              <w:rPr>
                <w:rFonts w:ascii="宋体" w:hAnsi="宋体"/>
                <w:color w:val="auto"/>
                <w:szCs w:val="21"/>
                <w:highlight w:val="none"/>
              </w:rPr>
            </w:pPr>
          </w:p>
        </w:tc>
        <w:tc>
          <w:tcPr>
            <w:tcW w:w="4140" w:type="dxa"/>
            <w:noWrap w:val="0"/>
            <w:vAlign w:val="center"/>
          </w:tcPr>
          <w:p w14:paraId="03A2D015">
            <w:pPr>
              <w:jc w:val="center"/>
              <w:rPr>
                <w:rFonts w:ascii="宋体" w:hAnsi="宋体"/>
                <w:color w:val="auto"/>
                <w:szCs w:val="21"/>
                <w:highlight w:val="none"/>
              </w:rPr>
            </w:pPr>
          </w:p>
        </w:tc>
      </w:tr>
      <w:tr w14:paraId="1A33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75D736F4">
            <w:pPr>
              <w:jc w:val="center"/>
              <w:rPr>
                <w:rFonts w:ascii="宋体" w:hAnsi="宋体"/>
                <w:color w:val="auto"/>
                <w:szCs w:val="21"/>
                <w:highlight w:val="none"/>
              </w:rPr>
            </w:pPr>
          </w:p>
        </w:tc>
        <w:tc>
          <w:tcPr>
            <w:tcW w:w="1080" w:type="dxa"/>
            <w:noWrap w:val="0"/>
            <w:vAlign w:val="center"/>
          </w:tcPr>
          <w:p w14:paraId="6C753F25">
            <w:pPr>
              <w:jc w:val="center"/>
              <w:rPr>
                <w:rFonts w:ascii="宋体" w:hAnsi="宋体"/>
                <w:color w:val="auto"/>
                <w:szCs w:val="21"/>
                <w:highlight w:val="none"/>
              </w:rPr>
            </w:pPr>
          </w:p>
        </w:tc>
        <w:tc>
          <w:tcPr>
            <w:tcW w:w="2438" w:type="dxa"/>
            <w:noWrap w:val="0"/>
            <w:vAlign w:val="center"/>
          </w:tcPr>
          <w:p w14:paraId="32695419">
            <w:pPr>
              <w:spacing w:line="300" w:lineRule="auto"/>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建筑专业负责人</w:t>
            </w:r>
          </w:p>
        </w:tc>
        <w:tc>
          <w:tcPr>
            <w:tcW w:w="1522" w:type="dxa"/>
            <w:noWrap w:val="0"/>
            <w:vAlign w:val="center"/>
          </w:tcPr>
          <w:p w14:paraId="28E89AFE">
            <w:pPr>
              <w:jc w:val="center"/>
              <w:rPr>
                <w:rFonts w:ascii="宋体" w:hAnsi="宋体"/>
                <w:color w:val="auto"/>
                <w:szCs w:val="21"/>
                <w:highlight w:val="none"/>
              </w:rPr>
            </w:pPr>
          </w:p>
        </w:tc>
        <w:tc>
          <w:tcPr>
            <w:tcW w:w="1260" w:type="dxa"/>
            <w:noWrap w:val="0"/>
            <w:vAlign w:val="center"/>
          </w:tcPr>
          <w:p w14:paraId="6FEEFDC3">
            <w:pPr>
              <w:rPr>
                <w:rFonts w:ascii="宋体" w:hAnsi="宋体"/>
                <w:color w:val="auto"/>
                <w:szCs w:val="21"/>
                <w:highlight w:val="none"/>
              </w:rPr>
            </w:pPr>
          </w:p>
        </w:tc>
        <w:tc>
          <w:tcPr>
            <w:tcW w:w="1620" w:type="dxa"/>
            <w:noWrap w:val="0"/>
            <w:vAlign w:val="top"/>
          </w:tcPr>
          <w:p w14:paraId="6FD5E619">
            <w:pPr>
              <w:jc w:val="center"/>
              <w:rPr>
                <w:rFonts w:ascii="宋体" w:hAnsi="宋体"/>
                <w:color w:val="auto"/>
                <w:szCs w:val="21"/>
                <w:highlight w:val="none"/>
              </w:rPr>
            </w:pPr>
          </w:p>
        </w:tc>
        <w:tc>
          <w:tcPr>
            <w:tcW w:w="4140" w:type="dxa"/>
            <w:noWrap w:val="0"/>
            <w:vAlign w:val="center"/>
          </w:tcPr>
          <w:p w14:paraId="0E6D951B">
            <w:pPr>
              <w:jc w:val="center"/>
              <w:rPr>
                <w:rFonts w:ascii="宋体" w:hAnsi="宋体"/>
                <w:color w:val="auto"/>
                <w:szCs w:val="21"/>
                <w:highlight w:val="none"/>
              </w:rPr>
            </w:pPr>
          </w:p>
        </w:tc>
      </w:tr>
      <w:tr w14:paraId="4E38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576184BE">
            <w:pPr>
              <w:jc w:val="center"/>
              <w:rPr>
                <w:rFonts w:ascii="宋体" w:hAnsi="宋体"/>
                <w:color w:val="auto"/>
                <w:szCs w:val="21"/>
                <w:highlight w:val="none"/>
              </w:rPr>
            </w:pPr>
          </w:p>
        </w:tc>
        <w:tc>
          <w:tcPr>
            <w:tcW w:w="1080" w:type="dxa"/>
            <w:noWrap w:val="0"/>
            <w:vAlign w:val="center"/>
          </w:tcPr>
          <w:p w14:paraId="29858F6B">
            <w:pPr>
              <w:jc w:val="center"/>
              <w:rPr>
                <w:rFonts w:ascii="宋体" w:hAnsi="宋体"/>
                <w:color w:val="auto"/>
                <w:szCs w:val="21"/>
                <w:highlight w:val="none"/>
              </w:rPr>
            </w:pPr>
          </w:p>
        </w:tc>
        <w:tc>
          <w:tcPr>
            <w:tcW w:w="2438" w:type="dxa"/>
            <w:noWrap w:val="0"/>
            <w:vAlign w:val="center"/>
          </w:tcPr>
          <w:p w14:paraId="4001CA33">
            <w:pPr>
              <w:spacing w:line="300" w:lineRule="auto"/>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结构专业负责人</w:t>
            </w:r>
          </w:p>
        </w:tc>
        <w:tc>
          <w:tcPr>
            <w:tcW w:w="1522" w:type="dxa"/>
            <w:noWrap w:val="0"/>
            <w:vAlign w:val="top"/>
          </w:tcPr>
          <w:p w14:paraId="624B8495">
            <w:pPr>
              <w:jc w:val="center"/>
              <w:rPr>
                <w:rFonts w:ascii="宋体" w:hAnsi="宋体"/>
                <w:color w:val="auto"/>
                <w:szCs w:val="21"/>
                <w:highlight w:val="none"/>
              </w:rPr>
            </w:pPr>
          </w:p>
        </w:tc>
        <w:tc>
          <w:tcPr>
            <w:tcW w:w="1260" w:type="dxa"/>
            <w:noWrap w:val="0"/>
            <w:vAlign w:val="top"/>
          </w:tcPr>
          <w:p w14:paraId="73A3E7AE">
            <w:pPr>
              <w:rPr>
                <w:rFonts w:ascii="宋体" w:hAnsi="宋体"/>
                <w:color w:val="auto"/>
                <w:szCs w:val="21"/>
                <w:highlight w:val="none"/>
              </w:rPr>
            </w:pPr>
          </w:p>
        </w:tc>
        <w:tc>
          <w:tcPr>
            <w:tcW w:w="1620" w:type="dxa"/>
            <w:noWrap w:val="0"/>
            <w:vAlign w:val="top"/>
          </w:tcPr>
          <w:p w14:paraId="38E9EE31">
            <w:pPr>
              <w:jc w:val="center"/>
              <w:rPr>
                <w:rFonts w:ascii="宋体" w:hAnsi="宋体"/>
                <w:color w:val="auto"/>
                <w:szCs w:val="21"/>
                <w:highlight w:val="none"/>
              </w:rPr>
            </w:pPr>
          </w:p>
        </w:tc>
        <w:tc>
          <w:tcPr>
            <w:tcW w:w="4140" w:type="dxa"/>
            <w:noWrap w:val="0"/>
            <w:vAlign w:val="top"/>
          </w:tcPr>
          <w:p w14:paraId="46E4C03A">
            <w:pPr>
              <w:jc w:val="center"/>
              <w:rPr>
                <w:rFonts w:ascii="宋体" w:hAnsi="宋体"/>
                <w:color w:val="auto"/>
                <w:szCs w:val="21"/>
                <w:highlight w:val="none"/>
              </w:rPr>
            </w:pPr>
          </w:p>
        </w:tc>
      </w:tr>
      <w:tr w14:paraId="1B44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263B0A77">
            <w:pPr>
              <w:jc w:val="center"/>
              <w:rPr>
                <w:rFonts w:ascii="宋体" w:hAnsi="宋体"/>
                <w:color w:val="auto"/>
                <w:szCs w:val="21"/>
                <w:highlight w:val="none"/>
              </w:rPr>
            </w:pPr>
          </w:p>
        </w:tc>
        <w:tc>
          <w:tcPr>
            <w:tcW w:w="1080" w:type="dxa"/>
            <w:noWrap w:val="0"/>
            <w:vAlign w:val="center"/>
          </w:tcPr>
          <w:p w14:paraId="17D4223C">
            <w:pPr>
              <w:jc w:val="center"/>
              <w:rPr>
                <w:rFonts w:ascii="宋体" w:hAnsi="宋体"/>
                <w:color w:val="auto"/>
                <w:szCs w:val="21"/>
                <w:highlight w:val="none"/>
              </w:rPr>
            </w:pPr>
          </w:p>
        </w:tc>
        <w:tc>
          <w:tcPr>
            <w:tcW w:w="2438" w:type="dxa"/>
            <w:noWrap w:val="0"/>
            <w:vAlign w:val="center"/>
          </w:tcPr>
          <w:p w14:paraId="7AB14B1B">
            <w:pPr>
              <w:spacing w:line="300" w:lineRule="auto"/>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给排水专业负责人</w:t>
            </w:r>
          </w:p>
        </w:tc>
        <w:tc>
          <w:tcPr>
            <w:tcW w:w="1522" w:type="dxa"/>
            <w:noWrap w:val="0"/>
            <w:vAlign w:val="top"/>
          </w:tcPr>
          <w:p w14:paraId="2FD39DBF">
            <w:pPr>
              <w:jc w:val="center"/>
              <w:rPr>
                <w:rFonts w:ascii="宋体" w:hAnsi="宋体"/>
                <w:color w:val="auto"/>
                <w:szCs w:val="21"/>
                <w:highlight w:val="none"/>
              </w:rPr>
            </w:pPr>
          </w:p>
        </w:tc>
        <w:tc>
          <w:tcPr>
            <w:tcW w:w="1260" w:type="dxa"/>
            <w:noWrap w:val="0"/>
            <w:vAlign w:val="top"/>
          </w:tcPr>
          <w:p w14:paraId="2C9F4C1A">
            <w:pPr>
              <w:rPr>
                <w:rFonts w:ascii="宋体" w:hAnsi="宋体"/>
                <w:color w:val="auto"/>
                <w:szCs w:val="21"/>
                <w:highlight w:val="none"/>
              </w:rPr>
            </w:pPr>
          </w:p>
        </w:tc>
        <w:tc>
          <w:tcPr>
            <w:tcW w:w="1620" w:type="dxa"/>
            <w:noWrap w:val="0"/>
            <w:vAlign w:val="top"/>
          </w:tcPr>
          <w:p w14:paraId="6D8C2261">
            <w:pPr>
              <w:jc w:val="center"/>
              <w:rPr>
                <w:rFonts w:ascii="宋体" w:hAnsi="宋体"/>
                <w:color w:val="auto"/>
                <w:szCs w:val="21"/>
                <w:highlight w:val="none"/>
              </w:rPr>
            </w:pPr>
          </w:p>
        </w:tc>
        <w:tc>
          <w:tcPr>
            <w:tcW w:w="4140" w:type="dxa"/>
            <w:noWrap w:val="0"/>
            <w:vAlign w:val="top"/>
          </w:tcPr>
          <w:p w14:paraId="45B3CBA0">
            <w:pPr>
              <w:jc w:val="center"/>
              <w:rPr>
                <w:rFonts w:ascii="宋体" w:hAnsi="宋体"/>
                <w:color w:val="auto"/>
                <w:szCs w:val="21"/>
                <w:highlight w:val="none"/>
              </w:rPr>
            </w:pPr>
          </w:p>
        </w:tc>
      </w:tr>
      <w:tr w14:paraId="2266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3D2A15BE">
            <w:pPr>
              <w:jc w:val="center"/>
              <w:rPr>
                <w:rFonts w:ascii="宋体" w:hAnsi="宋体"/>
                <w:color w:val="auto"/>
                <w:szCs w:val="21"/>
                <w:highlight w:val="none"/>
              </w:rPr>
            </w:pPr>
          </w:p>
        </w:tc>
        <w:tc>
          <w:tcPr>
            <w:tcW w:w="1080" w:type="dxa"/>
            <w:noWrap w:val="0"/>
            <w:vAlign w:val="center"/>
          </w:tcPr>
          <w:p w14:paraId="2B487620">
            <w:pPr>
              <w:jc w:val="center"/>
              <w:rPr>
                <w:rFonts w:ascii="宋体" w:hAnsi="宋体"/>
                <w:color w:val="auto"/>
                <w:szCs w:val="21"/>
                <w:highlight w:val="none"/>
              </w:rPr>
            </w:pPr>
          </w:p>
        </w:tc>
        <w:tc>
          <w:tcPr>
            <w:tcW w:w="2438" w:type="dxa"/>
            <w:noWrap w:val="0"/>
            <w:vAlign w:val="center"/>
          </w:tcPr>
          <w:p w14:paraId="474ACB96">
            <w:pPr>
              <w:spacing w:line="300" w:lineRule="auto"/>
              <w:jc w:val="center"/>
              <w:rPr>
                <w:rFonts w:hint="eastAsia"/>
                <w:color w:val="auto"/>
                <w:highlight w:val="none"/>
              </w:rPr>
            </w:pPr>
            <w:r>
              <w:rPr>
                <w:rFonts w:hint="eastAsia" w:ascii="宋体" w:hAnsi="宋体" w:cs="宋体"/>
                <w:color w:val="auto"/>
                <w:sz w:val="24"/>
                <w:szCs w:val="21"/>
                <w:highlight w:val="none"/>
              </w:rPr>
              <w:t>电气专业负责人</w:t>
            </w:r>
          </w:p>
        </w:tc>
        <w:tc>
          <w:tcPr>
            <w:tcW w:w="1522" w:type="dxa"/>
            <w:noWrap w:val="0"/>
            <w:vAlign w:val="top"/>
          </w:tcPr>
          <w:p w14:paraId="158806E0">
            <w:pPr>
              <w:jc w:val="center"/>
              <w:rPr>
                <w:rFonts w:ascii="宋体" w:hAnsi="宋体"/>
                <w:color w:val="auto"/>
                <w:szCs w:val="21"/>
                <w:highlight w:val="none"/>
              </w:rPr>
            </w:pPr>
          </w:p>
        </w:tc>
        <w:tc>
          <w:tcPr>
            <w:tcW w:w="1260" w:type="dxa"/>
            <w:noWrap w:val="0"/>
            <w:vAlign w:val="top"/>
          </w:tcPr>
          <w:p w14:paraId="47C161F6">
            <w:pPr>
              <w:rPr>
                <w:rFonts w:ascii="宋体" w:hAnsi="宋体"/>
                <w:color w:val="auto"/>
                <w:szCs w:val="21"/>
                <w:highlight w:val="none"/>
              </w:rPr>
            </w:pPr>
          </w:p>
        </w:tc>
        <w:tc>
          <w:tcPr>
            <w:tcW w:w="1620" w:type="dxa"/>
            <w:noWrap w:val="0"/>
            <w:vAlign w:val="top"/>
          </w:tcPr>
          <w:p w14:paraId="36BB824E">
            <w:pPr>
              <w:jc w:val="center"/>
              <w:rPr>
                <w:rFonts w:ascii="宋体" w:hAnsi="宋体"/>
                <w:color w:val="auto"/>
                <w:szCs w:val="21"/>
                <w:highlight w:val="none"/>
              </w:rPr>
            </w:pPr>
          </w:p>
        </w:tc>
        <w:tc>
          <w:tcPr>
            <w:tcW w:w="4140" w:type="dxa"/>
            <w:noWrap w:val="0"/>
            <w:vAlign w:val="top"/>
          </w:tcPr>
          <w:p w14:paraId="39E2A7B7">
            <w:pPr>
              <w:jc w:val="center"/>
              <w:rPr>
                <w:rFonts w:ascii="宋体" w:hAnsi="宋体"/>
                <w:color w:val="auto"/>
                <w:szCs w:val="21"/>
                <w:highlight w:val="none"/>
              </w:rPr>
            </w:pPr>
          </w:p>
        </w:tc>
      </w:tr>
      <w:tr w14:paraId="592D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5E9DC61E">
            <w:pPr>
              <w:jc w:val="center"/>
              <w:rPr>
                <w:rFonts w:ascii="宋体" w:hAnsi="宋体"/>
                <w:color w:val="auto"/>
                <w:szCs w:val="21"/>
                <w:highlight w:val="none"/>
              </w:rPr>
            </w:pPr>
          </w:p>
        </w:tc>
        <w:tc>
          <w:tcPr>
            <w:tcW w:w="1080" w:type="dxa"/>
            <w:noWrap w:val="0"/>
            <w:vAlign w:val="center"/>
          </w:tcPr>
          <w:p w14:paraId="570DBF19">
            <w:pPr>
              <w:jc w:val="center"/>
              <w:rPr>
                <w:rFonts w:ascii="宋体" w:hAnsi="宋体"/>
                <w:color w:val="auto"/>
                <w:szCs w:val="21"/>
                <w:highlight w:val="none"/>
              </w:rPr>
            </w:pPr>
          </w:p>
        </w:tc>
        <w:tc>
          <w:tcPr>
            <w:tcW w:w="2438" w:type="dxa"/>
            <w:noWrap w:val="0"/>
            <w:vAlign w:val="center"/>
          </w:tcPr>
          <w:p w14:paraId="18002853">
            <w:pPr>
              <w:spacing w:line="300" w:lineRule="auto"/>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暖通专业负责人</w:t>
            </w:r>
          </w:p>
        </w:tc>
        <w:tc>
          <w:tcPr>
            <w:tcW w:w="1522" w:type="dxa"/>
            <w:noWrap w:val="0"/>
            <w:vAlign w:val="top"/>
          </w:tcPr>
          <w:p w14:paraId="409A51A0">
            <w:pPr>
              <w:jc w:val="center"/>
              <w:rPr>
                <w:rFonts w:ascii="宋体" w:hAnsi="宋体"/>
                <w:color w:val="auto"/>
                <w:szCs w:val="21"/>
                <w:highlight w:val="none"/>
              </w:rPr>
            </w:pPr>
          </w:p>
        </w:tc>
        <w:tc>
          <w:tcPr>
            <w:tcW w:w="1260" w:type="dxa"/>
            <w:noWrap w:val="0"/>
            <w:vAlign w:val="top"/>
          </w:tcPr>
          <w:p w14:paraId="3BC6D663">
            <w:pPr>
              <w:rPr>
                <w:rFonts w:ascii="宋体" w:hAnsi="宋体"/>
                <w:color w:val="auto"/>
                <w:szCs w:val="21"/>
                <w:highlight w:val="none"/>
              </w:rPr>
            </w:pPr>
          </w:p>
        </w:tc>
        <w:tc>
          <w:tcPr>
            <w:tcW w:w="1620" w:type="dxa"/>
            <w:noWrap w:val="0"/>
            <w:vAlign w:val="top"/>
          </w:tcPr>
          <w:p w14:paraId="4950C843">
            <w:pPr>
              <w:jc w:val="center"/>
              <w:rPr>
                <w:rFonts w:ascii="宋体" w:hAnsi="宋体"/>
                <w:color w:val="auto"/>
                <w:szCs w:val="21"/>
                <w:highlight w:val="none"/>
              </w:rPr>
            </w:pPr>
          </w:p>
        </w:tc>
        <w:tc>
          <w:tcPr>
            <w:tcW w:w="4140" w:type="dxa"/>
            <w:noWrap w:val="0"/>
            <w:vAlign w:val="top"/>
          </w:tcPr>
          <w:p w14:paraId="427D4833">
            <w:pPr>
              <w:jc w:val="center"/>
              <w:rPr>
                <w:rFonts w:ascii="宋体" w:hAnsi="宋体"/>
                <w:color w:val="auto"/>
                <w:szCs w:val="21"/>
                <w:highlight w:val="none"/>
              </w:rPr>
            </w:pPr>
          </w:p>
        </w:tc>
      </w:tr>
      <w:tr w14:paraId="142B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73B9B7E8">
            <w:pPr>
              <w:jc w:val="center"/>
              <w:rPr>
                <w:rFonts w:ascii="宋体" w:hAnsi="宋体"/>
                <w:color w:val="auto"/>
                <w:szCs w:val="21"/>
                <w:highlight w:val="none"/>
              </w:rPr>
            </w:pPr>
          </w:p>
        </w:tc>
        <w:tc>
          <w:tcPr>
            <w:tcW w:w="1080" w:type="dxa"/>
            <w:noWrap w:val="0"/>
            <w:vAlign w:val="center"/>
          </w:tcPr>
          <w:p w14:paraId="282A3049">
            <w:pPr>
              <w:jc w:val="center"/>
              <w:rPr>
                <w:rFonts w:ascii="宋体" w:hAnsi="宋体"/>
                <w:color w:val="auto"/>
                <w:szCs w:val="21"/>
                <w:highlight w:val="none"/>
              </w:rPr>
            </w:pPr>
          </w:p>
        </w:tc>
        <w:tc>
          <w:tcPr>
            <w:tcW w:w="2438" w:type="dxa"/>
            <w:noWrap w:val="0"/>
            <w:vAlign w:val="center"/>
          </w:tcPr>
          <w:p w14:paraId="5CD76535">
            <w:pPr>
              <w:spacing w:line="300" w:lineRule="auto"/>
              <w:jc w:val="center"/>
              <w:rPr>
                <w:rFonts w:hint="eastAsia" w:ascii="宋体" w:hAnsi="宋体" w:cs="宋体"/>
                <w:color w:val="auto"/>
                <w:sz w:val="24"/>
                <w:szCs w:val="21"/>
                <w:highlight w:val="none"/>
              </w:rPr>
            </w:pPr>
            <w:r>
              <w:rPr>
                <w:rFonts w:hint="eastAsia" w:ascii="宋体" w:hAnsi="宋体" w:cs="宋体"/>
                <w:color w:val="auto"/>
                <w:sz w:val="24"/>
                <w:szCs w:val="21"/>
                <w:highlight w:val="none"/>
                <w:lang w:bidi="ar"/>
              </w:rPr>
              <w:t>造价专业负责人</w:t>
            </w:r>
          </w:p>
        </w:tc>
        <w:tc>
          <w:tcPr>
            <w:tcW w:w="1522" w:type="dxa"/>
            <w:noWrap w:val="0"/>
            <w:vAlign w:val="top"/>
          </w:tcPr>
          <w:p w14:paraId="65FBCCEA">
            <w:pPr>
              <w:jc w:val="center"/>
              <w:rPr>
                <w:rFonts w:ascii="宋体" w:hAnsi="宋体"/>
                <w:color w:val="auto"/>
                <w:szCs w:val="21"/>
                <w:highlight w:val="none"/>
              </w:rPr>
            </w:pPr>
          </w:p>
        </w:tc>
        <w:tc>
          <w:tcPr>
            <w:tcW w:w="1260" w:type="dxa"/>
            <w:noWrap w:val="0"/>
            <w:vAlign w:val="top"/>
          </w:tcPr>
          <w:p w14:paraId="2AE6F1E5">
            <w:pPr>
              <w:rPr>
                <w:rFonts w:ascii="宋体" w:hAnsi="宋体"/>
                <w:color w:val="auto"/>
                <w:szCs w:val="21"/>
                <w:highlight w:val="none"/>
              </w:rPr>
            </w:pPr>
          </w:p>
        </w:tc>
        <w:tc>
          <w:tcPr>
            <w:tcW w:w="1620" w:type="dxa"/>
            <w:noWrap w:val="0"/>
            <w:vAlign w:val="top"/>
          </w:tcPr>
          <w:p w14:paraId="234425B8">
            <w:pPr>
              <w:jc w:val="center"/>
              <w:rPr>
                <w:rFonts w:ascii="宋体" w:hAnsi="宋体"/>
                <w:color w:val="auto"/>
                <w:szCs w:val="21"/>
                <w:highlight w:val="none"/>
              </w:rPr>
            </w:pPr>
          </w:p>
        </w:tc>
        <w:tc>
          <w:tcPr>
            <w:tcW w:w="4140" w:type="dxa"/>
            <w:noWrap w:val="0"/>
            <w:vAlign w:val="top"/>
          </w:tcPr>
          <w:p w14:paraId="0386A208">
            <w:pPr>
              <w:jc w:val="center"/>
              <w:rPr>
                <w:rFonts w:ascii="宋体" w:hAnsi="宋体"/>
                <w:color w:val="auto"/>
                <w:szCs w:val="21"/>
                <w:highlight w:val="none"/>
              </w:rPr>
            </w:pPr>
          </w:p>
        </w:tc>
      </w:tr>
      <w:tr w14:paraId="07FB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3D4A9277">
            <w:pPr>
              <w:jc w:val="center"/>
              <w:rPr>
                <w:rFonts w:ascii="宋体" w:hAnsi="宋体"/>
                <w:color w:val="auto"/>
                <w:szCs w:val="21"/>
                <w:highlight w:val="none"/>
              </w:rPr>
            </w:pPr>
          </w:p>
        </w:tc>
        <w:tc>
          <w:tcPr>
            <w:tcW w:w="1080" w:type="dxa"/>
            <w:noWrap w:val="0"/>
            <w:vAlign w:val="center"/>
          </w:tcPr>
          <w:p w14:paraId="24D08E93">
            <w:pPr>
              <w:jc w:val="center"/>
              <w:rPr>
                <w:rFonts w:ascii="宋体" w:hAnsi="宋体"/>
                <w:color w:val="auto"/>
                <w:szCs w:val="21"/>
                <w:highlight w:val="none"/>
              </w:rPr>
            </w:pPr>
          </w:p>
        </w:tc>
        <w:tc>
          <w:tcPr>
            <w:tcW w:w="2438" w:type="dxa"/>
            <w:noWrap w:val="0"/>
            <w:vAlign w:val="center"/>
          </w:tcPr>
          <w:p w14:paraId="23FC9B73">
            <w:pPr>
              <w:spacing w:line="300" w:lineRule="auto"/>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w:t>
            </w:r>
          </w:p>
        </w:tc>
        <w:tc>
          <w:tcPr>
            <w:tcW w:w="1522" w:type="dxa"/>
            <w:noWrap w:val="0"/>
            <w:vAlign w:val="top"/>
          </w:tcPr>
          <w:p w14:paraId="0185CFA5">
            <w:pPr>
              <w:jc w:val="center"/>
              <w:rPr>
                <w:rFonts w:ascii="宋体" w:hAnsi="宋体"/>
                <w:color w:val="auto"/>
                <w:szCs w:val="21"/>
                <w:highlight w:val="none"/>
              </w:rPr>
            </w:pPr>
          </w:p>
        </w:tc>
        <w:tc>
          <w:tcPr>
            <w:tcW w:w="1260" w:type="dxa"/>
            <w:noWrap w:val="0"/>
            <w:vAlign w:val="top"/>
          </w:tcPr>
          <w:p w14:paraId="5B4CAB47">
            <w:pPr>
              <w:rPr>
                <w:rFonts w:ascii="宋体" w:hAnsi="宋体"/>
                <w:color w:val="auto"/>
                <w:szCs w:val="21"/>
                <w:highlight w:val="none"/>
              </w:rPr>
            </w:pPr>
          </w:p>
        </w:tc>
        <w:tc>
          <w:tcPr>
            <w:tcW w:w="1620" w:type="dxa"/>
            <w:noWrap w:val="0"/>
            <w:vAlign w:val="top"/>
          </w:tcPr>
          <w:p w14:paraId="767A9F8A">
            <w:pPr>
              <w:jc w:val="center"/>
              <w:rPr>
                <w:rFonts w:ascii="宋体" w:hAnsi="宋体"/>
                <w:color w:val="auto"/>
                <w:szCs w:val="21"/>
                <w:highlight w:val="none"/>
              </w:rPr>
            </w:pPr>
          </w:p>
        </w:tc>
        <w:tc>
          <w:tcPr>
            <w:tcW w:w="4140" w:type="dxa"/>
            <w:noWrap w:val="0"/>
            <w:vAlign w:val="top"/>
          </w:tcPr>
          <w:p w14:paraId="60CBB679">
            <w:pPr>
              <w:jc w:val="center"/>
              <w:rPr>
                <w:rFonts w:ascii="宋体" w:hAnsi="宋体"/>
                <w:color w:val="auto"/>
                <w:szCs w:val="21"/>
                <w:highlight w:val="none"/>
              </w:rPr>
            </w:pPr>
          </w:p>
        </w:tc>
      </w:tr>
      <w:tr w14:paraId="1CAB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69A41739">
            <w:pPr>
              <w:jc w:val="center"/>
              <w:rPr>
                <w:rFonts w:ascii="宋体" w:hAnsi="宋体"/>
                <w:color w:val="auto"/>
                <w:szCs w:val="21"/>
                <w:highlight w:val="none"/>
              </w:rPr>
            </w:pPr>
          </w:p>
        </w:tc>
        <w:tc>
          <w:tcPr>
            <w:tcW w:w="1080" w:type="dxa"/>
            <w:noWrap w:val="0"/>
            <w:vAlign w:val="center"/>
          </w:tcPr>
          <w:p w14:paraId="5F5E80DC">
            <w:pPr>
              <w:jc w:val="center"/>
              <w:rPr>
                <w:rFonts w:ascii="宋体" w:hAnsi="宋体"/>
                <w:color w:val="auto"/>
                <w:szCs w:val="21"/>
                <w:highlight w:val="none"/>
              </w:rPr>
            </w:pPr>
          </w:p>
        </w:tc>
        <w:tc>
          <w:tcPr>
            <w:tcW w:w="2438" w:type="dxa"/>
            <w:noWrap w:val="0"/>
            <w:vAlign w:val="center"/>
          </w:tcPr>
          <w:p w14:paraId="5183CCA1">
            <w:pPr>
              <w:spacing w:line="300" w:lineRule="auto"/>
              <w:jc w:val="center"/>
              <w:rPr>
                <w:rFonts w:hint="eastAsia" w:ascii="宋体" w:hAnsi="宋体" w:cs="宋体"/>
                <w:color w:val="auto"/>
                <w:sz w:val="24"/>
                <w:szCs w:val="21"/>
                <w:highlight w:val="none"/>
              </w:rPr>
            </w:pPr>
          </w:p>
        </w:tc>
        <w:tc>
          <w:tcPr>
            <w:tcW w:w="1522" w:type="dxa"/>
            <w:noWrap w:val="0"/>
            <w:vAlign w:val="top"/>
          </w:tcPr>
          <w:p w14:paraId="6762C11F">
            <w:pPr>
              <w:jc w:val="center"/>
              <w:rPr>
                <w:rFonts w:ascii="宋体" w:hAnsi="宋体"/>
                <w:color w:val="auto"/>
                <w:szCs w:val="21"/>
                <w:highlight w:val="none"/>
              </w:rPr>
            </w:pPr>
          </w:p>
        </w:tc>
        <w:tc>
          <w:tcPr>
            <w:tcW w:w="1260" w:type="dxa"/>
            <w:noWrap w:val="0"/>
            <w:vAlign w:val="top"/>
          </w:tcPr>
          <w:p w14:paraId="1D30AF68">
            <w:pPr>
              <w:rPr>
                <w:rFonts w:ascii="宋体" w:hAnsi="宋体"/>
                <w:color w:val="auto"/>
                <w:szCs w:val="21"/>
                <w:highlight w:val="none"/>
              </w:rPr>
            </w:pPr>
          </w:p>
        </w:tc>
        <w:tc>
          <w:tcPr>
            <w:tcW w:w="1620" w:type="dxa"/>
            <w:noWrap w:val="0"/>
            <w:vAlign w:val="top"/>
          </w:tcPr>
          <w:p w14:paraId="1D46E128">
            <w:pPr>
              <w:jc w:val="center"/>
              <w:rPr>
                <w:rFonts w:ascii="宋体" w:hAnsi="宋体"/>
                <w:color w:val="auto"/>
                <w:szCs w:val="21"/>
                <w:highlight w:val="none"/>
              </w:rPr>
            </w:pPr>
          </w:p>
        </w:tc>
        <w:tc>
          <w:tcPr>
            <w:tcW w:w="4140" w:type="dxa"/>
            <w:noWrap w:val="0"/>
            <w:vAlign w:val="top"/>
          </w:tcPr>
          <w:p w14:paraId="1EE0CC1F">
            <w:pPr>
              <w:jc w:val="center"/>
              <w:rPr>
                <w:rFonts w:ascii="宋体" w:hAnsi="宋体"/>
                <w:color w:val="auto"/>
                <w:szCs w:val="21"/>
                <w:highlight w:val="none"/>
              </w:rPr>
            </w:pPr>
          </w:p>
        </w:tc>
      </w:tr>
      <w:tr w14:paraId="0995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48" w:type="dxa"/>
            <w:noWrap w:val="0"/>
            <w:vAlign w:val="center"/>
          </w:tcPr>
          <w:p w14:paraId="76451A2B">
            <w:pPr>
              <w:jc w:val="center"/>
              <w:rPr>
                <w:rFonts w:ascii="宋体" w:hAnsi="宋体"/>
                <w:color w:val="auto"/>
                <w:szCs w:val="21"/>
                <w:highlight w:val="none"/>
              </w:rPr>
            </w:pPr>
          </w:p>
        </w:tc>
        <w:tc>
          <w:tcPr>
            <w:tcW w:w="1080" w:type="dxa"/>
            <w:noWrap w:val="0"/>
            <w:vAlign w:val="center"/>
          </w:tcPr>
          <w:p w14:paraId="07807BCF">
            <w:pPr>
              <w:jc w:val="center"/>
              <w:rPr>
                <w:rFonts w:ascii="宋体" w:hAnsi="宋体"/>
                <w:color w:val="auto"/>
                <w:szCs w:val="21"/>
                <w:highlight w:val="none"/>
              </w:rPr>
            </w:pPr>
          </w:p>
        </w:tc>
        <w:tc>
          <w:tcPr>
            <w:tcW w:w="2438" w:type="dxa"/>
            <w:noWrap w:val="0"/>
            <w:vAlign w:val="center"/>
          </w:tcPr>
          <w:p w14:paraId="4D58F4C0">
            <w:pPr>
              <w:spacing w:line="300" w:lineRule="auto"/>
              <w:jc w:val="center"/>
              <w:rPr>
                <w:rFonts w:hint="eastAsia" w:ascii="宋体" w:hAnsi="宋体" w:cs="宋体"/>
                <w:color w:val="auto"/>
                <w:sz w:val="24"/>
                <w:szCs w:val="21"/>
                <w:highlight w:val="none"/>
              </w:rPr>
            </w:pPr>
          </w:p>
        </w:tc>
        <w:tc>
          <w:tcPr>
            <w:tcW w:w="1522" w:type="dxa"/>
            <w:noWrap w:val="0"/>
            <w:vAlign w:val="top"/>
          </w:tcPr>
          <w:p w14:paraId="576DDCC6">
            <w:pPr>
              <w:jc w:val="center"/>
              <w:rPr>
                <w:rFonts w:ascii="宋体" w:hAnsi="宋体"/>
                <w:color w:val="auto"/>
                <w:szCs w:val="21"/>
                <w:highlight w:val="none"/>
              </w:rPr>
            </w:pPr>
          </w:p>
        </w:tc>
        <w:tc>
          <w:tcPr>
            <w:tcW w:w="1260" w:type="dxa"/>
            <w:noWrap w:val="0"/>
            <w:vAlign w:val="top"/>
          </w:tcPr>
          <w:p w14:paraId="7E8A6F9F">
            <w:pPr>
              <w:rPr>
                <w:rFonts w:ascii="宋体" w:hAnsi="宋体"/>
                <w:color w:val="auto"/>
                <w:szCs w:val="21"/>
                <w:highlight w:val="none"/>
              </w:rPr>
            </w:pPr>
          </w:p>
        </w:tc>
        <w:tc>
          <w:tcPr>
            <w:tcW w:w="1620" w:type="dxa"/>
            <w:noWrap w:val="0"/>
            <w:vAlign w:val="top"/>
          </w:tcPr>
          <w:p w14:paraId="0F67379D">
            <w:pPr>
              <w:jc w:val="center"/>
              <w:rPr>
                <w:rFonts w:ascii="宋体" w:hAnsi="宋体"/>
                <w:color w:val="auto"/>
                <w:szCs w:val="21"/>
                <w:highlight w:val="none"/>
              </w:rPr>
            </w:pPr>
          </w:p>
        </w:tc>
        <w:tc>
          <w:tcPr>
            <w:tcW w:w="4140" w:type="dxa"/>
            <w:noWrap w:val="0"/>
            <w:vAlign w:val="top"/>
          </w:tcPr>
          <w:p w14:paraId="18815409">
            <w:pPr>
              <w:jc w:val="center"/>
              <w:rPr>
                <w:rFonts w:ascii="宋体" w:hAnsi="宋体"/>
                <w:color w:val="auto"/>
                <w:szCs w:val="21"/>
                <w:highlight w:val="none"/>
              </w:rPr>
            </w:pPr>
          </w:p>
        </w:tc>
      </w:tr>
    </w:tbl>
    <w:p w14:paraId="1CFC8025">
      <w:pPr>
        <w:rPr>
          <w:rFonts w:ascii="宋体" w:hAnsi="宋体"/>
          <w:color w:val="auto"/>
          <w:highlight w:val="none"/>
        </w:rPr>
      </w:pPr>
      <w:r>
        <w:rPr>
          <w:rFonts w:hint="eastAsia" w:ascii="宋体" w:hAnsi="宋体"/>
          <w:color w:val="auto"/>
          <w:highlight w:val="none"/>
        </w:rPr>
        <w:t>注：1.项目负责人和</w:t>
      </w:r>
      <w:r>
        <w:rPr>
          <w:rFonts w:hint="eastAsia" w:ascii="宋体" w:hAnsi="宋体"/>
          <w:color w:val="auto"/>
          <w:szCs w:val="21"/>
          <w:highlight w:val="none"/>
        </w:rPr>
        <w:t>专业</w:t>
      </w:r>
      <w:r>
        <w:rPr>
          <w:rFonts w:hint="eastAsia" w:ascii="宋体" w:hAnsi="宋体"/>
          <w:color w:val="auto"/>
          <w:highlight w:val="none"/>
        </w:rPr>
        <w:t>负责人按本工程的实际需求填写。除项目负责人外，不作为资审不合格的依据。</w:t>
      </w:r>
    </w:p>
    <w:p w14:paraId="2B6D20A1">
      <w:pPr>
        <w:ind w:left="420" w:leftChars="200"/>
        <w:rPr>
          <w:rFonts w:ascii="宋体" w:hAnsi="宋体"/>
          <w:color w:val="auto"/>
          <w:szCs w:val="21"/>
          <w:highlight w:val="none"/>
        </w:rPr>
      </w:pPr>
      <w:r>
        <w:rPr>
          <w:rFonts w:hint="eastAsia" w:ascii="宋体" w:hAnsi="宋体"/>
          <w:color w:val="auto"/>
          <w:szCs w:val="21"/>
          <w:highlight w:val="none"/>
        </w:rPr>
        <w:t>2.本表所列的项目负责人和专业负责人需提供资历表（格式自拟），主要内容应包括资格、从事本专业工作年限、工作经验等，并附上有关的证明材料，如资格证、职称证等，并能保证材料的真实性。</w:t>
      </w:r>
    </w:p>
    <w:p w14:paraId="6260FDBA">
      <w:pPr>
        <w:rPr>
          <w:rFonts w:ascii="宋体" w:hAnsi="宋体"/>
          <w:color w:val="auto"/>
          <w:szCs w:val="21"/>
          <w:highlight w:val="none"/>
          <w:u w:val="single"/>
        </w:rPr>
      </w:pPr>
      <w:r>
        <w:rPr>
          <w:rFonts w:hint="eastAsia" w:ascii="宋体" w:hAnsi="宋体"/>
          <w:color w:val="auto"/>
          <w:szCs w:val="21"/>
          <w:highlight w:val="none"/>
        </w:rPr>
        <w:t xml:space="preserve">    3.投标人拟投入的人员应为本单位人员，并提供本表所列人员的社保证明。</w:t>
      </w:r>
    </w:p>
    <w:p w14:paraId="67A75FAD">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宋体"/>
          <w:color w:val="3C3C3C"/>
          <w:kern w:val="0"/>
          <w:sz w:val="28"/>
          <w:szCs w:val="28"/>
          <w:lang w:val="en-US" w:eastAsia="zh-CN"/>
        </w:rPr>
        <w:sectPr>
          <w:pgSz w:w="16838" w:h="11906" w:orient="landscape"/>
          <w:pgMar w:top="1800" w:right="1440" w:bottom="1800" w:left="1440" w:header="851" w:footer="992" w:gutter="0"/>
          <w:cols w:space="720" w:num="1"/>
          <w:docGrid w:type="lines" w:linePitch="312" w:charSpace="0"/>
        </w:sectPr>
      </w:pPr>
      <w:r>
        <w:rPr>
          <w:rFonts w:hint="eastAsia" w:ascii="宋体" w:hAnsi="宋体"/>
          <w:color w:val="auto"/>
          <w:highlight w:val="none"/>
        </w:rPr>
        <w:t>投标人：                                                                 日期：       年    月    日</w:t>
      </w:r>
    </w:p>
    <w:p w14:paraId="1D06AE06">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t>附件五：《资格审查文件、商务文件投标文件封面》</w:t>
      </w:r>
    </w:p>
    <w:p w14:paraId="1E839ACA">
      <w:pPr>
        <w:pStyle w:val="14"/>
        <w:ind w:firstLine="616"/>
        <w:rPr>
          <w:rFonts w:ascii="宋体" w:hAnsi="宋体" w:eastAsia="宋体"/>
          <w:color w:val="auto"/>
          <w:sz w:val="30"/>
          <w:szCs w:val="30"/>
          <w:highlight w:val="none"/>
        </w:rPr>
      </w:pPr>
    </w:p>
    <w:p w14:paraId="00911754">
      <w:pPr>
        <w:pStyle w:val="15"/>
        <w:rPr>
          <w:rFonts w:ascii="宋体" w:hAnsi="宋体" w:eastAsia="宋体"/>
          <w:b w:val="0"/>
          <w:color w:val="auto"/>
          <w:sz w:val="28"/>
          <w:szCs w:val="28"/>
          <w:highlight w:val="none"/>
          <w:u w:val="single"/>
        </w:rPr>
      </w:pPr>
      <w:r>
        <w:rPr>
          <w:rFonts w:hint="eastAsia" w:ascii="宋体" w:hAnsi="宋体" w:eastAsia="宋体"/>
          <w:b w:val="0"/>
          <w:color w:val="auto"/>
          <w:sz w:val="28"/>
          <w:szCs w:val="28"/>
          <w:highlight w:val="none"/>
          <w:u w:val="single"/>
        </w:rPr>
        <w:t xml:space="preserve">     （项目名称）</w:t>
      </w:r>
    </w:p>
    <w:p w14:paraId="569D9B8F">
      <w:pPr>
        <w:pStyle w:val="14"/>
        <w:ind w:firstLine="496"/>
        <w:rPr>
          <w:rFonts w:ascii="宋体" w:hAnsi="宋体" w:eastAsia="宋体"/>
          <w:color w:val="auto"/>
          <w:highlight w:val="none"/>
        </w:rPr>
      </w:pPr>
    </w:p>
    <w:p w14:paraId="074074B1">
      <w:pPr>
        <w:pStyle w:val="14"/>
        <w:ind w:firstLine="496"/>
        <w:rPr>
          <w:rFonts w:ascii="宋体" w:hAnsi="宋体" w:eastAsia="宋体"/>
          <w:color w:val="auto"/>
          <w:highlight w:val="none"/>
        </w:rPr>
      </w:pPr>
    </w:p>
    <w:p w14:paraId="7EB38DA6">
      <w:pPr>
        <w:pStyle w:val="14"/>
        <w:ind w:firstLine="496"/>
        <w:rPr>
          <w:rFonts w:ascii="宋体" w:hAnsi="宋体" w:eastAsia="宋体"/>
          <w:color w:val="auto"/>
          <w:highlight w:val="none"/>
        </w:rPr>
      </w:pPr>
    </w:p>
    <w:p w14:paraId="473A88F9">
      <w:pPr>
        <w:pStyle w:val="14"/>
        <w:ind w:firstLine="496"/>
        <w:rPr>
          <w:rFonts w:ascii="宋体" w:hAnsi="宋体" w:eastAsia="宋体"/>
          <w:color w:val="auto"/>
          <w:highlight w:val="none"/>
        </w:rPr>
      </w:pPr>
    </w:p>
    <w:p w14:paraId="45CA90F5">
      <w:pPr>
        <w:pStyle w:val="16"/>
        <w:rPr>
          <w:rFonts w:ascii="宋体" w:hAnsi="宋体" w:eastAsia="宋体"/>
          <w:b w:val="0"/>
          <w:color w:val="auto"/>
          <w:sz w:val="44"/>
          <w:szCs w:val="44"/>
          <w:highlight w:val="none"/>
        </w:rPr>
      </w:pPr>
      <w:r>
        <w:rPr>
          <w:rFonts w:hint="eastAsia" w:ascii="宋体" w:hAnsi="宋体" w:eastAsia="宋体"/>
          <w:b w:val="0"/>
          <w:color w:val="auto"/>
          <w:sz w:val="44"/>
          <w:szCs w:val="44"/>
          <w:highlight w:val="none"/>
        </w:rPr>
        <w:t>投标文件</w:t>
      </w:r>
    </w:p>
    <w:p w14:paraId="7A575BE0">
      <w:pPr>
        <w:pStyle w:val="15"/>
        <w:rPr>
          <w:rFonts w:ascii="宋体" w:hAnsi="宋体" w:eastAsia="宋体"/>
          <w:b w:val="0"/>
          <w:color w:val="auto"/>
          <w:sz w:val="28"/>
          <w:szCs w:val="28"/>
          <w:highlight w:val="none"/>
        </w:rPr>
      </w:pPr>
      <w:r>
        <w:rPr>
          <w:rFonts w:hint="eastAsia" w:ascii="宋体" w:hAnsi="宋体" w:eastAsia="宋体"/>
          <w:b w:val="0"/>
          <w:color w:val="auto"/>
          <w:sz w:val="28"/>
          <w:szCs w:val="28"/>
          <w:highlight w:val="none"/>
        </w:rPr>
        <w:t>（资格审查文件/商务文件）</w:t>
      </w:r>
    </w:p>
    <w:p w14:paraId="10BE4530">
      <w:pPr>
        <w:pStyle w:val="14"/>
        <w:ind w:firstLine="496"/>
        <w:rPr>
          <w:rFonts w:ascii="宋体" w:hAnsi="宋体" w:eastAsia="宋体"/>
          <w:color w:val="auto"/>
          <w:highlight w:val="none"/>
        </w:rPr>
      </w:pPr>
    </w:p>
    <w:p w14:paraId="7F0D5D36">
      <w:pPr>
        <w:pStyle w:val="14"/>
        <w:ind w:firstLine="496"/>
        <w:rPr>
          <w:rFonts w:ascii="宋体" w:hAnsi="宋体" w:eastAsia="宋体"/>
          <w:color w:val="auto"/>
          <w:highlight w:val="none"/>
        </w:rPr>
      </w:pPr>
    </w:p>
    <w:p w14:paraId="28094E6A">
      <w:pPr>
        <w:pStyle w:val="14"/>
        <w:ind w:firstLine="496"/>
        <w:rPr>
          <w:rFonts w:ascii="宋体" w:hAnsi="宋体" w:eastAsia="宋体"/>
          <w:color w:val="auto"/>
          <w:highlight w:val="none"/>
        </w:rPr>
      </w:pPr>
    </w:p>
    <w:p w14:paraId="1C1A11A2">
      <w:pPr>
        <w:pStyle w:val="14"/>
        <w:ind w:firstLine="496"/>
        <w:rPr>
          <w:rFonts w:ascii="宋体" w:hAnsi="宋体" w:eastAsia="宋体"/>
          <w:color w:val="auto"/>
          <w:highlight w:val="none"/>
        </w:rPr>
      </w:pPr>
    </w:p>
    <w:p w14:paraId="7C980C7F">
      <w:pPr>
        <w:pStyle w:val="17"/>
        <w:spacing w:line="480" w:lineRule="auto"/>
        <w:ind w:firstLine="0" w:firstLineChars="0"/>
        <w:rPr>
          <w:rFonts w:ascii="宋体" w:hAnsi="宋体" w:eastAsia="宋体"/>
          <w:snapToGrid/>
          <w:color w:val="auto"/>
          <w:sz w:val="24"/>
          <w:szCs w:val="24"/>
          <w:highlight w:val="none"/>
        </w:rPr>
      </w:pPr>
    </w:p>
    <w:p w14:paraId="13F8AF3D">
      <w:pPr>
        <w:pStyle w:val="17"/>
        <w:spacing w:line="480" w:lineRule="auto"/>
        <w:ind w:firstLine="2976" w:firstLineChars="1200"/>
        <w:jc w:val="both"/>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hint="eastAsia" w:ascii="宋体" w:hAnsi="宋体" w:eastAsia="宋体"/>
          <w:color w:val="auto"/>
          <w:sz w:val="24"/>
          <w:szCs w:val="24"/>
          <w:highlight w:val="none"/>
          <w:u w:val="single"/>
        </w:rPr>
        <w:t xml:space="preserve">                       </w:t>
      </w:r>
    </w:p>
    <w:p w14:paraId="4CD1C546">
      <w:pPr>
        <w:pStyle w:val="17"/>
        <w:spacing w:line="480" w:lineRule="auto"/>
        <w:ind w:firstLine="0" w:firstLineChars="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法定代表人或其委托代理人：</w:t>
      </w:r>
      <w:r>
        <w:rPr>
          <w:rFonts w:hint="eastAsia" w:ascii="宋体" w:hAnsi="宋体" w:eastAsia="宋体"/>
          <w:color w:val="auto"/>
          <w:sz w:val="24"/>
          <w:szCs w:val="24"/>
          <w:highlight w:val="none"/>
          <w:u w:val="single"/>
        </w:rPr>
        <w:t xml:space="preserve">        </w:t>
      </w:r>
    </w:p>
    <w:p w14:paraId="0206897B">
      <w:pPr>
        <w:spacing w:line="480" w:lineRule="auto"/>
        <w:jc w:val="center"/>
        <w:rPr>
          <w:rFonts w:ascii="宋体" w:hAnsi="宋体"/>
          <w:color w:val="auto"/>
          <w:sz w:val="24"/>
          <w:highlight w:val="none"/>
          <w:u w:val="single"/>
        </w:rPr>
      </w:pP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4AB3D85">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宋体"/>
          <w:color w:val="3C3C3C"/>
          <w:kern w:val="0"/>
          <w:sz w:val="28"/>
          <w:szCs w:val="28"/>
          <w:lang w:val="en-US" w:eastAsia="zh-CN"/>
        </w:rPr>
      </w:pPr>
      <w:r>
        <w:rPr>
          <w:rFonts w:hint="eastAsia" w:ascii="仿宋" w:hAnsi="仿宋" w:eastAsia="仿宋" w:cs="宋体"/>
          <w:color w:val="3C3C3C"/>
          <w:kern w:val="0"/>
          <w:sz w:val="28"/>
          <w:szCs w:val="28"/>
          <w:lang w:val="en-US" w:eastAsia="zh-CN"/>
        </w:rPr>
        <w:br w:type="page"/>
      </w:r>
      <w:r>
        <w:rPr>
          <w:rFonts w:hint="eastAsia" w:ascii="仿宋" w:hAnsi="仿宋" w:eastAsia="仿宋" w:cs="宋体"/>
          <w:color w:val="3C3C3C"/>
          <w:kern w:val="0"/>
          <w:sz w:val="28"/>
          <w:szCs w:val="28"/>
          <w:lang w:val="en-US" w:eastAsia="zh-CN"/>
        </w:rPr>
        <w:t>附件六：《投标书及投标书附录》</w:t>
      </w:r>
    </w:p>
    <w:p w14:paraId="6165E3E4">
      <w:pPr>
        <w:spacing w:line="360" w:lineRule="auto"/>
        <w:jc w:val="center"/>
        <w:rPr>
          <w:rFonts w:ascii="宋体" w:hAnsi="宋体"/>
          <w:b/>
          <w:bCs/>
          <w:color w:val="auto"/>
          <w:sz w:val="24"/>
          <w:highlight w:val="none"/>
        </w:rPr>
      </w:pPr>
      <w:r>
        <w:rPr>
          <w:rFonts w:hint="eastAsia" w:ascii="宋体" w:hAnsi="宋体"/>
          <w:b/>
          <w:bCs/>
          <w:color w:val="auto"/>
          <w:sz w:val="24"/>
          <w:highlight w:val="none"/>
        </w:rPr>
        <w:t>投标书</w:t>
      </w:r>
    </w:p>
    <w:p w14:paraId="31125AED">
      <w:pPr>
        <w:spacing w:line="360" w:lineRule="auto"/>
        <w:rPr>
          <w:rFonts w:ascii="宋体" w:hAnsi="宋体"/>
          <w:color w:val="auto"/>
          <w:sz w:val="24"/>
          <w:highlight w:val="none"/>
        </w:rPr>
      </w:pPr>
    </w:p>
    <w:p w14:paraId="3FC64625">
      <w:pPr>
        <w:spacing w:line="360" w:lineRule="auto"/>
        <w:jc w:val="left"/>
        <w:rPr>
          <w:rFonts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55B3D61">
      <w:pPr>
        <w:pStyle w:val="2"/>
        <w:spacing w:line="360" w:lineRule="auto"/>
        <w:rPr>
          <w:rFonts w:hAnsi="宋体"/>
          <w:color w:val="auto"/>
          <w:sz w:val="24"/>
          <w:szCs w:val="24"/>
          <w:highlight w:val="none"/>
        </w:rPr>
      </w:pPr>
    </w:p>
    <w:p w14:paraId="1135AA6E">
      <w:pPr>
        <w:pStyle w:val="2"/>
        <w:spacing w:line="360" w:lineRule="auto"/>
        <w:rPr>
          <w:rFonts w:hAnsi="宋体"/>
          <w:color w:val="auto"/>
          <w:sz w:val="24"/>
          <w:szCs w:val="24"/>
          <w:highlight w:val="none"/>
        </w:rPr>
      </w:pPr>
      <w:r>
        <w:rPr>
          <w:rFonts w:hint="eastAsia" w:hAnsi="宋体"/>
          <w:color w:val="auto"/>
          <w:sz w:val="24"/>
          <w:szCs w:val="24"/>
          <w:highlight w:val="none"/>
        </w:rPr>
        <w:t>致：</w:t>
      </w:r>
      <w:r>
        <w:rPr>
          <w:rFonts w:hint="eastAsia" w:hAnsi="宋体"/>
          <w:color w:val="auto"/>
          <w:sz w:val="24"/>
          <w:szCs w:val="24"/>
          <w:highlight w:val="none"/>
          <w:u w:val="single"/>
        </w:rPr>
        <w:t xml:space="preserve">                                    </w:t>
      </w:r>
      <w:r>
        <w:rPr>
          <w:rFonts w:hint="eastAsia" w:hAnsi="宋体"/>
          <w:color w:val="auto"/>
          <w:sz w:val="24"/>
          <w:szCs w:val="24"/>
          <w:highlight w:val="none"/>
        </w:rPr>
        <w:t>（招标人、招标代理机构名称）</w:t>
      </w:r>
    </w:p>
    <w:p w14:paraId="0CE4EDD3">
      <w:pPr>
        <w:spacing w:line="360" w:lineRule="auto"/>
        <w:jc w:val="left"/>
        <w:rPr>
          <w:rFonts w:ascii="宋体" w:hAnsi="宋体"/>
          <w:color w:val="auto"/>
          <w:sz w:val="24"/>
          <w:highlight w:val="none"/>
        </w:rPr>
      </w:pPr>
    </w:p>
    <w:p w14:paraId="39514A7F">
      <w:pPr>
        <w:pStyle w:val="2"/>
        <w:spacing w:line="360" w:lineRule="auto"/>
        <w:ind w:firstLine="420"/>
        <w:rPr>
          <w:rFonts w:hAnsi="宋体"/>
          <w:color w:val="auto"/>
          <w:sz w:val="24"/>
          <w:szCs w:val="24"/>
          <w:highlight w:val="none"/>
        </w:rPr>
      </w:pPr>
      <w:r>
        <w:rPr>
          <w:rFonts w:hint="eastAsia" w:hAnsi="宋体"/>
          <w:color w:val="auto"/>
          <w:sz w:val="24"/>
          <w:szCs w:val="24"/>
          <w:highlight w:val="none"/>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14:paraId="67733C0F">
      <w:pPr>
        <w:pStyle w:val="2"/>
        <w:spacing w:line="360" w:lineRule="auto"/>
        <w:ind w:firstLine="420"/>
        <w:rPr>
          <w:rFonts w:hAnsi="宋体"/>
          <w:color w:val="auto"/>
          <w:sz w:val="24"/>
          <w:szCs w:val="24"/>
          <w:highlight w:val="none"/>
        </w:rPr>
      </w:pPr>
      <w:r>
        <w:rPr>
          <w:rFonts w:hint="eastAsia" w:hAnsi="宋体"/>
          <w:color w:val="auto"/>
          <w:sz w:val="24"/>
          <w:szCs w:val="24"/>
          <w:highlight w:val="none"/>
        </w:rPr>
        <w:t>我方愿以人民币</w:t>
      </w:r>
      <w:r>
        <w:rPr>
          <w:rFonts w:hint="eastAsia" w:hAnsi="宋体"/>
          <w:color w:val="auto"/>
          <w:sz w:val="24"/>
          <w:szCs w:val="24"/>
          <w:highlight w:val="none"/>
          <w:u w:val="single"/>
        </w:rPr>
        <w:t xml:space="preserve">     </w:t>
      </w:r>
      <w:r>
        <w:rPr>
          <w:rFonts w:hint="eastAsia" w:hAnsi="宋体"/>
          <w:color w:val="auto"/>
          <w:sz w:val="24"/>
          <w:szCs w:val="24"/>
          <w:highlight w:val="none"/>
        </w:rPr>
        <w:t>元（大写：</w:t>
      </w:r>
      <w:r>
        <w:rPr>
          <w:rFonts w:hint="eastAsia" w:hAnsi="宋体"/>
          <w:color w:val="auto"/>
          <w:sz w:val="24"/>
          <w:szCs w:val="24"/>
          <w:highlight w:val="none"/>
          <w:u w:val="single"/>
        </w:rPr>
        <w:t xml:space="preserve">    </w:t>
      </w:r>
      <w:r>
        <w:rPr>
          <w:rFonts w:hint="eastAsia" w:hAnsi="宋体"/>
          <w:color w:val="auto"/>
          <w:sz w:val="24"/>
          <w:szCs w:val="24"/>
          <w:highlight w:val="none"/>
        </w:rPr>
        <w:t>）的投标总报价，承包本次招标所包含的工作，并承担任何质量缺陷责任。我方项目负责人是</w:t>
      </w:r>
      <w:r>
        <w:rPr>
          <w:rFonts w:hint="eastAsia" w:hAnsi="宋体"/>
          <w:color w:val="auto"/>
          <w:sz w:val="24"/>
          <w:szCs w:val="24"/>
          <w:highlight w:val="none"/>
          <w:u w:val="single"/>
        </w:rPr>
        <w:t xml:space="preserve">        </w:t>
      </w:r>
      <w:r>
        <w:rPr>
          <w:rFonts w:hint="eastAsia" w:hAnsi="宋体"/>
          <w:color w:val="auto"/>
          <w:sz w:val="24"/>
          <w:szCs w:val="24"/>
          <w:highlight w:val="none"/>
        </w:rPr>
        <w:t>。</w:t>
      </w:r>
    </w:p>
    <w:p w14:paraId="3C350904">
      <w:pPr>
        <w:pStyle w:val="2"/>
        <w:spacing w:line="360" w:lineRule="auto"/>
        <w:rPr>
          <w:rFonts w:hAnsi="宋体"/>
          <w:color w:val="auto"/>
          <w:sz w:val="24"/>
          <w:szCs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我方对本项目招标投标日程安排无异议。</w:t>
      </w:r>
      <w:r>
        <w:rPr>
          <w:rFonts w:hint="eastAsia" w:hAnsi="宋体"/>
          <w:color w:val="auto"/>
          <w:sz w:val="24"/>
          <w:szCs w:val="24"/>
          <w:highlight w:val="none"/>
        </w:rPr>
        <w:t>我方遵守本投标书直至投标有效期满，在投标有效期满前，本投标书对我方一直具有约束力，随时可接受中标。我方承认所附投标文件资料为本投标书的一部分。</w:t>
      </w:r>
    </w:p>
    <w:p w14:paraId="34135F1E">
      <w:pPr>
        <w:pStyle w:val="2"/>
        <w:spacing w:line="360" w:lineRule="auto"/>
        <w:rPr>
          <w:rFonts w:hAnsi="宋体"/>
          <w:color w:val="auto"/>
          <w:sz w:val="24"/>
          <w:szCs w:val="24"/>
          <w:highlight w:val="none"/>
        </w:rPr>
      </w:pPr>
      <w:r>
        <w:rPr>
          <w:rFonts w:hint="eastAsia" w:hAnsi="宋体"/>
          <w:color w:val="auto"/>
          <w:sz w:val="24"/>
          <w:szCs w:val="24"/>
          <w:highlight w:val="none"/>
        </w:rPr>
        <w:t xml:space="preserve">    我方认同招标文件规定的评审规则，遵守评标委员会的裁决结果，并且不会采取妨碍项目进展的行为。</w:t>
      </w:r>
    </w:p>
    <w:p w14:paraId="7FE030D7">
      <w:pPr>
        <w:pStyle w:val="2"/>
        <w:spacing w:line="360" w:lineRule="auto"/>
        <w:rPr>
          <w:rFonts w:hAnsi="宋体"/>
          <w:color w:val="auto"/>
          <w:sz w:val="24"/>
          <w:szCs w:val="24"/>
          <w:highlight w:val="none"/>
        </w:rPr>
      </w:pPr>
      <w:r>
        <w:rPr>
          <w:rFonts w:hint="eastAsia" w:hAnsi="宋体"/>
          <w:color w:val="auto"/>
          <w:sz w:val="24"/>
          <w:szCs w:val="24"/>
          <w:highlight w:val="none"/>
        </w:rPr>
        <w:t xml:space="preserve">    如果我方中标，我方将提供规定的履约担保，将在合同规定的日期开工，并在竣工时间内，按照上述文件完成项目。</w:t>
      </w:r>
    </w:p>
    <w:p w14:paraId="0C8574A8">
      <w:pPr>
        <w:pStyle w:val="2"/>
        <w:spacing w:line="360" w:lineRule="auto"/>
        <w:ind w:firstLine="420"/>
        <w:rPr>
          <w:rFonts w:hAnsi="宋体"/>
          <w:color w:val="auto"/>
          <w:sz w:val="24"/>
          <w:szCs w:val="24"/>
          <w:highlight w:val="none"/>
        </w:rPr>
      </w:pPr>
      <w:r>
        <w:rPr>
          <w:rFonts w:hint="eastAsia" w:hAnsi="宋体"/>
          <w:color w:val="auto"/>
          <w:sz w:val="24"/>
          <w:szCs w:val="24"/>
          <w:highlight w:val="none"/>
        </w:rPr>
        <w:t>除非制定正式合同协议书并生效，本投标书以及你方中标通知书，应构成你我双方间具有约束力的合同。</w:t>
      </w:r>
    </w:p>
    <w:p w14:paraId="5EE6DAC3">
      <w:pPr>
        <w:pStyle w:val="2"/>
        <w:spacing w:line="360" w:lineRule="auto"/>
        <w:ind w:firstLine="420"/>
        <w:rPr>
          <w:rFonts w:hAnsi="宋体"/>
          <w:color w:val="auto"/>
          <w:sz w:val="24"/>
          <w:szCs w:val="24"/>
          <w:highlight w:val="none"/>
        </w:rPr>
      </w:pPr>
      <w:r>
        <w:rPr>
          <w:rFonts w:hint="eastAsia" w:hAnsi="宋体"/>
          <w:color w:val="auto"/>
          <w:sz w:val="24"/>
          <w:szCs w:val="24"/>
          <w:highlight w:val="none"/>
        </w:rPr>
        <w:t>我方保证投标材料及其后提供的一切材料都是真实的、在有效期内的。若与事实不符，经查实，我方愿意接受公开通报，承担由此带来的法律后果，并自愿停止参加广州市行政辖区内的招标投标活动三个月。</w:t>
      </w:r>
    </w:p>
    <w:p w14:paraId="640441C2">
      <w:pPr>
        <w:pStyle w:val="2"/>
        <w:spacing w:line="360" w:lineRule="auto"/>
        <w:ind w:firstLine="420"/>
        <w:rPr>
          <w:rFonts w:hAnsi="宋体"/>
          <w:color w:val="auto"/>
          <w:sz w:val="24"/>
          <w:szCs w:val="24"/>
          <w:highlight w:val="none"/>
        </w:rPr>
      </w:pPr>
      <w:r>
        <w:rPr>
          <w:rFonts w:hint="eastAsia" w:hAnsi="宋体"/>
          <w:color w:val="auto"/>
          <w:sz w:val="24"/>
          <w:szCs w:val="24"/>
          <w:highlight w:val="none"/>
        </w:rPr>
        <w:t>如我司成为本项目中标候选人，我司同意并授权招标人将我司投标文件商务部分的人员、业绩、奖项等资料进行公开。</w:t>
      </w:r>
    </w:p>
    <w:p w14:paraId="3736AB8B">
      <w:pPr>
        <w:pStyle w:val="2"/>
        <w:spacing w:line="360" w:lineRule="auto"/>
        <w:rPr>
          <w:rFonts w:hAnsi="宋体"/>
          <w:color w:val="auto"/>
          <w:sz w:val="24"/>
          <w:szCs w:val="24"/>
          <w:highlight w:val="none"/>
        </w:rPr>
      </w:pPr>
      <w:r>
        <w:rPr>
          <w:rFonts w:hint="eastAsia" w:hAnsi="宋体"/>
          <w:color w:val="auto"/>
          <w:sz w:val="24"/>
          <w:szCs w:val="24"/>
          <w:highlight w:val="none"/>
        </w:rPr>
        <w:t xml:space="preserve">    投标人：</w:t>
      </w:r>
      <w:r>
        <w:rPr>
          <w:rFonts w:hint="eastAsia" w:hAnsi="宋体"/>
          <w:color w:val="auto"/>
          <w:sz w:val="24"/>
          <w:szCs w:val="24"/>
          <w:highlight w:val="none"/>
          <w:u w:val="single"/>
        </w:rPr>
        <w:t xml:space="preserve">                                  </w:t>
      </w:r>
    </w:p>
    <w:p w14:paraId="6E19D1A5">
      <w:pPr>
        <w:pStyle w:val="2"/>
        <w:spacing w:line="360" w:lineRule="auto"/>
        <w:rPr>
          <w:rFonts w:hAnsi="宋体"/>
          <w:color w:val="auto"/>
          <w:sz w:val="24"/>
          <w:szCs w:val="24"/>
          <w:highlight w:val="none"/>
        </w:rPr>
      </w:pPr>
      <w:r>
        <w:rPr>
          <w:rFonts w:hint="eastAsia" w:hAnsi="宋体"/>
          <w:color w:val="auto"/>
          <w:sz w:val="24"/>
          <w:szCs w:val="24"/>
          <w:highlight w:val="none"/>
        </w:rPr>
        <w:t xml:space="preserve">    法定代表人：</w:t>
      </w:r>
      <w:r>
        <w:rPr>
          <w:rFonts w:hint="eastAsia" w:hAnsi="宋体"/>
          <w:color w:val="auto"/>
          <w:sz w:val="24"/>
          <w:szCs w:val="24"/>
          <w:highlight w:val="none"/>
          <w:u w:val="single"/>
        </w:rPr>
        <w:t xml:space="preserve">                        </w:t>
      </w:r>
    </w:p>
    <w:p w14:paraId="05AB3516">
      <w:pPr>
        <w:pStyle w:val="2"/>
        <w:spacing w:line="360" w:lineRule="auto"/>
        <w:rPr>
          <w:rFonts w:hAnsi="宋体"/>
          <w:color w:val="auto"/>
          <w:sz w:val="24"/>
          <w:szCs w:val="24"/>
          <w:highlight w:val="none"/>
        </w:rPr>
      </w:pPr>
      <w:r>
        <w:rPr>
          <w:rFonts w:hint="eastAsia" w:hAnsi="宋体"/>
          <w:color w:val="auto"/>
          <w:sz w:val="24"/>
          <w:szCs w:val="24"/>
          <w:highlight w:val="none"/>
        </w:rPr>
        <w:t xml:space="preserve">    委托代理人：</w:t>
      </w:r>
      <w:r>
        <w:rPr>
          <w:rFonts w:hint="eastAsia" w:hAnsi="宋体"/>
          <w:color w:val="auto"/>
          <w:sz w:val="24"/>
          <w:szCs w:val="24"/>
          <w:highlight w:val="none"/>
          <w:u w:val="single"/>
        </w:rPr>
        <w:t xml:space="preserve">                        </w:t>
      </w:r>
    </w:p>
    <w:p w14:paraId="1ACF147D">
      <w:pPr>
        <w:pStyle w:val="2"/>
        <w:spacing w:line="360" w:lineRule="auto"/>
        <w:rPr>
          <w:rFonts w:hAnsi="宋体"/>
          <w:color w:val="auto"/>
          <w:sz w:val="24"/>
          <w:szCs w:val="24"/>
          <w:highlight w:val="none"/>
        </w:rPr>
      </w:pPr>
      <w:r>
        <w:rPr>
          <w:rFonts w:hint="eastAsia" w:hAnsi="宋体"/>
          <w:color w:val="auto"/>
          <w:sz w:val="24"/>
          <w:szCs w:val="24"/>
          <w:highlight w:val="none"/>
        </w:rPr>
        <w:t xml:space="preserve">    项目负责人：</w:t>
      </w:r>
      <w:r>
        <w:rPr>
          <w:rFonts w:hint="eastAsia" w:hAnsi="宋体"/>
          <w:color w:val="auto"/>
          <w:sz w:val="24"/>
          <w:szCs w:val="24"/>
          <w:highlight w:val="none"/>
          <w:u w:val="single"/>
        </w:rPr>
        <w:t xml:space="preserve">                        </w:t>
      </w:r>
    </w:p>
    <w:p w14:paraId="3482E540">
      <w:pPr>
        <w:pStyle w:val="2"/>
        <w:spacing w:line="360" w:lineRule="auto"/>
        <w:rPr>
          <w:rFonts w:hAnsi="宋体"/>
          <w:color w:val="auto"/>
          <w:sz w:val="24"/>
          <w:szCs w:val="24"/>
          <w:highlight w:val="none"/>
        </w:rPr>
      </w:pPr>
      <w:r>
        <w:rPr>
          <w:rFonts w:hint="eastAsia" w:hAnsi="宋体"/>
          <w:color w:val="auto"/>
          <w:sz w:val="24"/>
          <w:szCs w:val="24"/>
          <w:highlight w:val="none"/>
        </w:rPr>
        <w:t xml:space="preserve">    地址：</w:t>
      </w:r>
      <w:r>
        <w:rPr>
          <w:rFonts w:hint="eastAsia" w:hAnsi="宋体"/>
          <w:color w:val="auto"/>
          <w:sz w:val="24"/>
          <w:szCs w:val="24"/>
          <w:highlight w:val="none"/>
          <w:u w:val="single"/>
        </w:rPr>
        <w:t xml:space="preserve">                                           </w:t>
      </w:r>
    </w:p>
    <w:p w14:paraId="3C7F3E72">
      <w:pPr>
        <w:pStyle w:val="2"/>
        <w:spacing w:line="360" w:lineRule="auto"/>
        <w:rPr>
          <w:rFonts w:hAnsi="宋体"/>
          <w:color w:val="auto"/>
          <w:sz w:val="24"/>
          <w:szCs w:val="24"/>
          <w:highlight w:val="none"/>
        </w:rPr>
      </w:pPr>
      <w:r>
        <w:rPr>
          <w:rFonts w:hint="eastAsia" w:hAnsi="宋体"/>
          <w:color w:val="auto"/>
          <w:sz w:val="24"/>
          <w:szCs w:val="24"/>
          <w:highlight w:val="none"/>
        </w:rPr>
        <w:t xml:space="preserve">    邮政编码：</w:t>
      </w:r>
      <w:r>
        <w:rPr>
          <w:rFonts w:hint="eastAsia" w:hAnsi="宋体"/>
          <w:color w:val="auto"/>
          <w:sz w:val="24"/>
          <w:szCs w:val="24"/>
          <w:highlight w:val="none"/>
          <w:u w:val="single"/>
        </w:rPr>
        <w:t xml:space="preserve">                                       </w:t>
      </w:r>
    </w:p>
    <w:p w14:paraId="14D130A3">
      <w:pPr>
        <w:pStyle w:val="2"/>
        <w:spacing w:line="360" w:lineRule="auto"/>
        <w:rPr>
          <w:rFonts w:hAnsi="宋体"/>
          <w:color w:val="auto"/>
          <w:sz w:val="24"/>
          <w:szCs w:val="24"/>
          <w:highlight w:val="none"/>
        </w:rPr>
      </w:pPr>
      <w:r>
        <w:rPr>
          <w:rFonts w:hint="eastAsia" w:hAnsi="宋体"/>
          <w:color w:val="auto"/>
          <w:sz w:val="24"/>
          <w:szCs w:val="24"/>
          <w:highlight w:val="none"/>
        </w:rPr>
        <w:t xml:space="preserve">    电话/传真：</w:t>
      </w:r>
      <w:r>
        <w:rPr>
          <w:rFonts w:hint="eastAsia" w:hAnsi="宋体"/>
          <w:color w:val="auto"/>
          <w:sz w:val="24"/>
          <w:szCs w:val="24"/>
          <w:highlight w:val="none"/>
          <w:u w:val="single"/>
        </w:rPr>
        <w:t xml:space="preserve">                    /FAX              </w:t>
      </w:r>
    </w:p>
    <w:p w14:paraId="3F24ACB7">
      <w:pPr>
        <w:pStyle w:val="2"/>
        <w:spacing w:line="360" w:lineRule="auto"/>
        <w:rPr>
          <w:rFonts w:hAnsi="宋体"/>
          <w:color w:val="auto"/>
          <w:sz w:val="24"/>
          <w:szCs w:val="24"/>
          <w:highlight w:val="none"/>
        </w:rPr>
      </w:pPr>
      <w:r>
        <w:rPr>
          <w:rFonts w:hint="eastAsia" w:hAnsi="宋体"/>
          <w:color w:val="auto"/>
          <w:sz w:val="24"/>
          <w:szCs w:val="24"/>
          <w:highlight w:val="none"/>
        </w:rPr>
        <w:t xml:space="preserve">    电子邮箱：</w:t>
      </w:r>
      <w:r>
        <w:rPr>
          <w:rFonts w:hint="eastAsia" w:hAnsi="宋体"/>
          <w:color w:val="auto"/>
          <w:sz w:val="24"/>
          <w:szCs w:val="24"/>
          <w:highlight w:val="none"/>
          <w:u w:val="single"/>
        </w:rPr>
        <w:t xml:space="preserve">                                       </w:t>
      </w:r>
    </w:p>
    <w:p w14:paraId="3E39AD55">
      <w:pPr>
        <w:pStyle w:val="2"/>
        <w:spacing w:line="360" w:lineRule="auto"/>
        <w:rPr>
          <w:rFonts w:hAnsi="宋体"/>
          <w:color w:val="auto"/>
          <w:sz w:val="24"/>
          <w:szCs w:val="24"/>
          <w:highlight w:val="none"/>
        </w:rPr>
      </w:pPr>
      <w:r>
        <w:rPr>
          <w:rFonts w:hint="eastAsia" w:hAnsi="宋体"/>
          <w:color w:val="auto"/>
          <w:sz w:val="24"/>
          <w:szCs w:val="24"/>
          <w:highlight w:val="none"/>
        </w:rPr>
        <w:t xml:space="preserve">    开户银行名称、账号：</w:t>
      </w:r>
      <w:r>
        <w:rPr>
          <w:rFonts w:hint="eastAsia" w:hAnsi="宋体"/>
          <w:color w:val="auto"/>
          <w:sz w:val="24"/>
          <w:szCs w:val="24"/>
          <w:highlight w:val="none"/>
          <w:u w:val="single"/>
        </w:rPr>
        <w:t xml:space="preserve">                             </w:t>
      </w:r>
    </w:p>
    <w:p w14:paraId="77C1AE77">
      <w:pPr>
        <w:pStyle w:val="2"/>
        <w:spacing w:line="360" w:lineRule="auto"/>
        <w:rPr>
          <w:rFonts w:hAnsi="宋体"/>
          <w:color w:val="auto"/>
          <w:sz w:val="24"/>
          <w:szCs w:val="24"/>
          <w:highlight w:val="none"/>
        </w:rPr>
      </w:pPr>
      <w:r>
        <w:rPr>
          <w:rFonts w:hint="eastAsia" w:hAnsi="宋体"/>
          <w:color w:val="auto"/>
          <w:sz w:val="24"/>
          <w:szCs w:val="24"/>
          <w:highlight w:val="none"/>
        </w:rPr>
        <w:t xml:space="preserve">    开户行地址/电话：</w:t>
      </w:r>
      <w:r>
        <w:rPr>
          <w:rFonts w:hint="eastAsia" w:hAnsi="宋体"/>
          <w:color w:val="auto"/>
          <w:sz w:val="24"/>
          <w:szCs w:val="24"/>
          <w:highlight w:val="none"/>
          <w:u w:val="single"/>
        </w:rPr>
        <w:t xml:space="preserve">                                </w:t>
      </w:r>
    </w:p>
    <w:p w14:paraId="55DDD7AE">
      <w:pPr>
        <w:pStyle w:val="2"/>
        <w:spacing w:line="360" w:lineRule="auto"/>
        <w:jc w:val="right"/>
        <w:rPr>
          <w:rFonts w:hint="eastAsia" w:hAnsi="宋体"/>
          <w:color w:val="auto"/>
          <w:sz w:val="24"/>
          <w:szCs w:val="24"/>
          <w:highlight w:val="none"/>
        </w:rPr>
      </w:pPr>
      <w:r>
        <w:rPr>
          <w:rFonts w:hint="eastAsia" w:hAnsi="宋体"/>
          <w:color w:val="auto"/>
          <w:sz w:val="24"/>
          <w:szCs w:val="24"/>
          <w:highlight w:val="none"/>
        </w:rPr>
        <w:t xml:space="preserve">                                     日期：       年    月    日</w:t>
      </w:r>
    </w:p>
    <w:p w14:paraId="0204AE9C">
      <w:pPr>
        <w:rPr>
          <w:rFonts w:hint="eastAsia" w:hAnsi="宋体"/>
          <w:color w:val="auto"/>
          <w:sz w:val="24"/>
          <w:highlight w:val="none"/>
        </w:rPr>
      </w:pPr>
    </w:p>
    <w:p w14:paraId="1D7E3797">
      <w:pPr>
        <w:pStyle w:val="7"/>
        <w:rPr>
          <w:rFonts w:hint="eastAsia" w:hAnsi="宋体"/>
          <w:color w:val="auto"/>
          <w:sz w:val="24"/>
          <w:szCs w:val="24"/>
          <w:highlight w:val="none"/>
        </w:rPr>
      </w:pPr>
    </w:p>
    <w:p w14:paraId="705BE272">
      <w:pPr>
        <w:pStyle w:val="7"/>
        <w:rPr>
          <w:rFonts w:hint="eastAsia" w:hAnsi="宋体"/>
          <w:color w:val="auto"/>
          <w:sz w:val="24"/>
          <w:szCs w:val="24"/>
          <w:highlight w:val="none"/>
        </w:rPr>
      </w:pPr>
    </w:p>
    <w:p w14:paraId="0AC16A06">
      <w:pPr>
        <w:pStyle w:val="7"/>
        <w:rPr>
          <w:rFonts w:hint="eastAsia" w:hAnsi="宋体"/>
          <w:color w:val="auto"/>
          <w:sz w:val="24"/>
          <w:szCs w:val="24"/>
          <w:highlight w:val="none"/>
        </w:rPr>
      </w:pPr>
    </w:p>
    <w:p w14:paraId="4221164D">
      <w:pPr>
        <w:pStyle w:val="7"/>
        <w:rPr>
          <w:rFonts w:hint="eastAsia" w:hAnsi="宋体"/>
          <w:color w:val="auto"/>
          <w:sz w:val="24"/>
          <w:szCs w:val="24"/>
          <w:highlight w:val="none"/>
        </w:rPr>
      </w:pPr>
    </w:p>
    <w:p w14:paraId="18CCF36E">
      <w:pPr>
        <w:pStyle w:val="7"/>
        <w:rPr>
          <w:rFonts w:hint="eastAsia" w:hAnsi="宋体"/>
          <w:color w:val="auto"/>
          <w:sz w:val="24"/>
          <w:szCs w:val="24"/>
          <w:highlight w:val="none"/>
        </w:rPr>
      </w:pPr>
    </w:p>
    <w:p w14:paraId="2779C9A7">
      <w:pPr>
        <w:pStyle w:val="7"/>
        <w:rPr>
          <w:rFonts w:hint="eastAsia" w:hAnsi="宋体"/>
          <w:color w:val="auto"/>
          <w:sz w:val="24"/>
          <w:szCs w:val="24"/>
          <w:highlight w:val="none"/>
        </w:rPr>
      </w:pPr>
    </w:p>
    <w:p w14:paraId="061BA608">
      <w:pPr>
        <w:pStyle w:val="7"/>
        <w:rPr>
          <w:rFonts w:hint="eastAsia" w:hAnsi="宋体"/>
          <w:color w:val="auto"/>
          <w:sz w:val="24"/>
          <w:szCs w:val="24"/>
          <w:highlight w:val="none"/>
        </w:rPr>
      </w:pPr>
    </w:p>
    <w:p w14:paraId="1F5A7316">
      <w:pPr>
        <w:pStyle w:val="7"/>
        <w:rPr>
          <w:rFonts w:hint="eastAsia" w:hAnsi="宋体"/>
          <w:color w:val="auto"/>
          <w:sz w:val="24"/>
          <w:szCs w:val="24"/>
          <w:highlight w:val="none"/>
        </w:rPr>
      </w:pPr>
    </w:p>
    <w:p w14:paraId="1F36CF21">
      <w:pPr>
        <w:pStyle w:val="7"/>
        <w:rPr>
          <w:rFonts w:hint="eastAsia" w:hAnsi="宋体"/>
          <w:color w:val="auto"/>
          <w:sz w:val="24"/>
          <w:szCs w:val="24"/>
          <w:highlight w:val="none"/>
        </w:rPr>
      </w:pPr>
    </w:p>
    <w:p w14:paraId="66B8F8D9">
      <w:pPr>
        <w:pStyle w:val="7"/>
        <w:rPr>
          <w:rFonts w:hint="eastAsia" w:hAnsi="宋体"/>
          <w:color w:val="auto"/>
          <w:sz w:val="24"/>
          <w:szCs w:val="24"/>
          <w:highlight w:val="none"/>
        </w:rPr>
      </w:pPr>
    </w:p>
    <w:p w14:paraId="626D025B">
      <w:pPr>
        <w:pStyle w:val="7"/>
        <w:rPr>
          <w:rFonts w:hint="eastAsia" w:hAnsi="宋体"/>
          <w:color w:val="auto"/>
          <w:sz w:val="24"/>
          <w:szCs w:val="24"/>
          <w:highlight w:val="none"/>
        </w:rPr>
      </w:pPr>
    </w:p>
    <w:p w14:paraId="1972AA4C">
      <w:pPr>
        <w:pStyle w:val="7"/>
        <w:rPr>
          <w:rFonts w:hint="eastAsia" w:hAnsi="宋体"/>
          <w:color w:val="auto"/>
          <w:sz w:val="24"/>
          <w:szCs w:val="24"/>
          <w:highlight w:val="none"/>
        </w:rPr>
      </w:pPr>
    </w:p>
    <w:p w14:paraId="1DAB44E0">
      <w:pPr>
        <w:pStyle w:val="7"/>
        <w:rPr>
          <w:rFonts w:hint="eastAsia" w:hAnsi="宋体"/>
          <w:color w:val="auto"/>
          <w:sz w:val="24"/>
          <w:szCs w:val="24"/>
          <w:highlight w:val="none"/>
        </w:rPr>
      </w:pPr>
    </w:p>
    <w:p w14:paraId="74D0482B">
      <w:pPr>
        <w:pStyle w:val="7"/>
        <w:rPr>
          <w:rFonts w:hint="eastAsia" w:hAnsi="宋体"/>
          <w:color w:val="auto"/>
          <w:sz w:val="24"/>
          <w:szCs w:val="24"/>
          <w:highlight w:val="none"/>
        </w:rPr>
      </w:pPr>
    </w:p>
    <w:p w14:paraId="0B919677">
      <w:pPr>
        <w:pStyle w:val="7"/>
        <w:rPr>
          <w:rFonts w:hint="eastAsia" w:hAnsi="宋体"/>
          <w:color w:val="auto"/>
          <w:sz w:val="24"/>
          <w:szCs w:val="24"/>
          <w:highlight w:val="none"/>
        </w:rPr>
      </w:pPr>
    </w:p>
    <w:p w14:paraId="7C8A11B2">
      <w:pPr>
        <w:pStyle w:val="7"/>
        <w:rPr>
          <w:rFonts w:hint="eastAsia" w:hAnsi="宋体"/>
          <w:color w:val="auto"/>
          <w:sz w:val="24"/>
          <w:szCs w:val="24"/>
          <w:highlight w:val="none"/>
        </w:rPr>
      </w:pPr>
    </w:p>
    <w:p w14:paraId="56E46B89">
      <w:pPr>
        <w:pStyle w:val="7"/>
        <w:rPr>
          <w:rFonts w:hint="eastAsia" w:hAnsi="宋体"/>
          <w:color w:val="auto"/>
          <w:sz w:val="24"/>
          <w:szCs w:val="24"/>
          <w:highlight w:val="none"/>
        </w:rPr>
      </w:pPr>
    </w:p>
    <w:p w14:paraId="1280CF8B">
      <w:pPr>
        <w:spacing w:line="360" w:lineRule="auto"/>
        <w:jc w:val="center"/>
        <w:rPr>
          <w:rFonts w:hint="eastAsia" w:ascii="宋体" w:hAnsi="宋体"/>
          <w:b/>
          <w:bCs/>
          <w:color w:val="auto"/>
          <w:sz w:val="24"/>
          <w:highlight w:val="none"/>
        </w:rPr>
      </w:pPr>
    </w:p>
    <w:p w14:paraId="66DBF027">
      <w:pPr>
        <w:spacing w:line="360" w:lineRule="auto"/>
        <w:jc w:val="center"/>
        <w:rPr>
          <w:rFonts w:ascii="宋体" w:hAnsi="宋体"/>
          <w:b/>
          <w:bCs/>
          <w:strike/>
          <w:color w:val="auto"/>
          <w:sz w:val="24"/>
          <w:highlight w:val="none"/>
        </w:rPr>
      </w:pPr>
      <w:r>
        <w:rPr>
          <w:rFonts w:hint="eastAsia" w:ascii="宋体" w:hAnsi="宋体"/>
          <w:b/>
          <w:bCs/>
          <w:strike w:val="0"/>
          <w:color w:val="auto"/>
          <w:sz w:val="24"/>
          <w:highlight w:val="none"/>
        </w:rPr>
        <w:t>投标书附录</w:t>
      </w:r>
    </w:p>
    <w:p w14:paraId="63C5FA29">
      <w:pPr>
        <w:pStyle w:val="4"/>
        <w:pBdr>
          <w:top w:val="none" w:color="auto" w:sz="0" w:space="0"/>
        </w:pBdr>
        <w:kinsoku w:val="0"/>
        <w:overflowPunct w:val="0"/>
        <w:spacing w:line="360" w:lineRule="auto"/>
        <w:rPr>
          <w:rFonts w:ascii="宋体" w:hAnsi="宋体"/>
          <w:strike/>
          <w:color w:val="auto"/>
          <w:sz w:val="24"/>
          <w:highlight w:val="none"/>
        </w:rPr>
      </w:pPr>
      <w:r>
        <w:rPr>
          <w:rFonts w:ascii="宋体" w:hAnsi="宋体"/>
          <w:strike/>
          <w:color w:val="auto"/>
          <w:sz w:val="24"/>
          <w:highlight w:val="none"/>
        </w:rPr>
        <w:t xml:space="preserve"> </w:t>
      </w:r>
    </w:p>
    <w:tbl>
      <w:tblPr>
        <w:tblStyle w:val="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410"/>
        <w:gridCol w:w="2966"/>
        <w:gridCol w:w="2075"/>
      </w:tblGrid>
      <w:tr w14:paraId="270F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0F482648">
            <w:pPr>
              <w:pStyle w:val="18"/>
              <w:kinsoku w:val="0"/>
              <w:overflowPunct w:val="0"/>
              <w:spacing w:line="276"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2410" w:type="dxa"/>
            <w:noWrap w:val="0"/>
            <w:vAlign w:val="center"/>
          </w:tcPr>
          <w:p w14:paraId="714E9A6C">
            <w:pPr>
              <w:pStyle w:val="18"/>
              <w:kinsoku w:val="0"/>
              <w:overflowPunct w:val="0"/>
              <w:spacing w:line="276" w:lineRule="auto"/>
              <w:jc w:val="center"/>
              <w:rPr>
                <w:rFonts w:ascii="宋体" w:hAnsi="宋体"/>
                <w:b/>
                <w:color w:val="auto"/>
                <w:sz w:val="21"/>
                <w:szCs w:val="21"/>
                <w:highlight w:val="none"/>
              </w:rPr>
            </w:pPr>
            <w:r>
              <w:rPr>
                <w:rFonts w:hint="eastAsia" w:ascii="宋体" w:hAnsi="宋体"/>
                <w:b/>
                <w:color w:val="auto"/>
                <w:sz w:val="21"/>
                <w:szCs w:val="21"/>
                <w:highlight w:val="none"/>
              </w:rPr>
              <w:t>条款名称</w:t>
            </w:r>
          </w:p>
        </w:tc>
        <w:tc>
          <w:tcPr>
            <w:tcW w:w="2966" w:type="dxa"/>
            <w:noWrap w:val="0"/>
            <w:vAlign w:val="center"/>
          </w:tcPr>
          <w:p w14:paraId="686A5A2F">
            <w:pPr>
              <w:pStyle w:val="18"/>
              <w:kinsoku w:val="0"/>
              <w:overflowPunct w:val="0"/>
              <w:spacing w:line="276" w:lineRule="auto"/>
              <w:jc w:val="center"/>
              <w:rPr>
                <w:rFonts w:ascii="宋体" w:hAnsi="宋体"/>
                <w:b/>
                <w:color w:val="auto"/>
                <w:sz w:val="21"/>
                <w:szCs w:val="21"/>
                <w:highlight w:val="none"/>
              </w:rPr>
            </w:pPr>
            <w:r>
              <w:rPr>
                <w:rFonts w:hint="eastAsia" w:ascii="宋体" w:hAnsi="宋体"/>
                <w:b/>
                <w:color w:val="auto"/>
                <w:sz w:val="21"/>
                <w:szCs w:val="21"/>
                <w:highlight w:val="none"/>
              </w:rPr>
              <w:t>约定内容</w:t>
            </w:r>
          </w:p>
        </w:tc>
        <w:tc>
          <w:tcPr>
            <w:tcW w:w="2075" w:type="dxa"/>
            <w:noWrap w:val="0"/>
            <w:vAlign w:val="center"/>
          </w:tcPr>
          <w:p w14:paraId="673B5C4F">
            <w:pPr>
              <w:pStyle w:val="18"/>
              <w:kinsoku w:val="0"/>
              <w:overflowPunct w:val="0"/>
              <w:spacing w:line="276" w:lineRule="auto"/>
              <w:ind w:right="3"/>
              <w:jc w:val="center"/>
              <w:rPr>
                <w:rFonts w:ascii="宋体" w:hAnsi="宋体"/>
                <w:b/>
                <w:color w:val="auto"/>
                <w:sz w:val="21"/>
                <w:szCs w:val="21"/>
                <w:highlight w:val="none"/>
              </w:rPr>
            </w:pPr>
            <w:r>
              <w:rPr>
                <w:rFonts w:hint="eastAsia" w:ascii="宋体" w:hAnsi="宋体"/>
                <w:b/>
                <w:color w:val="auto"/>
                <w:sz w:val="21"/>
                <w:szCs w:val="21"/>
                <w:highlight w:val="none"/>
              </w:rPr>
              <w:t>备注</w:t>
            </w:r>
          </w:p>
        </w:tc>
      </w:tr>
      <w:tr w14:paraId="7F10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0FFB3B7">
            <w:pPr>
              <w:pStyle w:val="18"/>
              <w:kinsoku w:val="0"/>
              <w:overflowPunct w:val="0"/>
              <w:spacing w:line="276" w:lineRule="auto"/>
              <w:jc w:val="center"/>
              <w:rPr>
                <w:rFonts w:ascii="宋体" w:hAnsi="宋体"/>
                <w:color w:val="auto"/>
                <w:sz w:val="21"/>
                <w:szCs w:val="21"/>
                <w:highlight w:val="none"/>
              </w:rPr>
            </w:pPr>
            <w:r>
              <w:rPr>
                <w:rFonts w:ascii="宋体" w:hAnsi="宋体"/>
                <w:color w:val="auto"/>
                <w:sz w:val="21"/>
                <w:szCs w:val="21"/>
                <w:highlight w:val="none"/>
              </w:rPr>
              <w:t>1</w:t>
            </w:r>
          </w:p>
        </w:tc>
        <w:tc>
          <w:tcPr>
            <w:tcW w:w="2410" w:type="dxa"/>
            <w:noWrap w:val="0"/>
            <w:vAlign w:val="center"/>
          </w:tcPr>
          <w:p w14:paraId="1675779E">
            <w:pPr>
              <w:pStyle w:val="18"/>
              <w:kinsoku w:val="0"/>
              <w:overflowPunct w:val="0"/>
              <w:spacing w:line="276" w:lineRule="auto"/>
              <w:ind w:left="-4" w:leftChars="-2"/>
              <w:jc w:val="center"/>
              <w:rPr>
                <w:rFonts w:ascii="宋体" w:hAnsi="宋体"/>
                <w:color w:val="auto"/>
                <w:sz w:val="21"/>
                <w:szCs w:val="21"/>
                <w:highlight w:val="none"/>
              </w:rPr>
            </w:pPr>
            <w:r>
              <w:rPr>
                <w:rFonts w:hint="eastAsia" w:ascii="宋体" w:hAnsi="宋体"/>
                <w:color w:val="auto"/>
                <w:spacing w:val="-1"/>
                <w:sz w:val="21"/>
                <w:szCs w:val="21"/>
                <w:highlight w:val="none"/>
              </w:rPr>
              <w:t>项目负责人</w:t>
            </w:r>
          </w:p>
        </w:tc>
        <w:tc>
          <w:tcPr>
            <w:tcW w:w="2966" w:type="dxa"/>
            <w:noWrap w:val="0"/>
            <w:vAlign w:val="center"/>
          </w:tcPr>
          <w:p w14:paraId="22521613">
            <w:pPr>
              <w:pStyle w:val="18"/>
              <w:kinsoku w:val="0"/>
              <w:overflowPunct w:val="0"/>
              <w:spacing w:line="276" w:lineRule="auto"/>
              <w:ind w:left="102"/>
              <w:jc w:val="center"/>
              <w:rPr>
                <w:rFonts w:ascii="宋体" w:hAnsi="宋体"/>
                <w:color w:val="auto"/>
                <w:sz w:val="21"/>
                <w:szCs w:val="21"/>
                <w:highlight w:val="none"/>
                <w:u w:val="single"/>
              </w:rPr>
            </w:pPr>
            <w:r>
              <w:rPr>
                <w:rFonts w:hint="eastAsia" w:ascii="宋体" w:hAnsi="宋体"/>
                <w:color w:val="auto"/>
                <w:sz w:val="21"/>
                <w:szCs w:val="21"/>
                <w:highlight w:val="none"/>
              </w:rPr>
              <w:t>姓名：</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tc>
        <w:tc>
          <w:tcPr>
            <w:tcW w:w="2075" w:type="dxa"/>
            <w:noWrap w:val="0"/>
            <w:vAlign w:val="center"/>
          </w:tcPr>
          <w:p w14:paraId="520D693E">
            <w:pPr>
              <w:spacing w:line="276" w:lineRule="auto"/>
              <w:jc w:val="center"/>
              <w:rPr>
                <w:rFonts w:ascii="宋体" w:hAnsi="宋体" w:cs="Calibri"/>
                <w:color w:val="auto"/>
                <w:kern w:val="0"/>
                <w:szCs w:val="21"/>
                <w:highlight w:val="none"/>
              </w:rPr>
            </w:pPr>
          </w:p>
        </w:tc>
      </w:tr>
      <w:tr w14:paraId="0261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182F7DF1">
            <w:pPr>
              <w:pStyle w:val="18"/>
              <w:kinsoku w:val="0"/>
              <w:overflowPunct w:val="0"/>
              <w:spacing w:line="276" w:lineRule="auto"/>
              <w:jc w:val="center"/>
              <w:rPr>
                <w:rFonts w:ascii="宋体" w:hAnsi="宋体"/>
                <w:color w:val="auto"/>
                <w:sz w:val="21"/>
                <w:szCs w:val="21"/>
                <w:highlight w:val="none"/>
              </w:rPr>
            </w:pPr>
            <w:r>
              <w:rPr>
                <w:rFonts w:ascii="宋体" w:hAnsi="宋体"/>
                <w:color w:val="auto"/>
                <w:sz w:val="21"/>
                <w:szCs w:val="21"/>
                <w:highlight w:val="none"/>
              </w:rPr>
              <w:t>2</w:t>
            </w:r>
          </w:p>
        </w:tc>
        <w:tc>
          <w:tcPr>
            <w:tcW w:w="2410" w:type="dxa"/>
            <w:noWrap w:val="0"/>
            <w:vAlign w:val="center"/>
          </w:tcPr>
          <w:p w14:paraId="5A15FCD1">
            <w:pPr>
              <w:pStyle w:val="18"/>
              <w:kinsoku w:val="0"/>
              <w:overflowPunct w:val="0"/>
              <w:spacing w:line="276" w:lineRule="auto"/>
              <w:ind w:left="-4" w:leftChars="-2"/>
              <w:jc w:val="center"/>
              <w:rPr>
                <w:rFonts w:ascii="宋体" w:hAnsi="宋体"/>
                <w:color w:val="auto"/>
                <w:spacing w:val="-1"/>
                <w:sz w:val="21"/>
                <w:szCs w:val="21"/>
                <w:highlight w:val="none"/>
              </w:rPr>
            </w:pPr>
            <w:r>
              <w:rPr>
                <w:rFonts w:hint="eastAsia" w:ascii="宋体" w:hAnsi="宋体"/>
                <w:color w:val="auto"/>
                <w:spacing w:val="-1"/>
                <w:sz w:val="21"/>
                <w:szCs w:val="21"/>
                <w:highlight w:val="none"/>
              </w:rPr>
              <w:t>投标内容</w:t>
            </w:r>
          </w:p>
        </w:tc>
        <w:tc>
          <w:tcPr>
            <w:tcW w:w="2966" w:type="dxa"/>
            <w:noWrap w:val="0"/>
            <w:vAlign w:val="center"/>
          </w:tcPr>
          <w:p w14:paraId="4AEC7ED3">
            <w:pPr>
              <w:pStyle w:val="18"/>
              <w:kinsoku w:val="0"/>
              <w:overflowPunct w:val="0"/>
              <w:spacing w:line="276" w:lineRule="auto"/>
              <w:ind w:left="102"/>
              <w:jc w:val="center"/>
              <w:rPr>
                <w:rFonts w:ascii="宋体" w:hAnsi="宋体"/>
                <w:color w:val="auto"/>
                <w:spacing w:val="-1"/>
                <w:sz w:val="21"/>
                <w:szCs w:val="21"/>
                <w:highlight w:val="none"/>
              </w:rPr>
            </w:pPr>
            <w:r>
              <w:rPr>
                <w:rFonts w:hint="eastAsia" w:ascii="宋体" w:hAnsi="宋体"/>
                <w:color w:val="auto"/>
                <w:spacing w:val="-1"/>
                <w:sz w:val="21"/>
                <w:szCs w:val="21"/>
                <w:highlight w:val="none"/>
              </w:rPr>
              <w:t>按招标文件要求</w:t>
            </w:r>
          </w:p>
        </w:tc>
        <w:tc>
          <w:tcPr>
            <w:tcW w:w="2075" w:type="dxa"/>
            <w:noWrap w:val="0"/>
            <w:vAlign w:val="center"/>
          </w:tcPr>
          <w:p w14:paraId="0C8CD518">
            <w:pPr>
              <w:spacing w:line="276" w:lineRule="auto"/>
              <w:jc w:val="center"/>
              <w:rPr>
                <w:rFonts w:ascii="宋体" w:hAnsi="宋体" w:cs="Calibri"/>
                <w:color w:val="auto"/>
                <w:kern w:val="0"/>
                <w:szCs w:val="21"/>
                <w:highlight w:val="none"/>
              </w:rPr>
            </w:pPr>
          </w:p>
        </w:tc>
      </w:tr>
      <w:tr w14:paraId="7818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19583A90">
            <w:pPr>
              <w:pStyle w:val="18"/>
              <w:kinsoku w:val="0"/>
              <w:overflowPunct w:val="0"/>
              <w:spacing w:line="276" w:lineRule="auto"/>
              <w:jc w:val="center"/>
              <w:rPr>
                <w:rFonts w:ascii="宋体" w:hAnsi="宋体"/>
                <w:color w:val="auto"/>
                <w:sz w:val="21"/>
                <w:szCs w:val="21"/>
                <w:highlight w:val="none"/>
              </w:rPr>
            </w:pPr>
            <w:r>
              <w:rPr>
                <w:rFonts w:ascii="宋体" w:hAnsi="宋体"/>
                <w:color w:val="auto"/>
                <w:sz w:val="21"/>
                <w:szCs w:val="21"/>
                <w:highlight w:val="none"/>
              </w:rPr>
              <w:t>3</w:t>
            </w:r>
          </w:p>
        </w:tc>
        <w:tc>
          <w:tcPr>
            <w:tcW w:w="2410" w:type="dxa"/>
            <w:noWrap w:val="0"/>
            <w:vAlign w:val="center"/>
          </w:tcPr>
          <w:p w14:paraId="65AD90B7">
            <w:pPr>
              <w:pStyle w:val="18"/>
              <w:kinsoku w:val="0"/>
              <w:overflowPunct w:val="0"/>
              <w:spacing w:line="276" w:lineRule="auto"/>
              <w:ind w:left="-4" w:leftChars="-2"/>
              <w:jc w:val="center"/>
              <w:rPr>
                <w:rFonts w:ascii="宋体" w:hAnsi="宋体"/>
                <w:color w:val="auto"/>
                <w:spacing w:val="-1"/>
                <w:sz w:val="21"/>
                <w:szCs w:val="21"/>
                <w:highlight w:val="none"/>
              </w:rPr>
            </w:pPr>
            <w:r>
              <w:rPr>
                <w:rFonts w:hint="eastAsia" w:ascii="宋体" w:hAnsi="宋体"/>
                <w:color w:val="auto"/>
                <w:spacing w:val="-1"/>
                <w:sz w:val="21"/>
                <w:szCs w:val="21"/>
                <w:highlight w:val="none"/>
              </w:rPr>
              <w:t>设计服务期限</w:t>
            </w:r>
          </w:p>
        </w:tc>
        <w:tc>
          <w:tcPr>
            <w:tcW w:w="2966" w:type="dxa"/>
            <w:noWrap w:val="0"/>
            <w:vAlign w:val="center"/>
          </w:tcPr>
          <w:p w14:paraId="54E15722">
            <w:pPr>
              <w:pStyle w:val="18"/>
              <w:kinsoku w:val="0"/>
              <w:overflowPunct w:val="0"/>
              <w:spacing w:line="276" w:lineRule="auto"/>
              <w:ind w:left="102"/>
              <w:jc w:val="center"/>
              <w:rPr>
                <w:rFonts w:ascii="宋体" w:hAnsi="宋体"/>
                <w:color w:val="auto"/>
                <w:spacing w:val="-1"/>
                <w:sz w:val="21"/>
                <w:szCs w:val="21"/>
                <w:highlight w:val="none"/>
              </w:rPr>
            </w:pPr>
            <w:r>
              <w:rPr>
                <w:rFonts w:hint="eastAsia" w:ascii="宋体" w:hAnsi="宋体"/>
                <w:color w:val="auto"/>
                <w:spacing w:val="-1"/>
                <w:sz w:val="21"/>
                <w:szCs w:val="21"/>
                <w:highlight w:val="none"/>
              </w:rPr>
              <w:t>按招标文件要求</w:t>
            </w:r>
          </w:p>
        </w:tc>
        <w:tc>
          <w:tcPr>
            <w:tcW w:w="2075" w:type="dxa"/>
            <w:noWrap w:val="0"/>
            <w:vAlign w:val="center"/>
          </w:tcPr>
          <w:p w14:paraId="2756F358">
            <w:pPr>
              <w:spacing w:line="276" w:lineRule="auto"/>
              <w:jc w:val="center"/>
              <w:rPr>
                <w:rFonts w:ascii="宋体" w:hAnsi="宋体" w:cs="Calibri"/>
                <w:color w:val="auto"/>
                <w:kern w:val="0"/>
                <w:szCs w:val="21"/>
                <w:highlight w:val="none"/>
              </w:rPr>
            </w:pPr>
          </w:p>
        </w:tc>
      </w:tr>
      <w:tr w14:paraId="01E5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F996853">
            <w:pPr>
              <w:pStyle w:val="18"/>
              <w:kinsoku w:val="0"/>
              <w:overflowPunct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410" w:type="dxa"/>
            <w:noWrap w:val="0"/>
            <w:vAlign w:val="center"/>
          </w:tcPr>
          <w:p w14:paraId="755C228F">
            <w:pPr>
              <w:pStyle w:val="18"/>
              <w:kinsoku w:val="0"/>
              <w:overflowPunct w:val="0"/>
              <w:spacing w:line="276" w:lineRule="auto"/>
              <w:ind w:left="-4" w:leftChars="-3" w:hanging="2"/>
              <w:jc w:val="center"/>
              <w:rPr>
                <w:rFonts w:ascii="宋体" w:hAnsi="宋体"/>
                <w:color w:val="auto"/>
                <w:spacing w:val="-1"/>
                <w:sz w:val="21"/>
                <w:szCs w:val="21"/>
                <w:highlight w:val="none"/>
              </w:rPr>
            </w:pPr>
            <w:r>
              <w:rPr>
                <w:rFonts w:hint="eastAsia" w:ascii="宋体" w:hAnsi="宋体"/>
                <w:color w:val="auto"/>
                <w:spacing w:val="-1"/>
                <w:sz w:val="21"/>
                <w:szCs w:val="21"/>
                <w:highlight w:val="none"/>
              </w:rPr>
              <w:t>质量标准</w:t>
            </w:r>
          </w:p>
        </w:tc>
        <w:tc>
          <w:tcPr>
            <w:tcW w:w="2966" w:type="dxa"/>
            <w:noWrap w:val="0"/>
            <w:vAlign w:val="center"/>
          </w:tcPr>
          <w:p w14:paraId="0E38AB7A">
            <w:pPr>
              <w:pStyle w:val="18"/>
              <w:kinsoku w:val="0"/>
              <w:overflowPunct w:val="0"/>
              <w:spacing w:line="276" w:lineRule="auto"/>
              <w:ind w:left="102"/>
              <w:jc w:val="center"/>
              <w:rPr>
                <w:rFonts w:ascii="宋体" w:hAnsi="宋体"/>
                <w:color w:val="auto"/>
                <w:spacing w:val="-1"/>
                <w:sz w:val="21"/>
                <w:szCs w:val="21"/>
                <w:highlight w:val="none"/>
              </w:rPr>
            </w:pPr>
            <w:r>
              <w:rPr>
                <w:rFonts w:hint="eastAsia" w:ascii="宋体" w:hAnsi="宋体"/>
                <w:color w:val="auto"/>
                <w:spacing w:val="-1"/>
                <w:sz w:val="21"/>
                <w:szCs w:val="21"/>
                <w:highlight w:val="none"/>
              </w:rPr>
              <w:t>按招标文件要求</w:t>
            </w:r>
          </w:p>
        </w:tc>
        <w:tc>
          <w:tcPr>
            <w:tcW w:w="2075" w:type="dxa"/>
            <w:noWrap w:val="0"/>
            <w:vAlign w:val="center"/>
          </w:tcPr>
          <w:p w14:paraId="1F6A557E">
            <w:pPr>
              <w:spacing w:line="276" w:lineRule="auto"/>
              <w:jc w:val="center"/>
              <w:rPr>
                <w:rFonts w:ascii="宋体" w:hAnsi="宋体" w:cs="Calibri"/>
                <w:color w:val="auto"/>
                <w:kern w:val="0"/>
                <w:szCs w:val="21"/>
                <w:highlight w:val="none"/>
              </w:rPr>
            </w:pPr>
          </w:p>
        </w:tc>
      </w:tr>
      <w:tr w14:paraId="7230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11F4C577">
            <w:pPr>
              <w:pStyle w:val="18"/>
              <w:kinsoku w:val="0"/>
              <w:overflowPunct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410" w:type="dxa"/>
            <w:noWrap w:val="0"/>
            <w:vAlign w:val="center"/>
          </w:tcPr>
          <w:p w14:paraId="31946798">
            <w:pPr>
              <w:pStyle w:val="18"/>
              <w:kinsoku w:val="0"/>
              <w:overflowPunct w:val="0"/>
              <w:spacing w:line="276" w:lineRule="auto"/>
              <w:ind w:left="-4" w:leftChars="-2"/>
              <w:jc w:val="center"/>
              <w:rPr>
                <w:rFonts w:ascii="宋体" w:hAnsi="宋体"/>
                <w:color w:val="auto"/>
                <w:spacing w:val="-1"/>
                <w:sz w:val="21"/>
                <w:szCs w:val="21"/>
                <w:highlight w:val="none"/>
              </w:rPr>
            </w:pPr>
            <w:r>
              <w:rPr>
                <w:rFonts w:hint="eastAsia" w:ascii="宋体" w:hAnsi="宋体"/>
                <w:color w:val="auto"/>
                <w:spacing w:val="-1"/>
                <w:sz w:val="21"/>
                <w:szCs w:val="21"/>
                <w:highlight w:val="none"/>
              </w:rPr>
              <w:t>投标有效期</w:t>
            </w:r>
          </w:p>
        </w:tc>
        <w:tc>
          <w:tcPr>
            <w:tcW w:w="2966" w:type="dxa"/>
            <w:noWrap w:val="0"/>
            <w:vAlign w:val="center"/>
          </w:tcPr>
          <w:p w14:paraId="2DF36055">
            <w:pPr>
              <w:pStyle w:val="18"/>
              <w:kinsoku w:val="0"/>
              <w:overflowPunct w:val="0"/>
              <w:spacing w:line="276" w:lineRule="auto"/>
              <w:ind w:left="102"/>
              <w:jc w:val="center"/>
              <w:rPr>
                <w:rFonts w:ascii="宋体" w:hAnsi="宋体"/>
                <w:color w:val="auto"/>
                <w:spacing w:val="-1"/>
                <w:sz w:val="21"/>
                <w:szCs w:val="21"/>
                <w:highlight w:val="none"/>
              </w:rPr>
            </w:pPr>
            <w:r>
              <w:rPr>
                <w:rFonts w:hint="eastAsia" w:ascii="宋体" w:hAnsi="宋体"/>
                <w:color w:val="auto"/>
                <w:spacing w:val="-1"/>
                <w:sz w:val="21"/>
                <w:szCs w:val="21"/>
                <w:highlight w:val="none"/>
              </w:rPr>
              <w:t>按招标文件要求</w:t>
            </w:r>
          </w:p>
        </w:tc>
        <w:tc>
          <w:tcPr>
            <w:tcW w:w="2075" w:type="dxa"/>
            <w:noWrap w:val="0"/>
            <w:vAlign w:val="center"/>
          </w:tcPr>
          <w:p w14:paraId="185B17A0">
            <w:pPr>
              <w:spacing w:line="276" w:lineRule="auto"/>
              <w:jc w:val="center"/>
              <w:rPr>
                <w:rFonts w:ascii="宋体" w:hAnsi="宋体" w:cs="Calibri"/>
                <w:color w:val="auto"/>
                <w:kern w:val="0"/>
                <w:szCs w:val="21"/>
                <w:highlight w:val="none"/>
              </w:rPr>
            </w:pPr>
          </w:p>
        </w:tc>
      </w:tr>
    </w:tbl>
    <w:p w14:paraId="033B8E0F">
      <w:pPr>
        <w:spacing w:line="360" w:lineRule="auto"/>
        <w:rPr>
          <w:color w:val="auto"/>
          <w:sz w:val="24"/>
          <w:highlight w:val="none"/>
        </w:rPr>
      </w:pPr>
    </w:p>
    <w:p w14:paraId="083B4D78">
      <w:pPr>
        <w:pStyle w:val="13"/>
        <w:ind w:left="0" w:right="85" w:firstLine="4048" w:firstLineChars="1687"/>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投标人：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p>
    <w:p w14:paraId="7B0F2E62">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年   月   日</w:t>
      </w:r>
    </w:p>
    <w:p w14:paraId="5D6D2DA1">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p>
    <w:p w14:paraId="1A8F9587">
      <w:pPr>
        <w:pStyle w:val="8"/>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宋体"/>
          <w:color w:val="3C3C3C"/>
          <w:kern w:val="0"/>
          <w:sz w:val="28"/>
          <w:szCs w:val="28"/>
          <w:lang w:val="en-US" w:eastAsia="zh-CN"/>
        </w:rPr>
      </w:pPr>
      <w:r>
        <w:rPr>
          <w:rFonts w:hint="eastAsia" w:ascii="宋体" w:hAnsi="宋体" w:eastAsia="宋体"/>
          <w:color w:val="auto"/>
          <w:sz w:val="24"/>
          <w:szCs w:val="24"/>
          <w:highlight w:val="none"/>
          <w:lang w:val="en-US" w:eastAsia="zh-CN"/>
        </w:rPr>
        <w:t xml:space="preserve">   </w:t>
      </w:r>
      <w:r>
        <w:rPr>
          <w:rFonts w:hint="eastAsia" w:ascii="仿宋" w:hAnsi="仿宋" w:eastAsia="仿宋" w:cs="宋体"/>
          <w:color w:val="3C3C3C"/>
          <w:kern w:val="0"/>
          <w:sz w:val="28"/>
          <w:szCs w:val="28"/>
          <w:lang w:val="en-US" w:eastAsia="zh-CN"/>
        </w:rPr>
        <w:br w:type="page"/>
      </w:r>
      <w:r>
        <w:rPr>
          <w:rFonts w:hint="eastAsia" w:ascii="仿宋" w:hAnsi="仿宋" w:eastAsia="仿宋" w:cs="宋体"/>
          <w:color w:val="3C3C3C"/>
          <w:kern w:val="0"/>
          <w:sz w:val="28"/>
          <w:szCs w:val="28"/>
          <w:lang w:val="en-US" w:eastAsia="zh-CN"/>
        </w:rPr>
        <w:t>附件七：《中小企业声明函》（如有）</w:t>
      </w:r>
    </w:p>
    <w:p w14:paraId="3C2604CD">
      <w:pPr>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中小企业声明函</w:t>
      </w:r>
    </w:p>
    <w:p w14:paraId="41B37552">
      <w:pPr>
        <w:snapToGrid w:val="0"/>
        <w:spacing w:line="360" w:lineRule="auto"/>
        <w:rPr>
          <w:rFonts w:ascii="宋体" w:hAnsi="宋体"/>
          <w:color w:val="auto"/>
          <w:szCs w:val="21"/>
          <w:highlight w:val="none"/>
        </w:rPr>
      </w:pPr>
      <w:r>
        <w:rPr>
          <w:rFonts w:ascii="宋体" w:hAnsi="宋体"/>
          <w:color w:val="auto"/>
          <w:szCs w:val="21"/>
          <w:highlight w:val="none"/>
        </w:rPr>
        <w:t>致：</w:t>
      </w:r>
      <w:r>
        <w:rPr>
          <w:rFonts w:ascii="宋体" w:hAnsi="宋体"/>
          <w:color w:val="auto"/>
          <w:szCs w:val="21"/>
          <w:highlight w:val="none"/>
          <w:u w:val="single"/>
        </w:rPr>
        <w:t xml:space="preserve">        （招标人）   </w:t>
      </w:r>
    </w:p>
    <w:p w14:paraId="3EB50B52">
      <w:pPr>
        <w:snapToGrid w:val="0"/>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本公司郑重声明，根据《政府采购促进中小企业发展管理办法》（财库﹝</w:t>
      </w:r>
      <w:r>
        <w:rPr>
          <w:rFonts w:ascii="宋体" w:hAnsi="宋体"/>
          <w:color w:val="auto"/>
          <w:szCs w:val="21"/>
          <w:highlight w:val="none"/>
        </w:rPr>
        <w:t>2020﹞46 号）的规定，本公司</w:t>
      </w:r>
      <w:r>
        <w:rPr>
          <w:rFonts w:hint="eastAsia" w:ascii="宋体" w:hAnsi="宋体"/>
          <w:color w:val="auto"/>
          <w:szCs w:val="21"/>
          <w:highlight w:val="none"/>
        </w:rPr>
        <w:t>参加</w:t>
      </w:r>
      <w:r>
        <w:rPr>
          <w:rFonts w:hint="eastAsia" w:ascii="宋体" w:hAnsi="宋体"/>
          <w:color w:val="auto"/>
          <w:szCs w:val="21"/>
          <w:highlight w:val="none"/>
          <w:u w:val="single"/>
          <w:lang w:eastAsia="zh-CN"/>
        </w:rPr>
        <w:t>广东机电职业技术学院钟落潭校区教学实训楼S-3项目前期设计项目</w:t>
      </w:r>
      <w:r>
        <w:rPr>
          <w:rFonts w:hint="eastAsia" w:ascii="宋体" w:hAnsi="宋体"/>
          <w:color w:val="auto"/>
          <w:szCs w:val="21"/>
          <w:highlight w:val="none"/>
        </w:rPr>
        <w:t>招标</w:t>
      </w:r>
      <w:r>
        <w:rPr>
          <w:rFonts w:ascii="宋体" w:hAnsi="宋体"/>
          <w:color w:val="auto"/>
          <w:szCs w:val="21"/>
          <w:highlight w:val="none"/>
        </w:rPr>
        <w:t>活动</w:t>
      </w:r>
      <w:r>
        <w:rPr>
          <w:rFonts w:hint="eastAsia" w:ascii="宋体" w:hAnsi="宋体"/>
          <w:color w:val="auto"/>
          <w:sz w:val="24"/>
          <w:highlight w:val="none"/>
        </w:rPr>
        <w:t>。</w:t>
      </w:r>
      <w:r>
        <w:rPr>
          <w:rFonts w:hint="eastAsia" w:ascii="宋体" w:hAnsi="宋体"/>
          <w:color w:val="auto"/>
          <w:szCs w:val="21"/>
          <w:highlight w:val="none"/>
        </w:rPr>
        <w:t>相关企业的具体情况如下：</w:t>
      </w:r>
    </w:p>
    <w:p w14:paraId="6E73BAEE">
      <w:pPr>
        <w:snapToGrid w:val="0"/>
        <w:spacing w:line="360" w:lineRule="auto"/>
        <w:ind w:firstLine="371" w:firstLineChars="177"/>
        <w:rPr>
          <w:rFonts w:ascii="宋体" w:hAnsi="宋体"/>
          <w:color w:val="auto"/>
          <w:szCs w:val="21"/>
          <w:highlight w:val="none"/>
        </w:rPr>
      </w:pPr>
      <w:r>
        <w:rPr>
          <w:rFonts w:hint="eastAsia" w:ascii="宋体" w:hAnsi="宋体"/>
          <w:color w:val="auto"/>
          <w:szCs w:val="21"/>
          <w:highlight w:val="none"/>
          <w:u w:val="single"/>
          <w:lang w:eastAsia="zh-CN"/>
        </w:rPr>
        <w:t>广东机电职业技术学院钟落潭校区教学实训楼S-3项目前期设计项目</w:t>
      </w:r>
      <w:r>
        <w:rPr>
          <w:rFonts w:ascii="宋体" w:hAnsi="宋体"/>
          <w:color w:val="auto"/>
          <w:szCs w:val="21"/>
          <w:highlight w:val="none"/>
        </w:rPr>
        <w:t>，属于</w:t>
      </w:r>
      <w:r>
        <w:rPr>
          <w:rFonts w:hint="eastAsia" w:ascii="宋体" w:hAnsi="宋体"/>
          <w:color w:val="auto"/>
          <w:szCs w:val="21"/>
          <w:highlight w:val="none"/>
          <w:u w:val="single"/>
        </w:rPr>
        <w:t>其他未列明行业</w:t>
      </w:r>
      <w:r>
        <w:rPr>
          <w:rFonts w:ascii="宋体" w:hAnsi="宋体"/>
          <w:color w:val="auto"/>
          <w:szCs w:val="21"/>
          <w:highlight w:val="none"/>
        </w:rPr>
        <w:t>；</w:t>
      </w:r>
      <w:r>
        <w:rPr>
          <w:rFonts w:hint="eastAsia" w:ascii="宋体" w:hAnsi="宋体"/>
          <w:color w:val="auto"/>
          <w:szCs w:val="21"/>
          <w:highlight w:val="none"/>
        </w:rPr>
        <w:t>承建（承接）企业为</w:t>
      </w:r>
      <w:r>
        <w:rPr>
          <w:rFonts w:ascii="宋体" w:hAnsi="宋体"/>
          <w:color w:val="auto"/>
          <w:szCs w:val="21"/>
          <w:highlight w:val="none"/>
          <w:u w:val="single"/>
        </w:rPr>
        <w:t xml:space="preserve">   （企业名称）</w:t>
      </w:r>
      <w:r>
        <w:rPr>
          <w:rFonts w:ascii="宋体" w:hAnsi="宋体"/>
          <w:color w:val="auto"/>
          <w:szCs w:val="21"/>
          <w:highlight w:val="none"/>
        </w:rPr>
        <w:t>，从业人员</w:t>
      </w:r>
      <w:r>
        <w:rPr>
          <w:rFonts w:ascii="宋体" w:hAnsi="宋体"/>
          <w:color w:val="auto"/>
          <w:szCs w:val="21"/>
          <w:highlight w:val="none"/>
          <w:u w:val="single"/>
        </w:rPr>
        <w:t xml:space="preserve">     </w:t>
      </w:r>
      <w:r>
        <w:rPr>
          <w:rFonts w:ascii="宋体" w:hAnsi="宋体"/>
          <w:color w:val="auto"/>
          <w:szCs w:val="21"/>
          <w:highlight w:val="none"/>
        </w:rPr>
        <w:t>人，营业</w:t>
      </w:r>
      <w:r>
        <w:rPr>
          <w:rFonts w:hint="eastAsia" w:ascii="宋体" w:hAnsi="宋体"/>
          <w:color w:val="auto"/>
          <w:szCs w:val="21"/>
          <w:highlight w:val="none"/>
        </w:rPr>
        <w:t>收入为</w:t>
      </w:r>
      <w:r>
        <w:rPr>
          <w:rFonts w:ascii="宋体" w:hAnsi="宋体"/>
          <w:color w:val="auto"/>
          <w:szCs w:val="21"/>
          <w:highlight w:val="none"/>
          <w:u w:val="single"/>
        </w:rPr>
        <w:t xml:space="preserve">     </w:t>
      </w:r>
      <w:r>
        <w:rPr>
          <w:rFonts w:ascii="宋体" w:hAnsi="宋体"/>
          <w:color w:val="auto"/>
          <w:szCs w:val="21"/>
          <w:highlight w:val="none"/>
        </w:rPr>
        <w:t>万元，资产总额为</w:t>
      </w:r>
      <w:r>
        <w:rPr>
          <w:rFonts w:ascii="宋体" w:hAnsi="宋体"/>
          <w:color w:val="auto"/>
          <w:szCs w:val="21"/>
          <w:highlight w:val="none"/>
          <w:u w:val="single"/>
        </w:rPr>
        <w:t xml:space="preserve">     </w:t>
      </w:r>
      <w:r>
        <w:rPr>
          <w:rFonts w:ascii="宋体" w:hAnsi="宋体"/>
          <w:color w:val="auto"/>
          <w:szCs w:val="21"/>
          <w:highlight w:val="none"/>
        </w:rPr>
        <w:t>万元，属于</w:t>
      </w:r>
      <w:r>
        <w:rPr>
          <w:rFonts w:ascii="宋体" w:hAnsi="宋体"/>
          <w:color w:val="auto"/>
          <w:szCs w:val="21"/>
          <w:highlight w:val="none"/>
          <w:u w:val="single"/>
        </w:rPr>
        <w:t>（中型企业、</w:t>
      </w:r>
      <w:r>
        <w:rPr>
          <w:rFonts w:hint="eastAsia" w:ascii="宋体" w:hAnsi="宋体"/>
          <w:color w:val="auto"/>
          <w:szCs w:val="21"/>
          <w:highlight w:val="none"/>
          <w:u w:val="single"/>
        </w:rPr>
        <w:t>小型企业、微型企业）</w:t>
      </w:r>
      <w:r>
        <w:rPr>
          <w:rFonts w:ascii="宋体" w:hAnsi="宋体"/>
          <w:color w:val="auto"/>
          <w:szCs w:val="21"/>
          <w:highlight w:val="none"/>
        </w:rPr>
        <w:t>；</w:t>
      </w:r>
    </w:p>
    <w:p w14:paraId="6E061EE2">
      <w:pPr>
        <w:pStyle w:val="19"/>
        <w:ind w:firstLine="480"/>
        <w:rPr>
          <w:color w:val="auto"/>
          <w:sz w:val="21"/>
          <w:szCs w:val="21"/>
          <w:highlight w:val="none"/>
          <w:lang w:eastAsia="zh-CN"/>
        </w:rPr>
      </w:pPr>
      <w:r>
        <w:rPr>
          <w:color w:val="auto"/>
          <w:sz w:val="21"/>
          <w:szCs w:val="21"/>
          <w:highlight w:val="none"/>
        </w:rPr>
        <w:t>……</w:t>
      </w:r>
    </w:p>
    <w:p w14:paraId="646494E6">
      <w:pPr>
        <w:snapToGrid w:val="0"/>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4E010D64">
      <w:pPr>
        <w:snapToGrid w:val="0"/>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14:paraId="53CF72B1">
      <w:pPr>
        <w:snapToGrid w:val="0"/>
        <w:spacing w:line="360" w:lineRule="auto"/>
        <w:ind w:left="4536" w:leftChars="2160"/>
        <w:rPr>
          <w:rFonts w:ascii="宋体" w:hAnsi="宋体"/>
          <w:color w:val="auto"/>
          <w:szCs w:val="21"/>
          <w:highlight w:val="none"/>
        </w:rPr>
      </w:pPr>
      <w:r>
        <w:rPr>
          <w:rFonts w:hint="eastAsia" w:ascii="宋体" w:hAnsi="宋体"/>
          <w:color w:val="auto"/>
          <w:szCs w:val="21"/>
          <w:highlight w:val="none"/>
        </w:rPr>
        <w:t>企业名称：</w:t>
      </w:r>
    </w:p>
    <w:p w14:paraId="45AD1FAB">
      <w:pPr>
        <w:snapToGrid w:val="0"/>
        <w:spacing w:line="360" w:lineRule="auto"/>
        <w:ind w:left="4536" w:leftChars="2160"/>
        <w:rPr>
          <w:rFonts w:ascii="宋体" w:hAnsi="宋体"/>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期：     年   月   日</w:t>
      </w:r>
    </w:p>
    <w:p w14:paraId="7318DB9F">
      <w:pPr>
        <w:snapToGrid w:val="0"/>
        <w:spacing w:line="360" w:lineRule="auto"/>
        <w:rPr>
          <w:rFonts w:ascii="宋体" w:hAnsi="宋体"/>
          <w:color w:val="auto"/>
          <w:szCs w:val="21"/>
          <w:highlight w:val="none"/>
        </w:rPr>
      </w:pPr>
      <w:r>
        <w:rPr>
          <w:rFonts w:hint="eastAsia" w:ascii="宋体" w:hAnsi="宋体"/>
          <w:color w:val="auto"/>
          <w:szCs w:val="21"/>
          <w:highlight w:val="none"/>
        </w:rPr>
        <w:t>备注：</w:t>
      </w:r>
    </w:p>
    <w:p w14:paraId="6EF791B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1、从业人员、营业收入、资产总额填报上一年度数据，无上一年度数据的新成立企业可不填报。</w:t>
      </w:r>
    </w:p>
    <w:p w14:paraId="6E3545C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2、《中小企业声明函》（如有）适用于小微企业参加招投标活动的。投标人应当自行核实是否属于小微企业，并认真填写，若有虚假将追究其责任。</w:t>
      </w:r>
    </w:p>
    <w:p w14:paraId="13F4D50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3、需按照本项目对应行业出具《中小企业声明函》，而非按照供应商的经营范围出具。</w:t>
      </w:r>
    </w:p>
    <w:p w14:paraId="2EAE7A44">
      <w:pPr>
        <w:pStyle w:val="20"/>
        <w:keepNext w:val="0"/>
        <w:keepLines w:val="0"/>
        <w:pageBreakBefore w:val="0"/>
        <w:widowControl w:val="0"/>
        <w:kinsoku/>
        <w:wordWrap/>
        <w:overflowPunct/>
        <w:topLinePunct w:val="0"/>
        <w:bidi w:val="0"/>
        <w:snapToGrid/>
        <w:ind w:firstLine="0" w:firstLineChars="0"/>
        <w:textAlignment w:val="auto"/>
        <w:rPr>
          <w:rFonts w:hint="eastAsia" w:ascii="Times New Roman" w:hAnsi="Times New Roman" w:eastAsia="Calibri" w:cs="Times New Roman"/>
          <w:color w:val="auto"/>
          <w:sz w:val="22"/>
          <w:szCs w:val="22"/>
          <w:highlight w:val="none"/>
          <w:lang w:val="zh-CN" w:eastAsia="zh-CN"/>
        </w:rPr>
      </w:pPr>
      <w:r>
        <w:rPr>
          <w:rFonts w:hint="eastAsia" w:ascii="宋体" w:hAnsi="宋体"/>
          <w:color w:val="auto"/>
          <w:szCs w:val="21"/>
          <w:highlight w:val="none"/>
        </w:rPr>
        <w:t>4、如为中小企业，此声明函必须提供且内容不得擅自删改，否则评审时将不予认定。</w:t>
      </w:r>
      <w:r>
        <w:rPr>
          <w:rFonts w:hint="eastAsia" w:ascii="仿宋" w:hAnsi="仿宋" w:eastAsia="仿宋" w:cs="宋体"/>
          <w:color w:val="3C3C3C"/>
          <w:kern w:val="0"/>
          <w:sz w:val="28"/>
          <w:szCs w:val="28"/>
          <w:lang w:val="en-US" w:eastAsia="zh-CN"/>
        </w:rPr>
        <w:br w:type="page"/>
      </w:r>
      <w:r>
        <w:rPr>
          <w:rFonts w:hint="eastAsia" w:ascii="仿宋" w:hAnsi="仿宋" w:eastAsia="仿宋" w:cs="宋体"/>
          <w:color w:val="3C3C3C"/>
          <w:kern w:val="0"/>
          <w:sz w:val="28"/>
          <w:szCs w:val="28"/>
          <w:lang w:val="en-US" w:eastAsia="zh-CN"/>
        </w:rPr>
        <w:t>附件八：《残疾人福利性单位声明函》（如有）</w:t>
      </w:r>
      <w:bookmarkEnd w:id="0"/>
      <w:bookmarkEnd w:id="1"/>
      <w:bookmarkEnd w:id="2"/>
      <w:bookmarkEnd w:id="3"/>
      <w:bookmarkEnd w:id="4"/>
      <w:bookmarkEnd w:id="5"/>
      <w:bookmarkEnd w:id="6"/>
    </w:p>
    <w:p w14:paraId="7A00656F">
      <w:pPr>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残疾人福利性单位声明函</w:t>
      </w:r>
    </w:p>
    <w:p w14:paraId="28274EC8">
      <w:pPr>
        <w:rPr>
          <w:rFonts w:hint="eastAsia"/>
          <w:color w:val="auto"/>
          <w:szCs w:val="21"/>
          <w:highlight w:val="none"/>
        </w:rPr>
      </w:pPr>
    </w:p>
    <w:p w14:paraId="232AD599">
      <w:pPr>
        <w:snapToGrid w:val="0"/>
        <w:spacing w:line="360" w:lineRule="auto"/>
        <w:ind w:firstLine="371" w:firstLineChars="177"/>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（招标人）   </w:t>
      </w:r>
    </w:p>
    <w:p w14:paraId="5DB68AA8">
      <w:pPr>
        <w:snapToGrid w:val="0"/>
        <w:spacing w:line="360" w:lineRule="auto"/>
        <w:ind w:firstLine="371" w:firstLineChars="177"/>
        <w:rPr>
          <w:rFonts w:hint="eastAsia" w:ascii="宋体" w:hAnsi="宋体"/>
          <w:color w:val="auto"/>
          <w:szCs w:val="21"/>
          <w:highlight w:val="none"/>
        </w:rPr>
      </w:pPr>
      <w:r>
        <w:rPr>
          <w:rFonts w:hint="eastAsia" w:ascii="宋体" w:hAnsi="宋体"/>
          <w:color w:val="auto"/>
          <w:szCs w:val="21"/>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ascii="宋体" w:hAnsi="宋体"/>
          <w:color w:val="auto"/>
          <w:szCs w:val="21"/>
          <w:highlight w:val="none"/>
          <w:u w:val="single"/>
        </w:rPr>
        <w:t xml:space="preserve"> （招标人）    </w:t>
      </w:r>
      <w:r>
        <w:rPr>
          <w:rFonts w:hint="eastAsia" w:ascii="宋体" w:hAnsi="宋体"/>
          <w:color w:val="auto"/>
          <w:szCs w:val="21"/>
          <w:highlight w:val="none"/>
        </w:rPr>
        <w:t>单位的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项目招标活动，由本单位</w:t>
      </w:r>
      <w:r>
        <w:rPr>
          <w:rFonts w:ascii="宋体" w:hAnsi="宋体"/>
          <w:color w:val="auto"/>
          <w:szCs w:val="21"/>
          <w:highlight w:val="none"/>
          <w:u w:val="single"/>
        </w:rPr>
        <w:t>提供服务</w:t>
      </w:r>
      <w:r>
        <w:rPr>
          <w:rFonts w:hint="eastAsia" w:ascii="宋体" w:hAnsi="宋体"/>
          <w:color w:val="auto"/>
          <w:szCs w:val="21"/>
          <w:highlight w:val="none"/>
        </w:rPr>
        <w:t>。</w:t>
      </w:r>
    </w:p>
    <w:p w14:paraId="115E9E95">
      <w:pPr>
        <w:snapToGrid w:val="0"/>
        <w:spacing w:line="360" w:lineRule="auto"/>
        <w:ind w:firstLine="371" w:firstLineChars="177"/>
        <w:rPr>
          <w:rFonts w:hint="eastAsia"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46CCC3B9">
      <w:pPr>
        <w:snapToGrid w:val="0"/>
        <w:spacing w:line="360" w:lineRule="auto"/>
        <w:ind w:firstLine="371" w:firstLineChars="177"/>
        <w:rPr>
          <w:rFonts w:hint="eastAsia" w:ascii="宋体" w:hAnsi="宋体"/>
          <w:color w:val="auto"/>
          <w:szCs w:val="21"/>
          <w:highlight w:val="none"/>
        </w:rPr>
      </w:pPr>
    </w:p>
    <w:p w14:paraId="08F8DEAE">
      <w:pPr>
        <w:snapToGrid w:val="0"/>
        <w:spacing w:line="360" w:lineRule="auto"/>
        <w:ind w:firstLine="371" w:firstLineChars="177"/>
        <w:rPr>
          <w:rFonts w:hint="eastAsia" w:ascii="宋体" w:hAnsi="宋体"/>
          <w:color w:val="auto"/>
          <w:szCs w:val="21"/>
          <w:highlight w:val="none"/>
        </w:rPr>
      </w:pPr>
    </w:p>
    <w:p w14:paraId="12E84242">
      <w:pPr>
        <w:snapToGrid w:val="0"/>
        <w:spacing w:line="360" w:lineRule="auto"/>
        <w:ind w:firstLine="371" w:firstLineChars="177"/>
        <w:rPr>
          <w:rFonts w:hint="eastAsia" w:ascii="宋体" w:hAnsi="宋体"/>
          <w:color w:val="auto"/>
          <w:szCs w:val="21"/>
          <w:highlight w:val="none"/>
        </w:rPr>
      </w:pPr>
      <w:r>
        <w:rPr>
          <w:rFonts w:hint="eastAsia" w:ascii="宋体" w:hAnsi="宋体"/>
          <w:color w:val="auto"/>
          <w:szCs w:val="21"/>
          <w:highlight w:val="none"/>
        </w:rPr>
        <w:t xml:space="preserve">                               投标人名称：</w:t>
      </w:r>
    </w:p>
    <w:p w14:paraId="435A8BDA">
      <w:pPr>
        <w:wordWrap w:val="0"/>
        <w:snapToGrid w:val="0"/>
        <w:spacing w:line="360" w:lineRule="auto"/>
        <w:ind w:firstLine="371" w:firstLineChars="177"/>
        <w:jc w:val="right"/>
        <w:rPr>
          <w:rFonts w:hint="default" w:ascii="宋体" w:hAnsi="宋体" w:eastAsia="宋体"/>
          <w:color w:val="auto"/>
          <w:szCs w:val="21"/>
          <w:highlight w:val="none"/>
          <w:lang w:val="en-US" w:eastAsia="zh-CN"/>
        </w:rPr>
      </w:pPr>
      <w:r>
        <w:rPr>
          <w:rFonts w:hint="eastAsia" w:ascii="宋体" w:hAnsi="宋体"/>
          <w:color w:val="auto"/>
          <w:szCs w:val="21"/>
          <w:highlight w:val="none"/>
        </w:rPr>
        <w:t>日  期：</w:t>
      </w:r>
      <w:r>
        <w:rPr>
          <w:rFonts w:ascii="宋体" w:hAnsi="宋体"/>
          <w:color w:val="auto"/>
          <w:szCs w:val="21"/>
          <w:highlight w:val="none"/>
        </w:rPr>
        <w:t xml:space="preserve">     年   月   日</w:t>
      </w:r>
      <w:r>
        <w:rPr>
          <w:rFonts w:hint="eastAsia" w:ascii="宋体" w:hAnsi="宋体"/>
          <w:color w:val="auto"/>
          <w:szCs w:val="21"/>
          <w:highlight w:val="none"/>
          <w:lang w:val="en-US" w:eastAsia="zh-CN"/>
        </w:rPr>
        <w:t xml:space="preserve">                </w:t>
      </w:r>
    </w:p>
    <w:p w14:paraId="2EC491A7">
      <w:pPr>
        <w:snapToGrid w:val="0"/>
        <w:spacing w:line="360" w:lineRule="auto"/>
        <w:ind w:firstLine="371" w:firstLineChars="177"/>
        <w:rPr>
          <w:rFonts w:hint="eastAsia" w:ascii="宋体" w:hAnsi="宋体"/>
          <w:color w:val="auto"/>
          <w:szCs w:val="21"/>
          <w:highlight w:val="none"/>
        </w:rPr>
      </w:pPr>
    </w:p>
    <w:p w14:paraId="7FC1013B">
      <w:pPr>
        <w:snapToGrid w:val="0"/>
        <w:spacing w:line="360" w:lineRule="auto"/>
        <w:ind w:firstLine="371" w:firstLineChars="177"/>
        <w:rPr>
          <w:rFonts w:hint="eastAsia" w:ascii="宋体" w:hAnsi="宋体"/>
          <w:color w:val="auto"/>
          <w:szCs w:val="21"/>
          <w:highlight w:val="none"/>
        </w:rPr>
      </w:pPr>
      <w:r>
        <w:rPr>
          <w:rFonts w:hint="eastAsia" w:ascii="宋体" w:hAnsi="宋体"/>
          <w:color w:val="auto"/>
          <w:szCs w:val="21"/>
          <w:highlight w:val="none"/>
        </w:rPr>
        <w:t>注：1、残疾人福利性单位声明函（如有）适用于残疾人福利性单位参加招投标活动的。本函未填写的视作未做声明。如不适用，本格式不需要提供。</w:t>
      </w:r>
    </w:p>
    <w:p w14:paraId="22B92DEE">
      <w:pPr>
        <w:keepNext w:val="0"/>
        <w:keepLines w:val="0"/>
        <w:pageBreakBefore w:val="0"/>
        <w:shd w:val="clear" w:color="auto" w:fill="FFFFFF"/>
        <w:kinsoku/>
        <w:wordWrap/>
        <w:overflowPunct/>
        <w:topLinePunct w:val="0"/>
        <w:autoSpaceDE/>
        <w:autoSpaceDN/>
        <w:bidi w:val="0"/>
        <w:adjustRightInd/>
        <w:snapToGrid/>
        <w:spacing w:line="360" w:lineRule="auto"/>
        <w:ind w:left="0" w:leftChars="0" w:right="-164" w:rightChars="-78" w:firstLine="0" w:firstLineChars="0"/>
        <w:textAlignment w:val="auto"/>
        <w:rPr>
          <w:rFonts w:hint="eastAsia" w:ascii="宋体" w:hAnsi="宋体" w:eastAsia="宋体" w:cs="宋体"/>
          <w:b/>
          <w:bCs/>
          <w:color w:val="auto"/>
          <w:kern w:val="2"/>
          <w:sz w:val="32"/>
          <w:szCs w:val="32"/>
          <w:highlight w:val="none"/>
          <w:lang w:val="en-US" w:eastAsia="zh-CN"/>
        </w:rPr>
      </w:pPr>
      <w:r>
        <w:rPr>
          <w:rFonts w:hint="eastAsia" w:ascii="宋体" w:hAnsi="宋体"/>
          <w:color w:val="auto"/>
          <w:szCs w:val="21"/>
          <w:highlight w:val="none"/>
        </w:rPr>
        <w:t>2、残疾人福利性单位视同小微企业，无需再提供《中小企业声明函》。</w:t>
      </w:r>
    </w:p>
    <w:p w14:paraId="2DB27C0D">
      <w:pPr>
        <w:rPr>
          <w:rFonts w:ascii="仿宋" w:hAnsi="仿宋" w:eastAsia="仿宋" w:cs="宋体"/>
          <w:color w:val="3C3C3C"/>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Times New Roman"/>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ExtG"/>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SimSun-ExtG">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E7ECE">
    <w:pPr>
      <w:pStyle w:val="5"/>
      <w:jc w:val="center"/>
    </w:pPr>
    <w:r>
      <w:fldChar w:fldCharType="begin"/>
    </w:r>
    <w:r>
      <w:instrText xml:space="preserve"> PAGE   \* MERGEFORMAT </w:instrText>
    </w:r>
    <w:r>
      <w:fldChar w:fldCharType="separate"/>
    </w:r>
    <w:r>
      <w:rPr>
        <w:lang w:val="zh-CN"/>
      </w:rPr>
      <w:t>9</w:t>
    </w:r>
    <w:r>
      <w:fldChar w:fldCharType="end"/>
    </w:r>
  </w:p>
  <w:p w14:paraId="2F186B58">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F7BFE"/>
    <w:multiLevelType w:val="singleLevel"/>
    <w:tmpl w:val="AE7F7BFE"/>
    <w:lvl w:ilvl="0" w:tentative="0">
      <w:start w:val="2"/>
      <w:numFmt w:val="chineseCounting"/>
      <w:suff w:val="nothing"/>
      <w:lvlText w:val="%1、"/>
      <w:lvlJc w:val="left"/>
      <w:rPr>
        <w:rFonts w:hint="eastAsia"/>
      </w:rPr>
    </w:lvl>
  </w:abstractNum>
  <w:abstractNum w:abstractNumId="1">
    <w:nsid w:val="B71F2C7D"/>
    <w:multiLevelType w:val="singleLevel"/>
    <w:tmpl w:val="B71F2C7D"/>
    <w:lvl w:ilvl="0" w:tentative="0">
      <w:start w:val="1"/>
      <w:numFmt w:val="decimal"/>
      <w:suff w:val="nothing"/>
      <w:lvlText w:val="%1．"/>
      <w:lvlJc w:val="left"/>
      <w:pPr>
        <w:ind w:left="0" w:firstLine="400"/>
      </w:pPr>
      <w:rPr>
        <w:rFonts w:hint="default"/>
      </w:rPr>
    </w:lvl>
  </w:abstractNum>
  <w:abstractNum w:abstractNumId="2">
    <w:nsid w:val="CF10AC35"/>
    <w:multiLevelType w:val="singleLevel"/>
    <w:tmpl w:val="CF10AC3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E029E"/>
    <w:rsid w:val="0CAC51AC"/>
    <w:rsid w:val="154A119F"/>
    <w:rsid w:val="38CC3AF8"/>
    <w:rsid w:val="508758F7"/>
    <w:rsid w:val="6A1B1743"/>
    <w:rsid w:val="6B9C43E1"/>
    <w:rsid w:val="6C236C77"/>
    <w:rsid w:val="716E029E"/>
    <w:rsid w:val="725C581D"/>
    <w:rsid w:val="74EE6B37"/>
    <w:rsid w:val="771068A1"/>
    <w:rsid w:val="7BF1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Indent"/>
    <w:basedOn w:val="1"/>
    <w:next w:val="1"/>
    <w:qFormat/>
    <w:uiPriority w:val="0"/>
    <w:pPr>
      <w:ind w:firstLine="420"/>
    </w:pPr>
    <w:rPr>
      <w:rFonts w:ascii="Times New Roman" w:hAnsi="Times New Roman"/>
      <w:szCs w:val="20"/>
    </w:rPr>
  </w:style>
  <w:style w:type="paragraph" w:styleId="4">
    <w:name w:val="Body Text"/>
    <w:basedOn w:val="1"/>
    <w:next w:val="1"/>
    <w:unhideWhenUsed/>
    <w:qFormat/>
    <w:uiPriority w:val="0"/>
    <w:pPr>
      <w:spacing w:after="120"/>
    </w:pPr>
  </w:style>
  <w:style w:type="paragraph" w:styleId="5">
    <w:name w:val="footer"/>
    <w:basedOn w:val="1"/>
    <w:unhideWhenUsed/>
    <w:uiPriority w:val="99"/>
    <w:pPr>
      <w:tabs>
        <w:tab w:val="center" w:pos="4153"/>
        <w:tab w:val="right" w:pos="8306"/>
      </w:tabs>
      <w:snapToGrid w:val="0"/>
      <w:jc w:val="left"/>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qFormat/>
    <w:uiPriority w:val="0"/>
    <w:pPr>
      <w:spacing w:before="240" w:after="60"/>
      <w:jc w:val="center"/>
      <w:outlineLvl w:val="0"/>
    </w:pPr>
    <w:rPr>
      <w:rFonts w:ascii="Cambria" w:hAnsi="Cambria" w:eastAsia="宋体"/>
      <w:b/>
      <w:bCs/>
      <w:sz w:val="32"/>
      <w:szCs w:val="32"/>
    </w:rPr>
  </w:style>
  <w:style w:type="paragraph" w:styleId="8">
    <w:name w:val="Body Text First Indent"/>
    <w:basedOn w:val="4"/>
    <w:unhideWhenUsed/>
    <w:qFormat/>
    <w:uiPriority w:val="99"/>
    <w:pPr>
      <w:ind w:firstLine="420" w:firstLineChars="100"/>
    </w:p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basedOn w:val="12"/>
    <w:qFormat/>
    <w:uiPriority w:val="0"/>
    <w:pPr>
      <w:ind w:left="4094" w:right="607" w:firstLine="0"/>
      <w:jc w:val="center"/>
    </w:pPr>
  </w:style>
  <w:style w:type="paragraph" w:customStyle="1" w:styleId="14">
    <w:name w:val="文一"/>
    <w:basedOn w:val="1"/>
    <w:qFormat/>
    <w:uiPriority w:val="0"/>
    <w:pPr>
      <w:topLinePunct/>
      <w:adjustRightInd w:val="0"/>
      <w:snapToGrid w:val="0"/>
      <w:spacing w:line="360" w:lineRule="auto"/>
      <w:ind w:firstLine="200" w:firstLineChars="200"/>
    </w:pPr>
    <w:rPr>
      <w:rFonts w:ascii="等线" w:hAnsi="等线" w:eastAsia="等线" w:cs="Times New Roman"/>
      <w:spacing w:val="4"/>
      <w:sz w:val="24"/>
    </w:rPr>
  </w:style>
  <w:style w:type="paragraph" w:customStyle="1" w:styleId="15">
    <w:name w:val="封二"/>
    <w:basedOn w:val="14"/>
    <w:next w:val="14"/>
    <w:qFormat/>
    <w:uiPriority w:val="0"/>
    <w:pPr>
      <w:ind w:firstLine="0" w:firstLineChars="0"/>
      <w:jc w:val="center"/>
    </w:pPr>
    <w:rPr>
      <w:rFonts w:ascii="等线" w:hAnsi="等线" w:eastAsia="黑体"/>
      <w:b/>
      <w:snapToGrid w:val="0"/>
      <w:sz w:val="36"/>
      <w:szCs w:val="36"/>
    </w:rPr>
  </w:style>
  <w:style w:type="paragraph" w:customStyle="1" w:styleId="16">
    <w:name w:val="封一"/>
    <w:basedOn w:val="14"/>
    <w:next w:val="14"/>
    <w:qFormat/>
    <w:uiPriority w:val="0"/>
    <w:pPr>
      <w:ind w:firstLine="0" w:firstLineChars="0"/>
      <w:jc w:val="center"/>
    </w:pPr>
    <w:rPr>
      <w:rFonts w:ascii="等线" w:hAnsi="等线" w:eastAsia="黑体"/>
      <w:b/>
      <w:snapToGrid w:val="0"/>
      <w:sz w:val="84"/>
      <w:szCs w:val="84"/>
    </w:rPr>
  </w:style>
  <w:style w:type="paragraph" w:customStyle="1" w:styleId="17">
    <w:name w:val="封四"/>
    <w:basedOn w:val="14"/>
    <w:next w:val="14"/>
    <w:qFormat/>
    <w:uiPriority w:val="0"/>
    <w:pPr>
      <w:jc w:val="left"/>
    </w:pPr>
    <w:rPr>
      <w:rFonts w:ascii="等线" w:hAnsi="等线" w:eastAsia="等线"/>
      <w:snapToGrid w:val="0"/>
      <w:sz w:val="30"/>
      <w:szCs w:val="30"/>
    </w:rPr>
  </w:style>
  <w:style w:type="paragraph" w:customStyle="1" w:styleId="18">
    <w:name w:val="Table Paragraph"/>
    <w:basedOn w:val="1"/>
    <w:next w:val="6"/>
    <w:qFormat/>
    <w:uiPriority w:val="0"/>
    <w:pPr>
      <w:autoSpaceDE w:val="0"/>
      <w:autoSpaceDN w:val="0"/>
      <w:adjustRightInd w:val="0"/>
      <w:jc w:val="left"/>
    </w:pPr>
    <w:rPr>
      <w:kern w:val="0"/>
      <w:sz w:val="24"/>
    </w:rPr>
  </w:style>
  <w:style w:type="paragraph" w:customStyle="1" w:styleId="19">
    <w:name w:val="null3"/>
    <w:qFormat/>
    <w:uiPriority w:val="0"/>
    <w:rPr>
      <w:rFonts w:ascii="Calibri" w:hAnsi="Calibri" w:eastAsia="宋体" w:cs="Times New Roman"/>
      <w:lang w:val="en-US" w:eastAsia="zh-Hans" w:bidi="ar-SA"/>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正文缩进2格"/>
    <w:basedOn w:val="1"/>
    <w:qFormat/>
    <w:uiPriority w:val="0"/>
    <w:pPr>
      <w:spacing w:line="600" w:lineRule="exact"/>
      <w:ind w:firstLine="639" w:firstLineChars="206"/>
    </w:pPr>
    <w:rPr>
      <w:rFonts w:ascii="仿宋_GB2312" w:hAnsi="宋体" w:eastAsia="仿宋_GB2312" w:cs="宋体"/>
      <w:kern w:val="0"/>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3935</Words>
  <Characters>4049</Characters>
  <Lines>0</Lines>
  <Paragraphs>0</Paragraphs>
  <TotalTime>4</TotalTime>
  <ScaleCrop>false</ScaleCrop>
  <LinksUpToDate>false</LinksUpToDate>
  <CharactersWithSpaces>4077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2025-11-18T03:04:00Z</dcterms:created>
  <dc:creator>Aaron</dc:creator>
  <cp:lastModifiedBy>ye</cp:lastModifiedBy>
  <dcterms:modified xsi:type="dcterms:W3CDTF">2025-11-20T08:41:11Z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C97CE98B2D4D4FDC81BFBA81A79B6397_11</vt:lpwstr>
  </property>
  <property fmtid="{D5CDD505-2E9C-101B-9397-08002B2CF9AE}" pid="4" name="KSOTemplateDocerSaveRecord">
    <vt:lpwstr>eyJoZGlkIjoiYzY3MGUwNGM1NDlmMDg1ZjI5ZWU2OTBkYmJjYzg2MmUiLCJ1c2VySWQiOiI0MTE1MDA0NTAifQ==</vt:lpwstr>
  </property>
</Properties>
</file>