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21079E">
      <w:pPr>
        <w:spacing w:line="360" w:lineRule="exact"/>
        <w:jc w:val="center"/>
        <w:rPr>
          <w:rFonts w:ascii="微软雅黑" w:hAnsi="微软雅黑" w:eastAsia="微软雅黑" w:cs="方正小标宋简体"/>
          <w:b/>
          <w:bCs/>
          <w:color w:val="000000" w:themeColor="text1"/>
          <w:sz w:val="24"/>
          <w14:textFill>
            <w14:solidFill>
              <w14:schemeClr w14:val="tx1"/>
            </w14:solidFill>
          </w14:textFill>
        </w:rPr>
      </w:pPr>
      <w:bookmarkStart w:id="2" w:name="_GoBack"/>
      <w:bookmarkEnd w:id="2"/>
      <w:r>
        <w:rPr>
          <w:rFonts w:hint="eastAsia" w:ascii="微软雅黑" w:hAnsi="微软雅黑" w:eastAsia="微软雅黑" w:cs="方正小标宋简体"/>
          <w:b/>
          <w:bCs/>
          <w:color w:val="000000" w:themeColor="text1"/>
          <w:sz w:val="24"/>
          <w14:textFill>
            <w14:solidFill>
              <w14:schemeClr w14:val="tx1"/>
            </w14:solidFill>
          </w14:textFill>
        </w:rPr>
        <w:t>附件</w:t>
      </w:r>
      <w:r>
        <w:rPr>
          <w:rFonts w:hint="eastAsia" w:ascii="微软雅黑" w:hAnsi="微软雅黑" w:eastAsia="微软雅黑" w:cs="方正小标宋简体"/>
          <w:b/>
          <w:bCs/>
          <w:color w:val="000000" w:themeColor="text1"/>
          <w:sz w:val="24"/>
          <w:lang w:val="en-US" w:eastAsia="zh-CN"/>
          <w14:textFill>
            <w14:solidFill>
              <w14:schemeClr w14:val="tx1"/>
            </w14:solidFill>
          </w14:textFill>
        </w:rPr>
        <w:t>五</w:t>
      </w:r>
      <w:r>
        <w:rPr>
          <w:rFonts w:hint="eastAsia" w:ascii="微软雅黑" w:hAnsi="微软雅黑" w:eastAsia="微软雅黑" w:cs="方正小标宋简体"/>
          <w:b/>
          <w:bCs/>
          <w:color w:val="000000" w:themeColor="text1"/>
          <w:sz w:val="24"/>
          <w14:textFill>
            <w14:solidFill>
              <w14:schemeClr w14:val="tx1"/>
            </w14:solidFill>
          </w14:textFill>
        </w:rPr>
        <w:t>：项目筹开管控机制及管理办法</w:t>
      </w:r>
    </w:p>
    <w:p w14:paraId="765CF64D">
      <w:pPr>
        <w:spacing w:line="360" w:lineRule="exact"/>
        <w:ind w:firstLine="420" w:firstLineChars="200"/>
        <w:rPr>
          <w:rFonts w:ascii="微软雅黑" w:hAnsi="微软雅黑" w:eastAsia="微软雅黑"/>
          <w:color w:val="000000" w:themeColor="text1"/>
          <w:szCs w:val="21"/>
          <w14:textFill>
            <w14:solidFill>
              <w14:schemeClr w14:val="tx1"/>
            </w14:solidFill>
          </w14:textFill>
        </w:rPr>
      </w:pPr>
    </w:p>
    <w:p w14:paraId="396B25D0">
      <w:pPr>
        <w:pStyle w:val="9"/>
        <w:numPr>
          <w:ilvl w:val="0"/>
          <w:numId w:val="1"/>
        </w:numPr>
        <w:spacing w:line="360" w:lineRule="exact"/>
        <w:ind w:firstLineChars="0"/>
        <w:jc w:val="left"/>
        <w:rPr>
          <w:rFonts w:ascii="微软雅黑" w:hAnsi="微软雅黑" w:eastAsia="微软雅黑"/>
          <w:b/>
          <w:bCs/>
          <w:color w:val="000000" w:themeColor="text1"/>
          <w:szCs w:val="21"/>
          <w14:textFill>
            <w14:solidFill>
              <w14:schemeClr w14:val="tx1"/>
            </w14:solidFill>
          </w14:textFill>
        </w:rPr>
      </w:pPr>
      <w:r>
        <w:rPr>
          <w:rFonts w:hint="eastAsia" w:ascii="微软雅黑" w:hAnsi="微软雅黑" w:eastAsia="微软雅黑"/>
          <w:b/>
          <w:bCs/>
          <w:color w:val="000000" w:themeColor="text1"/>
          <w:szCs w:val="21"/>
          <w14:textFill>
            <w14:solidFill>
              <w14:schemeClr w14:val="tx1"/>
            </w14:solidFill>
          </w14:textFill>
        </w:rPr>
        <w:t>目标</w:t>
      </w:r>
    </w:p>
    <w:p w14:paraId="10748177">
      <w:pPr>
        <w:spacing w:line="360" w:lineRule="exact"/>
        <w:ind w:firstLine="420" w:firstLineChars="200"/>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本办法旨在</w:t>
      </w:r>
      <w:r>
        <w:rPr>
          <w:rFonts w:ascii="微软雅黑" w:hAnsi="微软雅黑" w:eastAsia="微软雅黑"/>
          <w:color w:val="000000" w:themeColor="text1"/>
          <w:szCs w:val="21"/>
          <w14:textFill>
            <w14:solidFill>
              <w14:schemeClr w14:val="tx1"/>
            </w14:solidFill>
          </w14:textFill>
        </w:rPr>
        <w:t>在项目筹开前期的工程交付工作中，</w:t>
      </w:r>
      <w:r>
        <w:rPr>
          <w:rFonts w:hint="eastAsia" w:ascii="微软雅黑" w:hAnsi="微软雅黑" w:eastAsia="微软雅黑"/>
          <w:color w:val="000000" w:themeColor="text1"/>
          <w:szCs w:val="21"/>
          <w14:textFill>
            <w14:solidFill>
              <w14:schemeClr w14:val="tx1"/>
            </w14:solidFill>
          </w14:textFill>
        </w:rPr>
        <w:t>甲乙双方</w:t>
      </w:r>
      <w:r>
        <w:rPr>
          <w:rFonts w:ascii="微软雅黑" w:hAnsi="微软雅黑" w:eastAsia="微软雅黑"/>
          <w:color w:val="000000" w:themeColor="text1"/>
          <w:szCs w:val="21"/>
          <w14:textFill>
            <w14:solidFill>
              <w14:schemeClr w14:val="tx1"/>
            </w14:solidFill>
          </w14:textFill>
        </w:rPr>
        <w:t>共同完成项目交付的目标下，提供工作原则、方法、流程以及指导。</w:t>
      </w:r>
    </w:p>
    <w:p w14:paraId="1060BADC">
      <w:pPr>
        <w:pStyle w:val="2"/>
        <w:spacing w:line="360" w:lineRule="exact"/>
        <w:rPr>
          <w:rFonts w:ascii="微软雅黑" w:hAnsi="微软雅黑" w:eastAsia="微软雅黑"/>
          <w:sz w:val="21"/>
          <w:szCs w:val="21"/>
        </w:rPr>
      </w:pPr>
    </w:p>
    <w:p w14:paraId="27E61F2D">
      <w:pPr>
        <w:pStyle w:val="9"/>
        <w:numPr>
          <w:ilvl w:val="0"/>
          <w:numId w:val="1"/>
        </w:numPr>
        <w:spacing w:line="360" w:lineRule="exact"/>
        <w:ind w:firstLineChars="0"/>
        <w:jc w:val="left"/>
        <w:rPr>
          <w:rFonts w:ascii="微软雅黑" w:hAnsi="微软雅黑" w:eastAsia="微软雅黑"/>
          <w:b/>
          <w:bCs/>
          <w:color w:val="000000" w:themeColor="text1"/>
          <w:szCs w:val="21"/>
          <w14:textFill>
            <w14:solidFill>
              <w14:schemeClr w14:val="tx1"/>
            </w14:solidFill>
          </w14:textFill>
        </w:rPr>
      </w:pPr>
      <w:r>
        <w:rPr>
          <w:rFonts w:hint="eastAsia" w:ascii="微软雅黑" w:hAnsi="微软雅黑" w:eastAsia="微软雅黑"/>
          <w:b/>
          <w:bCs/>
          <w:color w:val="000000" w:themeColor="text1"/>
          <w:szCs w:val="21"/>
          <w14:textFill>
            <w14:solidFill>
              <w14:schemeClr w14:val="tx1"/>
            </w14:solidFill>
          </w14:textFill>
        </w:rPr>
        <w:t>适用范围</w:t>
      </w:r>
    </w:p>
    <w:p w14:paraId="1139DB85">
      <w:pPr>
        <w:spacing w:line="360" w:lineRule="exact"/>
        <w:ind w:firstLine="420" w:firstLineChars="200"/>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本办法适用于</w:t>
      </w:r>
      <w:r>
        <w:rPr>
          <w:rFonts w:hint="eastAsia" w:ascii="微软雅黑" w:hAnsi="微软雅黑" w:eastAsia="微软雅黑"/>
          <w:color w:val="000000" w:themeColor="text1"/>
          <w:szCs w:val="21"/>
          <w:lang w:val="en-US" w:eastAsia="zh-CN"/>
          <w14:textFill>
            <w14:solidFill>
              <w14:schemeClr w14:val="tx1"/>
            </w14:solidFill>
          </w14:textFill>
        </w:rPr>
        <w:t xml:space="preserve">    </w:t>
      </w:r>
      <w:r>
        <w:rPr>
          <w:rFonts w:ascii="微软雅黑" w:hAnsi="微软雅黑" w:eastAsia="微软雅黑"/>
          <w:color w:val="000000" w:themeColor="text1"/>
          <w:szCs w:val="21"/>
          <w14:textFill>
            <w14:solidFill>
              <w14:schemeClr w14:val="tx1"/>
            </w14:solidFill>
          </w14:textFill>
        </w:rPr>
        <w:t>空间在项目筹开前期由</w:t>
      </w:r>
      <w:r>
        <w:rPr>
          <w:rFonts w:hint="eastAsia" w:ascii="微软雅黑" w:hAnsi="微软雅黑" w:eastAsia="微软雅黑"/>
          <w:color w:val="000000" w:themeColor="text1"/>
          <w:szCs w:val="21"/>
          <w:lang w:val="en-US" w:eastAsia="zh-CN"/>
          <w14:textFill>
            <w14:solidFill>
              <w14:schemeClr w14:val="tx1"/>
            </w14:solidFill>
          </w14:textFill>
        </w:rPr>
        <w:t xml:space="preserve">     </w:t>
      </w:r>
      <w:r>
        <w:rPr>
          <w:rFonts w:ascii="微软雅黑" w:hAnsi="微软雅黑" w:eastAsia="微软雅黑"/>
          <w:color w:val="000000" w:themeColor="text1"/>
          <w:szCs w:val="21"/>
          <w14:textFill>
            <w14:solidFill>
              <w14:schemeClr w14:val="tx1"/>
            </w14:solidFill>
          </w14:textFill>
        </w:rPr>
        <w:t>和</w:t>
      </w:r>
      <w:r>
        <w:rPr>
          <w:rFonts w:hint="eastAsia" w:ascii="微软雅黑" w:hAnsi="微软雅黑" w:eastAsia="微软雅黑"/>
          <w:color w:val="000000" w:themeColor="text1"/>
          <w:szCs w:val="21"/>
          <w14:textFill>
            <w14:solidFill>
              <w14:schemeClr w14:val="tx1"/>
            </w14:solidFill>
          </w14:textFill>
        </w:rPr>
        <w:t>甲方</w:t>
      </w:r>
      <w:r>
        <w:rPr>
          <w:rFonts w:ascii="微软雅黑" w:hAnsi="微软雅黑" w:eastAsia="微软雅黑"/>
          <w:color w:val="000000" w:themeColor="text1"/>
          <w:szCs w:val="21"/>
          <w14:textFill>
            <w14:solidFill>
              <w14:schemeClr w14:val="tx1"/>
            </w14:solidFill>
          </w14:textFill>
        </w:rPr>
        <w:t>工程团队组建的工程管控小组</w:t>
      </w:r>
      <w:r>
        <w:rPr>
          <w:rFonts w:hint="eastAsia" w:ascii="微软雅黑" w:hAnsi="微软雅黑" w:eastAsia="微软雅黑"/>
          <w:color w:val="000000" w:themeColor="text1"/>
          <w:szCs w:val="21"/>
          <w14:textFill>
            <w14:solidFill>
              <w14:schemeClr w14:val="tx1"/>
            </w14:solidFill>
          </w14:textFill>
        </w:rPr>
        <w:t>。</w:t>
      </w:r>
    </w:p>
    <w:p w14:paraId="29C8E8C5">
      <w:pPr>
        <w:spacing w:line="360" w:lineRule="exact"/>
        <w:rPr>
          <w:rFonts w:ascii="微软雅黑" w:hAnsi="微软雅黑" w:eastAsia="微软雅黑"/>
          <w:color w:val="000000" w:themeColor="text1"/>
          <w:szCs w:val="21"/>
          <w14:textFill>
            <w14:solidFill>
              <w14:schemeClr w14:val="tx1"/>
            </w14:solidFill>
          </w14:textFill>
        </w:rPr>
      </w:pPr>
    </w:p>
    <w:p w14:paraId="4F0F09AE">
      <w:pPr>
        <w:pStyle w:val="9"/>
        <w:numPr>
          <w:ilvl w:val="0"/>
          <w:numId w:val="1"/>
        </w:numPr>
        <w:spacing w:line="360" w:lineRule="exact"/>
        <w:ind w:firstLineChars="0"/>
        <w:jc w:val="left"/>
        <w:rPr>
          <w:rFonts w:ascii="微软雅黑" w:hAnsi="微软雅黑" w:eastAsia="微软雅黑"/>
          <w:b/>
          <w:bCs/>
          <w:color w:val="000000" w:themeColor="text1"/>
          <w:szCs w:val="21"/>
          <w14:textFill>
            <w14:solidFill>
              <w14:schemeClr w14:val="tx1"/>
            </w14:solidFill>
          </w14:textFill>
        </w:rPr>
      </w:pPr>
      <w:r>
        <w:rPr>
          <w:rFonts w:hint="eastAsia" w:ascii="微软雅黑" w:hAnsi="微软雅黑" w:eastAsia="微软雅黑"/>
          <w:b/>
          <w:bCs/>
          <w:color w:val="000000" w:themeColor="text1"/>
          <w:szCs w:val="21"/>
          <w14:textFill>
            <w14:solidFill>
              <w14:schemeClr w14:val="tx1"/>
            </w14:solidFill>
          </w14:textFill>
        </w:rPr>
        <w:t>工作周期</w:t>
      </w:r>
    </w:p>
    <w:p w14:paraId="705CAA28">
      <w:pPr>
        <w:spacing w:line="360" w:lineRule="exact"/>
        <w:ind w:firstLine="420" w:firstLineChars="200"/>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本办法适用于本合同生效开始至项目工程完成验收。</w:t>
      </w:r>
    </w:p>
    <w:p w14:paraId="11E7FF4A">
      <w:pPr>
        <w:pStyle w:val="2"/>
        <w:spacing w:line="360" w:lineRule="exact"/>
        <w:rPr>
          <w:rFonts w:ascii="微软雅黑" w:hAnsi="微软雅黑" w:eastAsia="微软雅黑"/>
          <w:color w:val="000000" w:themeColor="text1"/>
          <w:w w:val="100"/>
          <w:kern w:val="2"/>
          <w:sz w:val="21"/>
          <w:szCs w:val="21"/>
          <w14:textFill>
            <w14:solidFill>
              <w14:schemeClr w14:val="tx1"/>
            </w14:solidFill>
          </w14:textFill>
        </w:rPr>
      </w:pPr>
    </w:p>
    <w:p w14:paraId="48C798E2">
      <w:pPr>
        <w:pStyle w:val="9"/>
        <w:numPr>
          <w:ilvl w:val="0"/>
          <w:numId w:val="1"/>
        </w:numPr>
        <w:spacing w:line="360" w:lineRule="exact"/>
        <w:ind w:firstLineChars="0"/>
        <w:jc w:val="left"/>
        <w:rPr>
          <w:rFonts w:ascii="微软雅黑" w:hAnsi="微软雅黑" w:eastAsia="微软雅黑"/>
          <w:b/>
          <w:bCs/>
          <w:color w:val="000000" w:themeColor="text1"/>
          <w:szCs w:val="21"/>
          <w14:textFill>
            <w14:solidFill>
              <w14:schemeClr w14:val="tx1"/>
            </w14:solidFill>
          </w14:textFill>
        </w:rPr>
      </w:pPr>
      <w:r>
        <w:rPr>
          <w:rFonts w:hint="eastAsia" w:ascii="微软雅黑" w:hAnsi="微软雅黑" w:eastAsia="微软雅黑"/>
          <w:b/>
          <w:bCs/>
          <w:color w:val="000000" w:themeColor="text1"/>
          <w:szCs w:val="21"/>
          <w14:textFill>
            <w14:solidFill>
              <w14:schemeClr w14:val="tx1"/>
            </w14:solidFill>
          </w14:textFill>
        </w:rPr>
        <w:t>项目管控机制</w:t>
      </w:r>
    </w:p>
    <w:p w14:paraId="2F6A4E7F">
      <w:pPr>
        <w:pStyle w:val="2"/>
        <w:numPr>
          <w:ilvl w:val="0"/>
          <w:numId w:val="2"/>
        </w:numPr>
        <w:spacing w:line="360" w:lineRule="exact"/>
        <w:rPr>
          <w:rFonts w:ascii="微软雅黑" w:hAnsi="微软雅黑" w:eastAsia="微软雅黑"/>
          <w:color w:val="000000" w:themeColor="text1"/>
          <w:w w:val="100"/>
          <w:kern w:val="2"/>
          <w:sz w:val="21"/>
          <w:szCs w:val="21"/>
          <w14:textFill>
            <w14:solidFill>
              <w14:schemeClr w14:val="tx1"/>
            </w14:solidFill>
          </w14:textFill>
        </w:rPr>
      </w:pPr>
      <w:r>
        <w:rPr>
          <w:rFonts w:hint="eastAsia" w:ascii="微软雅黑" w:hAnsi="微软雅黑" w:eastAsia="微软雅黑"/>
          <w:color w:val="000000" w:themeColor="text1"/>
          <w:w w:val="100"/>
          <w:kern w:val="2"/>
          <w:sz w:val="21"/>
          <w:szCs w:val="21"/>
          <w14:textFill>
            <w14:solidFill>
              <w14:schemeClr w14:val="tx1"/>
            </w14:solidFill>
          </w14:textFill>
        </w:rPr>
        <w:t>成立项目筹开工程管控小组</w:t>
      </w:r>
    </w:p>
    <w:p w14:paraId="0DB94C73">
      <w:pPr>
        <w:pStyle w:val="2"/>
        <w:spacing w:line="360" w:lineRule="exact"/>
        <w:ind w:firstLine="420" w:firstLineChars="200"/>
        <w:rPr>
          <w:rFonts w:ascii="微软雅黑" w:hAnsi="微软雅黑" w:eastAsia="微软雅黑"/>
          <w:color w:val="000000" w:themeColor="text1"/>
          <w:w w:val="100"/>
          <w:kern w:val="2"/>
          <w:sz w:val="21"/>
          <w:szCs w:val="21"/>
          <w14:textFill>
            <w14:solidFill>
              <w14:schemeClr w14:val="tx1"/>
            </w14:solidFill>
          </w14:textFill>
        </w:rPr>
      </w:pPr>
      <w:r>
        <w:rPr>
          <w:rFonts w:hint="eastAsia" w:ascii="微软雅黑" w:hAnsi="微软雅黑" w:eastAsia="微软雅黑"/>
          <w:color w:val="000000" w:themeColor="text1"/>
          <w:w w:val="100"/>
          <w:kern w:val="2"/>
          <w:sz w:val="21"/>
          <w:szCs w:val="21"/>
          <w14:textFill>
            <w14:solidFill>
              <w14:schemeClr w14:val="tx1"/>
            </w14:solidFill>
          </w14:textFill>
        </w:rPr>
        <w:t>在</w:t>
      </w:r>
      <w:bookmarkStart w:id="0" w:name="_Hlk99024591"/>
      <w:r>
        <w:rPr>
          <w:rFonts w:hint="eastAsia" w:ascii="微软雅黑" w:hAnsi="微软雅黑" w:eastAsia="微软雅黑"/>
          <w:color w:val="000000" w:themeColor="text1"/>
          <w:w w:val="100"/>
          <w:kern w:val="2"/>
          <w:sz w:val="21"/>
          <w:szCs w:val="21"/>
          <w14:textFill>
            <w14:solidFill>
              <w14:schemeClr w14:val="tx1"/>
            </w14:solidFill>
          </w14:textFill>
        </w:rPr>
        <w:t>本合同生效</w:t>
      </w:r>
      <w:bookmarkEnd w:id="0"/>
      <w:r>
        <w:rPr>
          <w:rFonts w:hint="eastAsia" w:ascii="微软雅黑" w:hAnsi="微软雅黑" w:eastAsia="微软雅黑"/>
          <w:color w:val="000000" w:themeColor="text1"/>
          <w:w w:val="100"/>
          <w:kern w:val="2"/>
          <w:sz w:val="21"/>
          <w:szCs w:val="21"/>
          <w14:textFill>
            <w14:solidFill>
              <w14:schemeClr w14:val="tx1"/>
            </w14:solidFill>
          </w14:textFill>
        </w:rPr>
        <w:t>后，为项目高效良好的运转，甲乙双方共同成立项目筹开工程管控小组，小组成员组成如下：</w:t>
      </w:r>
    </w:p>
    <w:p w14:paraId="2547364E">
      <w:pPr>
        <w:pStyle w:val="9"/>
        <w:numPr>
          <w:ilvl w:val="0"/>
          <w:numId w:val="3"/>
        </w:numPr>
        <w:spacing w:line="360" w:lineRule="exact"/>
        <w:ind w:firstLineChars="0"/>
        <w:rPr>
          <w:rFonts w:ascii="微软雅黑" w:hAnsi="微软雅黑" w:eastAsia="微软雅黑"/>
          <w:color w:val="000000" w:themeColor="text1"/>
          <w:szCs w:val="21"/>
          <w:highlight w:val="none"/>
          <w14:textFill>
            <w14:solidFill>
              <w14:schemeClr w14:val="tx1"/>
            </w14:solidFill>
          </w14:textFill>
        </w:rPr>
      </w:pPr>
      <w:r>
        <w:rPr>
          <w:rFonts w:hint="eastAsia" w:ascii="微软雅黑" w:hAnsi="微软雅黑" w:eastAsia="微软雅黑"/>
          <w:color w:val="000000" w:themeColor="text1"/>
          <w:szCs w:val="21"/>
          <w:highlight w:val="none"/>
          <w14:textFill>
            <w14:solidFill>
              <w14:schemeClr w14:val="tx1"/>
            </w14:solidFill>
          </w14:textFill>
        </w:rPr>
        <w:t xml:space="preserve">甲方指派【 </w:t>
      </w:r>
      <w:r>
        <w:rPr>
          <w:rFonts w:ascii="微软雅黑" w:hAnsi="微软雅黑" w:eastAsia="微软雅黑"/>
          <w:color w:val="000000" w:themeColor="text1"/>
          <w:szCs w:val="21"/>
          <w:highlight w:val="none"/>
          <w14:textFill>
            <w14:solidFill>
              <w14:schemeClr w14:val="tx1"/>
            </w14:solidFill>
          </w14:textFill>
        </w:rPr>
        <w:t xml:space="preserve">        </w:t>
      </w:r>
      <w:r>
        <w:rPr>
          <w:rFonts w:hint="eastAsia" w:ascii="微软雅黑" w:hAnsi="微软雅黑" w:eastAsia="微软雅黑"/>
          <w:color w:val="000000" w:themeColor="text1"/>
          <w:szCs w:val="21"/>
          <w:highlight w:val="none"/>
          <w14:textFill>
            <w14:solidFill>
              <w14:schemeClr w14:val="tx1"/>
            </w14:solidFill>
          </w14:textFill>
        </w:rPr>
        <w:t xml:space="preserve">】作为商务负责人，【 </w:t>
      </w:r>
      <w:r>
        <w:rPr>
          <w:rFonts w:ascii="微软雅黑" w:hAnsi="微软雅黑" w:eastAsia="微软雅黑"/>
          <w:color w:val="000000" w:themeColor="text1"/>
          <w:szCs w:val="21"/>
          <w:highlight w:val="none"/>
          <w14:textFill>
            <w14:solidFill>
              <w14:schemeClr w14:val="tx1"/>
            </w14:solidFill>
          </w14:textFill>
        </w:rPr>
        <w:t xml:space="preserve">        </w:t>
      </w:r>
      <w:r>
        <w:rPr>
          <w:rFonts w:hint="eastAsia" w:ascii="微软雅黑" w:hAnsi="微软雅黑" w:eastAsia="微软雅黑"/>
          <w:color w:val="000000" w:themeColor="text1"/>
          <w:szCs w:val="21"/>
          <w:highlight w:val="none"/>
          <w14:textFill>
            <w14:solidFill>
              <w14:schemeClr w14:val="tx1"/>
            </w14:solidFill>
          </w14:textFill>
        </w:rPr>
        <w:t xml:space="preserve">】作为工程管理负责人，【 </w:t>
      </w:r>
      <w:r>
        <w:rPr>
          <w:rFonts w:ascii="微软雅黑" w:hAnsi="微软雅黑" w:eastAsia="微软雅黑"/>
          <w:color w:val="000000" w:themeColor="text1"/>
          <w:szCs w:val="21"/>
          <w:highlight w:val="none"/>
          <w14:textFill>
            <w14:solidFill>
              <w14:schemeClr w14:val="tx1"/>
            </w14:solidFill>
          </w14:textFill>
        </w:rPr>
        <w:t xml:space="preserve">        </w:t>
      </w:r>
      <w:r>
        <w:rPr>
          <w:rFonts w:hint="eastAsia" w:ascii="微软雅黑" w:hAnsi="微软雅黑" w:eastAsia="微软雅黑"/>
          <w:color w:val="000000" w:themeColor="text1"/>
          <w:szCs w:val="21"/>
          <w:highlight w:val="none"/>
          <w14:textFill>
            <w14:solidFill>
              <w14:schemeClr w14:val="tx1"/>
            </w14:solidFill>
          </w14:textFill>
        </w:rPr>
        <w:t xml:space="preserve">】作为设计负责人，【 </w:t>
      </w:r>
      <w:r>
        <w:rPr>
          <w:rFonts w:ascii="微软雅黑" w:hAnsi="微软雅黑" w:eastAsia="微软雅黑"/>
          <w:color w:val="000000" w:themeColor="text1"/>
          <w:szCs w:val="21"/>
          <w:highlight w:val="none"/>
          <w14:textFill>
            <w14:solidFill>
              <w14:schemeClr w14:val="tx1"/>
            </w14:solidFill>
          </w14:textFill>
        </w:rPr>
        <w:t xml:space="preserve">        </w:t>
      </w:r>
      <w:r>
        <w:rPr>
          <w:rFonts w:hint="eastAsia" w:ascii="微软雅黑" w:hAnsi="微软雅黑" w:eastAsia="微软雅黑"/>
          <w:color w:val="000000" w:themeColor="text1"/>
          <w:szCs w:val="21"/>
          <w:highlight w:val="none"/>
          <w14:textFill>
            <w14:solidFill>
              <w14:schemeClr w14:val="tx1"/>
            </w14:solidFill>
          </w14:textFill>
        </w:rPr>
        <w:t>】作为合约预算负责人。</w:t>
      </w:r>
    </w:p>
    <w:p w14:paraId="1719B976">
      <w:pPr>
        <w:pStyle w:val="2"/>
        <w:numPr>
          <w:ilvl w:val="0"/>
          <w:numId w:val="3"/>
        </w:numPr>
        <w:spacing w:line="360" w:lineRule="exact"/>
        <w:rPr>
          <w:rFonts w:ascii="微软雅黑" w:hAnsi="微软雅黑" w:eastAsia="微软雅黑"/>
          <w:color w:val="000000" w:themeColor="text1"/>
          <w:w w:val="100"/>
          <w:kern w:val="2"/>
          <w:sz w:val="21"/>
          <w:szCs w:val="21"/>
          <w:highlight w:val="none"/>
          <w14:textFill>
            <w14:solidFill>
              <w14:schemeClr w14:val="tx1"/>
            </w14:solidFill>
          </w14:textFill>
        </w:rPr>
      </w:pPr>
      <w:r>
        <w:rPr>
          <w:rFonts w:hint="eastAsia" w:ascii="微软雅黑" w:hAnsi="微软雅黑" w:eastAsia="微软雅黑"/>
          <w:color w:val="000000" w:themeColor="text1"/>
          <w:w w:val="100"/>
          <w:kern w:val="2"/>
          <w:sz w:val="21"/>
          <w:szCs w:val="21"/>
          <w:highlight w:val="none"/>
          <w14:textFill>
            <w14:solidFill>
              <w14:schemeClr w14:val="tx1"/>
            </w14:solidFill>
          </w14:textFill>
        </w:rPr>
        <w:t>乙方指派</w:t>
      </w:r>
      <w:r>
        <w:rPr>
          <w:rFonts w:hint="eastAsia" w:ascii="微软雅黑" w:hAnsi="微软雅黑" w:eastAsia="微软雅黑"/>
          <w:color w:val="000000" w:themeColor="text1"/>
          <w:kern w:val="2"/>
          <w:sz w:val="21"/>
          <w:szCs w:val="21"/>
          <w:highlight w:val="none"/>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lang w:val="en-US" w:eastAsia="zh-CN"/>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14:textFill>
            <w14:solidFill>
              <w14:schemeClr w14:val="tx1"/>
            </w14:solidFill>
          </w14:textFill>
        </w:rPr>
        <w:t>】</w:t>
      </w:r>
      <w:r>
        <w:rPr>
          <w:rFonts w:hint="eastAsia" w:ascii="微软雅黑" w:hAnsi="微软雅黑" w:eastAsia="微软雅黑"/>
          <w:color w:val="000000" w:themeColor="text1"/>
          <w:w w:val="100"/>
          <w:kern w:val="2"/>
          <w:sz w:val="21"/>
          <w:szCs w:val="21"/>
          <w:highlight w:val="none"/>
          <w14:textFill>
            <w14:solidFill>
              <w14:schemeClr w14:val="tx1"/>
            </w14:solidFill>
          </w14:textFill>
        </w:rPr>
        <w:t>作为工程管理专家，</w:t>
      </w:r>
      <w:r>
        <w:rPr>
          <w:rFonts w:hint="eastAsia" w:ascii="微软雅黑" w:hAnsi="微软雅黑" w:eastAsia="微软雅黑"/>
          <w:color w:val="000000" w:themeColor="text1"/>
          <w:kern w:val="2"/>
          <w:sz w:val="21"/>
          <w:szCs w:val="21"/>
          <w:highlight w:val="none"/>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lang w:val="en-US" w:eastAsia="zh-CN"/>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14:textFill>
            <w14:solidFill>
              <w14:schemeClr w14:val="tx1"/>
            </w14:solidFill>
          </w14:textFill>
        </w:rPr>
        <w:t>】</w:t>
      </w:r>
      <w:r>
        <w:rPr>
          <w:rFonts w:hint="eastAsia" w:ascii="微软雅黑" w:hAnsi="微软雅黑" w:eastAsia="微软雅黑"/>
          <w:color w:val="000000" w:themeColor="text1"/>
          <w:w w:val="100"/>
          <w:kern w:val="2"/>
          <w:sz w:val="21"/>
          <w:szCs w:val="21"/>
          <w:highlight w:val="none"/>
          <w14:textFill>
            <w14:solidFill>
              <w14:schemeClr w14:val="tx1"/>
            </w14:solidFill>
          </w14:textFill>
        </w:rPr>
        <w:t>作为产品专家，</w:t>
      </w:r>
      <w:r>
        <w:rPr>
          <w:rFonts w:hint="eastAsia" w:ascii="微软雅黑" w:hAnsi="微软雅黑" w:eastAsia="微软雅黑"/>
          <w:color w:val="000000" w:themeColor="text1"/>
          <w:kern w:val="2"/>
          <w:sz w:val="21"/>
          <w:szCs w:val="21"/>
          <w:highlight w:val="none"/>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lang w:val="en-US" w:eastAsia="zh-CN"/>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14:textFill>
            <w14:solidFill>
              <w14:schemeClr w14:val="tx1"/>
            </w14:solidFill>
          </w14:textFill>
        </w:rPr>
        <w:t>】</w:t>
      </w:r>
      <w:r>
        <w:rPr>
          <w:rFonts w:hint="eastAsia" w:ascii="微软雅黑" w:hAnsi="微软雅黑" w:eastAsia="微软雅黑"/>
          <w:color w:val="000000" w:themeColor="text1"/>
          <w:w w:val="100"/>
          <w:kern w:val="2"/>
          <w:sz w:val="21"/>
          <w:szCs w:val="21"/>
          <w:highlight w:val="none"/>
          <w14:textFill>
            <w14:solidFill>
              <w14:schemeClr w14:val="tx1"/>
            </w14:solidFill>
          </w14:textFill>
        </w:rPr>
        <w:t>作为IT工程专家，</w:t>
      </w:r>
      <w:r>
        <w:rPr>
          <w:rFonts w:hint="eastAsia" w:ascii="微软雅黑" w:hAnsi="微软雅黑" w:eastAsia="微软雅黑"/>
          <w:color w:val="000000" w:themeColor="text1"/>
          <w:kern w:val="2"/>
          <w:sz w:val="21"/>
          <w:szCs w:val="21"/>
          <w:highlight w:val="none"/>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lang w:val="en-US" w:eastAsia="zh-CN"/>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14:textFill>
            <w14:solidFill>
              <w14:schemeClr w14:val="tx1"/>
            </w14:solidFill>
          </w14:textFill>
        </w:rPr>
        <w:t>】</w:t>
      </w:r>
      <w:r>
        <w:rPr>
          <w:rFonts w:hint="eastAsia" w:ascii="微软雅黑" w:hAnsi="微软雅黑" w:eastAsia="微软雅黑"/>
          <w:color w:val="000000" w:themeColor="text1"/>
          <w:w w:val="100"/>
          <w:kern w:val="2"/>
          <w:sz w:val="21"/>
          <w:szCs w:val="21"/>
          <w:highlight w:val="none"/>
          <w14:textFill>
            <w14:solidFill>
              <w14:schemeClr w14:val="tx1"/>
            </w14:solidFill>
          </w14:textFill>
        </w:rPr>
        <w:t>作为合约预决算专家。</w:t>
      </w:r>
    </w:p>
    <w:p w14:paraId="7D9A8686">
      <w:pPr>
        <w:pStyle w:val="2"/>
        <w:numPr>
          <w:ilvl w:val="0"/>
          <w:numId w:val="3"/>
        </w:numPr>
        <w:spacing w:line="360" w:lineRule="exact"/>
        <w:rPr>
          <w:rFonts w:ascii="微软雅黑" w:hAnsi="微软雅黑" w:eastAsia="微软雅黑"/>
          <w:color w:val="000000" w:themeColor="text1"/>
          <w:w w:val="100"/>
          <w:kern w:val="2"/>
          <w:sz w:val="21"/>
          <w:szCs w:val="21"/>
          <w:highlight w:val="none"/>
          <w14:textFill>
            <w14:solidFill>
              <w14:schemeClr w14:val="tx1"/>
            </w14:solidFill>
          </w14:textFill>
        </w:rPr>
      </w:pPr>
      <w:r>
        <w:rPr>
          <w:rFonts w:hint="eastAsia" w:ascii="微软雅黑" w:hAnsi="微软雅黑" w:eastAsia="微软雅黑"/>
          <w:color w:val="000000" w:themeColor="text1"/>
          <w:w w:val="100"/>
          <w:kern w:val="2"/>
          <w:sz w:val="21"/>
          <w:szCs w:val="21"/>
          <w:highlight w:val="none"/>
          <w14:textFill>
            <w14:solidFill>
              <w14:schemeClr w14:val="tx1"/>
            </w14:solidFill>
          </w14:textFill>
        </w:rPr>
        <w:t>以上8人共同组成项目筹开工程管控小组，并于</w:t>
      </w:r>
      <w:bookmarkStart w:id="1" w:name="_Hlk99025890"/>
      <w:r>
        <w:rPr>
          <w:rFonts w:hint="eastAsia" w:ascii="微软雅黑" w:hAnsi="微软雅黑" w:eastAsia="微软雅黑"/>
          <w:color w:val="000000" w:themeColor="text1"/>
          <w:kern w:val="2"/>
          <w:sz w:val="21"/>
          <w:szCs w:val="21"/>
          <w:highlight w:val="none"/>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lang w:val="en-US" w:eastAsia="zh-CN"/>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14:textFill>
            <w14:solidFill>
              <w14:schemeClr w14:val="tx1"/>
            </w14:solidFill>
          </w14:textFill>
        </w:rPr>
        <w:t>】</w:t>
      </w:r>
      <w:r>
        <w:rPr>
          <w:rFonts w:hint="eastAsia" w:ascii="微软雅黑" w:hAnsi="微软雅黑" w:eastAsia="微软雅黑"/>
          <w:color w:val="000000" w:themeColor="text1"/>
          <w:w w:val="100"/>
          <w:kern w:val="2"/>
          <w:sz w:val="21"/>
          <w:szCs w:val="21"/>
          <w:highlight w:val="none"/>
          <w14:textFill>
            <w14:solidFill>
              <w14:schemeClr w14:val="tx1"/>
            </w14:solidFill>
          </w14:textFill>
        </w:rPr>
        <w:t>年</w:t>
      </w:r>
      <w:r>
        <w:rPr>
          <w:rFonts w:hint="eastAsia" w:ascii="微软雅黑" w:hAnsi="微软雅黑" w:eastAsia="微软雅黑"/>
          <w:color w:val="000000" w:themeColor="text1"/>
          <w:kern w:val="2"/>
          <w:sz w:val="21"/>
          <w:szCs w:val="21"/>
          <w:highlight w:val="none"/>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lang w:val="en-US" w:eastAsia="zh-CN"/>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14:textFill>
            <w14:solidFill>
              <w14:schemeClr w14:val="tx1"/>
            </w14:solidFill>
          </w14:textFill>
        </w:rPr>
        <w:t>】</w:t>
      </w:r>
      <w:r>
        <w:rPr>
          <w:rFonts w:hint="eastAsia" w:ascii="微软雅黑" w:hAnsi="微软雅黑" w:eastAsia="微软雅黑"/>
          <w:color w:val="000000" w:themeColor="text1"/>
          <w:w w:val="100"/>
          <w:kern w:val="2"/>
          <w:sz w:val="21"/>
          <w:szCs w:val="21"/>
          <w:highlight w:val="none"/>
          <w14:textFill>
            <w14:solidFill>
              <w14:schemeClr w14:val="tx1"/>
            </w14:solidFill>
          </w14:textFill>
        </w:rPr>
        <w:t>月</w:t>
      </w:r>
      <w:r>
        <w:rPr>
          <w:rFonts w:hint="eastAsia" w:ascii="微软雅黑" w:hAnsi="微软雅黑" w:eastAsia="微软雅黑"/>
          <w:color w:val="000000" w:themeColor="text1"/>
          <w:kern w:val="2"/>
          <w:sz w:val="21"/>
          <w:szCs w:val="21"/>
          <w:highlight w:val="none"/>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lang w:val="en-US" w:eastAsia="zh-CN"/>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14:textFill>
            <w14:solidFill>
              <w14:schemeClr w14:val="tx1"/>
            </w14:solidFill>
          </w14:textFill>
        </w:rPr>
        <w:t>】</w:t>
      </w:r>
      <w:bookmarkEnd w:id="1"/>
      <w:r>
        <w:rPr>
          <w:rFonts w:hint="eastAsia" w:ascii="微软雅黑" w:hAnsi="微软雅黑" w:eastAsia="微软雅黑"/>
          <w:color w:val="000000" w:themeColor="text1"/>
          <w:w w:val="100"/>
          <w:kern w:val="2"/>
          <w:sz w:val="21"/>
          <w:szCs w:val="21"/>
          <w:highlight w:val="none"/>
          <w14:textFill>
            <w14:solidFill>
              <w14:schemeClr w14:val="tx1"/>
            </w14:solidFill>
          </w14:textFill>
        </w:rPr>
        <w:t>日至</w:t>
      </w:r>
      <w:r>
        <w:rPr>
          <w:rFonts w:hint="eastAsia" w:ascii="微软雅黑" w:hAnsi="微软雅黑" w:eastAsia="微软雅黑"/>
          <w:color w:val="000000" w:themeColor="text1"/>
          <w:kern w:val="2"/>
          <w:sz w:val="21"/>
          <w:szCs w:val="21"/>
          <w:highlight w:val="none"/>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lang w:val="en-US" w:eastAsia="zh-CN"/>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14:textFill>
            <w14:solidFill>
              <w14:schemeClr w14:val="tx1"/>
            </w14:solidFill>
          </w14:textFill>
        </w:rPr>
        <w:t>】</w:t>
      </w:r>
      <w:r>
        <w:rPr>
          <w:rFonts w:hint="eastAsia" w:ascii="微软雅黑" w:hAnsi="微软雅黑" w:eastAsia="微软雅黑"/>
          <w:color w:val="000000" w:themeColor="text1"/>
          <w:w w:val="100"/>
          <w:kern w:val="2"/>
          <w:sz w:val="21"/>
          <w:szCs w:val="21"/>
          <w:highlight w:val="none"/>
          <w14:textFill>
            <w14:solidFill>
              <w14:schemeClr w14:val="tx1"/>
            </w14:solidFill>
          </w14:textFill>
        </w:rPr>
        <w:t>年</w:t>
      </w:r>
      <w:r>
        <w:rPr>
          <w:rFonts w:hint="eastAsia" w:ascii="微软雅黑" w:hAnsi="微软雅黑" w:eastAsia="微软雅黑"/>
          <w:color w:val="000000" w:themeColor="text1"/>
          <w:kern w:val="2"/>
          <w:sz w:val="21"/>
          <w:szCs w:val="21"/>
          <w:highlight w:val="none"/>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lang w:val="en-US" w:eastAsia="zh-CN"/>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14:textFill>
            <w14:solidFill>
              <w14:schemeClr w14:val="tx1"/>
            </w14:solidFill>
          </w14:textFill>
        </w:rPr>
        <w:t>】</w:t>
      </w:r>
      <w:r>
        <w:rPr>
          <w:rFonts w:hint="eastAsia" w:ascii="微软雅黑" w:hAnsi="微软雅黑" w:eastAsia="微软雅黑"/>
          <w:color w:val="000000" w:themeColor="text1"/>
          <w:w w:val="100"/>
          <w:kern w:val="2"/>
          <w:sz w:val="21"/>
          <w:szCs w:val="21"/>
          <w:highlight w:val="none"/>
          <w14:textFill>
            <w14:solidFill>
              <w14:schemeClr w14:val="tx1"/>
            </w14:solidFill>
          </w14:textFill>
        </w:rPr>
        <w:t>月</w:t>
      </w:r>
      <w:r>
        <w:rPr>
          <w:rFonts w:hint="eastAsia" w:ascii="微软雅黑" w:hAnsi="微软雅黑" w:eastAsia="微软雅黑"/>
          <w:color w:val="000000" w:themeColor="text1"/>
          <w:kern w:val="2"/>
          <w:sz w:val="21"/>
          <w:szCs w:val="21"/>
          <w:highlight w:val="none"/>
          <w14:textFill>
            <w14:solidFill>
              <w14:schemeClr w14:val="tx1"/>
            </w14:solidFill>
          </w14:textFill>
        </w:rPr>
        <w:t>【</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lang w:val="en-US" w:eastAsia="zh-CN"/>
          <w14:textFill>
            <w14:solidFill>
              <w14:schemeClr w14:val="tx1"/>
            </w14:solidFill>
          </w14:textFill>
        </w:rPr>
        <w:t xml:space="preserve"> </w:t>
      </w:r>
      <w:r>
        <w:rPr>
          <w:rFonts w:ascii="微软雅黑" w:hAnsi="微软雅黑" w:eastAsia="微软雅黑"/>
          <w:color w:val="000000" w:themeColor="text1"/>
          <w:kern w:val="2"/>
          <w:sz w:val="21"/>
          <w:szCs w:val="21"/>
          <w:highlight w:val="none"/>
          <w14:textFill>
            <w14:solidFill>
              <w14:schemeClr w14:val="tx1"/>
            </w14:solidFill>
          </w14:textFill>
        </w:rPr>
        <w:t xml:space="preserve">   </w:t>
      </w:r>
      <w:r>
        <w:rPr>
          <w:rFonts w:hint="eastAsia" w:ascii="微软雅黑" w:hAnsi="微软雅黑" w:eastAsia="微软雅黑"/>
          <w:color w:val="000000" w:themeColor="text1"/>
          <w:kern w:val="2"/>
          <w:sz w:val="21"/>
          <w:szCs w:val="21"/>
          <w:highlight w:val="none"/>
          <w14:textFill>
            <w14:solidFill>
              <w14:schemeClr w14:val="tx1"/>
            </w14:solidFill>
          </w14:textFill>
        </w:rPr>
        <w:t>】</w:t>
      </w:r>
      <w:r>
        <w:rPr>
          <w:rFonts w:hint="eastAsia" w:ascii="微软雅黑" w:hAnsi="微软雅黑" w:eastAsia="微软雅黑"/>
          <w:color w:val="000000" w:themeColor="text1"/>
          <w:w w:val="100"/>
          <w:kern w:val="2"/>
          <w:sz w:val="21"/>
          <w:szCs w:val="21"/>
          <w:highlight w:val="none"/>
          <w14:textFill>
            <w14:solidFill>
              <w14:schemeClr w14:val="tx1"/>
            </w14:solidFill>
          </w14:textFill>
        </w:rPr>
        <w:t>日，项目管控期内，共同进行本次项目筹开的工程管控工作。</w:t>
      </w:r>
    </w:p>
    <w:p w14:paraId="3E1D2B12">
      <w:pPr>
        <w:spacing w:line="360" w:lineRule="exact"/>
        <w:rPr>
          <w:highlight w:val="none"/>
        </w:rPr>
      </w:pPr>
    </w:p>
    <w:p w14:paraId="693BBF70">
      <w:pPr>
        <w:pStyle w:val="2"/>
        <w:numPr>
          <w:ilvl w:val="0"/>
          <w:numId w:val="4"/>
        </w:numPr>
        <w:spacing w:line="360" w:lineRule="exact"/>
        <w:rPr>
          <w:rFonts w:ascii="微软雅黑" w:hAnsi="微软雅黑" w:eastAsia="微软雅黑"/>
          <w:color w:val="000000" w:themeColor="text1"/>
          <w:w w:val="100"/>
          <w:kern w:val="2"/>
          <w:sz w:val="21"/>
          <w:szCs w:val="21"/>
          <w:highlight w:val="none"/>
          <w14:textFill>
            <w14:solidFill>
              <w14:schemeClr w14:val="tx1"/>
            </w14:solidFill>
          </w14:textFill>
        </w:rPr>
      </w:pPr>
      <w:r>
        <w:rPr>
          <w:rFonts w:hint="eastAsia" w:ascii="微软雅黑" w:hAnsi="微软雅黑" w:eastAsia="微软雅黑"/>
          <w:color w:val="000000" w:themeColor="text1"/>
          <w:w w:val="100"/>
          <w:kern w:val="2"/>
          <w:sz w:val="21"/>
          <w:szCs w:val="21"/>
          <w:highlight w:val="none"/>
          <w14:textFill>
            <w14:solidFill>
              <w14:schemeClr w14:val="tx1"/>
            </w14:solidFill>
          </w14:textFill>
        </w:rPr>
        <w:t>项目启动会</w:t>
      </w:r>
    </w:p>
    <w:p w14:paraId="2B777E23">
      <w:pPr>
        <w:pStyle w:val="3"/>
        <w:rPr>
          <w:rFonts w:ascii="微软雅黑" w:hAnsi="微软雅黑" w:eastAsia="微软雅黑"/>
          <w:color w:val="000000" w:themeColor="text1"/>
          <w:szCs w:val="21"/>
          <w:highlight w:val="none"/>
          <w14:textFill>
            <w14:solidFill>
              <w14:schemeClr w14:val="tx1"/>
            </w14:solidFill>
          </w14:textFill>
        </w:rPr>
      </w:pPr>
      <w:r>
        <w:rPr>
          <w:rFonts w:hint="eastAsia" w:ascii="微软雅黑" w:hAnsi="微软雅黑" w:eastAsia="微软雅黑"/>
          <w:color w:val="000000" w:themeColor="text1"/>
          <w:szCs w:val="21"/>
          <w:highlight w:val="none"/>
          <w14:textFill>
            <w14:solidFill>
              <w14:schemeClr w14:val="tx1"/>
            </w14:solidFill>
          </w14:textFill>
        </w:rPr>
        <w:t>甲乙双方共同成立项目筹开工程管控小组后，随即组织召开项目启动会，启动会上由</w:t>
      </w:r>
      <w:r>
        <w:rPr>
          <w:rFonts w:hint="eastAsia" w:ascii="微软雅黑" w:hAnsi="微软雅黑" w:eastAsia="微软雅黑"/>
          <w:color w:val="000000" w:themeColor="text1"/>
          <w:szCs w:val="21"/>
          <w:highlight w:val="none"/>
          <w:lang w:eastAsia="zh-CN"/>
          <w14:textFill>
            <w14:solidFill>
              <w14:schemeClr w14:val="tx1"/>
            </w14:solidFill>
          </w14:textFill>
        </w:rPr>
        <w:t>运营商</w:t>
      </w:r>
      <w:r>
        <w:rPr>
          <w:rFonts w:hint="eastAsia" w:ascii="微软雅黑" w:hAnsi="微软雅黑" w:eastAsia="微软雅黑"/>
          <w:color w:val="000000" w:themeColor="text1"/>
          <w:szCs w:val="21"/>
          <w:highlight w:val="none"/>
          <w14:textFill>
            <w14:solidFill>
              <w14:schemeClr w14:val="tx1"/>
            </w14:solidFill>
          </w14:textFill>
        </w:rPr>
        <w:t xml:space="preserve"> DESC介绍《项目</w:t>
      </w:r>
      <w:r>
        <w:rPr>
          <w:rFonts w:hint="eastAsia" w:ascii="微软雅黑" w:hAnsi="微软雅黑" w:eastAsia="微软雅黑"/>
          <w:color w:val="000000" w:themeColor="text1"/>
          <w:szCs w:val="21"/>
          <w:highlight w:val="none"/>
          <w:lang w:val="en-US" w:eastAsia="zh-CN"/>
          <w14:textFill>
            <w14:solidFill>
              <w14:schemeClr w14:val="tx1"/>
            </w14:solidFill>
          </w14:textFill>
        </w:rPr>
        <w:t>筹开</w:t>
      </w:r>
      <w:r>
        <w:rPr>
          <w:rFonts w:hint="eastAsia" w:ascii="微软雅黑" w:hAnsi="微软雅黑" w:eastAsia="微软雅黑"/>
          <w:color w:val="000000" w:themeColor="text1"/>
          <w:szCs w:val="21"/>
          <w:highlight w:val="none"/>
          <w14:textFill>
            <w14:solidFill>
              <w14:schemeClr w14:val="tx1"/>
            </w14:solidFill>
          </w14:textFill>
        </w:rPr>
        <w:t>管控机制及管理办法》，《</w:t>
      </w:r>
      <w:r>
        <w:rPr>
          <w:rFonts w:hint="eastAsia" w:ascii="微软雅黑" w:hAnsi="微软雅黑" w:eastAsia="微软雅黑"/>
          <w:color w:val="000000" w:themeColor="text1"/>
          <w:szCs w:val="21"/>
          <w:highlight w:val="none"/>
          <w:lang w:eastAsia="zh-CN"/>
          <w14:textFill>
            <w14:solidFill>
              <w14:schemeClr w14:val="tx1"/>
            </w14:solidFill>
          </w14:textFill>
        </w:rPr>
        <w:t>运营商</w:t>
      </w:r>
      <w:r>
        <w:rPr>
          <w:rFonts w:hint="eastAsia" w:ascii="微软雅黑" w:hAnsi="微软雅黑" w:eastAsia="微软雅黑"/>
          <w:color w:val="000000" w:themeColor="text1"/>
          <w:szCs w:val="21"/>
          <w:highlight w:val="none"/>
          <w14:textFill>
            <w14:solidFill>
              <w14:schemeClr w14:val="tx1"/>
            </w14:solidFill>
          </w14:textFill>
        </w:rPr>
        <w:t>产品标准化手册》、《</w:t>
      </w:r>
      <w:r>
        <w:rPr>
          <w:rFonts w:hint="eastAsia" w:ascii="微软雅黑" w:hAnsi="微软雅黑" w:eastAsia="微软雅黑"/>
          <w:color w:val="000000" w:themeColor="text1"/>
          <w:szCs w:val="21"/>
          <w:highlight w:val="none"/>
          <w:lang w:eastAsia="zh-CN"/>
          <w14:textFill>
            <w14:solidFill>
              <w14:schemeClr w14:val="tx1"/>
            </w14:solidFill>
          </w14:textFill>
        </w:rPr>
        <w:t>运营商</w:t>
      </w:r>
      <w:r>
        <w:rPr>
          <w:rFonts w:hint="eastAsia" w:ascii="微软雅黑" w:hAnsi="微软雅黑" w:eastAsia="微软雅黑"/>
          <w:color w:val="000000" w:themeColor="text1"/>
          <w:szCs w:val="21"/>
          <w:highlight w:val="none"/>
          <w14:textFill>
            <w14:solidFill>
              <w14:schemeClr w14:val="tx1"/>
            </w14:solidFill>
          </w14:textFill>
        </w:rPr>
        <w:t>施工工艺标准》、《</w:t>
      </w:r>
      <w:r>
        <w:rPr>
          <w:rFonts w:hint="eastAsia" w:ascii="微软雅黑" w:hAnsi="微软雅黑" w:eastAsia="微软雅黑"/>
          <w:color w:val="000000" w:themeColor="text1"/>
          <w:szCs w:val="21"/>
          <w:highlight w:val="none"/>
          <w:lang w:eastAsia="zh-CN"/>
          <w14:textFill>
            <w14:solidFill>
              <w14:schemeClr w14:val="tx1"/>
            </w14:solidFill>
          </w14:textFill>
        </w:rPr>
        <w:t>运营商</w:t>
      </w:r>
      <w:r>
        <w:rPr>
          <w:rFonts w:hint="eastAsia" w:ascii="微软雅黑" w:hAnsi="微软雅黑" w:eastAsia="微软雅黑"/>
          <w:color w:val="000000" w:themeColor="text1"/>
          <w:szCs w:val="21"/>
          <w:highlight w:val="none"/>
          <w14:textFill>
            <w14:solidFill>
              <w14:schemeClr w14:val="tx1"/>
            </w14:solidFill>
          </w14:textFill>
        </w:rPr>
        <w:t>项目节点验收标准》，并介绍工作流程。</w:t>
      </w:r>
    </w:p>
    <w:p w14:paraId="5742BE7C">
      <w:pPr>
        <w:pStyle w:val="2"/>
        <w:spacing w:line="360" w:lineRule="exact"/>
        <w:rPr>
          <w:rFonts w:ascii="微软雅黑" w:hAnsi="微软雅黑" w:eastAsia="微软雅黑"/>
          <w:color w:val="000000" w:themeColor="text1"/>
          <w:w w:val="100"/>
          <w:kern w:val="2"/>
          <w:sz w:val="21"/>
          <w:szCs w:val="21"/>
          <w:highlight w:val="none"/>
          <w14:textFill>
            <w14:solidFill>
              <w14:schemeClr w14:val="tx1"/>
            </w14:solidFill>
          </w14:textFill>
        </w:rPr>
      </w:pPr>
    </w:p>
    <w:p w14:paraId="16198FB2">
      <w:pPr>
        <w:pStyle w:val="2"/>
        <w:numPr>
          <w:ilvl w:val="0"/>
          <w:numId w:val="4"/>
        </w:numPr>
        <w:spacing w:line="360" w:lineRule="exact"/>
        <w:rPr>
          <w:rFonts w:ascii="微软雅黑" w:hAnsi="微软雅黑" w:eastAsia="微软雅黑"/>
          <w:color w:val="000000" w:themeColor="text1"/>
          <w:w w:val="100"/>
          <w:kern w:val="2"/>
          <w:sz w:val="21"/>
          <w:szCs w:val="21"/>
          <w:highlight w:val="none"/>
          <w14:textFill>
            <w14:solidFill>
              <w14:schemeClr w14:val="tx1"/>
            </w14:solidFill>
          </w14:textFill>
        </w:rPr>
      </w:pPr>
      <w:r>
        <w:rPr>
          <w:rFonts w:hint="eastAsia" w:ascii="微软雅黑" w:hAnsi="微软雅黑" w:eastAsia="微软雅黑"/>
          <w:color w:val="000000" w:themeColor="text1"/>
          <w:w w:val="100"/>
          <w:kern w:val="2"/>
          <w:sz w:val="21"/>
          <w:szCs w:val="21"/>
          <w:highlight w:val="none"/>
          <w14:textFill>
            <w14:solidFill>
              <w14:schemeClr w14:val="tx1"/>
            </w14:solidFill>
          </w14:textFill>
        </w:rPr>
        <w:t>小组例会机制</w:t>
      </w:r>
    </w:p>
    <w:p w14:paraId="0605A64B">
      <w:pPr>
        <w:spacing w:line="360" w:lineRule="exact"/>
        <w:ind w:firstLine="420" w:firstLineChars="200"/>
        <w:rPr>
          <w:rFonts w:ascii="微软雅黑" w:hAnsi="微软雅黑" w:eastAsia="微软雅黑"/>
          <w:color w:val="000000" w:themeColor="text1"/>
          <w:szCs w:val="21"/>
          <w:highlight w:val="none"/>
          <w14:textFill>
            <w14:solidFill>
              <w14:schemeClr w14:val="tx1"/>
            </w14:solidFill>
          </w14:textFill>
        </w:rPr>
      </w:pPr>
      <w:r>
        <w:rPr>
          <w:rFonts w:hint="eastAsia" w:ascii="微软雅黑" w:hAnsi="微软雅黑" w:eastAsia="微软雅黑"/>
          <w:color w:val="000000" w:themeColor="text1"/>
          <w:szCs w:val="21"/>
          <w:highlight w:val="none"/>
          <w14:textFill>
            <w14:solidFill>
              <w14:schemeClr w14:val="tx1"/>
            </w14:solidFill>
          </w14:textFill>
        </w:rPr>
        <w:t>每两周召开一次小组例会，会议上由</w:t>
      </w:r>
      <w:r>
        <w:rPr>
          <w:rFonts w:hint="eastAsia" w:ascii="微软雅黑" w:hAnsi="微软雅黑" w:eastAsia="微软雅黑"/>
          <w:color w:val="000000" w:themeColor="text1"/>
          <w:szCs w:val="21"/>
          <w:highlight w:val="none"/>
          <w:lang w:eastAsia="zh-CN"/>
          <w14:textFill>
            <w14:solidFill>
              <w14:schemeClr w14:val="tx1"/>
            </w14:solidFill>
          </w14:textFill>
        </w:rPr>
        <w:t>运营商</w:t>
      </w:r>
      <w:r>
        <w:rPr>
          <w:rFonts w:hint="eastAsia" w:ascii="微软雅黑" w:hAnsi="微软雅黑" w:eastAsia="微软雅黑"/>
          <w:color w:val="000000" w:themeColor="text1"/>
          <w:szCs w:val="21"/>
          <w:highlight w:val="none"/>
          <w14:textFill>
            <w14:solidFill>
              <w14:schemeClr w14:val="tx1"/>
            </w14:solidFill>
          </w14:textFill>
        </w:rPr>
        <w:t xml:space="preserve"> DESC汇报项目工程服务包服务进展和下一步计划，由甲方团队介绍项目进展情况，下一步施工计划及待讨论问题。</w:t>
      </w:r>
    </w:p>
    <w:p w14:paraId="54920985">
      <w:pPr>
        <w:spacing w:line="360" w:lineRule="exact"/>
        <w:jc w:val="left"/>
        <w:rPr>
          <w:rFonts w:ascii="微软雅黑" w:hAnsi="微软雅黑" w:eastAsia="微软雅黑"/>
          <w:b/>
          <w:bCs/>
          <w:color w:val="000000" w:themeColor="text1"/>
          <w:szCs w:val="21"/>
          <w:highlight w:val="none"/>
          <w14:textFill>
            <w14:solidFill>
              <w14:schemeClr w14:val="tx1"/>
            </w14:solidFill>
          </w14:textFill>
        </w:rPr>
      </w:pPr>
    </w:p>
    <w:p w14:paraId="251F16C7">
      <w:pPr>
        <w:pStyle w:val="9"/>
        <w:numPr>
          <w:ilvl w:val="0"/>
          <w:numId w:val="1"/>
        </w:numPr>
        <w:spacing w:line="360" w:lineRule="exact"/>
        <w:ind w:firstLineChars="0"/>
        <w:jc w:val="left"/>
        <w:rPr>
          <w:rFonts w:ascii="微软雅黑" w:hAnsi="微软雅黑" w:eastAsia="微软雅黑"/>
          <w:b/>
          <w:bCs/>
          <w:color w:val="000000" w:themeColor="text1"/>
          <w:szCs w:val="21"/>
          <w:highlight w:val="none"/>
          <w14:textFill>
            <w14:solidFill>
              <w14:schemeClr w14:val="tx1"/>
            </w14:solidFill>
          </w14:textFill>
        </w:rPr>
      </w:pPr>
      <w:r>
        <w:rPr>
          <w:rFonts w:hint="eastAsia" w:ascii="微软雅黑" w:hAnsi="微软雅黑" w:eastAsia="微软雅黑"/>
          <w:b/>
          <w:bCs/>
          <w:color w:val="000000" w:themeColor="text1"/>
          <w:szCs w:val="21"/>
          <w:highlight w:val="none"/>
          <w14:textFill>
            <w14:solidFill>
              <w14:schemeClr w14:val="tx1"/>
            </w14:solidFill>
          </w14:textFill>
        </w:rPr>
        <w:t>团队职责分工</w:t>
      </w:r>
    </w:p>
    <w:p w14:paraId="4E5C25DD">
      <w:pPr>
        <w:spacing w:line="360" w:lineRule="exact"/>
        <w:ind w:firstLine="420" w:firstLineChars="200"/>
        <w:rPr>
          <w:rFonts w:ascii="微软雅黑" w:hAnsi="微软雅黑" w:eastAsia="微软雅黑"/>
          <w:color w:val="000000" w:themeColor="text1"/>
          <w:szCs w:val="21"/>
          <w:highlight w:val="none"/>
          <w14:textFill>
            <w14:solidFill>
              <w14:schemeClr w14:val="tx1"/>
            </w14:solidFill>
          </w14:textFill>
        </w:rPr>
      </w:pPr>
      <w:r>
        <w:rPr>
          <w:rFonts w:hint="eastAsia" w:ascii="微软雅黑" w:hAnsi="微软雅黑" w:eastAsia="微软雅黑"/>
          <w:color w:val="000000" w:themeColor="text1"/>
          <w:szCs w:val="21"/>
          <w:highlight w:val="none"/>
          <w14:textFill>
            <w14:solidFill>
              <w14:schemeClr w14:val="tx1"/>
            </w14:solidFill>
          </w14:textFill>
        </w:rPr>
        <w:t>为了确保空间的施工质量、标准符合乙方</w:t>
      </w:r>
      <w:r>
        <w:rPr>
          <w:rFonts w:ascii="微软雅黑" w:hAnsi="微软雅黑" w:eastAsia="微软雅黑"/>
          <w:color w:val="000000" w:themeColor="text1"/>
          <w:szCs w:val="21"/>
          <w:highlight w:val="none"/>
          <w14:textFill>
            <w14:solidFill>
              <w14:schemeClr w14:val="tx1"/>
            </w14:solidFill>
          </w14:textFill>
        </w:rPr>
        <w:t>空间运营的标准，在整个项目筹开前期的工程管理工作中，由</w:t>
      </w:r>
      <w:r>
        <w:rPr>
          <w:rFonts w:hint="eastAsia" w:ascii="微软雅黑" w:hAnsi="微软雅黑" w:eastAsia="微软雅黑"/>
          <w:color w:val="000000" w:themeColor="text1"/>
          <w:szCs w:val="21"/>
          <w:highlight w:val="none"/>
          <w14:textFill>
            <w14:solidFill>
              <w14:schemeClr w14:val="tx1"/>
            </w14:solidFill>
          </w14:textFill>
        </w:rPr>
        <w:t>乙方</w:t>
      </w:r>
      <w:r>
        <w:rPr>
          <w:rFonts w:ascii="微软雅黑" w:hAnsi="微软雅黑" w:eastAsia="微软雅黑"/>
          <w:color w:val="000000" w:themeColor="text1"/>
          <w:szCs w:val="21"/>
          <w:highlight w:val="none"/>
          <w14:textFill>
            <w14:solidFill>
              <w14:schemeClr w14:val="tx1"/>
            </w14:solidFill>
          </w14:textFill>
        </w:rPr>
        <w:t>代表</w:t>
      </w:r>
      <w:r>
        <w:rPr>
          <w:rFonts w:hint="eastAsia" w:ascii="微软雅黑" w:hAnsi="微软雅黑" w:eastAsia="微软雅黑"/>
          <w:color w:val="000000" w:themeColor="text1"/>
          <w:szCs w:val="21"/>
          <w:highlight w:val="none"/>
          <w14:textFill>
            <w14:solidFill>
              <w14:schemeClr w14:val="tx1"/>
            </w14:solidFill>
          </w14:textFill>
        </w:rPr>
        <w:t>甲方</w:t>
      </w:r>
      <w:r>
        <w:rPr>
          <w:rFonts w:ascii="微软雅黑" w:hAnsi="微软雅黑" w:eastAsia="微软雅黑"/>
          <w:color w:val="000000" w:themeColor="text1"/>
          <w:szCs w:val="21"/>
          <w:highlight w:val="none"/>
          <w14:textFill>
            <w14:solidFill>
              <w14:schemeClr w14:val="tx1"/>
            </w14:solidFill>
          </w14:textFill>
        </w:rPr>
        <w:t>对项目的施工工艺、质量对供应商进行管控。其余全流程的工程管理工作仍由</w:t>
      </w:r>
      <w:r>
        <w:rPr>
          <w:rFonts w:hint="eastAsia" w:ascii="微软雅黑" w:hAnsi="微软雅黑" w:eastAsia="微软雅黑"/>
          <w:color w:val="000000" w:themeColor="text1"/>
          <w:szCs w:val="21"/>
          <w:highlight w:val="none"/>
          <w14:textFill>
            <w14:solidFill>
              <w14:schemeClr w14:val="tx1"/>
            </w14:solidFill>
          </w14:textFill>
        </w:rPr>
        <w:t>甲方</w:t>
      </w:r>
      <w:r>
        <w:rPr>
          <w:rFonts w:ascii="微软雅黑" w:hAnsi="微软雅黑" w:eastAsia="微软雅黑"/>
          <w:color w:val="000000" w:themeColor="text1"/>
          <w:szCs w:val="21"/>
          <w:highlight w:val="none"/>
          <w14:textFill>
            <w14:solidFill>
              <w14:schemeClr w14:val="tx1"/>
            </w14:solidFill>
          </w14:textFill>
        </w:rPr>
        <w:t>团队负责。</w:t>
      </w:r>
    </w:p>
    <w:p w14:paraId="035A8CBC">
      <w:pPr>
        <w:pStyle w:val="9"/>
        <w:numPr>
          <w:ilvl w:val="0"/>
          <w:numId w:val="5"/>
        </w:numPr>
        <w:spacing w:line="360" w:lineRule="exact"/>
        <w:ind w:firstLineChars="0"/>
        <w:rPr>
          <w:rFonts w:ascii="微软雅黑" w:hAnsi="微软雅黑" w:eastAsia="微软雅黑"/>
          <w:color w:val="000000" w:themeColor="text1"/>
          <w:szCs w:val="21"/>
          <w:highlight w:val="none"/>
          <w14:textFill>
            <w14:solidFill>
              <w14:schemeClr w14:val="tx1"/>
            </w14:solidFill>
          </w14:textFill>
        </w:rPr>
      </w:pPr>
      <w:r>
        <w:rPr>
          <w:rFonts w:hint="eastAsia" w:ascii="微软雅黑" w:hAnsi="微软雅黑" w:eastAsia="微软雅黑"/>
          <w:color w:val="000000" w:themeColor="text1"/>
          <w:szCs w:val="21"/>
          <w:highlight w:val="none"/>
          <w14:textFill>
            <w14:solidFill>
              <w14:schemeClr w14:val="tx1"/>
            </w14:solidFill>
          </w14:textFill>
        </w:rPr>
        <w:t>甲方职责</w:t>
      </w:r>
    </w:p>
    <w:p w14:paraId="7B79415E">
      <w:pPr>
        <w:widowControl/>
        <w:numPr>
          <w:ilvl w:val="0"/>
          <w:numId w:val="6"/>
        </w:numPr>
        <w:spacing w:line="360" w:lineRule="exact"/>
        <w:jc w:val="left"/>
        <w:rPr>
          <w:rFonts w:ascii="微软雅黑" w:hAnsi="微软雅黑" w:eastAsia="微软雅黑"/>
          <w:color w:val="000000" w:themeColor="text1"/>
          <w:szCs w:val="21"/>
          <w:highlight w:val="none"/>
          <w14:textFill>
            <w14:solidFill>
              <w14:schemeClr w14:val="tx1"/>
            </w14:solidFill>
          </w14:textFill>
        </w:rPr>
      </w:pPr>
      <w:r>
        <w:rPr>
          <w:rFonts w:hint="eastAsia" w:ascii="微软雅黑" w:hAnsi="微软雅黑" w:eastAsia="微软雅黑"/>
          <w:color w:val="000000" w:themeColor="text1"/>
          <w:szCs w:val="21"/>
          <w:highlight w:val="none"/>
          <w14:textFill>
            <w14:solidFill>
              <w14:schemeClr w14:val="tx1"/>
            </w14:solidFill>
          </w14:textFill>
        </w:rPr>
        <w:t>负责施工方的招标和确认，与施工方签订施工合同，并履行施工合同义务。</w:t>
      </w:r>
    </w:p>
    <w:p w14:paraId="0835E11C">
      <w:pPr>
        <w:widowControl/>
        <w:numPr>
          <w:ilvl w:val="0"/>
          <w:numId w:val="6"/>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负责项目的施工报建、消防报建等政府报规报建工作。</w:t>
      </w:r>
    </w:p>
    <w:p w14:paraId="5174232F">
      <w:pPr>
        <w:widowControl/>
        <w:numPr>
          <w:ilvl w:val="0"/>
          <w:numId w:val="6"/>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负责对工程施工全流程的管控，包括进度管理、成本管理、资金计划管理、变更管理、安全管理、质量管理等其他基础工程管理工作。</w:t>
      </w:r>
    </w:p>
    <w:p w14:paraId="5374A3D6">
      <w:pPr>
        <w:widowControl/>
        <w:numPr>
          <w:ilvl w:val="0"/>
          <w:numId w:val="6"/>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负责督促并确保施工方落实</w:t>
      </w:r>
      <w:r>
        <w:rPr>
          <w:rFonts w:hint="eastAsia" w:ascii="微软雅黑" w:hAnsi="微软雅黑" w:eastAsia="微软雅黑"/>
          <w:color w:val="000000" w:themeColor="text1"/>
          <w:szCs w:val="21"/>
          <w:lang w:eastAsia="zh-CN"/>
          <w14:textFill>
            <w14:solidFill>
              <w14:schemeClr w14:val="tx1"/>
            </w14:solidFill>
          </w14:textFill>
        </w:rPr>
        <w:t>运营商</w:t>
      </w:r>
      <w:r>
        <w:rPr>
          <w:rFonts w:hint="eastAsia" w:ascii="微软雅黑" w:hAnsi="微软雅黑" w:eastAsia="微软雅黑"/>
          <w:color w:val="000000" w:themeColor="text1"/>
          <w:szCs w:val="21"/>
          <w14:textFill>
            <w14:solidFill>
              <w14:schemeClr w14:val="tx1"/>
            </w14:solidFill>
          </w14:textFill>
        </w:rPr>
        <w:t>提出的整改要求。</w:t>
      </w:r>
    </w:p>
    <w:p w14:paraId="3C8D4421">
      <w:pPr>
        <w:widowControl/>
        <w:numPr>
          <w:ilvl w:val="0"/>
          <w:numId w:val="6"/>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按照双方确定的时间进度按时完成施工方确认、项目政府报规报建等重要工作。</w:t>
      </w:r>
    </w:p>
    <w:p w14:paraId="6A2641C3">
      <w:pPr>
        <w:widowControl/>
        <w:numPr>
          <w:ilvl w:val="0"/>
          <w:numId w:val="6"/>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负责确保施工方可以按计划完成项目工期。</w:t>
      </w:r>
    </w:p>
    <w:p w14:paraId="144D49A9">
      <w:pPr>
        <w:widowControl/>
        <w:numPr>
          <w:ilvl w:val="0"/>
          <w:numId w:val="6"/>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尊重并认可</w:t>
      </w:r>
      <w:r>
        <w:rPr>
          <w:rFonts w:hint="eastAsia" w:ascii="微软雅黑" w:hAnsi="微软雅黑" w:eastAsia="微软雅黑"/>
          <w:color w:val="000000" w:themeColor="text1"/>
          <w:szCs w:val="21"/>
          <w:lang w:eastAsia="zh-CN"/>
          <w14:textFill>
            <w14:solidFill>
              <w14:schemeClr w14:val="tx1"/>
            </w14:solidFill>
          </w14:textFill>
        </w:rPr>
        <w:t>运营商</w:t>
      </w:r>
      <w:r>
        <w:rPr>
          <w:rFonts w:hint="eastAsia" w:ascii="微软雅黑" w:hAnsi="微软雅黑" w:eastAsia="微软雅黑"/>
          <w:color w:val="000000" w:themeColor="text1"/>
          <w:szCs w:val="21"/>
          <w14:textFill>
            <w14:solidFill>
              <w14:schemeClr w14:val="tx1"/>
            </w14:solidFill>
          </w14:textFill>
        </w:rPr>
        <w:t>依据影响运营的施工工艺、质量、用料未达标的情况对施工方提出的要求，督促施工方按照要求进行施工和整改，并将</w:t>
      </w:r>
      <w:r>
        <w:rPr>
          <w:rFonts w:hint="eastAsia" w:ascii="微软雅黑" w:hAnsi="微软雅黑" w:eastAsia="微软雅黑"/>
          <w:color w:val="000000" w:themeColor="text1"/>
          <w:szCs w:val="21"/>
          <w:lang w:eastAsia="zh-CN"/>
          <w14:textFill>
            <w14:solidFill>
              <w14:schemeClr w14:val="tx1"/>
            </w14:solidFill>
          </w14:textFill>
        </w:rPr>
        <w:t>运营商</w:t>
      </w:r>
      <w:r>
        <w:rPr>
          <w:rFonts w:hint="eastAsia" w:ascii="微软雅黑" w:hAnsi="微软雅黑" w:eastAsia="微软雅黑"/>
          <w:color w:val="000000" w:themeColor="text1"/>
          <w:szCs w:val="21"/>
          <w14:textFill>
            <w14:solidFill>
              <w14:schemeClr w14:val="tx1"/>
            </w14:solidFill>
          </w14:textFill>
        </w:rPr>
        <w:t>的签字确认作为对施工方付款的前置条件。</w:t>
      </w:r>
    </w:p>
    <w:p w14:paraId="59FCD868">
      <w:pPr>
        <w:widowControl/>
        <w:numPr>
          <w:ilvl w:val="0"/>
          <w:numId w:val="6"/>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参考</w:t>
      </w:r>
      <w:r>
        <w:rPr>
          <w:rFonts w:hint="eastAsia" w:ascii="微软雅黑" w:hAnsi="微软雅黑" w:eastAsia="微软雅黑"/>
          <w:color w:val="000000" w:themeColor="text1"/>
          <w:szCs w:val="21"/>
          <w:lang w:eastAsia="zh-CN"/>
          <w14:textFill>
            <w14:solidFill>
              <w14:schemeClr w14:val="tx1"/>
            </w14:solidFill>
          </w14:textFill>
        </w:rPr>
        <w:t>运营商</w:t>
      </w:r>
      <w:r>
        <w:rPr>
          <w:rFonts w:hint="eastAsia" w:ascii="微软雅黑" w:hAnsi="微软雅黑" w:eastAsia="微软雅黑"/>
          <w:color w:val="000000" w:themeColor="text1"/>
          <w:szCs w:val="21"/>
          <w14:textFill>
            <w14:solidFill>
              <w14:schemeClr w14:val="tx1"/>
            </w14:solidFill>
          </w14:textFill>
        </w:rPr>
        <w:t>依据影响运营的施工工艺、质量、用料未达标的情况，对施工方实施罚款或扣款。</w:t>
      </w:r>
    </w:p>
    <w:p w14:paraId="5055416B">
      <w:pPr>
        <w:spacing w:line="360" w:lineRule="exact"/>
        <w:rPr>
          <w:rFonts w:ascii="微软雅黑" w:hAnsi="微软雅黑" w:eastAsia="微软雅黑"/>
          <w:color w:val="000000" w:themeColor="text1"/>
          <w:szCs w:val="21"/>
          <w14:textFill>
            <w14:solidFill>
              <w14:schemeClr w14:val="tx1"/>
            </w14:solidFill>
          </w14:textFill>
        </w:rPr>
      </w:pPr>
    </w:p>
    <w:p w14:paraId="2C31D82C">
      <w:pPr>
        <w:pStyle w:val="9"/>
        <w:numPr>
          <w:ilvl w:val="0"/>
          <w:numId w:val="5"/>
        </w:numPr>
        <w:spacing w:line="360" w:lineRule="exact"/>
        <w:ind w:firstLineChars="0"/>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乙方职责</w:t>
      </w:r>
    </w:p>
    <w:p w14:paraId="527A6E48">
      <w:pPr>
        <w:widowControl/>
        <w:numPr>
          <w:ilvl w:val="0"/>
          <w:numId w:val="7"/>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负责出具在空间方案设计完成后的工程预算参考。</w:t>
      </w:r>
    </w:p>
    <w:p w14:paraId="1512EB2D">
      <w:pPr>
        <w:widowControl/>
        <w:numPr>
          <w:ilvl w:val="0"/>
          <w:numId w:val="7"/>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负责向施工方培训</w:t>
      </w:r>
      <w:r>
        <w:rPr>
          <w:rFonts w:hint="eastAsia" w:ascii="微软雅黑" w:hAnsi="微软雅黑" w:eastAsia="微软雅黑"/>
          <w:color w:val="000000" w:themeColor="text1"/>
          <w:szCs w:val="21"/>
          <w:lang w:eastAsia="zh-CN"/>
          <w14:textFill>
            <w14:solidFill>
              <w14:schemeClr w14:val="tx1"/>
            </w14:solidFill>
          </w14:textFill>
        </w:rPr>
        <w:t>运营商</w:t>
      </w:r>
      <w:r>
        <w:rPr>
          <w:rFonts w:hint="eastAsia" w:ascii="微软雅黑" w:hAnsi="微软雅黑" w:eastAsia="微软雅黑"/>
          <w:color w:val="000000" w:themeColor="text1"/>
          <w:szCs w:val="21"/>
          <w14:textFill>
            <w14:solidFill>
              <w14:schemeClr w14:val="tx1"/>
            </w14:solidFill>
          </w14:textFill>
        </w:rPr>
        <w:t>标准。</w:t>
      </w:r>
    </w:p>
    <w:p w14:paraId="1A5D708B">
      <w:pPr>
        <w:widowControl/>
        <w:numPr>
          <w:ilvl w:val="0"/>
          <w:numId w:val="7"/>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有权要求施工方对施工过程中影响运营的施工工艺、质量、用料等问题进行整改。</w:t>
      </w:r>
    </w:p>
    <w:p w14:paraId="710CAC03">
      <w:pPr>
        <w:widowControl/>
        <w:numPr>
          <w:ilvl w:val="0"/>
          <w:numId w:val="7"/>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负责主导项目工程的隐蔽验收，并有权要求施工方对影响运营的隐蔽工程工艺、质量、用料等问题进行整改。</w:t>
      </w:r>
    </w:p>
    <w:p w14:paraId="3044E590">
      <w:pPr>
        <w:widowControl/>
        <w:numPr>
          <w:ilvl w:val="0"/>
          <w:numId w:val="7"/>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负责主导项目工程的C、B、A级验收，并在验收中有权对影响运营的施工工艺、质量、用料等问题进行整改。</w:t>
      </w:r>
    </w:p>
    <w:p w14:paraId="2EF0F518">
      <w:pPr>
        <w:widowControl/>
        <w:numPr>
          <w:ilvl w:val="0"/>
          <w:numId w:val="7"/>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负责材料样板的确认，保证其符合</w:t>
      </w:r>
      <w:r>
        <w:rPr>
          <w:rFonts w:hint="eastAsia" w:ascii="微软雅黑" w:hAnsi="微软雅黑" w:eastAsia="微软雅黑"/>
          <w:color w:val="000000" w:themeColor="text1"/>
          <w:szCs w:val="21"/>
          <w:lang w:eastAsia="zh-CN"/>
          <w14:textFill>
            <w14:solidFill>
              <w14:schemeClr w14:val="tx1"/>
            </w14:solidFill>
          </w14:textFill>
        </w:rPr>
        <w:t>运营商</w:t>
      </w:r>
      <w:r>
        <w:rPr>
          <w:rFonts w:hint="eastAsia" w:ascii="微软雅黑" w:hAnsi="微软雅黑" w:eastAsia="微软雅黑"/>
          <w:color w:val="000000" w:themeColor="text1"/>
          <w:szCs w:val="21"/>
          <w14:textFill>
            <w14:solidFill>
              <w14:schemeClr w14:val="tx1"/>
            </w14:solidFill>
          </w14:textFill>
        </w:rPr>
        <w:t>产品标准，并有权否决材料样板的签确。</w:t>
      </w:r>
    </w:p>
    <w:p w14:paraId="1647E48E">
      <w:pPr>
        <w:widowControl/>
        <w:numPr>
          <w:ilvl w:val="0"/>
          <w:numId w:val="7"/>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依据影响运营的施工工艺、质量、用料未达标的情况，有权拒绝在施工方各阶段的请款单上签字确认。</w:t>
      </w:r>
    </w:p>
    <w:p w14:paraId="0A29208A">
      <w:pPr>
        <w:widowControl/>
        <w:numPr>
          <w:ilvl w:val="0"/>
          <w:numId w:val="7"/>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依据影响运营的施工工艺、质量、用料未达标的情况，有权拒绝在施工方各阶段的验收单上签字确认。</w:t>
      </w:r>
    </w:p>
    <w:p w14:paraId="241C59D9">
      <w:pPr>
        <w:pStyle w:val="9"/>
        <w:numPr>
          <w:ilvl w:val="0"/>
          <w:numId w:val="7"/>
        </w:numPr>
        <w:spacing w:line="360" w:lineRule="exact"/>
        <w:ind w:firstLineChars="0"/>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依据影响运营的施工工艺、质量、用料未达标的情况，有权向甲方建议对施工方实施罚款或扣款。</w:t>
      </w:r>
    </w:p>
    <w:p w14:paraId="1047FB5D">
      <w:pPr>
        <w:spacing w:line="360" w:lineRule="exact"/>
        <w:jc w:val="left"/>
        <w:rPr>
          <w:rFonts w:ascii="微软雅黑" w:hAnsi="微软雅黑" w:eastAsia="微软雅黑"/>
          <w:b/>
          <w:bCs/>
          <w:color w:val="000000" w:themeColor="text1"/>
          <w:szCs w:val="21"/>
          <w14:textFill>
            <w14:solidFill>
              <w14:schemeClr w14:val="tx1"/>
            </w14:solidFill>
          </w14:textFill>
        </w:rPr>
      </w:pPr>
    </w:p>
    <w:p w14:paraId="59E1C90C">
      <w:pPr>
        <w:pStyle w:val="9"/>
        <w:numPr>
          <w:ilvl w:val="0"/>
          <w:numId w:val="1"/>
        </w:numPr>
        <w:spacing w:line="360" w:lineRule="exact"/>
        <w:ind w:firstLineChars="0"/>
        <w:jc w:val="left"/>
        <w:rPr>
          <w:rFonts w:ascii="微软雅黑" w:hAnsi="微软雅黑" w:eastAsia="微软雅黑"/>
          <w:b/>
          <w:bCs/>
          <w:color w:val="000000" w:themeColor="text1"/>
          <w:szCs w:val="21"/>
          <w14:textFill>
            <w14:solidFill>
              <w14:schemeClr w14:val="tx1"/>
            </w14:solidFill>
          </w14:textFill>
        </w:rPr>
      </w:pPr>
      <w:r>
        <w:rPr>
          <w:rFonts w:hint="eastAsia" w:ascii="微软雅黑" w:hAnsi="微软雅黑" w:eastAsia="微软雅黑"/>
          <w:b/>
          <w:bCs/>
          <w:color w:val="000000" w:themeColor="text1"/>
          <w:szCs w:val="21"/>
          <w14:textFill>
            <w14:solidFill>
              <w14:schemeClr w14:val="tx1"/>
            </w14:solidFill>
          </w14:textFill>
        </w:rPr>
        <w:t>甲方授权</w:t>
      </w:r>
    </w:p>
    <w:p w14:paraId="5FA15311">
      <w:pPr>
        <w:spacing w:line="360" w:lineRule="exact"/>
        <w:ind w:firstLine="420" w:firstLineChars="200"/>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为确保乙方可以有效的管控工程施工工艺、质量、用料，并交付出符合乙方标准的空间，进而帮助甲方在后期招商运营和物业增值上提供基础，甲方需要在工程管控上对乙方进行一定程度的授权，授权方式包含：</w:t>
      </w:r>
    </w:p>
    <w:p w14:paraId="672A84F7">
      <w:pPr>
        <w:widowControl/>
        <w:numPr>
          <w:ilvl w:val="0"/>
          <w:numId w:val="8"/>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在与施工方的合同签订时，甲方需与施工方、</w:t>
      </w:r>
      <w:r>
        <w:rPr>
          <w:rFonts w:hint="eastAsia" w:ascii="微软雅黑" w:hAnsi="微软雅黑" w:eastAsia="微软雅黑"/>
          <w:color w:val="000000" w:themeColor="text1"/>
          <w:szCs w:val="21"/>
          <w:lang w:eastAsia="zh-CN"/>
          <w14:textFill>
            <w14:solidFill>
              <w14:schemeClr w14:val="tx1"/>
            </w14:solidFill>
          </w14:textFill>
        </w:rPr>
        <w:t>运营商</w:t>
      </w:r>
      <w:r>
        <w:rPr>
          <w:rFonts w:hint="eastAsia" w:ascii="微软雅黑" w:hAnsi="微软雅黑" w:eastAsia="微软雅黑"/>
          <w:color w:val="000000" w:themeColor="text1"/>
          <w:szCs w:val="21"/>
          <w14:textFill>
            <w14:solidFill>
              <w14:schemeClr w14:val="tx1"/>
            </w14:solidFill>
          </w14:textFill>
        </w:rPr>
        <w:t>三方共同签订施工质量管控授权书，授权</w:t>
      </w:r>
      <w:r>
        <w:rPr>
          <w:rFonts w:hint="eastAsia" w:ascii="微软雅黑" w:hAnsi="微软雅黑" w:eastAsia="微软雅黑"/>
          <w:color w:val="000000" w:themeColor="text1"/>
          <w:szCs w:val="21"/>
          <w:lang w:eastAsia="zh-CN"/>
          <w14:textFill>
            <w14:solidFill>
              <w14:schemeClr w14:val="tx1"/>
            </w14:solidFill>
          </w14:textFill>
        </w:rPr>
        <w:t>运营商</w:t>
      </w:r>
      <w:r>
        <w:rPr>
          <w:rFonts w:hint="eastAsia" w:ascii="微软雅黑" w:hAnsi="微软雅黑" w:eastAsia="微软雅黑"/>
          <w:color w:val="000000" w:themeColor="text1"/>
          <w:szCs w:val="21"/>
          <w14:textFill>
            <w14:solidFill>
              <w14:schemeClr w14:val="tx1"/>
            </w14:solidFill>
          </w14:textFill>
        </w:rPr>
        <w:t>针对项目工程影响运营的施工工艺、质量及用料进行管控，且施工方接受</w:t>
      </w:r>
      <w:r>
        <w:rPr>
          <w:rFonts w:hint="eastAsia" w:ascii="微软雅黑" w:hAnsi="微软雅黑" w:eastAsia="微软雅黑"/>
          <w:color w:val="000000" w:themeColor="text1"/>
          <w:szCs w:val="21"/>
          <w:lang w:eastAsia="zh-CN"/>
          <w14:textFill>
            <w14:solidFill>
              <w14:schemeClr w14:val="tx1"/>
            </w14:solidFill>
          </w14:textFill>
        </w:rPr>
        <w:t>运营商</w:t>
      </w:r>
      <w:r>
        <w:rPr>
          <w:rFonts w:hint="eastAsia" w:ascii="微软雅黑" w:hAnsi="微软雅黑" w:eastAsia="微软雅黑"/>
          <w:color w:val="000000" w:themeColor="text1"/>
          <w:szCs w:val="21"/>
          <w14:textFill>
            <w14:solidFill>
              <w14:schemeClr w14:val="tx1"/>
            </w14:solidFill>
          </w14:textFill>
        </w:rPr>
        <w:t>的管理要求。</w:t>
      </w:r>
    </w:p>
    <w:p w14:paraId="77738D13">
      <w:pPr>
        <w:widowControl/>
        <w:numPr>
          <w:ilvl w:val="0"/>
          <w:numId w:val="8"/>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项目启动会上，由甲方按照与施工方、</w:t>
      </w:r>
      <w:r>
        <w:rPr>
          <w:rFonts w:hint="eastAsia" w:ascii="微软雅黑" w:hAnsi="微软雅黑" w:eastAsia="微软雅黑"/>
          <w:color w:val="000000" w:themeColor="text1"/>
          <w:szCs w:val="21"/>
          <w:lang w:eastAsia="zh-CN"/>
          <w14:textFill>
            <w14:solidFill>
              <w14:schemeClr w14:val="tx1"/>
            </w14:solidFill>
          </w14:textFill>
        </w:rPr>
        <w:t>运营商</w:t>
      </w:r>
      <w:r>
        <w:rPr>
          <w:rFonts w:hint="eastAsia" w:ascii="微软雅黑" w:hAnsi="微软雅黑" w:eastAsia="微软雅黑"/>
          <w:color w:val="000000" w:themeColor="text1"/>
          <w:szCs w:val="21"/>
          <w14:textFill>
            <w14:solidFill>
              <w14:schemeClr w14:val="tx1"/>
            </w14:solidFill>
          </w14:textFill>
        </w:rPr>
        <w:t>三方签订的管控授权书，向施工方介绍并确立</w:t>
      </w:r>
      <w:r>
        <w:rPr>
          <w:rFonts w:hint="eastAsia" w:ascii="微软雅黑" w:hAnsi="微软雅黑" w:eastAsia="微软雅黑"/>
          <w:color w:val="000000" w:themeColor="text1"/>
          <w:szCs w:val="21"/>
          <w:lang w:eastAsia="zh-CN"/>
          <w14:textFill>
            <w14:solidFill>
              <w14:schemeClr w14:val="tx1"/>
            </w14:solidFill>
          </w14:textFill>
        </w:rPr>
        <w:t>运营商</w:t>
      </w:r>
      <w:r>
        <w:rPr>
          <w:rFonts w:hint="eastAsia" w:ascii="微软雅黑" w:hAnsi="微软雅黑" w:eastAsia="微软雅黑"/>
          <w:color w:val="000000" w:themeColor="text1"/>
          <w:szCs w:val="21"/>
          <w14:textFill>
            <w14:solidFill>
              <w14:schemeClr w14:val="tx1"/>
            </w14:solidFill>
          </w14:textFill>
        </w:rPr>
        <w:t>在该项目的管理人员以及确立其管理权限。</w:t>
      </w:r>
    </w:p>
    <w:p w14:paraId="4370DE0C">
      <w:pPr>
        <w:widowControl/>
        <w:numPr>
          <w:ilvl w:val="0"/>
          <w:numId w:val="8"/>
        </w:numPr>
        <w:spacing w:line="360" w:lineRule="exact"/>
        <w:jc w:val="lef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甲方授权给</w:t>
      </w:r>
      <w:r>
        <w:rPr>
          <w:rFonts w:hint="eastAsia" w:ascii="微软雅黑" w:hAnsi="微软雅黑" w:eastAsia="微软雅黑"/>
          <w:color w:val="000000" w:themeColor="text1"/>
          <w:szCs w:val="21"/>
          <w:lang w:eastAsia="zh-CN"/>
          <w14:textFill>
            <w14:solidFill>
              <w14:schemeClr w14:val="tx1"/>
            </w14:solidFill>
          </w14:textFill>
        </w:rPr>
        <w:t>运营商</w:t>
      </w:r>
      <w:r>
        <w:rPr>
          <w:rFonts w:hint="eastAsia" w:ascii="微软雅黑" w:hAnsi="微软雅黑" w:eastAsia="微软雅黑"/>
          <w:color w:val="000000" w:themeColor="text1"/>
          <w:szCs w:val="21"/>
          <w14:textFill>
            <w14:solidFill>
              <w14:schemeClr w14:val="tx1"/>
            </w14:solidFill>
          </w14:textFill>
        </w:rPr>
        <w:t>依据影响运营的施工工艺、质量、用料的情况，作为施工方收款的必要条件。</w:t>
      </w:r>
    </w:p>
    <w:p w14:paraId="73820F88">
      <w:pPr>
        <w:widowControl/>
        <w:spacing w:line="360" w:lineRule="exact"/>
        <w:jc w:val="left"/>
        <w:rPr>
          <w:rFonts w:ascii="微软雅黑" w:hAnsi="微软雅黑" w:eastAsia="微软雅黑" w:cs="Arial"/>
          <w:color w:val="000000"/>
          <w:kern w:val="0"/>
          <w:sz w:val="24"/>
          <w:lang w:bidi="ar"/>
        </w:rPr>
      </w:pPr>
    </w:p>
    <w:p w14:paraId="1A4F0FF2">
      <w:pPr>
        <w:pStyle w:val="9"/>
        <w:numPr>
          <w:ilvl w:val="0"/>
          <w:numId w:val="1"/>
        </w:numPr>
        <w:spacing w:line="360" w:lineRule="exact"/>
        <w:ind w:firstLineChars="0"/>
        <w:rPr>
          <w:rFonts w:ascii="微软雅黑" w:hAnsi="微软雅黑" w:eastAsia="微软雅黑"/>
          <w:b/>
          <w:bCs/>
          <w:color w:val="000000" w:themeColor="text1"/>
          <w:szCs w:val="21"/>
          <w14:textFill>
            <w14:solidFill>
              <w14:schemeClr w14:val="tx1"/>
            </w14:solidFill>
          </w14:textFill>
        </w:rPr>
      </w:pPr>
      <w:r>
        <w:rPr>
          <w:rFonts w:hint="eastAsia" w:ascii="微软雅黑" w:hAnsi="微软雅黑" w:eastAsia="微软雅黑"/>
          <w:b/>
          <w:bCs/>
          <w:color w:val="000000" w:themeColor="text1"/>
          <w:szCs w:val="21"/>
          <w14:textFill>
            <w14:solidFill>
              <w14:schemeClr w14:val="tx1"/>
            </w14:solidFill>
          </w14:textFill>
        </w:rPr>
        <w:t>工作流程</w:t>
      </w:r>
    </w:p>
    <w:tbl>
      <w:tblPr>
        <w:tblStyle w:val="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
        <w:gridCol w:w="1833"/>
        <w:gridCol w:w="1087"/>
        <w:gridCol w:w="4838"/>
      </w:tblGrid>
      <w:tr w14:paraId="7F91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06" w:type="dxa"/>
            <w:shd w:val="clear" w:color="auto" w:fill="000000"/>
            <w:vAlign w:val="center"/>
          </w:tcPr>
          <w:p w14:paraId="15BA079F">
            <w:pPr>
              <w:widowControl/>
              <w:spacing w:line="300" w:lineRule="exact"/>
              <w:jc w:val="center"/>
              <w:rPr>
                <w:rFonts w:ascii="微软雅黑" w:hAnsi="微软雅黑" w:eastAsia="微软雅黑" w:cs="Arial"/>
                <w:color w:val="FFFFFF"/>
                <w:kern w:val="0"/>
                <w:sz w:val="18"/>
                <w:szCs w:val="18"/>
                <w:lang w:bidi="ar"/>
              </w:rPr>
            </w:pPr>
            <w:r>
              <w:rPr>
                <w:rFonts w:hint="eastAsia" w:ascii="微软雅黑" w:hAnsi="微软雅黑" w:eastAsia="微软雅黑" w:cs="Arial"/>
                <w:color w:val="FFFFFF"/>
                <w:kern w:val="0"/>
                <w:sz w:val="18"/>
                <w:szCs w:val="18"/>
                <w:lang w:bidi="ar"/>
              </w:rPr>
              <w:t>序号</w:t>
            </w:r>
          </w:p>
        </w:tc>
        <w:tc>
          <w:tcPr>
            <w:tcW w:w="1833" w:type="dxa"/>
            <w:shd w:val="clear" w:color="auto" w:fill="000000"/>
            <w:vAlign w:val="center"/>
          </w:tcPr>
          <w:p w14:paraId="674E0E1C">
            <w:pPr>
              <w:widowControl/>
              <w:spacing w:line="300" w:lineRule="exact"/>
              <w:jc w:val="center"/>
              <w:rPr>
                <w:rFonts w:ascii="微软雅黑" w:hAnsi="微软雅黑" w:eastAsia="微软雅黑" w:cs="Arial"/>
                <w:color w:val="FFFFFF"/>
                <w:kern w:val="0"/>
                <w:sz w:val="18"/>
                <w:szCs w:val="18"/>
                <w:lang w:bidi="ar"/>
              </w:rPr>
            </w:pPr>
            <w:r>
              <w:rPr>
                <w:rFonts w:hint="eastAsia" w:ascii="微软雅黑" w:hAnsi="微软雅黑" w:eastAsia="微软雅黑" w:cs="Arial"/>
                <w:color w:val="FFFFFF"/>
                <w:kern w:val="0"/>
                <w:sz w:val="18"/>
                <w:szCs w:val="18"/>
                <w:lang w:bidi="ar"/>
              </w:rPr>
              <w:t>工作流程</w:t>
            </w:r>
          </w:p>
        </w:tc>
        <w:tc>
          <w:tcPr>
            <w:tcW w:w="1087" w:type="dxa"/>
            <w:shd w:val="clear" w:color="auto" w:fill="000000"/>
            <w:vAlign w:val="center"/>
          </w:tcPr>
          <w:p w14:paraId="46E1158D">
            <w:pPr>
              <w:widowControl/>
              <w:spacing w:line="300" w:lineRule="exact"/>
              <w:jc w:val="center"/>
              <w:rPr>
                <w:rFonts w:ascii="微软雅黑" w:hAnsi="微软雅黑" w:eastAsia="微软雅黑" w:cs="Arial"/>
                <w:color w:val="FFFFFF"/>
                <w:kern w:val="0"/>
                <w:sz w:val="18"/>
                <w:szCs w:val="18"/>
                <w:lang w:bidi="ar"/>
              </w:rPr>
            </w:pPr>
            <w:r>
              <w:rPr>
                <w:rFonts w:hint="eastAsia" w:ascii="微软雅黑" w:hAnsi="微软雅黑" w:eastAsia="微软雅黑" w:cs="Arial"/>
                <w:color w:val="FFFFFF"/>
                <w:kern w:val="0"/>
                <w:sz w:val="18"/>
                <w:szCs w:val="18"/>
                <w:lang w:bidi="ar"/>
              </w:rPr>
              <w:t>责任方</w:t>
            </w:r>
          </w:p>
        </w:tc>
        <w:tc>
          <w:tcPr>
            <w:tcW w:w="4838" w:type="dxa"/>
            <w:shd w:val="clear" w:color="auto" w:fill="000000"/>
            <w:vAlign w:val="center"/>
          </w:tcPr>
          <w:p w14:paraId="235B0533">
            <w:pPr>
              <w:widowControl/>
              <w:spacing w:line="300" w:lineRule="exact"/>
              <w:jc w:val="center"/>
              <w:rPr>
                <w:rFonts w:ascii="微软雅黑" w:hAnsi="微软雅黑" w:eastAsia="微软雅黑" w:cs="Arial"/>
                <w:color w:val="FFFFFF"/>
                <w:kern w:val="0"/>
                <w:sz w:val="18"/>
                <w:szCs w:val="18"/>
                <w:lang w:bidi="ar"/>
              </w:rPr>
            </w:pPr>
            <w:r>
              <w:rPr>
                <w:rFonts w:hint="eastAsia" w:ascii="微软雅黑" w:hAnsi="微软雅黑" w:eastAsia="微软雅黑" w:cs="Arial"/>
                <w:color w:val="FFFFFF"/>
                <w:kern w:val="0"/>
                <w:sz w:val="18"/>
                <w:szCs w:val="18"/>
                <w:lang w:bidi="ar"/>
              </w:rPr>
              <w:t>流程说明</w:t>
            </w:r>
          </w:p>
        </w:tc>
      </w:tr>
      <w:tr w14:paraId="2F04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606" w:type="dxa"/>
            <w:shd w:val="clear" w:color="auto" w:fill="E7E7E7"/>
            <w:vAlign w:val="center"/>
          </w:tcPr>
          <w:p w14:paraId="61293E27">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1</w:t>
            </w:r>
          </w:p>
        </w:tc>
        <w:tc>
          <w:tcPr>
            <w:tcW w:w="1833" w:type="dxa"/>
            <w:shd w:val="clear" w:color="auto" w:fill="E7E7E7"/>
            <w:vAlign w:val="center"/>
          </w:tcPr>
          <w:p w14:paraId="4B9A38E7">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项目筹开工程管控小组组建</w:t>
            </w:r>
          </w:p>
        </w:tc>
        <w:tc>
          <w:tcPr>
            <w:tcW w:w="1087" w:type="dxa"/>
            <w:shd w:val="clear" w:color="auto" w:fill="E7E7E7"/>
            <w:vAlign w:val="center"/>
          </w:tcPr>
          <w:p w14:paraId="6758B47E">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w:t>
            </w:r>
          </w:p>
        </w:tc>
        <w:tc>
          <w:tcPr>
            <w:tcW w:w="4838" w:type="dxa"/>
            <w:shd w:val="clear" w:color="auto" w:fill="E7E7E7"/>
            <w:vAlign w:val="center"/>
          </w:tcPr>
          <w:p w14:paraId="1640EF81">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本合同生效后，由双方按合同约定共同指派本项目的负责人，</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DESC派出工程管理专家、产品专家、IT工程专家、合约预算专家与甲方的工程负责人、设计负责人、采购负责人组成工程管控小组并举行首次小组会议。</w:t>
            </w:r>
          </w:p>
        </w:tc>
      </w:tr>
      <w:tr w14:paraId="390E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606" w:type="dxa"/>
            <w:shd w:val="clear" w:color="auto" w:fill="FFFFFF"/>
            <w:vAlign w:val="center"/>
          </w:tcPr>
          <w:p w14:paraId="3F14E74F">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2</w:t>
            </w:r>
          </w:p>
        </w:tc>
        <w:tc>
          <w:tcPr>
            <w:tcW w:w="1833" w:type="dxa"/>
            <w:shd w:val="clear" w:color="auto" w:fill="FFFFFF"/>
            <w:vAlign w:val="center"/>
          </w:tcPr>
          <w:p w14:paraId="7E7CB5BB">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甲方内部立项</w:t>
            </w:r>
          </w:p>
        </w:tc>
        <w:tc>
          <w:tcPr>
            <w:tcW w:w="1087" w:type="dxa"/>
            <w:shd w:val="clear" w:color="auto" w:fill="FFFFFF"/>
            <w:vAlign w:val="center"/>
          </w:tcPr>
          <w:p w14:paraId="1FE825AD">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w:t>
            </w:r>
          </w:p>
        </w:tc>
        <w:tc>
          <w:tcPr>
            <w:tcW w:w="4838" w:type="dxa"/>
            <w:shd w:val="clear" w:color="auto" w:fill="FFFFFF"/>
            <w:vAlign w:val="center"/>
          </w:tcPr>
          <w:p w14:paraId="52BBD283">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甲方内部立项流程，可能涉及第三方可行性调研报告、尽职调查等资料作为支撑材料，第三方资料准备及甲方内部上会流程可能较长。</w:t>
            </w:r>
          </w:p>
        </w:tc>
      </w:tr>
      <w:tr w14:paraId="3095C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606" w:type="dxa"/>
            <w:shd w:val="clear" w:color="auto" w:fill="E7E7E7"/>
            <w:vAlign w:val="center"/>
          </w:tcPr>
          <w:p w14:paraId="1F86F0A6">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3</w:t>
            </w:r>
          </w:p>
        </w:tc>
        <w:tc>
          <w:tcPr>
            <w:tcW w:w="1833" w:type="dxa"/>
            <w:shd w:val="clear" w:color="auto" w:fill="E7E7E7"/>
            <w:vAlign w:val="center"/>
          </w:tcPr>
          <w:p w14:paraId="4C2BAC42">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设计招标（如需）</w:t>
            </w:r>
          </w:p>
        </w:tc>
        <w:tc>
          <w:tcPr>
            <w:tcW w:w="1087" w:type="dxa"/>
            <w:shd w:val="clear" w:color="auto" w:fill="E7E7E7"/>
            <w:vAlign w:val="center"/>
          </w:tcPr>
          <w:p w14:paraId="4CB4E2F8">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w:t>
            </w:r>
          </w:p>
        </w:tc>
        <w:tc>
          <w:tcPr>
            <w:tcW w:w="4838" w:type="dxa"/>
            <w:shd w:val="clear" w:color="auto" w:fill="E7E7E7"/>
            <w:vAlign w:val="center"/>
          </w:tcPr>
          <w:p w14:paraId="61F9EE5A">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根据甲方内部流程安排，可能需要就设计单位进行招投标工作，该工作由甲方主导负责，完成设计标的挂网、发标、中标及合同签订。</w:t>
            </w:r>
          </w:p>
        </w:tc>
      </w:tr>
      <w:tr w14:paraId="4F834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606" w:type="dxa"/>
            <w:shd w:val="clear" w:color="auto" w:fill="FFFFFF"/>
            <w:vAlign w:val="center"/>
          </w:tcPr>
          <w:p w14:paraId="52ACDBEC">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4</w:t>
            </w:r>
          </w:p>
        </w:tc>
        <w:tc>
          <w:tcPr>
            <w:tcW w:w="1833" w:type="dxa"/>
            <w:shd w:val="clear" w:color="auto" w:fill="FFFFFF"/>
            <w:vAlign w:val="center"/>
          </w:tcPr>
          <w:p w14:paraId="79E65A39">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空间方案设计</w:t>
            </w:r>
          </w:p>
        </w:tc>
        <w:tc>
          <w:tcPr>
            <w:tcW w:w="1087" w:type="dxa"/>
            <w:shd w:val="clear" w:color="auto" w:fill="FFFFFF"/>
            <w:vAlign w:val="center"/>
          </w:tcPr>
          <w:p w14:paraId="3E5B1D3F">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设计方</w:t>
            </w:r>
          </w:p>
        </w:tc>
        <w:tc>
          <w:tcPr>
            <w:tcW w:w="4838" w:type="dxa"/>
            <w:shd w:val="clear" w:color="auto" w:fill="FFFFFF"/>
            <w:vAlign w:val="center"/>
          </w:tcPr>
          <w:p w14:paraId="6F86C797">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由甲方签订的设计单位按照《</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产品标准手册3.0》完成空间方案的设计，过程中由</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DESC的产品专家把控设计方案。</w:t>
            </w:r>
          </w:p>
        </w:tc>
      </w:tr>
      <w:tr w14:paraId="1F2F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606" w:type="dxa"/>
            <w:shd w:val="clear" w:color="auto" w:fill="E7E7E7"/>
            <w:vAlign w:val="center"/>
          </w:tcPr>
          <w:p w14:paraId="7609465D">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5</w:t>
            </w:r>
          </w:p>
        </w:tc>
        <w:tc>
          <w:tcPr>
            <w:tcW w:w="1833" w:type="dxa"/>
            <w:shd w:val="clear" w:color="auto" w:fill="E7E7E7"/>
            <w:vAlign w:val="center"/>
          </w:tcPr>
          <w:p w14:paraId="6F6454DB">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出具项目工程预算参考</w:t>
            </w:r>
          </w:p>
        </w:tc>
        <w:tc>
          <w:tcPr>
            <w:tcW w:w="1087" w:type="dxa"/>
            <w:shd w:val="clear" w:color="auto" w:fill="E7E7E7"/>
            <w:vAlign w:val="center"/>
          </w:tcPr>
          <w:p w14:paraId="202354E1">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w:t>
            </w:r>
          </w:p>
        </w:tc>
        <w:tc>
          <w:tcPr>
            <w:tcW w:w="4838" w:type="dxa"/>
            <w:shd w:val="clear" w:color="auto" w:fill="E7E7E7"/>
            <w:vAlign w:val="center"/>
          </w:tcPr>
          <w:p w14:paraId="580A1EA1">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拿到全套设计成果后，由</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DESC的合约预算专家对整套方案进行预算清单编制，向甲方出具预算参考，并给出预算专业意见。</w:t>
            </w:r>
          </w:p>
        </w:tc>
      </w:tr>
      <w:tr w14:paraId="4C5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606" w:type="dxa"/>
            <w:shd w:val="clear" w:color="auto" w:fill="FFFFFF"/>
            <w:vAlign w:val="center"/>
          </w:tcPr>
          <w:p w14:paraId="406BE2F5">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6</w:t>
            </w:r>
          </w:p>
        </w:tc>
        <w:tc>
          <w:tcPr>
            <w:tcW w:w="1833" w:type="dxa"/>
            <w:shd w:val="clear" w:color="auto" w:fill="FFFFFF"/>
            <w:vAlign w:val="center"/>
          </w:tcPr>
          <w:p w14:paraId="25FB61B6">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施工招标（如需）</w:t>
            </w:r>
          </w:p>
        </w:tc>
        <w:tc>
          <w:tcPr>
            <w:tcW w:w="1087" w:type="dxa"/>
            <w:shd w:val="clear" w:color="auto" w:fill="FFFFFF"/>
            <w:vAlign w:val="center"/>
          </w:tcPr>
          <w:p w14:paraId="4688C0B6">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w:t>
            </w:r>
          </w:p>
        </w:tc>
        <w:tc>
          <w:tcPr>
            <w:tcW w:w="4838" w:type="dxa"/>
            <w:shd w:val="clear" w:color="auto" w:fill="FFFFFF"/>
            <w:vAlign w:val="center"/>
          </w:tcPr>
          <w:p w14:paraId="00A8E8F2">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根据甲方内部流程安排，可能需要就施工单位进行招投标工作，该工作由甲方主导负责，完成施工标的挂网、发标、中标及合同签订。</w:t>
            </w:r>
          </w:p>
        </w:tc>
      </w:tr>
      <w:tr w14:paraId="36A1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trPr>
        <w:tc>
          <w:tcPr>
            <w:tcW w:w="606" w:type="dxa"/>
            <w:shd w:val="clear" w:color="auto" w:fill="E7E7E7"/>
            <w:vAlign w:val="center"/>
          </w:tcPr>
          <w:p w14:paraId="1DEA39B3">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7</w:t>
            </w:r>
          </w:p>
        </w:tc>
        <w:tc>
          <w:tcPr>
            <w:tcW w:w="1833" w:type="dxa"/>
            <w:shd w:val="clear" w:color="auto" w:fill="E7E7E7"/>
            <w:vAlign w:val="center"/>
          </w:tcPr>
          <w:p w14:paraId="4765BA33">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确定施工单位</w:t>
            </w:r>
          </w:p>
        </w:tc>
        <w:tc>
          <w:tcPr>
            <w:tcW w:w="1087" w:type="dxa"/>
            <w:shd w:val="clear" w:color="auto" w:fill="E7E7E7"/>
            <w:vAlign w:val="center"/>
          </w:tcPr>
          <w:p w14:paraId="33E243E3">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w:t>
            </w:r>
          </w:p>
        </w:tc>
        <w:tc>
          <w:tcPr>
            <w:tcW w:w="4838" w:type="dxa"/>
            <w:shd w:val="clear" w:color="auto" w:fill="E7E7E7"/>
            <w:vAlign w:val="center"/>
          </w:tcPr>
          <w:p w14:paraId="6D9896E6">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由甲方负责自行完成施工单位的招投标工作（如有）及确定工作，并与甲方签订施工合同，其中需要甲方、施工方、</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三方签署施工质量管控授权书。</w:t>
            </w:r>
          </w:p>
        </w:tc>
      </w:tr>
      <w:tr w14:paraId="1CD0E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606" w:type="dxa"/>
            <w:shd w:val="clear" w:color="auto" w:fill="FFFFFF"/>
            <w:vAlign w:val="center"/>
          </w:tcPr>
          <w:p w14:paraId="3B494669">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8</w:t>
            </w:r>
          </w:p>
        </w:tc>
        <w:tc>
          <w:tcPr>
            <w:tcW w:w="1833" w:type="dxa"/>
            <w:shd w:val="clear" w:color="auto" w:fill="FFFFFF"/>
            <w:vAlign w:val="center"/>
          </w:tcPr>
          <w:p w14:paraId="1670FF8C">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项目施工启动会</w:t>
            </w:r>
          </w:p>
        </w:tc>
        <w:tc>
          <w:tcPr>
            <w:tcW w:w="1087" w:type="dxa"/>
            <w:shd w:val="clear" w:color="auto" w:fill="FFFFFF"/>
            <w:vAlign w:val="center"/>
          </w:tcPr>
          <w:p w14:paraId="3096A664">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w:t>
            </w:r>
          </w:p>
        </w:tc>
        <w:tc>
          <w:tcPr>
            <w:tcW w:w="4838" w:type="dxa"/>
            <w:shd w:val="clear" w:color="auto" w:fill="FFFFFF"/>
            <w:vAlign w:val="center"/>
          </w:tcPr>
          <w:p w14:paraId="3D82A80A">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甲方组织施工方、</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DESC举行项目启动会，向施工方介绍并确立</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在该项目的管理人员以及确立其管理权限，完成授权。</w:t>
            </w:r>
          </w:p>
        </w:tc>
      </w:tr>
      <w:tr w14:paraId="10FD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606" w:type="dxa"/>
            <w:shd w:val="clear" w:color="auto" w:fill="E7E7E7"/>
            <w:vAlign w:val="center"/>
          </w:tcPr>
          <w:p w14:paraId="784AD0F8">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9</w:t>
            </w:r>
          </w:p>
        </w:tc>
        <w:tc>
          <w:tcPr>
            <w:tcW w:w="1833" w:type="dxa"/>
            <w:shd w:val="clear" w:color="auto" w:fill="E7E7E7"/>
            <w:vAlign w:val="center"/>
          </w:tcPr>
          <w:p w14:paraId="26F9519F">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施工单位培训</w:t>
            </w:r>
          </w:p>
        </w:tc>
        <w:tc>
          <w:tcPr>
            <w:tcW w:w="1087" w:type="dxa"/>
            <w:shd w:val="clear" w:color="auto" w:fill="E7E7E7"/>
            <w:vAlign w:val="center"/>
          </w:tcPr>
          <w:p w14:paraId="7D647EC3">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w:t>
            </w:r>
          </w:p>
        </w:tc>
        <w:tc>
          <w:tcPr>
            <w:tcW w:w="4838" w:type="dxa"/>
            <w:shd w:val="clear" w:color="auto" w:fill="E7E7E7"/>
            <w:vAlign w:val="center"/>
          </w:tcPr>
          <w:p w14:paraId="52C92DCD">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施工单位确定后，需第一时间接受</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DESC组织的培训，了解</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施工工艺标准，并签署施工标准目标。</w:t>
            </w:r>
          </w:p>
        </w:tc>
      </w:tr>
      <w:tr w14:paraId="0DE0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606" w:type="dxa"/>
            <w:shd w:val="clear" w:color="auto" w:fill="FFFFFF"/>
            <w:vAlign w:val="center"/>
          </w:tcPr>
          <w:p w14:paraId="0804D326">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10</w:t>
            </w:r>
          </w:p>
        </w:tc>
        <w:tc>
          <w:tcPr>
            <w:tcW w:w="1833" w:type="dxa"/>
            <w:shd w:val="clear" w:color="auto" w:fill="FFFFFF"/>
            <w:vAlign w:val="center"/>
          </w:tcPr>
          <w:p w14:paraId="059812D5">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采购招标（如需）</w:t>
            </w:r>
          </w:p>
        </w:tc>
        <w:tc>
          <w:tcPr>
            <w:tcW w:w="1087" w:type="dxa"/>
            <w:shd w:val="clear" w:color="auto" w:fill="FFFFFF"/>
            <w:vAlign w:val="center"/>
          </w:tcPr>
          <w:p w14:paraId="1C1FCE73">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w:t>
            </w:r>
          </w:p>
        </w:tc>
        <w:tc>
          <w:tcPr>
            <w:tcW w:w="4838" w:type="dxa"/>
            <w:shd w:val="clear" w:color="auto" w:fill="FFFFFF"/>
            <w:vAlign w:val="center"/>
          </w:tcPr>
          <w:p w14:paraId="53FCBC61">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根据甲方内部流程安排，可能需要就采购单位进行招投标工作，该工作由甲方主导负责，完成采购标的挂网、发标、中标及合同签订。</w:t>
            </w:r>
          </w:p>
        </w:tc>
      </w:tr>
      <w:tr w14:paraId="47FB8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606" w:type="dxa"/>
            <w:shd w:val="clear" w:color="auto" w:fill="E7E7E7"/>
            <w:vAlign w:val="center"/>
          </w:tcPr>
          <w:p w14:paraId="5DB44C8C">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11</w:t>
            </w:r>
          </w:p>
        </w:tc>
        <w:tc>
          <w:tcPr>
            <w:tcW w:w="1833" w:type="dxa"/>
            <w:shd w:val="clear" w:color="auto" w:fill="E7E7E7"/>
            <w:vAlign w:val="center"/>
          </w:tcPr>
          <w:p w14:paraId="37033DB3">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项目施工政府报建</w:t>
            </w:r>
          </w:p>
        </w:tc>
        <w:tc>
          <w:tcPr>
            <w:tcW w:w="1087" w:type="dxa"/>
            <w:shd w:val="clear" w:color="auto" w:fill="E7E7E7"/>
            <w:vAlign w:val="center"/>
          </w:tcPr>
          <w:p w14:paraId="586E9262">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w:t>
            </w:r>
          </w:p>
        </w:tc>
        <w:tc>
          <w:tcPr>
            <w:tcW w:w="4838" w:type="dxa"/>
            <w:shd w:val="clear" w:color="auto" w:fill="E7E7E7"/>
            <w:vAlign w:val="center"/>
          </w:tcPr>
          <w:p w14:paraId="414A530B">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项目进场前需要由甲方负责完成项目施工的政府报建工作，该工作也可由甲方委托施工方完成。</w:t>
            </w:r>
          </w:p>
        </w:tc>
      </w:tr>
      <w:tr w14:paraId="6509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606" w:type="dxa"/>
            <w:shd w:val="clear" w:color="auto" w:fill="FFFFFF"/>
            <w:vAlign w:val="center"/>
          </w:tcPr>
          <w:p w14:paraId="3C29C51A">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12</w:t>
            </w:r>
          </w:p>
        </w:tc>
        <w:tc>
          <w:tcPr>
            <w:tcW w:w="1833" w:type="dxa"/>
            <w:shd w:val="clear" w:color="auto" w:fill="FFFFFF"/>
            <w:vAlign w:val="center"/>
          </w:tcPr>
          <w:p w14:paraId="19C7FE4D">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进场施工</w:t>
            </w:r>
          </w:p>
        </w:tc>
        <w:tc>
          <w:tcPr>
            <w:tcW w:w="1087" w:type="dxa"/>
            <w:shd w:val="clear" w:color="auto" w:fill="FFFFFF"/>
            <w:vAlign w:val="center"/>
          </w:tcPr>
          <w:p w14:paraId="1A9085DA">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w:t>
            </w:r>
          </w:p>
        </w:tc>
        <w:tc>
          <w:tcPr>
            <w:tcW w:w="4838" w:type="dxa"/>
            <w:shd w:val="clear" w:color="auto" w:fill="FFFFFF"/>
            <w:vAlign w:val="center"/>
          </w:tcPr>
          <w:p w14:paraId="2B2BA427">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在准备工作完成以后，施工方便可进场进行施工。过程中</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DESC会在项目实施过程中以运营方的角度前往项目进行</w:t>
            </w:r>
            <w:r>
              <w:rPr>
                <w:rFonts w:hint="eastAsia" w:ascii="微软雅黑" w:hAnsi="微软雅黑" w:eastAsia="微软雅黑" w:cs="Arial"/>
                <w:color w:val="000000"/>
                <w:kern w:val="0"/>
                <w:sz w:val="18"/>
                <w:szCs w:val="18"/>
                <w:lang w:val="en-US" w:eastAsia="zh-CN" w:bidi="ar"/>
              </w:rPr>
              <w:t>巡场检查</w:t>
            </w:r>
            <w:r>
              <w:rPr>
                <w:rFonts w:hint="eastAsia" w:ascii="微软雅黑" w:hAnsi="微软雅黑" w:eastAsia="微软雅黑" w:cs="Arial"/>
                <w:color w:val="000000"/>
                <w:kern w:val="0"/>
                <w:sz w:val="18"/>
                <w:szCs w:val="18"/>
                <w:lang w:bidi="ar"/>
              </w:rPr>
              <w:t>，并有权就影响运营的施工工艺、质量、用料代表甲方向施工方发出整改清单。</w:t>
            </w:r>
          </w:p>
        </w:tc>
      </w:tr>
      <w:tr w14:paraId="1462B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606" w:type="dxa"/>
            <w:shd w:val="clear" w:color="auto" w:fill="E7E7E7"/>
            <w:vAlign w:val="center"/>
          </w:tcPr>
          <w:p w14:paraId="72300463">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13</w:t>
            </w:r>
          </w:p>
        </w:tc>
        <w:tc>
          <w:tcPr>
            <w:tcW w:w="1833" w:type="dxa"/>
            <w:shd w:val="clear" w:color="auto" w:fill="E7E7E7"/>
            <w:vAlign w:val="center"/>
          </w:tcPr>
          <w:p w14:paraId="076969C2">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采购下单</w:t>
            </w:r>
          </w:p>
        </w:tc>
        <w:tc>
          <w:tcPr>
            <w:tcW w:w="1087" w:type="dxa"/>
            <w:shd w:val="clear" w:color="auto" w:fill="E7E7E7"/>
            <w:vAlign w:val="center"/>
          </w:tcPr>
          <w:p w14:paraId="5A2E8B50">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w:t>
            </w:r>
          </w:p>
        </w:tc>
        <w:tc>
          <w:tcPr>
            <w:tcW w:w="4838" w:type="dxa"/>
            <w:shd w:val="clear" w:color="auto" w:fill="E7E7E7"/>
            <w:vAlign w:val="center"/>
          </w:tcPr>
          <w:p w14:paraId="0D851A07">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根据设计方案，采购合同的采购清单，按工程进展需要，陆续对采购的家具、设备、灯饰、软装等物品进行采购下单。</w:t>
            </w:r>
          </w:p>
        </w:tc>
      </w:tr>
      <w:tr w14:paraId="71AFF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606" w:type="dxa"/>
            <w:shd w:val="clear" w:color="auto" w:fill="FFFFFF"/>
            <w:vAlign w:val="center"/>
          </w:tcPr>
          <w:p w14:paraId="5333F930">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14</w:t>
            </w:r>
          </w:p>
        </w:tc>
        <w:tc>
          <w:tcPr>
            <w:tcW w:w="1833" w:type="dxa"/>
            <w:shd w:val="clear" w:color="auto" w:fill="FFFFFF"/>
            <w:vAlign w:val="center"/>
          </w:tcPr>
          <w:p w14:paraId="31611104">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材料样板的签确</w:t>
            </w:r>
          </w:p>
        </w:tc>
        <w:tc>
          <w:tcPr>
            <w:tcW w:w="1087" w:type="dxa"/>
            <w:shd w:val="clear" w:color="auto" w:fill="FFFFFF"/>
            <w:vAlign w:val="center"/>
          </w:tcPr>
          <w:p w14:paraId="3F7DDE70">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w:t>
            </w:r>
          </w:p>
        </w:tc>
        <w:tc>
          <w:tcPr>
            <w:tcW w:w="4838" w:type="dxa"/>
            <w:shd w:val="clear" w:color="auto" w:fill="FFFFFF"/>
            <w:vAlign w:val="center"/>
          </w:tcPr>
          <w:p w14:paraId="2BC72D5B">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为保证项目材料用料符合</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标准，不影响后续招商运营及物业增值，</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DESC拥有对实施所用材料样板提出否决的权利。</w:t>
            </w:r>
          </w:p>
        </w:tc>
      </w:tr>
      <w:tr w14:paraId="67A29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trPr>
        <w:tc>
          <w:tcPr>
            <w:tcW w:w="606" w:type="dxa"/>
            <w:shd w:val="clear" w:color="auto" w:fill="E7E7E7"/>
            <w:vAlign w:val="center"/>
          </w:tcPr>
          <w:p w14:paraId="08F3F985">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15</w:t>
            </w:r>
          </w:p>
        </w:tc>
        <w:tc>
          <w:tcPr>
            <w:tcW w:w="1833" w:type="dxa"/>
            <w:shd w:val="clear" w:color="auto" w:fill="E7E7E7"/>
            <w:vAlign w:val="center"/>
          </w:tcPr>
          <w:p w14:paraId="3A83A8E0">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设计墨线验收</w:t>
            </w:r>
          </w:p>
        </w:tc>
        <w:tc>
          <w:tcPr>
            <w:tcW w:w="1087" w:type="dxa"/>
            <w:shd w:val="clear" w:color="auto" w:fill="E7E7E7"/>
            <w:vAlign w:val="center"/>
          </w:tcPr>
          <w:p w14:paraId="1841BD9C">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w:t>
            </w:r>
          </w:p>
        </w:tc>
        <w:tc>
          <w:tcPr>
            <w:tcW w:w="4838" w:type="dxa"/>
            <w:shd w:val="clear" w:color="auto" w:fill="E7E7E7"/>
            <w:vAlign w:val="center"/>
          </w:tcPr>
          <w:p w14:paraId="4385B3D0">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为确保项目布局符合</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未来招商经营的需要，符合</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空间标准，</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DESC需对施工方的设计墨线放线进行验收，并拥有要求施工方按照</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标准进行墨线调整的权力，最终需要DESC专家验收签确后，施工方才可进行下一阶段工作。</w:t>
            </w:r>
          </w:p>
        </w:tc>
      </w:tr>
      <w:tr w14:paraId="553C4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06" w:type="dxa"/>
            <w:shd w:val="clear" w:color="auto" w:fill="FFFFFF"/>
            <w:vAlign w:val="center"/>
          </w:tcPr>
          <w:p w14:paraId="232B56FD">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16</w:t>
            </w:r>
          </w:p>
        </w:tc>
        <w:tc>
          <w:tcPr>
            <w:tcW w:w="1833" w:type="dxa"/>
            <w:shd w:val="clear" w:color="auto" w:fill="FFFFFF"/>
            <w:vAlign w:val="center"/>
          </w:tcPr>
          <w:p w14:paraId="77CAD594">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隐蔽验收</w:t>
            </w:r>
          </w:p>
        </w:tc>
        <w:tc>
          <w:tcPr>
            <w:tcW w:w="1087" w:type="dxa"/>
            <w:shd w:val="clear" w:color="auto" w:fill="FFFFFF"/>
            <w:vAlign w:val="center"/>
          </w:tcPr>
          <w:p w14:paraId="58B40D18">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w:t>
            </w:r>
          </w:p>
        </w:tc>
        <w:tc>
          <w:tcPr>
            <w:tcW w:w="4838" w:type="dxa"/>
            <w:shd w:val="clear" w:color="auto" w:fill="FFFFFF"/>
            <w:vAlign w:val="center"/>
          </w:tcPr>
          <w:p w14:paraId="7D5A237F">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根据《</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产品验收标准及指南》，</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DESC对项目隐蔽工程进行验收，并拥有要求施工方按照</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标准进行整改的权力，最终需要DESC专家验收签确后，施工方才可进行下一阶段工作。</w:t>
            </w:r>
          </w:p>
        </w:tc>
      </w:tr>
      <w:tr w14:paraId="3E6BC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606" w:type="dxa"/>
            <w:shd w:val="clear" w:color="auto" w:fill="E7E7E7"/>
            <w:vAlign w:val="center"/>
          </w:tcPr>
          <w:p w14:paraId="075CE7AE">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17</w:t>
            </w:r>
          </w:p>
        </w:tc>
        <w:tc>
          <w:tcPr>
            <w:tcW w:w="1833" w:type="dxa"/>
            <w:shd w:val="clear" w:color="auto" w:fill="E7E7E7"/>
            <w:vAlign w:val="center"/>
          </w:tcPr>
          <w:p w14:paraId="4F49F064">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C级验收</w:t>
            </w:r>
          </w:p>
        </w:tc>
        <w:tc>
          <w:tcPr>
            <w:tcW w:w="1087" w:type="dxa"/>
            <w:shd w:val="clear" w:color="auto" w:fill="E7E7E7"/>
            <w:vAlign w:val="center"/>
          </w:tcPr>
          <w:p w14:paraId="3B61B996">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w:t>
            </w:r>
          </w:p>
        </w:tc>
        <w:tc>
          <w:tcPr>
            <w:tcW w:w="4838" w:type="dxa"/>
            <w:shd w:val="clear" w:color="auto" w:fill="E7E7E7"/>
            <w:vAlign w:val="center"/>
          </w:tcPr>
          <w:p w14:paraId="63AAD35B">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根据《</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产品验收标准及指南》，</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DESC对项目进行C验收，并拥有要求施工方按照</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标准进行整改的权力，最终需要DESC专家验收签确后，施工方才可进行下一阶段工作。</w:t>
            </w:r>
          </w:p>
        </w:tc>
      </w:tr>
      <w:tr w14:paraId="648D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606" w:type="dxa"/>
            <w:shd w:val="clear" w:color="auto" w:fill="FFFFFF"/>
            <w:vAlign w:val="center"/>
          </w:tcPr>
          <w:p w14:paraId="0E9A9C71">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18</w:t>
            </w:r>
          </w:p>
        </w:tc>
        <w:tc>
          <w:tcPr>
            <w:tcW w:w="1833" w:type="dxa"/>
            <w:shd w:val="clear" w:color="auto" w:fill="FFFFFF"/>
            <w:vAlign w:val="center"/>
          </w:tcPr>
          <w:p w14:paraId="44511A42">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B级验收</w:t>
            </w:r>
          </w:p>
        </w:tc>
        <w:tc>
          <w:tcPr>
            <w:tcW w:w="1087" w:type="dxa"/>
            <w:shd w:val="clear" w:color="auto" w:fill="FFFFFF"/>
            <w:vAlign w:val="center"/>
          </w:tcPr>
          <w:p w14:paraId="4F4A5CC4">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w:t>
            </w:r>
          </w:p>
        </w:tc>
        <w:tc>
          <w:tcPr>
            <w:tcW w:w="4838" w:type="dxa"/>
            <w:shd w:val="clear" w:color="auto" w:fill="FFFFFF"/>
            <w:vAlign w:val="center"/>
          </w:tcPr>
          <w:p w14:paraId="2A6BF31A">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根据《</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产品验收标准及指南》，</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DESC对项目进行B验收，并拥有要求施工方按照</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标准进行整改的权力，最终需要DESC专家验收签确后，施工方才可进行下一阶段工作。</w:t>
            </w:r>
          </w:p>
        </w:tc>
      </w:tr>
      <w:tr w14:paraId="37FEE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606" w:type="dxa"/>
            <w:shd w:val="clear" w:color="auto" w:fill="E7E7E7"/>
            <w:vAlign w:val="center"/>
          </w:tcPr>
          <w:p w14:paraId="7E83DDFD">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19</w:t>
            </w:r>
          </w:p>
        </w:tc>
        <w:tc>
          <w:tcPr>
            <w:tcW w:w="1833" w:type="dxa"/>
            <w:shd w:val="clear" w:color="auto" w:fill="E7E7E7"/>
            <w:vAlign w:val="center"/>
          </w:tcPr>
          <w:p w14:paraId="69E7B53A">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A级验收</w:t>
            </w:r>
          </w:p>
        </w:tc>
        <w:tc>
          <w:tcPr>
            <w:tcW w:w="1087" w:type="dxa"/>
            <w:shd w:val="clear" w:color="auto" w:fill="E7E7E7"/>
            <w:vAlign w:val="center"/>
          </w:tcPr>
          <w:p w14:paraId="18CA288F">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w:t>
            </w:r>
          </w:p>
        </w:tc>
        <w:tc>
          <w:tcPr>
            <w:tcW w:w="4838" w:type="dxa"/>
            <w:shd w:val="clear" w:color="auto" w:fill="E7E7E7"/>
            <w:vAlign w:val="center"/>
          </w:tcPr>
          <w:p w14:paraId="17696253">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根据《</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产品验收标准及指南》，</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DESC对项目进行A级验收，并拥有要求施工方按照</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标准进行整改的权力，最终需要DESC专家验收签确后，施工方才可进行下一阶段工作。</w:t>
            </w:r>
          </w:p>
        </w:tc>
      </w:tr>
      <w:tr w14:paraId="6DE61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606" w:type="dxa"/>
            <w:shd w:val="clear" w:color="auto" w:fill="FFFFFF"/>
            <w:vAlign w:val="center"/>
          </w:tcPr>
          <w:p w14:paraId="26BE2EC8">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20</w:t>
            </w:r>
          </w:p>
        </w:tc>
        <w:tc>
          <w:tcPr>
            <w:tcW w:w="1833" w:type="dxa"/>
            <w:shd w:val="clear" w:color="auto" w:fill="FFFFFF"/>
            <w:vAlign w:val="center"/>
          </w:tcPr>
          <w:p w14:paraId="51256803">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运营团队进场</w:t>
            </w:r>
          </w:p>
        </w:tc>
        <w:tc>
          <w:tcPr>
            <w:tcW w:w="1087" w:type="dxa"/>
            <w:shd w:val="clear" w:color="auto" w:fill="FFFFFF"/>
            <w:vAlign w:val="center"/>
          </w:tcPr>
          <w:p w14:paraId="4F29FE4D">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OMD</w:t>
            </w:r>
          </w:p>
        </w:tc>
        <w:tc>
          <w:tcPr>
            <w:tcW w:w="4838" w:type="dxa"/>
            <w:shd w:val="clear" w:color="auto" w:fill="FFFFFF"/>
            <w:vAlign w:val="center"/>
          </w:tcPr>
          <w:p w14:paraId="5453D007">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经过</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DESC验收后的空间，则可以交由</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OMD进场筹备运营。</w:t>
            </w:r>
          </w:p>
        </w:tc>
      </w:tr>
      <w:tr w14:paraId="0F85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606" w:type="dxa"/>
            <w:shd w:val="clear" w:color="auto" w:fill="E7E7E7"/>
            <w:vAlign w:val="center"/>
          </w:tcPr>
          <w:p w14:paraId="66F8C472">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21</w:t>
            </w:r>
          </w:p>
        </w:tc>
        <w:tc>
          <w:tcPr>
            <w:tcW w:w="1833" w:type="dxa"/>
            <w:shd w:val="clear" w:color="auto" w:fill="E7E7E7"/>
            <w:vAlign w:val="center"/>
          </w:tcPr>
          <w:p w14:paraId="077C01EE">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消防申报及验收</w:t>
            </w:r>
          </w:p>
        </w:tc>
        <w:tc>
          <w:tcPr>
            <w:tcW w:w="1087" w:type="dxa"/>
            <w:shd w:val="clear" w:color="auto" w:fill="E7E7E7"/>
            <w:vAlign w:val="center"/>
          </w:tcPr>
          <w:p w14:paraId="6D0A3AE1">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w:t>
            </w:r>
          </w:p>
        </w:tc>
        <w:tc>
          <w:tcPr>
            <w:tcW w:w="4838" w:type="dxa"/>
            <w:shd w:val="clear" w:color="auto" w:fill="E7E7E7"/>
            <w:vAlign w:val="center"/>
          </w:tcPr>
          <w:p w14:paraId="38DFE55B">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由甲方主导完成工程完工后的消防资料申报以及安排消防局进行消防验收直至验收通过。</w:t>
            </w:r>
          </w:p>
        </w:tc>
      </w:tr>
      <w:tr w14:paraId="6230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606" w:type="dxa"/>
            <w:shd w:val="clear" w:color="auto" w:fill="FFFFFF"/>
            <w:vAlign w:val="center"/>
          </w:tcPr>
          <w:p w14:paraId="792C3BB2">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22</w:t>
            </w:r>
          </w:p>
        </w:tc>
        <w:tc>
          <w:tcPr>
            <w:tcW w:w="1833" w:type="dxa"/>
            <w:shd w:val="clear" w:color="auto" w:fill="FFFFFF"/>
            <w:vAlign w:val="center"/>
          </w:tcPr>
          <w:p w14:paraId="3797D48B">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质检安检申报竣工验收</w:t>
            </w:r>
          </w:p>
        </w:tc>
        <w:tc>
          <w:tcPr>
            <w:tcW w:w="1087" w:type="dxa"/>
            <w:shd w:val="clear" w:color="auto" w:fill="FFFFFF"/>
            <w:vAlign w:val="center"/>
          </w:tcPr>
          <w:p w14:paraId="56177BF5">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w:t>
            </w:r>
          </w:p>
        </w:tc>
        <w:tc>
          <w:tcPr>
            <w:tcW w:w="4838" w:type="dxa"/>
            <w:shd w:val="clear" w:color="auto" w:fill="FFFFFF"/>
            <w:vAlign w:val="center"/>
          </w:tcPr>
          <w:p w14:paraId="16CD7119">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由甲方主导完成工程完工后的竣工资料申报以及安监站、质监站进行竣工验收直至验收通过。</w:t>
            </w:r>
          </w:p>
        </w:tc>
      </w:tr>
      <w:tr w14:paraId="133C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606" w:type="dxa"/>
            <w:shd w:val="clear" w:color="auto" w:fill="E7E7E7"/>
            <w:vAlign w:val="center"/>
          </w:tcPr>
          <w:p w14:paraId="1FCB2D8B">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23</w:t>
            </w:r>
          </w:p>
        </w:tc>
        <w:tc>
          <w:tcPr>
            <w:tcW w:w="1833" w:type="dxa"/>
            <w:shd w:val="clear" w:color="auto" w:fill="E7E7E7"/>
            <w:vAlign w:val="center"/>
          </w:tcPr>
          <w:p w14:paraId="5AD79B5C">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甲方验收</w:t>
            </w:r>
          </w:p>
        </w:tc>
        <w:tc>
          <w:tcPr>
            <w:tcW w:w="1087" w:type="dxa"/>
            <w:shd w:val="clear" w:color="auto" w:fill="E7E7E7"/>
            <w:vAlign w:val="center"/>
          </w:tcPr>
          <w:p w14:paraId="18043FDE">
            <w:pPr>
              <w:widowControl/>
              <w:spacing w:line="300" w:lineRule="exact"/>
              <w:jc w:val="center"/>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甲方</w:t>
            </w:r>
          </w:p>
        </w:tc>
        <w:tc>
          <w:tcPr>
            <w:tcW w:w="4838" w:type="dxa"/>
            <w:shd w:val="clear" w:color="auto" w:fill="E7E7E7"/>
            <w:vAlign w:val="center"/>
          </w:tcPr>
          <w:p w14:paraId="5CB46BAD">
            <w:pPr>
              <w:widowControl/>
              <w:spacing w:line="30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经过</w:t>
            </w:r>
            <w:r>
              <w:rPr>
                <w:rFonts w:hint="eastAsia" w:ascii="微软雅黑" w:hAnsi="微软雅黑" w:eastAsia="微软雅黑" w:cs="Arial"/>
                <w:color w:val="000000"/>
                <w:kern w:val="0"/>
                <w:sz w:val="18"/>
                <w:szCs w:val="18"/>
                <w:lang w:eastAsia="zh-CN" w:bidi="ar"/>
              </w:rPr>
              <w:t>运营商</w:t>
            </w:r>
            <w:r>
              <w:rPr>
                <w:rFonts w:hint="eastAsia" w:ascii="微软雅黑" w:hAnsi="微软雅黑" w:eastAsia="微软雅黑" w:cs="Arial"/>
                <w:color w:val="000000"/>
                <w:kern w:val="0"/>
                <w:sz w:val="18"/>
                <w:szCs w:val="18"/>
                <w:lang w:bidi="ar"/>
              </w:rPr>
              <w:t xml:space="preserve"> OMD筹备运营后的空间，将正式交由甲方验收后，进入正式运营阶段。</w:t>
            </w:r>
          </w:p>
        </w:tc>
      </w:tr>
    </w:tbl>
    <w:p w14:paraId="426E6679">
      <w:pPr>
        <w:widowControl/>
        <w:spacing w:line="32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备注：</w:t>
      </w:r>
    </w:p>
    <w:p w14:paraId="6B2948B1">
      <w:pPr>
        <w:widowControl/>
        <w:spacing w:line="320" w:lineRule="exact"/>
        <w:jc w:val="left"/>
        <w:rPr>
          <w:rFonts w:ascii="微软雅黑" w:hAnsi="微软雅黑" w:eastAsia="微软雅黑" w:cs="Arial"/>
          <w:color w:val="000000"/>
          <w:kern w:val="0"/>
          <w:sz w:val="18"/>
          <w:szCs w:val="18"/>
          <w:lang w:bidi="ar"/>
        </w:rPr>
      </w:pPr>
      <w:r>
        <w:rPr>
          <w:rFonts w:ascii="微软雅黑" w:hAnsi="微软雅黑" w:eastAsia="微软雅黑" w:cs="Arial"/>
          <w:color w:val="000000"/>
          <w:kern w:val="0"/>
          <w:sz w:val="18"/>
          <w:szCs w:val="18"/>
          <w:lang w:bidi="ar"/>
        </w:rPr>
        <w:t>1</w:t>
      </w:r>
      <w:r>
        <w:rPr>
          <w:rFonts w:hint="eastAsia" w:ascii="微软雅黑" w:hAnsi="微软雅黑" w:eastAsia="微软雅黑" w:cs="Arial"/>
          <w:color w:val="000000"/>
          <w:kern w:val="0"/>
          <w:sz w:val="18"/>
          <w:szCs w:val="18"/>
          <w:lang w:bidi="ar"/>
        </w:rPr>
        <w:t>、</w:t>
      </w:r>
      <w:r>
        <w:rPr>
          <w:rFonts w:hint="eastAsia" w:ascii="微软雅黑" w:hAnsi="微软雅黑" w:eastAsia="微软雅黑" w:cs="Arial"/>
          <w:color w:val="000000"/>
          <w:kern w:val="0"/>
          <w:sz w:val="18"/>
          <w:szCs w:val="18"/>
          <w:lang w:eastAsia="zh-CN" w:bidi="ar"/>
        </w:rPr>
        <w:t>运营商</w:t>
      </w:r>
      <w:r>
        <w:rPr>
          <w:rFonts w:ascii="微软雅黑" w:hAnsi="微软雅黑" w:eastAsia="微软雅黑" w:cs="Arial"/>
          <w:color w:val="000000"/>
          <w:kern w:val="0"/>
          <w:sz w:val="18"/>
          <w:szCs w:val="18"/>
          <w:lang w:bidi="ar"/>
        </w:rPr>
        <w:t xml:space="preserve"> OMD是指</w:t>
      </w:r>
      <w:r>
        <w:rPr>
          <w:rFonts w:hint="eastAsia" w:ascii="微软雅黑" w:hAnsi="微软雅黑" w:eastAsia="微软雅黑" w:cs="Arial"/>
          <w:color w:val="000000"/>
          <w:kern w:val="0"/>
          <w:sz w:val="18"/>
          <w:szCs w:val="18"/>
          <w:lang w:eastAsia="zh-CN" w:bidi="ar"/>
        </w:rPr>
        <w:t>运营商</w:t>
      </w:r>
      <w:r>
        <w:rPr>
          <w:rFonts w:ascii="微软雅黑" w:hAnsi="微软雅黑" w:eastAsia="微软雅黑" w:cs="Arial"/>
          <w:color w:val="000000"/>
          <w:kern w:val="0"/>
          <w:sz w:val="18"/>
          <w:szCs w:val="18"/>
          <w:lang w:bidi="ar"/>
        </w:rPr>
        <w:t> Operation Management Department 空间运营管理单元</w:t>
      </w:r>
      <w:r>
        <w:rPr>
          <w:rFonts w:hint="eastAsia" w:ascii="微软雅黑" w:hAnsi="微软雅黑" w:eastAsia="微软雅黑" w:cs="Arial"/>
          <w:color w:val="000000"/>
          <w:kern w:val="0"/>
          <w:sz w:val="18"/>
          <w:szCs w:val="18"/>
          <w:lang w:bidi="ar"/>
        </w:rPr>
        <w:t>。</w:t>
      </w:r>
    </w:p>
    <w:p w14:paraId="1FE4B738">
      <w:pPr>
        <w:widowControl/>
        <w:spacing w:line="320" w:lineRule="exact"/>
        <w:jc w:val="left"/>
        <w:rPr>
          <w:rFonts w:ascii="微软雅黑" w:hAnsi="微软雅黑" w:eastAsia="微软雅黑" w:cs="Arial"/>
          <w:color w:val="000000"/>
          <w:kern w:val="0"/>
          <w:sz w:val="18"/>
          <w:szCs w:val="18"/>
          <w:lang w:bidi="ar"/>
        </w:rPr>
      </w:pPr>
      <w:r>
        <w:rPr>
          <w:rFonts w:hint="eastAsia" w:ascii="微软雅黑" w:hAnsi="微软雅黑" w:eastAsia="微软雅黑" w:cs="Arial"/>
          <w:color w:val="000000"/>
          <w:kern w:val="0"/>
          <w:sz w:val="18"/>
          <w:szCs w:val="18"/>
          <w:lang w:bidi="ar"/>
        </w:rPr>
        <w:t>2、</w:t>
      </w:r>
      <w:r>
        <w:rPr>
          <w:rFonts w:hint="eastAsia" w:ascii="微软雅黑" w:hAnsi="微软雅黑" w:eastAsia="微软雅黑" w:cs="Arial"/>
          <w:color w:val="000000"/>
          <w:kern w:val="0"/>
          <w:sz w:val="18"/>
          <w:szCs w:val="18"/>
          <w:lang w:eastAsia="zh-CN" w:bidi="ar"/>
        </w:rPr>
        <w:t>运营商</w:t>
      </w:r>
      <w:r>
        <w:rPr>
          <w:rFonts w:ascii="微软雅黑" w:hAnsi="微软雅黑" w:eastAsia="微软雅黑" w:cs="Arial"/>
          <w:color w:val="000000"/>
          <w:kern w:val="0"/>
          <w:sz w:val="18"/>
          <w:szCs w:val="18"/>
          <w:lang w:bidi="ar"/>
        </w:rPr>
        <w:t xml:space="preserve"> DESC是指Delivery Expert Support Center 交付技术支持中心。</w:t>
      </w:r>
    </w:p>
    <w:p w14:paraId="62CD5439"/>
    <w:sectPr>
      <w:headerReference r:id="rId3" w:type="default"/>
      <w:footerReference r:id="rId4" w:type="default"/>
      <w:pgSz w:w="11900" w:h="16840"/>
      <w:pgMar w:top="1440" w:right="1800" w:bottom="1440" w:left="1800" w:header="56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7965743"/>
    </w:sdtPr>
    <w:sdtContent>
      <w:p w14:paraId="191BA09F">
        <w:pPr>
          <w:pStyle w:val="4"/>
          <w:jc w:val="center"/>
        </w:pPr>
        <w:r>
          <w:fldChar w:fldCharType="begin"/>
        </w:r>
        <w:r>
          <w:instrText xml:space="preserve">PAGE   \* MERGEFORMAT</w:instrText>
        </w:r>
        <w:r>
          <w:fldChar w:fldCharType="separate"/>
        </w:r>
        <w:r>
          <w:rPr>
            <w:lang w:val="zh-CN"/>
          </w:rPr>
          <w:t>2</w:t>
        </w:r>
        <w:r>
          <w:fldChar w:fldCharType="end"/>
        </w:r>
      </w:p>
    </w:sdtContent>
  </w:sdt>
  <w:p w14:paraId="637354EE">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F7FD8">
    <w:pPr>
      <w:pStyle w:val="5"/>
      <w:rPr>
        <w:sz w:val="15"/>
        <w:szCs w:val="15"/>
      </w:rPr>
    </w:pPr>
    <w:r>
      <w:rPr>
        <w:rFonts w:hint="eastAsia" w:ascii="微软雅黑" w:hAnsi="微软雅黑" w:eastAsia="微软雅黑"/>
        <w:sz w:val="15"/>
        <w:szCs w:val="15"/>
      </w:rPr>
      <w:t>合同附件</w:t>
    </w:r>
    <w:r>
      <w:rPr>
        <w:sz w:val="15"/>
        <w:szCs w:val="15"/>
      </w:rPr>
      <w:ptab w:relativeTo="margin" w:alignment="center" w:leader="none"/>
    </w:r>
    <w:r>
      <w:rPr>
        <w:sz w:val="15"/>
        <w:szCs w:val="15"/>
      </w:rP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BC1F39"/>
    <w:multiLevelType w:val="multilevel"/>
    <w:tmpl w:val="35BC1F3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D0E06C1"/>
    <w:multiLevelType w:val="multilevel"/>
    <w:tmpl w:val="3D0E06C1"/>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DDE3B42"/>
    <w:multiLevelType w:val="multilevel"/>
    <w:tmpl w:val="3DDE3B4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A2E0D46"/>
    <w:multiLevelType w:val="multilevel"/>
    <w:tmpl w:val="4A2E0D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38C63EA"/>
    <w:multiLevelType w:val="singleLevel"/>
    <w:tmpl w:val="538C63EA"/>
    <w:lvl w:ilvl="0" w:tentative="0">
      <w:start w:val="1"/>
      <w:numFmt w:val="decimal"/>
      <w:lvlText w:val="%1."/>
      <w:lvlJc w:val="left"/>
      <w:pPr>
        <w:ind w:left="420" w:hanging="420"/>
      </w:pPr>
    </w:lvl>
  </w:abstractNum>
  <w:abstractNum w:abstractNumId="5">
    <w:nsid w:val="5FB31A0B"/>
    <w:multiLevelType w:val="multilevel"/>
    <w:tmpl w:val="5FB31A0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0996427"/>
    <w:multiLevelType w:val="singleLevel"/>
    <w:tmpl w:val="60996427"/>
    <w:lvl w:ilvl="0" w:tentative="0">
      <w:start w:val="2"/>
      <w:numFmt w:val="chineseCounting"/>
      <w:suff w:val="nothing"/>
      <w:lvlText w:val="（%1）"/>
      <w:lvlJc w:val="left"/>
      <w:rPr>
        <w:rFonts w:hint="eastAsia"/>
      </w:rPr>
    </w:lvl>
  </w:abstractNum>
  <w:abstractNum w:abstractNumId="7">
    <w:nsid w:val="65967210"/>
    <w:multiLevelType w:val="multilevel"/>
    <w:tmpl w:val="6596721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6"/>
  </w:num>
  <w:num w:numId="5">
    <w:abstractNumId w:val="5"/>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B7C6C2"/>
    <w:rsid w:val="0DE30C41"/>
    <w:rsid w:val="0EDDD7E5"/>
    <w:rsid w:val="1AD007B1"/>
    <w:rsid w:val="25EC66A6"/>
    <w:rsid w:val="2BB7C6C2"/>
    <w:rsid w:val="2D6C5CFC"/>
    <w:rsid w:val="629B673B"/>
    <w:rsid w:val="6AF9404C"/>
    <w:rsid w:val="C1EF5BD8"/>
    <w:rsid w:val="D2D92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eastAsia="方正大标宋_GBK"/>
      <w:w w:val="90"/>
      <w:kern w:val="0"/>
      <w:sz w:val="74"/>
    </w:rPr>
  </w:style>
  <w:style w:type="paragraph" w:styleId="3">
    <w:name w:val="annotation text"/>
    <w:basedOn w:val="1"/>
    <w:semiHidden/>
    <w:unhideWhenUsed/>
    <w:qFormat/>
    <w:uiPriority w:val="99"/>
    <w:pPr>
      <w:jc w:val="left"/>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3324</Words>
  <Characters>3492</Characters>
  <Lines>0</Lines>
  <Paragraphs>0</Paragraphs>
  <TotalTime>23</TotalTime>
  <ScaleCrop>false</ScaleCrop>
  <LinksUpToDate>false</LinksUpToDate>
  <CharactersWithSpaces>3646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2024-06-04T23:45:00Z</dcterms:created>
  <dc:creator>Ceci</dc:creator>
  <cp:lastModifiedBy>王炜屏</cp:lastModifiedBy>
  <dcterms:modified xsi:type="dcterms:W3CDTF">2025-11-14T09:55:32Z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096FE786FB7B4F899578728DCC375B64_13</vt:lpwstr>
  </property>
  <property fmtid="{D5CDD505-2E9C-101B-9397-08002B2CF9AE}" pid="4" name="KSOTemplateDocerSaveRecord">
    <vt:lpwstr>eyJoZGlkIjoiMzgzYjE0NGU1NjE4OWQ4MWI1NTQ2YTQyMGFjNDg0ZWIiLCJ1c2VySWQiOiIxNzE4MzYxNjk1In0=</vt:lpwstr>
  </property>
</Properties>
</file>