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FDFFDD">
      <w:pPr>
        <w:numPr>
          <w:ilvl w:val="-1"/>
          <w:numId w:val="0"/>
        </w:numPr>
        <w:kinsoku w:val="0"/>
        <w:autoSpaceDE w:val="0"/>
        <w:autoSpaceDN w:val="0"/>
        <w:bidi w:val="0"/>
        <w:adjustRightInd w:val="0"/>
        <w:snapToGrid w:val="0"/>
        <w:spacing w:before="86" w:line="300" w:lineRule="exact"/>
        <w:ind w:left="0" w:right="23" w:rightChars="11" w:firstLine="0"/>
        <w:jc w:val="left"/>
        <w:textAlignment w:val="baseline"/>
        <w:outlineLvl w:val="9"/>
        <w:rPr>
          <w:rFonts w:hint="eastAsia" w:asciiTheme="minorEastAsia" w:hAnsiTheme="minorEastAsia" w:eastAsiaTheme="minorEastAsia" w:cstheme="minorEastAsia"/>
          <w:b/>
          <w:bCs/>
          <w:sz w:val="22"/>
          <w:szCs w:val="22"/>
          <w:highlight w:val="none"/>
          <w:u w:val="none"/>
          <w:lang w:val="en-US" w:eastAsia="zh-CN"/>
        </w:rPr>
      </w:pPr>
      <w:bookmarkStart w:id="0" w:name="_Toc24543"/>
      <w:bookmarkStart w:id="1" w:name="_Toc1957"/>
      <w:r>
        <w:rPr>
          <w:rFonts w:hint="eastAsia" w:asciiTheme="minorEastAsia" w:hAnsiTheme="minorEastAsia" w:eastAsiaTheme="minorEastAsia" w:cstheme="minorEastAsia"/>
          <w:b/>
          <w:bCs/>
          <w:sz w:val="22"/>
          <w:szCs w:val="22"/>
          <w:highlight w:val="none"/>
          <w:u w:val="none"/>
          <w:lang w:val="en-US" w:eastAsia="zh-CN"/>
        </w:rPr>
        <w:t>附件二：</w:t>
      </w:r>
      <w:bookmarkEnd w:id="0"/>
      <w:bookmarkEnd w:id="1"/>
      <w:r>
        <w:rPr>
          <w:rFonts w:hint="eastAsia" w:asciiTheme="minorEastAsia" w:hAnsiTheme="minorEastAsia" w:eastAsiaTheme="minorEastAsia" w:cstheme="minorEastAsia"/>
          <w:b/>
          <w:bCs/>
          <w:sz w:val="22"/>
          <w:szCs w:val="22"/>
          <w:highlight w:val="none"/>
          <w:u w:val="none"/>
          <w:lang w:val="en-US" w:eastAsia="zh-CN"/>
        </w:rPr>
        <w:t>《项目运营管理服务内容与运营服务费明细》</w:t>
      </w:r>
    </w:p>
    <w:p w14:paraId="3A124775">
      <w:pPr>
        <w:numPr>
          <w:ilvl w:val="0"/>
          <w:numId w:val="1"/>
        </w:numPr>
        <w:ind w:left="-420" w:right="23" w:rightChars="11" w:firstLine="0"/>
        <w:rPr>
          <w:rFonts w:hint="eastAsia" w:asciiTheme="minorEastAsia" w:hAnsiTheme="minorEastAsia" w:eastAsiaTheme="minorEastAsia" w:cstheme="minorEastAsia"/>
          <w:b/>
          <w:bCs/>
          <w:sz w:val="22"/>
          <w:szCs w:val="22"/>
          <w:highlight w:val="none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2"/>
          <w:szCs w:val="22"/>
          <w:highlight w:val="none"/>
          <w:u w:val="none"/>
          <w:lang w:val="en-US" w:eastAsia="zh-CN"/>
        </w:rPr>
        <w:t>运营管理服务内容</w:t>
      </w:r>
    </w:p>
    <w:p w14:paraId="499A6F0D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right="23" w:rightChars="11" w:firstLine="0"/>
        <w:textAlignment w:val="auto"/>
        <w:rPr>
          <w:rFonts w:hint="eastAsia" w:asciiTheme="minorEastAsia" w:hAnsiTheme="minorEastAsia" w:eastAsiaTheme="minorEastAsia" w:cstheme="minorEastAsia"/>
          <w:b/>
          <w:bCs/>
          <w:sz w:val="22"/>
          <w:szCs w:val="22"/>
          <w:highlight w:val="none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2"/>
          <w:szCs w:val="22"/>
          <w:highlight w:val="none"/>
          <w:u w:val="none"/>
          <w:lang w:val="en-US" w:eastAsia="zh-CN"/>
        </w:rPr>
        <w:t>产业空间管理服务</w:t>
      </w:r>
    </w:p>
    <w:p w14:paraId="70F4685D">
      <w:pPr>
        <w:numPr>
          <w:ilvl w:val="0"/>
          <w:numId w:val="0"/>
        </w:numPr>
        <w:kinsoku w:val="0"/>
        <w:autoSpaceDE w:val="0"/>
        <w:autoSpaceDN w:val="0"/>
        <w:adjustRightInd w:val="0"/>
        <w:spacing w:before="86" w:line="300" w:lineRule="exact"/>
        <w:ind w:right="23" w:rightChars="11"/>
        <w:jc w:val="left"/>
        <w:textAlignment w:val="baseline"/>
        <w:outlineLvl w:val="9"/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  <w:u w:val="none"/>
          <w:lang w:val="en-US" w:eastAsia="zh-CN"/>
        </w:rPr>
      </w:pPr>
      <w:bookmarkStart w:id="2" w:name="_Toc3241"/>
      <w:bookmarkStart w:id="3" w:name="_Toc32147"/>
      <w:r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  <w:u w:val="none"/>
          <w:lang w:val="en-US" w:eastAsia="zh-CN"/>
        </w:rPr>
        <w:t>根据甲方需求，乙方可为甲方提供</w:t>
      </w:r>
      <w:r>
        <w:rPr>
          <w:rFonts w:hint="eastAsia" w:asciiTheme="minorEastAsia" w:hAnsiTheme="minorEastAsia" w:eastAsiaTheme="minorEastAsia" w:cstheme="minorEastAsia"/>
          <w:b/>
          <w:sz w:val="22"/>
          <w:szCs w:val="22"/>
          <w:highlight w:val="none"/>
          <w:u w:val="none"/>
          <w:lang w:val="en-US" w:eastAsia="zh-CN"/>
        </w:rPr>
        <w:t>托管物业</w:t>
      </w:r>
      <w:r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  <w:u w:val="none"/>
          <w:lang w:val="en-US" w:eastAsia="zh-CN"/>
        </w:rPr>
        <w:t>的产业空间运营管理服务。</w:t>
      </w:r>
      <w:bookmarkEnd w:id="2"/>
      <w:bookmarkEnd w:id="3"/>
    </w:p>
    <w:p w14:paraId="272CA6B9">
      <w:pPr>
        <w:numPr>
          <w:ilvl w:val="0"/>
          <w:numId w:val="3"/>
        </w:numPr>
        <w:kinsoku w:val="0"/>
        <w:autoSpaceDE w:val="0"/>
        <w:autoSpaceDN w:val="0"/>
        <w:adjustRightInd w:val="0"/>
        <w:spacing w:before="86" w:line="300" w:lineRule="exact"/>
        <w:ind w:left="420" w:leftChars="0" w:right="23" w:rightChars="11" w:hanging="420" w:firstLineChars="0"/>
        <w:jc w:val="left"/>
        <w:textAlignment w:val="baseline"/>
        <w:outlineLvl w:val="9"/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  <w:u w:val="none"/>
          <w:lang w:val="en-US" w:eastAsia="zh-CN"/>
        </w:rPr>
      </w:pPr>
      <w:bookmarkStart w:id="4" w:name="_Toc18411"/>
      <w:bookmarkStart w:id="5" w:name="_Toc31477"/>
      <w:r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  <w:u w:val="none"/>
          <w:lang w:val="en-US" w:eastAsia="zh-CN"/>
        </w:rPr>
        <w:t>筹开期基础运营服务，包括运营团队搭建及培训、</w:t>
      </w:r>
      <w:r>
        <w:rPr>
          <w:rFonts w:hint="eastAsia" w:asciiTheme="minorEastAsia" w:hAnsiTheme="minorEastAsia" w:eastAsiaTheme="minorEastAsia" w:cstheme="minorEastAsia"/>
          <w:b/>
          <w:sz w:val="22"/>
          <w:szCs w:val="22"/>
          <w:highlight w:val="none"/>
          <w:u w:val="none"/>
          <w:lang w:val="en-US" w:eastAsia="zh-CN"/>
        </w:rPr>
        <w:t>项目</w:t>
      </w:r>
      <w:r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  <w:u w:val="none"/>
          <w:lang w:val="en-US" w:eastAsia="zh-CN"/>
        </w:rPr>
        <w:t>市场调研、预招商、</w:t>
      </w:r>
      <w:r>
        <w:rPr>
          <w:rFonts w:hint="eastAsia" w:asciiTheme="minorEastAsia" w:hAnsiTheme="minorEastAsia" w:eastAsiaTheme="minorEastAsia" w:cstheme="minorEastAsia"/>
          <w:b/>
          <w:sz w:val="22"/>
          <w:szCs w:val="22"/>
          <w:highlight w:val="none"/>
          <w:u w:val="none"/>
          <w:lang w:val="en-US" w:eastAsia="zh-CN"/>
        </w:rPr>
        <w:t>项目</w:t>
      </w:r>
      <w:r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  <w:u w:val="none"/>
          <w:lang w:val="en-US" w:eastAsia="zh-CN"/>
        </w:rPr>
        <w:t>交付</w:t>
      </w:r>
      <w:r>
        <w:rPr>
          <w:rFonts w:hint="eastAsia" w:asciiTheme="minorEastAsia" w:hAnsiTheme="minorEastAsia" w:eastAsiaTheme="minorEastAsia" w:cstheme="minorEastAsia"/>
          <w:b/>
          <w:sz w:val="22"/>
          <w:szCs w:val="22"/>
          <w:highlight w:val="none"/>
          <w:u w:val="none"/>
          <w:lang w:val="en-US" w:eastAsia="zh-CN"/>
        </w:rPr>
        <w:t>验收</w:t>
      </w:r>
      <w:r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  <w:u w:val="none"/>
          <w:lang w:val="en-US" w:eastAsia="zh-CN"/>
        </w:rPr>
        <w:t>、开幕式组织等</w:t>
      </w:r>
      <w:bookmarkEnd w:id="4"/>
      <w:bookmarkEnd w:id="5"/>
    </w:p>
    <w:p w14:paraId="4941D84B">
      <w:pPr>
        <w:numPr>
          <w:ilvl w:val="0"/>
          <w:numId w:val="3"/>
        </w:numPr>
        <w:kinsoku w:val="0"/>
        <w:autoSpaceDE w:val="0"/>
        <w:autoSpaceDN w:val="0"/>
        <w:adjustRightInd w:val="0"/>
        <w:spacing w:before="86" w:line="300" w:lineRule="exact"/>
        <w:ind w:left="420" w:leftChars="0" w:right="23" w:rightChars="11" w:hanging="420" w:firstLineChars="0"/>
        <w:jc w:val="left"/>
        <w:textAlignment w:val="baseline"/>
        <w:outlineLvl w:val="9"/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  <w:u w:val="none"/>
          <w:lang w:val="en-US" w:eastAsia="zh-CN"/>
        </w:rPr>
      </w:pPr>
      <w:bookmarkStart w:id="6" w:name="_Toc12156"/>
      <w:bookmarkStart w:id="7" w:name="_Toc17404"/>
      <w:r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  <w:u w:val="none"/>
          <w:lang w:val="en-US" w:eastAsia="zh-CN"/>
        </w:rPr>
        <w:t>运营管家服务，包含前台问询服务、访客接待、信件与快递收发服务、礼宾服务等</w:t>
      </w:r>
      <w:bookmarkEnd w:id="6"/>
      <w:bookmarkEnd w:id="7"/>
    </w:p>
    <w:p w14:paraId="094E576A">
      <w:pPr>
        <w:numPr>
          <w:ilvl w:val="0"/>
          <w:numId w:val="3"/>
        </w:numPr>
        <w:kinsoku w:val="0"/>
        <w:autoSpaceDE w:val="0"/>
        <w:autoSpaceDN w:val="0"/>
        <w:adjustRightInd w:val="0"/>
        <w:spacing w:before="86" w:line="300" w:lineRule="exact"/>
        <w:ind w:left="420" w:leftChars="0" w:right="23" w:rightChars="11" w:hanging="420" w:firstLineChars="0"/>
        <w:jc w:val="left"/>
        <w:textAlignment w:val="baseline"/>
        <w:outlineLvl w:val="9"/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  <w:u w:val="none"/>
          <w:lang w:val="en-US" w:eastAsia="zh-CN"/>
        </w:rPr>
      </w:pPr>
      <w:bookmarkStart w:id="8" w:name="_Toc27989"/>
      <w:bookmarkStart w:id="9" w:name="_Toc11824"/>
      <w:r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  <w:u w:val="none"/>
          <w:lang w:val="en-US" w:eastAsia="zh-CN"/>
        </w:rPr>
        <w:t>为</w:t>
      </w:r>
      <w:r>
        <w:rPr>
          <w:rFonts w:hint="eastAsia" w:asciiTheme="minorEastAsia" w:hAnsiTheme="minorEastAsia" w:eastAsiaTheme="minorEastAsia" w:cstheme="minorEastAsia"/>
          <w:b/>
          <w:sz w:val="22"/>
          <w:szCs w:val="22"/>
          <w:highlight w:val="none"/>
          <w:u w:val="none"/>
          <w:lang w:val="en-US" w:eastAsia="zh-CN"/>
        </w:rPr>
        <w:t>项目</w:t>
      </w:r>
      <w:r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  <w:u w:val="none"/>
          <w:lang w:val="en-US" w:eastAsia="zh-CN"/>
        </w:rPr>
        <w:t>提供招商服务，提供招商渠道拓展服务、举办招商推介会、</w:t>
      </w:r>
      <w:r>
        <w:rPr>
          <w:rFonts w:hint="eastAsia" w:asciiTheme="minorEastAsia" w:hAnsiTheme="minorEastAsia" w:eastAsiaTheme="minorEastAsia" w:cstheme="minorEastAsia"/>
          <w:b/>
          <w:sz w:val="22"/>
          <w:szCs w:val="22"/>
          <w:highlight w:val="none"/>
          <w:u w:val="none"/>
          <w:lang w:val="en-US" w:eastAsia="zh-CN"/>
        </w:rPr>
        <w:t>客户</w:t>
      </w:r>
      <w:r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  <w:u w:val="none"/>
          <w:lang w:val="en-US" w:eastAsia="zh-CN"/>
        </w:rPr>
        <w:t>答谢会等</w:t>
      </w:r>
      <w:bookmarkEnd w:id="8"/>
      <w:bookmarkEnd w:id="9"/>
    </w:p>
    <w:p w14:paraId="05C6C562">
      <w:pPr>
        <w:numPr>
          <w:ilvl w:val="0"/>
          <w:numId w:val="3"/>
        </w:numPr>
        <w:kinsoku w:val="0"/>
        <w:autoSpaceDE w:val="0"/>
        <w:autoSpaceDN w:val="0"/>
        <w:adjustRightInd w:val="0"/>
        <w:spacing w:before="86" w:line="300" w:lineRule="exact"/>
        <w:ind w:left="420" w:leftChars="0" w:right="23" w:rightChars="11" w:hanging="420" w:firstLineChars="0"/>
        <w:jc w:val="left"/>
        <w:textAlignment w:val="baseline"/>
        <w:outlineLvl w:val="9"/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  <w:u w:val="none"/>
          <w:lang w:val="en-US" w:eastAsia="zh-CN"/>
        </w:rPr>
      </w:pPr>
      <w:bookmarkStart w:id="10" w:name="_Toc21611"/>
      <w:bookmarkStart w:id="11" w:name="_Toc17741"/>
      <w:r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  <w:u w:val="none"/>
          <w:lang w:val="en-US" w:eastAsia="zh-CN"/>
        </w:rPr>
        <w:t>会议室预订管理、基础会务服务</w:t>
      </w:r>
      <w:bookmarkEnd w:id="10"/>
      <w:bookmarkEnd w:id="11"/>
    </w:p>
    <w:p w14:paraId="6FB22AD5">
      <w:pPr>
        <w:numPr>
          <w:ilvl w:val="0"/>
          <w:numId w:val="3"/>
        </w:numPr>
        <w:kinsoku w:val="0"/>
        <w:autoSpaceDE w:val="0"/>
        <w:autoSpaceDN w:val="0"/>
        <w:adjustRightInd w:val="0"/>
        <w:spacing w:before="86" w:line="300" w:lineRule="exact"/>
        <w:ind w:left="420" w:leftChars="0" w:right="23" w:rightChars="11" w:hanging="420" w:firstLineChars="0"/>
        <w:jc w:val="left"/>
        <w:textAlignment w:val="baseline"/>
        <w:outlineLvl w:val="9"/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  <w:u w:val="none"/>
          <w:lang w:val="en-US" w:eastAsia="zh-CN"/>
        </w:rPr>
      </w:pPr>
      <w:bookmarkStart w:id="12" w:name="_Toc27641"/>
      <w:bookmarkStart w:id="13" w:name="_Toc25721"/>
      <w:r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  <w:u w:val="none"/>
          <w:lang w:val="en-US" w:eastAsia="zh-CN"/>
        </w:rPr>
        <w:t>环境管理及保洁服务；</w:t>
      </w:r>
      <w:bookmarkEnd w:id="12"/>
      <w:bookmarkEnd w:id="13"/>
    </w:p>
    <w:p w14:paraId="5C9953CC">
      <w:pPr>
        <w:numPr>
          <w:ilvl w:val="0"/>
          <w:numId w:val="3"/>
        </w:numPr>
        <w:kinsoku w:val="0"/>
        <w:autoSpaceDE w:val="0"/>
        <w:autoSpaceDN w:val="0"/>
        <w:adjustRightInd w:val="0"/>
        <w:spacing w:before="86" w:line="300" w:lineRule="exact"/>
        <w:ind w:left="420" w:leftChars="0" w:right="23" w:rightChars="11" w:hanging="420" w:firstLineChars="0"/>
        <w:jc w:val="left"/>
        <w:textAlignment w:val="baseline"/>
        <w:outlineLvl w:val="9"/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  <w:u w:val="none"/>
          <w:lang w:val="en-US" w:eastAsia="zh-CN"/>
        </w:rPr>
      </w:pPr>
      <w:bookmarkStart w:id="14" w:name="_Toc11355"/>
      <w:bookmarkStart w:id="15" w:name="_Toc11984"/>
      <w:r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  <w:u w:val="none"/>
          <w:lang w:val="en-US" w:eastAsia="zh-CN"/>
        </w:rPr>
        <w:t>综合设施管理及公共设施设备维护保养服务</w:t>
      </w:r>
      <w:bookmarkEnd w:id="14"/>
      <w:bookmarkEnd w:id="15"/>
    </w:p>
    <w:p w14:paraId="094A89B3">
      <w:pPr>
        <w:numPr>
          <w:ilvl w:val="0"/>
          <w:numId w:val="3"/>
        </w:numPr>
        <w:kinsoku w:val="0"/>
        <w:autoSpaceDE w:val="0"/>
        <w:autoSpaceDN w:val="0"/>
        <w:adjustRightInd w:val="0"/>
        <w:spacing w:before="86" w:line="300" w:lineRule="exact"/>
        <w:ind w:left="420" w:leftChars="0" w:right="23" w:rightChars="11" w:hanging="420" w:firstLineChars="0"/>
        <w:jc w:val="left"/>
        <w:textAlignment w:val="baseline"/>
        <w:outlineLvl w:val="9"/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22"/>
          <w:szCs w:val="22"/>
          <w:highlight w:val="none"/>
          <w:u w:val="none"/>
          <w:lang w:val="en-US" w:eastAsia="zh-CN"/>
        </w:rPr>
        <w:t>项目</w:t>
      </w:r>
      <w:r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  <w:u w:val="none"/>
          <w:lang w:val="en-US" w:eastAsia="zh-CN"/>
        </w:rPr>
        <w:t>信息技术服务</w:t>
      </w:r>
    </w:p>
    <w:p w14:paraId="2BAE5B42">
      <w:pPr>
        <w:numPr>
          <w:ilvl w:val="0"/>
          <w:numId w:val="3"/>
        </w:numPr>
        <w:kinsoku w:val="0"/>
        <w:autoSpaceDE w:val="0"/>
        <w:autoSpaceDN w:val="0"/>
        <w:adjustRightInd w:val="0"/>
        <w:spacing w:before="86" w:line="300" w:lineRule="exact"/>
        <w:ind w:left="420" w:leftChars="0" w:right="23" w:rightChars="11" w:hanging="420" w:firstLineChars="0"/>
        <w:jc w:val="left"/>
        <w:textAlignment w:val="baseline"/>
        <w:outlineLvl w:val="9"/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  <w:u w:val="none"/>
          <w:lang w:val="en-US" w:eastAsia="zh-CN"/>
        </w:rPr>
      </w:pPr>
      <w:bookmarkStart w:id="16" w:name="_Toc21726"/>
      <w:bookmarkStart w:id="17" w:name="_Toc19228"/>
      <w:r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  <w:u w:val="none"/>
          <w:lang w:val="en-US" w:eastAsia="zh-CN"/>
        </w:rPr>
        <w:t>办公标准化运营规范制定及培训</w:t>
      </w:r>
      <w:bookmarkEnd w:id="16"/>
      <w:bookmarkEnd w:id="17"/>
    </w:p>
    <w:p w14:paraId="0160BE3C">
      <w:pPr>
        <w:numPr>
          <w:ilvl w:val="0"/>
          <w:numId w:val="3"/>
        </w:numPr>
        <w:kinsoku w:val="0"/>
        <w:autoSpaceDE w:val="0"/>
        <w:autoSpaceDN w:val="0"/>
        <w:adjustRightInd w:val="0"/>
        <w:spacing w:before="86" w:line="300" w:lineRule="exact"/>
        <w:ind w:left="420" w:leftChars="0" w:right="23" w:rightChars="11" w:hanging="420" w:firstLineChars="0"/>
        <w:jc w:val="left"/>
        <w:textAlignment w:val="baseline"/>
        <w:outlineLvl w:val="9"/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  <w:u w:val="none"/>
          <w:lang w:val="en-US" w:eastAsia="zh-CN"/>
        </w:rPr>
      </w:pPr>
      <w:bookmarkStart w:id="18" w:name="_Toc13749"/>
      <w:bookmarkStart w:id="19" w:name="_Toc8248"/>
      <w:r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  <w:u w:val="none"/>
          <w:lang w:val="en-US" w:eastAsia="zh-CN"/>
        </w:rPr>
        <w:t>社群活动及创新创业活动举办</w:t>
      </w:r>
      <w:bookmarkEnd w:id="18"/>
      <w:bookmarkEnd w:id="19"/>
    </w:p>
    <w:p w14:paraId="380D7C7A">
      <w:pPr>
        <w:numPr>
          <w:ilvl w:val="0"/>
          <w:numId w:val="3"/>
        </w:numPr>
        <w:kinsoku w:val="0"/>
        <w:autoSpaceDE w:val="0"/>
        <w:autoSpaceDN w:val="0"/>
        <w:adjustRightInd w:val="0"/>
        <w:spacing w:before="86" w:line="300" w:lineRule="exact"/>
        <w:ind w:left="420" w:leftChars="0" w:right="23" w:rightChars="11" w:hanging="420" w:firstLineChars="0"/>
        <w:jc w:val="left"/>
        <w:textAlignment w:val="baseline"/>
        <w:outlineLvl w:val="9"/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  <w:u w:val="none"/>
          <w:lang w:val="en-US" w:eastAsia="zh-CN"/>
        </w:rPr>
      </w:pPr>
      <w:bookmarkStart w:id="20" w:name="_Toc13963"/>
      <w:bookmarkStart w:id="21" w:name="_Toc30697"/>
      <w:r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  <w:u w:val="none"/>
          <w:lang w:val="en-US" w:eastAsia="zh-CN"/>
        </w:rPr>
        <w:t>品牌设计支持服务</w:t>
      </w:r>
      <w:bookmarkEnd w:id="20"/>
      <w:bookmarkEnd w:id="21"/>
    </w:p>
    <w:p w14:paraId="02AC099C">
      <w:pPr>
        <w:numPr>
          <w:ilvl w:val="0"/>
          <w:numId w:val="3"/>
        </w:numPr>
        <w:kinsoku w:val="0"/>
        <w:autoSpaceDE w:val="0"/>
        <w:autoSpaceDN w:val="0"/>
        <w:adjustRightInd w:val="0"/>
        <w:spacing w:before="86" w:line="300" w:lineRule="exact"/>
        <w:ind w:left="420" w:leftChars="0" w:right="23" w:rightChars="11" w:hanging="420" w:firstLineChars="0"/>
        <w:jc w:val="left"/>
        <w:textAlignment w:val="baseline"/>
        <w:outlineLvl w:val="9"/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22"/>
          <w:szCs w:val="22"/>
          <w:highlight w:val="none"/>
          <w:u w:val="none"/>
          <w:lang w:val="en-US" w:eastAsia="zh-CN"/>
        </w:rPr>
        <w:t>客户</w:t>
      </w:r>
      <w:r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  <w:u w:val="none"/>
          <w:lang w:val="en-US" w:eastAsia="zh-CN"/>
        </w:rPr>
        <w:t>管理及合同履约管理服务</w:t>
      </w:r>
    </w:p>
    <w:p w14:paraId="7BBDD7EB">
      <w:pPr>
        <w:numPr>
          <w:ilvl w:val="0"/>
          <w:numId w:val="3"/>
        </w:numPr>
        <w:kinsoku w:val="0"/>
        <w:autoSpaceDE w:val="0"/>
        <w:autoSpaceDN w:val="0"/>
        <w:adjustRightInd w:val="0"/>
        <w:spacing w:before="86" w:line="300" w:lineRule="exact"/>
        <w:ind w:left="420" w:leftChars="0" w:right="23" w:rightChars="11" w:hanging="420" w:firstLineChars="0"/>
        <w:jc w:val="left"/>
        <w:textAlignment w:val="baseline"/>
        <w:outlineLvl w:val="9"/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22"/>
          <w:szCs w:val="22"/>
          <w:highlight w:val="none"/>
          <w:u w:val="none"/>
          <w:lang w:val="en-US" w:eastAsia="zh-CN"/>
        </w:rPr>
        <w:t>项目</w:t>
      </w:r>
      <w:r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  <w:u w:val="none"/>
          <w:lang w:val="en-US" w:eastAsia="zh-CN"/>
        </w:rPr>
        <w:t>资产盘点、物资集采服务</w:t>
      </w:r>
    </w:p>
    <w:p w14:paraId="5A67C967">
      <w:pPr>
        <w:numPr>
          <w:ilvl w:val="0"/>
          <w:numId w:val="3"/>
        </w:numPr>
        <w:kinsoku w:val="0"/>
        <w:autoSpaceDE w:val="0"/>
        <w:autoSpaceDN w:val="0"/>
        <w:adjustRightInd w:val="0"/>
        <w:spacing w:before="86" w:line="300" w:lineRule="exact"/>
        <w:ind w:left="420" w:right="23" w:rightChars="11" w:hanging="420"/>
        <w:jc w:val="left"/>
        <w:textAlignment w:val="baseline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bookmarkStart w:id="22" w:name="_Toc23058"/>
      <w:bookmarkStart w:id="23" w:name="_Toc31582"/>
      <w:r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  <w:u w:val="none"/>
          <w:lang w:val="en-US" w:eastAsia="zh-CN"/>
        </w:rPr>
        <w:t>必要的保险购买及安全辅助管理服务</w:t>
      </w:r>
      <w:bookmarkEnd w:id="22"/>
      <w:bookmarkEnd w:id="23"/>
    </w:p>
    <w:p w14:paraId="124EF1FF">
      <w:pPr>
        <w:numPr>
          <w:ilvl w:val="0"/>
          <w:numId w:val="2"/>
        </w:numPr>
        <w:ind w:left="0" w:right="23" w:rightChars="11" w:firstLine="0"/>
        <w:rPr>
          <w:rFonts w:hint="eastAsia" w:asciiTheme="minorEastAsia" w:hAnsiTheme="minorEastAsia" w:eastAsiaTheme="minorEastAsia" w:cstheme="minorEastAsia"/>
          <w:b/>
          <w:bCs/>
          <w:sz w:val="22"/>
          <w:szCs w:val="22"/>
          <w:highlight w:val="none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2"/>
          <w:szCs w:val="22"/>
          <w:highlight w:val="none"/>
          <w:u w:val="none"/>
          <w:lang w:val="en-US" w:eastAsia="zh-CN"/>
        </w:rPr>
        <w:t>产业空间中心执行目标</w:t>
      </w:r>
    </w:p>
    <w:p w14:paraId="0E6E65A7">
      <w:pPr>
        <w:numPr>
          <w:ilvl w:val="0"/>
          <w:numId w:val="4"/>
        </w:numPr>
        <w:bidi w:val="0"/>
        <w:spacing w:line="360" w:lineRule="auto"/>
        <w:rPr>
          <w:rFonts w:hint="eastAsia" w:ascii="宋体" w:hAnsi="宋体" w:eastAsia="宋体" w:cs="宋体"/>
          <w:sz w:val="22"/>
          <w:szCs w:val="22"/>
          <w:lang w:val="zh-CN" w:eastAsia="zh-CN"/>
        </w:rPr>
      </w:pPr>
      <w:r>
        <w:rPr>
          <w:rFonts w:hint="eastAsia" w:ascii="宋体" w:hAnsi="宋体" w:eastAsia="宋体" w:cs="宋体"/>
          <w:b/>
          <w:bCs/>
          <w:sz w:val="22"/>
          <w:szCs w:val="22"/>
          <w:lang w:val="en-US" w:eastAsia="zh-CN"/>
        </w:rPr>
        <w:t>实现星级服务目标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：</w:t>
      </w:r>
      <w:r>
        <w:rPr>
          <w:rFonts w:hint="eastAsia" w:ascii="宋体" w:hAnsi="宋体" w:eastAsia="宋体" w:cs="宋体"/>
          <w:sz w:val="22"/>
          <w:szCs w:val="22"/>
          <w:lang w:val="zh-CN" w:eastAsia="zh-CN"/>
        </w:rPr>
        <w:t>空间运营团队提供极具专业度的、高品质、标准化的星级运营管理服务，致力于以超强的执行力确保各项工作计划落实，使标准能够在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中交汇通43-45层</w:t>
      </w:r>
      <w:r>
        <w:rPr>
          <w:rFonts w:hint="eastAsia" w:ascii="宋体" w:hAnsi="宋体" w:eastAsia="宋体" w:cs="宋体"/>
          <w:sz w:val="22"/>
          <w:szCs w:val="22"/>
          <w:lang w:val="zh-CN" w:eastAsia="zh-CN"/>
        </w:rPr>
        <w:t>内的每一处细节得以体现。</w:t>
      </w:r>
    </w:p>
    <w:p w14:paraId="0FC896E7">
      <w:pPr>
        <w:numPr>
          <w:ilvl w:val="0"/>
          <w:numId w:val="4"/>
        </w:numPr>
        <w:bidi w:val="0"/>
        <w:spacing w:line="360" w:lineRule="auto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2"/>
          <w:szCs w:val="22"/>
          <w:lang w:val="en-US" w:eastAsia="zh-CN"/>
        </w:rPr>
        <w:t>以服务提升价值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：</w:t>
      </w:r>
      <w:r>
        <w:rPr>
          <w:rFonts w:hint="eastAsia" w:ascii="宋体" w:hAnsi="宋体" w:eastAsia="宋体" w:cs="宋体"/>
          <w:sz w:val="22"/>
          <w:szCs w:val="22"/>
          <w:lang w:val="zh-CN" w:eastAsia="zh-CN"/>
        </w:rPr>
        <w:t>运营紧密围绕"物业价值提升"展开，通过"运营能力三板斧"的建设，为使用者创造价值，从而提升物业本身的资产价值。以五星级酒店的服务标准为基础，搭配专业细致的专业空间运营管理体系，使空间运营水平永远保持在行业内最高标准。通过绝佳的团队合作，将核心精神与品牌理念，传递给每一个人，致力于为会员构建一个多元丰富的国际化空间场景</w:t>
      </w:r>
    </w:p>
    <w:p w14:paraId="4087BD1E">
      <w:pPr>
        <w:numPr>
          <w:ilvl w:val="0"/>
          <w:numId w:val="4"/>
        </w:numPr>
        <w:bidi w:val="0"/>
        <w:spacing w:line="360" w:lineRule="auto"/>
        <w:rPr>
          <w:rFonts w:hint="eastAsia" w:ascii="宋体" w:hAnsi="宋体" w:eastAsia="宋体" w:cs="宋体"/>
          <w:sz w:val="22"/>
          <w:szCs w:val="22"/>
          <w:lang w:val="zh-CN" w:eastAsia="zh-CN"/>
        </w:rPr>
      </w:pPr>
      <w:r>
        <w:rPr>
          <w:rFonts w:hint="eastAsia" w:ascii="宋体" w:hAnsi="宋体" w:eastAsia="宋体" w:cs="宋体"/>
          <w:b/>
          <w:bCs/>
          <w:sz w:val="22"/>
          <w:szCs w:val="22"/>
          <w:lang w:val="en-US" w:eastAsia="zh-CN"/>
        </w:rPr>
        <w:t>打通空间与社群互动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：</w:t>
      </w:r>
      <w:r>
        <w:rPr>
          <w:rFonts w:hint="eastAsia" w:ascii="宋体" w:hAnsi="宋体" w:eastAsia="宋体" w:cs="宋体"/>
          <w:sz w:val="22"/>
          <w:szCs w:val="22"/>
          <w:lang w:val="zh-CN" w:eastAsia="zh-CN"/>
        </w:rPr>
        <w:t>通过丰富的社群活动，将企业链接在一起，成为资源对接、搭建人脉互通的平台，帮助会员与世界级品牌、行业大咖沟通成长，增进会员间的互动情感与合作对接，赋予空间多元意义，将空间价值发挥到极致。</w:t>
      </w:r>
    </w:p>
    <w:p w14:paraId="13467785">
      <w:pPr>
        <w:pStyle w:val="7"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sz w:val="22"/>
          <w:szCs w:val="22"/>
          <w:lang w:val="zh-CN" w:eastAsia="zh-CN"/>
        </w:rPr>
      </w:pPr>
    </w:p>
    <w:p w14:paraId="567B4272">
      <w:pPr>
        <w:numPr>
          <w:ilvl w:val="0"/>
          <w:numId w:val="2"/>
        </w:numPr>
        <w:ind w:left="0" w:right="23" w:rightChars="11" w:firstLine="0"/>
        <w:rPr>
          <w:rFonts w:hint="default" w:asciiTheme="minorEastAsia" w:hAnsiTheme="minorEastAsia" w:eastAsiaTheme="minorEastAsia" w:cstheme="minorEastAsia"/>
          <w:b/>
          <w:bCs/>
          <w:sz w:val="22"/>
          <w:szCs w:val="22"/>
          <w:highlight w:val="none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2"/>
          <w:szCs w:val="22"/>
          <w:highlight w:val="none"/>
          <w:u w:val="none"/>
          <w:lang w:val="en-US" w:eastAsia="zh-CN"/>
        </w:rPr>
        <w:t>五星级运营服务建设体系</w:t>
      </w:r>
    </w:p>
    <w:p w14:paraId="61D3BE57">
      <w:pPr>
        <w:numPr>
          <w:ilvl w:val="0"/>
          <w:numId w:val="5"/>
        </w:numPr>
        <w:bidi w:val="0"/>
        <w:spacing w:line="360" w:lineRule="auto"/>
        <w:rPr>
          <w:rFonts w:hint="eastAsia" w:ascii="宋体" w:hAnsi="宋体" w:eastAsia="宋体" w:cs="宋体"/>
          <w:sz w:val="22"/>
          <w:szCs w:val="22"/>
          <w:lang w:val="zh-CN" w:eastAsia="zh-CN"/>
        </w:rPr>
      </w:pPr>
      <w:r>
        <w:rPr>
          <w:rFonts w:hint="eastAsia" w:ascii="宋体" w:hAnsi="宋体" w:eastAsia="宋体" w:cs="宋体"/>
          <w:b/>
          <w:bCs/>
          <w:sz w:val="22"/>
          <w:szCs w:val="22"/>
          <w:lang w:val="en-US" w:eastAsia="zh-CN"/>
        </w:rPr>
        <w:t>打造高品质的专业服务。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拥有一支有着丰富管理经验的团队，深知业主、客户、员工的工作所需，将服务场景化。 一方面做好日常基础服务的精细化管理，打造整洁舒适的园区和办公环境，充分保障园区生产、设备、物资、消防安全； 另一方面，为业主、客户赋能，如提供接待、礼仪、解说、会务等定制服务，最大发挥服务价值。</w:t>
      </w:r>
    </w:p>
    <w:p w14:paraId="2E65BE7A">
      <w:pPr>
        <w:numPr>
          <w:ilvl w:val="0"/>
          <w:numId w:val="5"/>
        </w:numPr>
        <w:bidi w:val="0"/>
        <w:spacing w:line="360" w:lineRule="auto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2"/>
          <w:szCs w:val="22"/>
          <w:lang w:val="en-US" w:eastAsia="zh-CN"/>
        </w:rPr>
        <w:t>打造高效响应机制，用SOP标准化管理。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“标准化”是运营管理的第一要义，管理服务也形成了自己的SOP体系，围绕着客户服务、环境及综合设施管理、安全管理、管理系统操作四大板块内容为基础，包含专业技能、沟通技巧、案例剖析，所有人员对于工作流线管理做到了然于心。“以客户为中心”的服务理念下，管理团队也做到“事事有回应”，针对业主、客户提出的工程维修、秩序维护、咨询建议等24小时在线响应；针对安保提供24小时服务，保障人身安全。</w:t>
      </w:r>
    </w:p>
    <w:p w14:paraId="258C4E18">
      <w:pPr>
        <w:numPr>
          <w:ilvl w:val="0"/>
          <w:numId w:val="5"/>
        </w:numPr>
        <w:bidi w:val="0"/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2"/>
          <w:szCs w:val="22"/>
          <w:lang w:val="en-US" w:eastAsia="zh-CN"/>
        </w:rPr>
        <w:t>积极挖掘更多增值服务，注重培训提升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。运营管理团队每月有计划有组织地开展规范、岗位职责、操作程序、服务礼仪、消防安全等20余场培训。办公服务体系将不断创新服务模式和管理手段，提升办公服务管理的水平和服务质量。</w:t>
      </w:r>
    </w:p>
    <w:p w14:paraId="2230BBCF">
      <w:pPr>
        <w:numPr>
          <w:ilvl w:val="0"/>
          <w:numId w:val="2"/>
        </w:numPr>
        <w:ind w:left="0" w:right="23" w:rightChars="11" w:firstLine="0"/>
        <w:rPr>
          <w:rFonts w:hint="eastAsia" w:asciiTheme="minorEastAsia" w:hAnsiTheme="minorEastAsia" w:eastAsiaTheme="minorEastAsia" w:cstheme="minorEastAsia"/>
          <w:b/>
          <w:bCs/>
          <w:sz w:val="22"/>
          <w:szCs w:val="22"/>
          <w:highlight w:val="none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2"/>
          <w:szCs w:val="22"/>
          <w:highlight w:val="none"/>
          <w:u w:val="none"/>
          <w:lang w:val="en-US" w:eastAsia="zh-CN"/>
        </w:rPr>
        <w:t>产业空间运营管理团队六大核心</w:t>
      </w:r>
      <w:r>
        <w:rPr>
          <w:rFonts w:hint="eastAsia" w:asciiTheme="minorEastAsia" w:hAnsiTheme="minorEastAsia" w:eastAsiaTheme="minorEastAsia" w:cstheme="minorEastAsia"/>
          <w:b/>
          <w:bCs/>
          <w:sz w:val="22"/>
          <w:szCs w:val="22"/>
          <w:highlight w:val="none"/>
          <w:u w:val="none"/>
          <w:lang w:val="zh-CN" w:eastAsia="zh-CN"/>
        </w:rPr>
        <w:t>职责</w:t>
      </w:r>
    </w:p>
    <w:p w14:paraId="298C13EF">
      <w:pPr>
        <w:pStyle w:val="7"/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2"/>
          <w:szCs w:val="22"/>
          <w:lang w:val="zh-CN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2"/>
          <w:szCs w:val="22"/>
          <w:lang w:val="en-US" w:eastAsia="zh-CN"/>
        </w:rPr>
        <w:t xml:space="preserve">1）对产业中心的财务表现负责 </w:t>
      </w:r>
    </w:p>
    <w:p w14:paraId="62308C91">
      <w:pPr>
        <w:pStyle w:val="7"/>
        <w:spacing w:line="360" w:lineRule="auto"/>
        <w:ind w:left="192" w:firstLine="440" w:firstLineChars="200"/>
        <w:rPr>
          <w:rFonts w:hint="eastAsia" w:asciiTheme="minorEastAsia" w:hAnsiTheme="minorEastAsia" w:eastAsiaTheme="minorEastAsia" w:cstheme="minorEastAsia"/>
          <w:sz w:val="22"/>
          <w:szCs w:val="22"/>
          <w:lang w:val="zh-CN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 xml:space="preserve">a) 关注中心的营收情况，着力提升中心营收水平，提升2B招商、2C经营、增值服务收入； </w:t>
      </w:r>
    </w:p>
    <w:p w14:paraId="5B6628AB">
      <w:pPr>
        <w:pStyle w:val="7"/>
        <w:spacing w:line="360" w:lineRule="auto"/>
        <w:ind w:left="192" w:firstLine="440" w:firstLineChars="200"/>
        <w:rPr>
          <w:rFonts w:hint="eastAsia" w:asciiTheme="minorEastAsia" w:hAnsiTheme="minorEastAsia" w:eastAsiaTheme="minorEastAsia" w:cstheme="minorEastAsia"/>
          <w:sz w:val="22"/>
          <w:szCs w:val="22"/>
          <w:lang w:val="zh-CN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 xml:space="preserve">b) 做好成本预算管控，严格执行年度预算总额控制标准，根据实际经营情况，在总额范围内进行灵活调配； </w:t>
      </w:r>
    </w:p>
    <w:p w14:paraId="5EF52DAD">
      <w:pPr>
        <w:pStyle w:val="7"/>
        <w:spacing w:line="360" w:lineRule="auto"/>
        <w:ind w:left="192" w:firstLine="440" w:firstLineChars="200"/>
        <w:rPr>
          <w:rFonts w:hint="eastAsia" w:asciiTheme="minorEastAsia" w:hAnsiTheme="minorEastAsia" w:eastAsiaTheme="minorEastAsia" w:cstheme="minorEastAsia"/>
          <w:sz w:val="22"/>
          <w:szCs w:val="22"/>
          <w:lang w:val="zh-CN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 xml:space="preserve">c) 不断提升利润水平，做有利润的营收； </w:t>
      </w:r>
    </w:p>
    <w:p w14:paraId="57D13E0D">
      <w:pPr>
        <w:pStyle w:val="7"/>
        <w:spacing w:line="360" w:lineRule="auto"/>
        <w:ind w:left="192" w:firstLine="440" w:firstLineChars="200"/>
        <w:rPr>
          <w:rFonts w:hint="eastAsia" w:asciiTheme="minorEastAsia" w:hAnsiTheme="minorEastAsia" w:eastAsiaTheme="minorEastAsia" w:cstheme="minorEastAsia"/>
          <w:sz w:val="22"/>
          <w:szCs w:val="22"/>
          <w:lang w:val="zh-CN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 xml:space="preserve">d) 确保现金按时回款，严密追踪应收账款回款进度，做有现金流的利润； </w:t>
      </w:r>
    </w:p>
    <w:p w14:paraId="5199DBF1">
      <w:pPr>
        <w:pStyle w:val="7"/>
        <w:spacing w:line="360" w:lineRule="auto"/>
        <w:ind w:left="192" w:firstLine="440" w:firstLineChars="200"/>
        <w:rPr>
          <w:rFonts w:hint="eastAsia" w:asciiTheme="minorEastAsia" w:hAnsiTheme="minorEastAsia" w:eastAsiaTheme="minorEastAsia" w:cstheme="minorEastAsia"/>
          <w:sz w:val="22"/>
          <w:szCs w:val="22"/>
          <w:lang w:val="zh-CN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 xml:space="preserve">e) 挖掘创新增长收入，通过新产品、新模式，提高增值服务收入； </w:t>
      </w:r>
    </w:p>
    <w:p w14:paraId="1FD619D7">
      <w:pPr>
        <w:pStyle w:val="7"/>
        <w:spacing w:line="360" w:lineRule="auto"/>
        <w:ind w:left="192" w:firstLine="440" w:firstLineChars="200"/>
        <w:rPr>
          <w:rFonts w:hint="eastAsia" w:asciiTheme="minorEastAsia" w:hAnsiTheme="minorEastAsia" w:eastAsiaTheme="minorEastAsia" w:cstheme="minorEastAsia"/>
          <w:sz w:val="22"/>
          <w:szCs w:val="22"/>
          <w:lang w:val="zh-CN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 xml:space="preserve">f) 统筹中心资产管理，按标准流程执行资产管理、调拨、处置工作； </w:t>
      </w:r>
    </w:p>
    <w:p w14:paraId="6584C393">
      <w:pPr>
        <w:pStyle w:val="7"/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2"/>
          <w:szCs w:val="22"/>
          <w:lang w:val="zh-CN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2"/>
          <w:szCs w:val="22"/>
          <w:lang w:val="en-US" w:eastAsia="zh-CN"/>
        </w:rPr>
        <w:t xml:space="preserve">2）维护良好的客户关系 </w:t>
      </w:r>
    </w:p>
    <w:p w14:paraId="586E26E6">
      <w:pPr>
        <w:pStyle w:val="7"/>
        <w:spacing w:line="360" w:lineRule="auto"/>
        <w:ind w:left="192" w:firstLine="440" w:firstLineChars="200"/>
        <w:rPr>
          <w:rFonts w:hint="eastAsia" w:asciiTheme="minorEastAsia" w:hAnsiTheme="minorEastAsia" w:eastAsiaTheme="minorEastAsia" w:cstheme="minorEastAsia"/>
          <w:sz w:val="22"/>
          <w:szCs w:val="22"/>
          <w:lang w:val="zh-CN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 xml:space="preserve">a) 负责大客户的开发扩展，基于项目特点，建立客户画像，对发展前景较好、营收贡献较高的企业进行重点开发，扩展大客户资源； </w:t>
      </w:r>
    </w:p>
    <w:p w14:paraId="68874F90">
      <w:pPr>
        <w:pStyle w:val="7"/>
        <w:spacing w:line="360" w:lineRule="auto"/>
        <w:ind w:left="192" w:firstLine="440" w:firstLineChars="200"/>
        <w:rPr>
          <w:rFonts w:hint="eastAsia" w:asciiTheme="minorEastAsia" w:hAnsiTheme="minorEastAsia" w:eastAsiaTheme="minorEastAsia" w:cstheme="minorEastAsia"/>
          <w:sz w:val="22"/>
          <w:szCs w:val="22"/>
          <w:lang w:val="zh-CN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 xml:space="preserve">b) 对客户满意度负责，及时收集客户意见反馈，不断对空间管理及客户服务进行优化提升； </w:t>
      </w:r>
    </w:p>
    <w:p w14:paraId="3F803DEB">
      <w:pPr>
        <w:pStyle w:val="7"/>
        <w:spacing w:line="360" w:lineRule="auto"/>
        <w:ind w:left="192" w:firstLine="440" w:firstLineChars="200"/>
        <w:rPr>
          <w:rFonts w:hint="eastAsia" w:asciiTheme="minorEastAsia" w:hAnsiTheme="minorEastAsia" w:eastAsiaTheme="minorEastAsia" w:cstheme="minorEastAsia"/>
          <w:sz w:val="22"/>
          <w:szCs w:val="22"/>
          <w:lang w:val="zh-CN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 xml:space="preserve">c) 做好VIP客户接待，根据VIP等级，做好相应的人员、动线、会务服务安排，保障VIP接待体验； </w:t>
      </w:r>
    </w:p>
    <w:p w14:paraId="7133D661">
      <w:pPr>
        <w:pStyle w:val="7"/>
        <w:spacing w:line="360" w:lineRule="auto"/>
        <w:ind w:left="192" w:firstLine="440" w:firstLineChars="200"/>
        <w:rPr>
          <w:rFonts w:hint="eastAsia" w:asciiTheme="minorEastAsia" w:hAnsiTheme="minorEastAsia" w:eastAsiaTheme="minorEastAsia" w:cstheme="minorEastAsia"/>
          <w:sz w:val="22"/>
          <w:szCs w:val="22"/>
          <w:lang w:val="zh-CN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 xml:space="preserve">d) 进行客户分析研究，定期对客户行业、承租能力、需求特点进行分析，总结共性，精准定位客户画像； </w:t>
      </w:r>
    </w:p>
    <w:p w14:paraId="5722F595">
      <w:pPr>
        <w:pStyle w:val="7"/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2"/>
          <w:szCs w:val="22"/>
          <w:lang w:val="zh-CN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2"/>
          <w:szCs w:val="22"/>
          <w:lang w:val="en-US" w:eastAsia="zh-CN"/>
        </w:rPr>
        <w:t xml:space="preserve">3）提供高品质的运营服务 </w:t>
      </w:r>
    </w:p>
    <w:p w14:paraId="055BAD96">
      <w:pPr>
        <w:pStyle w:val="7"/>
        <w:spacing w:line="360" w:lineRule="auto"/>
        <w:ind w:left="192" w:firstLine="440" w:firstLineChars="200"/>
        <w:rPr>
          <w:rFonts w:hint="eastAsia" w:asciiTheme="minorEastAsia" w:hAnsiTheme="minorEastAsia" w:eastAsiaTheme="minorEastAsia" w:cstheme="minorEastAsia"/>
          <w:sz w:val="22"/>
          <w:szCs w:val="22"/>
          <w:lang w:val="zh-CN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 xml:space="preserve">a) 负责LSOP的编制，结合项目实际经营情况，不断完善适用于项目的LSOP，使日常运营服务有章可依； </w:t>
      </w:r>
    </w:p>
    <w:p w14:paraId="555DAB01">
      <w:pPr>
        <w:pStyle w:val="7"/>
        <w:spacing w:line="360" w:lineRule="auto"/>
        <w:ind w:left="192" w:firstLine="440" w:firstLineChars="200"/>
        <w:rPr>
          <w:rFonts w:hint="eastAsia" w:asciiTheme="minorEastAsia" w:hAnsiTheme="minorEastAsia" w:eastAsiaTheme="minorEastAsia" w:cstheme="minorEastAsia"/>
          <w:sz w:val="22"/>
          <w:szCs w:val="22"/>
          <w:lang w:val="zh-CN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 xml:space="preserve">b) 保障中心的安全运营，对消防（用电）安全、卫生防疫、灾害应急管理、活动安全等安全工作实施定人、定岗、定责，通过定期检查、演习等方式，完善安全管理体系，确保项目安全运营； </w:t>
      </w:r>
    </w:p>
    <w:p w14:paraId="32962C2D">
      <w:pPr>
        <w:pStyle w:val="7"/>
        <w:spacing w:line="360" w:lineRule="auto"/>
        <w:ind w:left="192" w:firstLine="440" w:firstLineChars="200"/>
        <w:rPr>
          <w:rFonts w:hint="eastAsia" w:asciiTheme="minorEastAsia" w:hAnsiTheme="minorEastAsia" w:eastAsiaTheme="minorEastAsia" w:cstheme="minorEastAsia"/>
          <w:sz w:val="22"/>
          <w:szCs w:val="22"/>
          <w:lang w:val="zh-CN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 xml:space="preserve">c) 保持良好的中心环境，监督日常及周期性保洁工作的完成效果，定期对PA供应商表现进行考核，使空间环境维持整洁； </w:t>
      </w:r>
    </w:p>
    <w:p w14:paraId="1FE71C6A">
      <w:pPr>
        <w:pStyle w:val="7"/>
        <w:spacing w:line="360" w:lineRule="auto"/>
        <w:ind w:left="192" w:firstLine="440" w:firstLineChars="200"/>
        <w:rPr>
          <w:rFonts w:hint="eastAsia" w:asciiTheme="minorEastAsia" w:hAnsiTheme="minorEastAsia" w:eastAsiaTheme="minorEastAsia" w:cstheme="minorEastAsia"/>
          <w:sz w:val="22"/>
          <w:szCs w:val="22"/>
          <w:lang w:val="zh-CN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 xml:space="preserve">d) 保障设施设备良好运转，根据生产厂家指引，定期进行设施设备清洗、保养、维护，对故障进行及时报修、监督维修，保障设施设备的正常使用； </w:t>
      </w:r>
    </w:p>
    <w:p w14:paraId="342C2496">
      <w:pPr>
        <w:pStyle w:val="7"/>
        <w:spacing w:line="360" w:lineRule="auto"/>
        <w:ind w:left="192" w:firstLine="440" w:firstLineChars="200"/>
        <w:rPr>
          <w:rFonts w:hint="eastAsia" w:asciiTheme="minorEastAsia" w:hAnsiTheme="minorEastAsia" w:eastAsiaTheme="minorEastAsia" w:cstheme="minorEastAsia"/>
          <w:sz w:val="22"/>
          <w:szCs w:val="22"/>
          <w:lang w:val="zh-CN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 xml:space="preserve">e) 提供超预期的客户服务，秉承“待人如己、服务第一”的理念，做好办公会员入驻、访客接待、会议预订、维修、活动报名、增值服务、离场的全周期管家服务；接待超级会员，为客户提供合适的产品，达到“超前、迅速、超预期”的服务目标； </w:t>
      </w:r>
    </w:p>
    <w:p w14:paraId="3686A6AF">
      <w:pPr>
        <w:pStyle w:val="7"/>
        <w:spacing w:line="360" w:lineRule="auto"/>
        <w:ind w:left="192" w:firstLine="440" w:firstLineChars="200"/>
        <w:rPr>
          <w:rFonts w:hint="eastAsia" w:asciiTheme="minorEastAsia" w:hAnsiTheme="minorEastAsia" w:eastAsiaTheme="minorEastAsia" w:cstheme="minorEastAsia"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2"/>
          <w:szCs w:val="22"/>
          <w:highlight w:val="none"/>
          <w:lang w:val="en-US" w:eastAsia="zh-CN"/>
        </w:rPr>
        <w:t xml:space="preserve">f) 强化社群服务，加强与社会组织的联结，定期举办社群活动，有选择性的为客户链接社群资源，为会员个人成长与企业客户发展创造机会； </w:t>
      </w:r>
    </w:p>
    <w:p w14:paraId="0CABC802">
      <w:pPr>
        <w:pStyle w:val="7"/>
        <w:spacing w:line="360" w:lineRule="auto"/>
        <w:ind w:left="192" w:firstLine="440" w:firstLineChars="200"/>
        <w:rPr>
          <w:rFonts w:hint="eastAsia" w:asciiTheme="minorEastAsia" w:hAnsiTheme="minorEastAsia" w:eastAsiaTheme="minorEastAsia" w:cstheme="minorEastAsia"/>
          <w:sz w:val="22"/>
          <w:szCs w:val="22"/>
          <w:lang w:val="zh-CN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 xml:space="preserve">g) 负责中心物资的盘点与采购下单，每月执行盘点，根据运营需求合理安排采购下单，使用备用金对紧急物资进行应急采购， 保障中心物资供应； </w:t>
      </w:r>
    </w:p>
    <w:p w14:paraId="47952AA1">
      <w:pPr>
        <w:pStyle w:val="7"/>
        <w:spacing w:line="360" w:lineRule="auto"/>
        <w:ind w:left="192" w:firstLine="440" w:firstLineChars="200"/>
        <w:rPr>
          <w:rFonts w:hint="eastAsia" w:asciiTheme="minorEastAsia" w:hAnsiTheme="minorEastAsia" w:eastAsiaTheme="minorEastAsia" w:cstheme="minorEastAsia"/>
          <w:sz w:val="22"/>
          <w:szCs w:val="22"/>
          <w:lang w:val="zh-CN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 xml:space="preserve">h) 妥善管理中心供应商，监督供应商的服务水平，定期对供应商表现进行评价、考核，向单元办公室提出供应商选用意见，推荐更优供应商，优化供应商管理； </w:t>
      </w:r>
    </w:p>
    <w:p w14:paraId="095F0637">
      <w:pPr>
        <w:pStyle w:val="7"/>
        <w:spacing w:line="360" w:lineRule="auto"/>
        <w:ind w:left="192" w:firstLine="440" w:firstLineChars="200"/>
        <w:rPr>
          <w:rFonts w:hint="eastAsia" w:asciiTheme="minorEastAsia" w:hAnsiTheme="minorEastAsia" w:eastAsiaTheme="minorEastAsia" w:cstheme="minorEastAsia"/>
          <w:sz w:val="22"/>
          <w:szCs w:val="22"/>
          <w:lang w:val="zh-CN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 xml:space="preserve">i) 开发创新服务，鼓励团队创新，建立创新服务的开发机制，以客户为中心，提升客户满意度及依赖性； </w:t>
      </w:r>
    </w:p>
    <w:p w14:paraId="766DA166">
      <w:pPr>
        <w:pStyle w:val="7"/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2"/>
          <w:szCs w:val="22"/>
          <w:lang w:val="zh-CN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2"/>
          <w:szCs w:val="22"/>
          <w:lang w:val="en-US" w:eastAsia="zh-CN"/>
        </w:rPr>
        <w:t xml:space="preserve">4）维护良好的业主关系 </w:t>
      </w:r>
    </w:p>
    <w:p w14:paraId="0A92B4B3">
      <w:pPr>
        <w:pStyle w:val="7"/>
        <w:spacing w:line="360" w:lineRule="auto"/>
        <w:ind w:left="192" w:firstLine="440" w:firstLineChars="200"/>
        <w:rPr>
          <w:rFonts w:hint="eastAsia" w:asciiTheme="minorEastAsia" w:hAnsiTheme="minorEastAsia" w:eastAsiaTheme="minorEastAsia" w:cstheme="minorEastAsia"/>
          <w:sz w:val="22"/>
          <w:szCs w:val="22"/>
          <w:lang w:val="zh-CN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 xml:space="preserve">a) 承担常规事务职能对接工作，与业主各部门加强协作，共同提升项目经营水平； </w:t>
      </w:r>
    </w:p>
    <w:p w14:paraId="61B48FA8">
      <w:pPr>
        <w:pStyle w:val="7"/>
        <w:spacing w:line="360" w:lineRule="auto"/>
        <w:ind w:left="192" w:firstLine="440" w:firstLineChars="200"/>
        <w:rPr>
          <w:rFonts w:hint="eastAsia" w:asciiTheme="minorEastAsia" w:hAnsiTheme="minorEastAsia" w:eastAsiaTheme="minorEastAsia" w:cstheme="minorEastAsia"/>
          <w:sz w:val="22"/>
          <w:szCs w:val="22"/>
          <w:lang w:val="zh-CN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 xml:space="preserve">b) 建立有效的信息沟通机制，与业主搭建通畅的沟通平台，通过会议、报告、备忘录等机制，保持信息的有效互通； </w:t>
      </w:r>
    </w:p>
    <w:p w14:paraId="66862D76">
      <w:pPr>
        <w:pStyle w:val="7"/>
        <w:spacing w:line="360" w:lineRule="auto"/>
        <w:ind w:left="192" w:firstLine="440" w:firstLineChars="200"/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 xml:space="preserve">d) 配合业主的VIP接待，给宾客留下良好印象，为业务扩展打好基础； </w:t>
      </w:r>
    </w:p>
    <w:p w14:paraId="1FA6EE36">
      <w:pPr>
        <w:pStyle w:val="7"/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2"/>
          <w:szCs w:val="22"/>
          <w:lang w:val="zh-CN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2"/>
          <w:szCs w:val="22"/>
          <w:lang w:val="en-US" w:eastAsia="zh-CN"/>
        </w:rPr>
        <w:t xml:space="preserve">5）营造良性的人才发展氛围 </w:t>
      </w:r>
    </w:p>
    <w:p w14:paraId="69DBD7F4">
      <w:pPr>
        <w:pStyle w:val="7"/>
        <w:spacing w:line="360" w:lineRule="auto"/>
        <w:ind w:left="192" w:firstLine="440" w:firstLineChars="200"/>
        <w:rPr>
          <w:rFonts w:hint="eastAsia" w:asciiTheme="minorEastAsia" w:hAnsiTheme="minorEastAsia" w:eastAsiaTheme="minorEastAsia" w:cstheme="minorEastAsia"/>
          <w:sz w:val="22"/>
          <w:szCs w:val="22"/>
          <w:lang w:val="zh-CN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 xml:space="preserve">a) 负责中心运营核心团队的招聘，坚持公司选人、用人原则，匹配恰当的人选，为长期发展奠定基础； </w:t>
      </w:r>
    </w:p>
    <w:p w14:paraId="5B12905F">
      <w:pPr>
        <w:pStyle w:val="7"/>
        <w:spacing w:line="360" w:lineRule="auto"/>
        <w:ind w:left="192" w:firstLine="440" w:firstLineChars="200"/>
        <w:rPr>
          <w:rFonts w:hint="eastAsia" w:asciiTheme="minorEastAsia" w:hAnsiTheme="minorEastAsia" w:eastAsiaTheme="minorEastAsia" w:cstheme="minorEastAsia"/>
          <w:sz w:val="22"/>
          <w:szCs w:val="22"/>
          <w:lang w:val="zh-CN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 xml:space="preserve">b) 负责中心团队的岗位培训，根据单元办公室指引，负责伙伴入职上岗培训、在岗培训，不断创新和完善培训机制，使伙伴获得成长； </w:t>
      </w:r>
    </w:p>
    <w:p w14:paraId="2010BCDC">
      <w:pPr>
        <w:pStyle w:val="7"/>
        <w:spacing w:line="360" w:lineRule="auto"/>
        <w:ind w:left="192" w:firstLine="440" w:firstLineChars="200"/>
        <w:rPr>
          <w:rFonts w:hint="eastAsia" w:asciiTheme="minorEastAsia" w:hAnsiTheme="minorEastAsia" w:eastAsiaTheme="minorEastAsia" w:cstheme="minorEastAsia"/>
          <w:sz w:val="22"/>
          <w:szCs w:val="22"/>
          <w:lang w:val="zh-CN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 xml:space="preserve">c) 负责中心团队的绩效考核，根据单元办公室指引及伙伴表现，对中心团队进行绩效评级，对工作表现优异的伙伴给予表扬，对表现未达优异的伙伴进行绩效谈话，使其理解评级原因，指导、监督其改善进步； </w:t>
      </w:r>
    </w:p>
    <w:p w14:paraId="47C4CB28">
      <w:pPr>
        <w:pStyle w:val="7"/>
        <w:spacing w:line="360" w:lineRule="auto"/>
        <w:ind w:left="192" w:firstLine="440" w:firstLineChars="200"/>
        <w:rPr>
          <w:rFonts w:hint="eastAsia" w:asciiTheme="minorEastAsia" w:hAnsiTheme="minorEastAsia" w:eastAsiaTheme="minorEastAsia" w:cstheme="minorEastAsia"/>
          <w:sz w:val="22"/>
          <w:szCs w:val="22"/>
          <w:lang w:val="zh-CN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 xml:space="preserve">d) 负责核心团队的稳定，关注关键岗位伙伴的稳定性，控制基层岗位的流动率，沉淀核心管理人才； </w:t>
      </w:r>
    </w:p>
    <w:p w14:paraId="5E24E608">
      <w:pPr>
        <w:pStyle w:val="7"/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2"/>
          <w:szCs w:val="22"/>
          <w:lang w:val="zh-CN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2"/>
          <w:szCs w:val="22"/>
          <w:lang w:val="en-US" w:eastAsia="zh-CN"/>
        </w:rPr>
        <w:t xml:space="preserve">6）构建全方位的生态关系 </w:t>
      </w:r>
    </w:p>
    <w:p w14:paraId="0E239FAC">
      <w:pPr>
        <w:pStyle w:val="7"/>
        <w:spacing w:line="360" w:lineRule="auto"/>
        <w:ind w:left="192" w:firstLine="440" w:firstLineChars="200"/>
        <w:rPr>
          <w:rFonts w:hint="eastAsia" w:asciiTheme="minorEastAsia" w:hAnsiTheme="minorEastAsia" w:eastAsiaTheme="minorEastAsia" w:cstheme="minorEastAsia"/>
          <w:sz w:val="22"/>
          <w:szCs w:val="22"/>
          <w:lang w:val="zh-CN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 xml:space="preserve">a) 建立中介经纪人的圈子，保持定期的线下推盘，扩大经纪人基数；通过大富豪小程序的运营，完善经纪人管理、激励机制，增强活跃度，稳固经纪人渠道客源；建立核心经纪人圈子，团结一批对品牌有高度认可的经纪人，提升带客质量和品牌美誉度； </w:t>
      </w:r>
    </w:p>
    <w:p w14:paraId="41C88237">
      <w:pPr>
        <w:pStyle w:val="7"/>
        <w:spacing w:line="360" w:lineRule="auto"/>
        <w:ind w:left="192" w:firstLine="440" w:firstLineChars="200"/>
        <w:rPr>
          <w:rFonts w:hint="eastAsia" w:asciiTheme="minorEastAsia" w:hAnsiTheme="minorEastAsia" w:eastAsiaTheme="minorEastAsia" w:cstheme="minorEastAsia"/>
          <w:sz w:val="22"/>
          <w:szCs w:val="22"/>
          <w:lang w:val="zh-CN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 xml:space="preserve">b) 建立行业的圈子，加强与同行的交流互访，敏锐感知市场变化，为决策提供支持；参与行业活动，在行业发声，树立“新办公”行业标准，引领行业的创新和发展； </w:t>
      </w:r>
    </w:p>
    <w:p w14:paraId="3A539681">
      <w:pPr>
        <w:pStyle w:val="7"/>
        <w:spacing w:line="360" w:lineRule="auto"/>
        <w:ind w:left="192" w:firstLine="440" w:firstLineChars="200"/>
        <w:rPr>
          <w:rFonts w:hint="eastAsia" w:asciiTheme="minorEastAsia" w:hAnsiTheme="minorEastAsia" w:eastAsiaTheme="minorEastAsia" w:cstheme="minorEastAsia"/>
          <w:sz w:val="22"/>
          <w:szCs w:val="22"/>
          <w:lang w:val="zh-CN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 xml:space="preserve">c) 建立政务的圈子，与地方政府建立良好关系，与业务相关部门加强联系，提高政府机构对项目的认知度；充分了解地方政策，积极争取政府的各项政策支持；借助政府资源，提高危机预防和应对能力。 </w:t>
      </w:r>
    </w:p>
    <w:p w14:paraId="4B16BADA">
      <w:pPr>
        <w:pStyle w:val="7"/>
        <w:spacing w:line="360" w:lineRule="auto"/>
        <w:ind w:left="192" w:firstLine="440" w:firstLineChars="200"/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>d) 建立新媒体的圈子，与具有影响力的新媒体机构、KOL保持良好的公共关系，与集团品牌部门形成互补，增加品牌良性曝光机会，特别是借助新媒体渠道，为项目经营带来机会，树立良好的品牌形象。</w:t>
      </w:r>
    </w:p>
    <w:p w14:paraId="70454D1C">
      <w:pPr>
        <w:pStyle w:val="7"/>
        <w:spacing w:line="360" w:lineRule="auto"/>
        <w:ind w:left="192" w:firstLine="440" w:firstLineChars="200"/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</w:pPr>
    </w:p>
    <w:p w14:paraId="64D1A289">
      <w:pPr>
        <w:numPr>
          <w:ilvl w:val="0"/>
          <w:numId w:val="1"/>
        </w:numPr>
        <w:ind w:left="-420" w:right="23" w:rightChars="11" w:firstLine="0"/>
        <w:rPr>
          <w:rFonts w:hint="eastAsia" w:asciiTheme="minorEastAsia" w:hAnsiTheme="minorEastAsia" w:eastAsiaTheme="minorEastAsia" w:cstheme="minorEastAsia"/>
          <w:b/>
          <w:bCs/>
          <w:sz w:val="22"/>
          <w:szCs w:val="22"/>
          <w:highlight w:val="none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2"/>
          <w:szCs w:val="22"/>
          <w:highlight w:val="none"/>
          <w:u w:val="none"/>
          <w:lang w:val="en-US" w:eastAsia="zh-CN"/>
        </w:rPr>
        <w:t>基础运营服务费（表格）</w:t>
      </w:r>
    </w:p>
    <w:p w14:paraId="0CEBB865">
      <w:pPr>
        <w:pStyle w:val="7"/>
        <w:spacing w:line="360" w:lineRule="auto"/>
        <w:ind w:left="192" w:firstLine="440" w:firstLineChars="200"/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sectPr>
          <w:footerReference r:id="rId5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tbl>
      <w:tblPr>
        <w:tblStyle w:val="5"/>
        <w:tblW w:w="500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3"/>
        <w:gridCol w:w="1747"/>
        <w:gridCol w:w="1315"/>
        <w:gridCol w:w="1268"/>
        <w:gridCol w:w="1020"/>
        <w:gridCol w:w="897"/>
        <w:gridCol w:w="681"/>
        <w:gridCol w:w="603"/>
        <w:gridCol w:w="680"/>
        <w:gridCol w:w="712"/>
        <w:gridCol w:w="603"/>
        <w:gridCol w:w="788"/>
        <w:gridCol w:w="1497"/>
      </w:tblGrid>
      <w:tr w14:paraId="391DF7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000" w:type="pct"/>
            <w:gridSpan w:val="13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039416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snapToGrid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项目运营基础运营服务费用明细表</w:t>
            </w:r>
          </w:p>
        </w:tc>
      </w:tr>
      <w:tr w14:paraId="6C06CB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3" w:type="pct"/>
            <w:tcBorders>
              <w:top w:val="nil"/>
              <w:left w:val="single" w:color="000000" w:sz="8" w:space="0"/>
              <w:bottom w:val="nil"/>
              <w:right w:val="nil"/>
            </w:tcBorders>
            <w:shd w:val="clear" w:color="auto" w:fill="000000"/>
            <w:noWrap/>
            <w:vAlign w:val="center"/>
          </w:tcPr>
          <w:p w14:paraId="483C79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lef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snapToGrid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类目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noWrap/>
            <w:vAlign w:val="center"/>
          </w:tcPr>
          <w:p w14:paraId="746371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snapToGrid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明细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noWrap/>
            <w:vAlign w:val="center"/>
          </w:tcPr>
          <w:p w14:paraId="4D338B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snapToGrid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noWrap/>
            <w:vAlign w:val="center"/>
          </w:tcPr>
          <w:p w14:paraId="54C908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snapToGrid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noWrap/>
            <w:vAlign w:val="center"/>
          </w:tcPr>
          <w:p w14:paraId="63B0FC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snapToGrid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需求量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noWrap/>
            <w:vAlign w:val="center"/>
          </w:tcPr>
          <w:p w14:paraId="5779F5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snapToGrid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snapToGrid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月金额</w:t>
            </w:r>
          </w:p>
          <w:p w14:paraId="5A4EAA4F">
            <w:pPr>
              <w:pStyle w:val="2"/>
              <w:rPr>
                <w:rFonts w:hint="eastAsi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snapToGrid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（元）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noWrap/>
            <w:vAlign w:val="center"/>
          </w:tcPr>
          <w:p w14:paraId="7E00C3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snapToGrid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Y 1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noWrap/>
            <w:vAlign w:val="center"/>
          </w:tcPr>
          <w:p w14:paraId="15B8AF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snapToGrid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Y 2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noWrap/>
            <w:vAlign w:val="center"/>
          </w:tcPr>
          <w:p w14:paraId="64D426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snapToGrid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Y 3</w:t>
            </w: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noWrap/>
            <w:vAlign w:val="center"/>
          </w:tcPr>
          <w:p w14:paraId="4E4953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snapToGrid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Y 4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noWrap/>
            <w:vAlign w:val="center"/>
          </w:tcPr>
          <w:p w14:paraId="0F9ED8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snapToGrid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Y 5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noWrap/>
            <w:vAlign w:val="center"/>
          </w:tcPr>
          <w:p w14:paraId="60D8FD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snapToGrid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Y 6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000000"/>
            <w:vAlign w:val="center"/>
          </w:tcPr>
          <w:p w14:paraId="7DDD1E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snapToGrid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033A23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3" w:type="pct"/>
            <w:tcBorders>
              <w:top w:val="nil"/>
              <w:left w:val="single" w:color="000000" w:sz="8" w:space="0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6269C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lef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singl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>综合运营人员及招商人员成本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42315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0B135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5E773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706F3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5884A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24C66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CBEE9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B5072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954E3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DBCB9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62079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2307D4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93EFB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3" w:type="pct"/>
            <w:tcBorders>
              <w:top w:val="nil"/>
              <w:left w:val="single" w:color="000000" w:sz="8" w:space="0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9877F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基本工资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056F9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中心总经理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1E9DF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E4E47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元/月/人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C136B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80DBB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CA1E0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B4A13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F2BFE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AC73F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EB6C3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4934F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528" w:type="pct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5DA36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29F50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3" w:type="pct"/>
            <w:tcBorders>
              <w:top w:val="nil"/>
              <w:left w:val="single" w:color="000000" w:sz="8" w:space="0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0786E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94555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运营经理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00AE0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3F770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元/月/人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4BCC9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FF72A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FAF41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D22E2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96FD6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0722F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10F73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C9A4A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528" w:type="pct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C5983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1FAF9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3" w:type="pct"/>
            <w:tcBorders>
              <w:top w:val="nil"/>
              <w:left w:val="single" w:color="000000" w:sz="8" w:space="0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672EC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CB6AF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招商经理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BACD1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237B4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元/月/人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A48E7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616AB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2D56D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2BB2D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37C2E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92707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7D878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A336F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528" w:type="pct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C8434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E6D79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3" w:type="pct"/>
            <w:tcBorders>
              <w:top w:val="nil"/>
              <w:left w:val="single" w:color="000000" w:sz="8" w:space="0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29D8E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7E70C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运营官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A544B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43C1C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元/月/人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07B84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105D1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122E9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E908E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A216A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DDAB7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39734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D2EBA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528" w:type="pct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588DD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269CE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3" w:type="pct"/>
            <w:tcBorders>
              <w:top w:val="nil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1CF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行政办公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962F8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加班交通费、快递费、差旅费等行政费用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27D5B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1FCA2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元/人/月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97F26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5B5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92C4F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04D0E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CE56B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6A0C1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6074C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B3C6C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528" w:type="pct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501A0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BC8A2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3" w:type="pct"/>
            <w:tcBorders>
              <w:top w:val="single" w:color="000000" w:sz="8" w:space="0"/>
              <w:left w:val="single" w:color="000000" w:sz="8" w:space="0"/>
              <w:bottom w:val="nil"/>
              <w:right w:val="nil"/>
            </w:tcBorders>
            <w:shd w:val="clear" w:color="auto" w:fill="D9D9D9"/>
            <w:vAlign w:val="center"/>
          </w:tcPr>
          <w:p w14:paraId="4CB796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lef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成本小计</w:t>
            </w:r>
          </w:p>
        </w:tc>
        <w:tc>
          <w:tcPr>
            <w:tcW w:w="616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5CDCE3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3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79EE76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418A0E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9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 w14:paraId="6D3458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 w14:paraId="564575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40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 w14:paraId="3218C5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2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 w14:paraId="2091E6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39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 w14:paraId="2D4F83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51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 w14:paraId="5D4533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2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 w14:paraId="47CC31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77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 w14:paraId="14BBD5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528" w:type="pct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D9D9D9"/>
            <w:vAlign w:val="center"/>
          </w:tcPr>
          <w:p w14:paraId="59967B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07BF3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3" w:type="pct"/>
            <w:tcBorders>
              <w:top w:val="nil"/>
              <w:left w:val="single" w:color="000000" w:sz="8" w:space="0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0C2CB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lef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singl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>设施设备维护费用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A6185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497A6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FA4F4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36046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0C9AD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08C84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5C4EB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66A08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E8C53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B00B1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49B57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211989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56BAC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3" w:type="pct"/>
            <w:tcBorders>
              <w:top w:val="nil"/>
              <w:left w:val="single" w:color="000000" w:sz="8" w:space="0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B0FEF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设施设备日常损耗维护费用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68019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9E38B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38FE7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元/年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10952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0B039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A4D6C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2073C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6B02A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12B2D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361E4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C4F41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4BC4FE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309BC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3" w:type="pct"/>
            <w:tcBorders>
              <w:top w:val="nil"/>
              <w:left w:val="single" w:color="000000" w:sz="8" w:space="0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D3D6D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设备保养费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2F362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FA21F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8D70A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元/月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1C62F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99386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1A2B6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FF1D5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4B2CC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A6C6A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7C94C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C21F5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0CE21A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2A452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3" w:type="pct"/>
            <w:tcBorders>
              <w:top w:val="single" w:color="000000" w:sz="8" w:space="0"/>
              <w:left w:val="single" w:color="000000" w:sz="8" w:space="0"/>
              <w:bottom w:val="nil"/>
              <w:right w:val="nil"/>
            </w:tcBorders>
            <w:shd w:val="clear" w:color="auto" w:fill="D9D9D9"/>
            <w:vAlign w:val="center"/>
          </w:tcPr>
          <w:p w14:paraId="2FD30D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lef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成本小计</w:t>
            </w:r>
          </w:p>
        </w:tc>
        <w:tc>
          <w:tcPr>
            <w:tcW w:w="616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779A5B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3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660538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778B2B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9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 w14:paraId="389D41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 w14:paraId="2877EE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40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 w14:paraId="25A384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2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 w14:paraId="0FC1AF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39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 w14:paraId="2C4A25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51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 w14:paraId="6C45C6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2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 w14:paraId="23E3F5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77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 w14:paraId="286DAF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528" w:type="pct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D9D9D9"/>
            <w:vAlign w:val="center"/>
          </w:tcPr>
          <w:p w14:paraId="7F76FC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5213D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3" w:type="pct"/>
            <w:tcBorders>
              <w:top w:val="nil"/>
              <w:left w:val="single" w:color="000000" w:sz="8" w:space="0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B0BEE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lef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singl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>网络光纤费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06850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93568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7B6DD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190D3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AEA24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BAF62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F2473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78878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DB7FA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E3C55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97A53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68B353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C9851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3" w:type="pct"/>
            <w:tcBorders>
              <w:top w:val="nil"/>
              <w:left w:val="single" w:color="000000" w:sz="8" w:space="0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BF28A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网络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5DE40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专线光纤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2F8DC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F7778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元/月/条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526F8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DA37C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FAE6C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90800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4FFB8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32C27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154B6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F7245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279503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A50CE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3" w:type="pct"/>
            <w:tcBorders>
              <w:top w:val="single" w:color="000000" w:sz="8" w:space="0"/>
              <w:left w:val="single" w:color="000000" w:sz="8" w:space="0"/>
              <w:bottom w:val="nil"/>
              <w:right w:val="nil"/>
            </w:tcBorders>
            <w:shd w:val="clear" w:color="auto" w:fill="D9D9D9"/>
            <w:vAlign w:val="center"/>
          </w:tcPr>
          <w:p w14:paraId="3AA3DE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lef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成本小计</w:t>
            </w:r>
          </w:p>
        </w:tc>
        <w:tc>
          <w:tcPr>
            <w:tcW w:w="616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1E93DE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3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221FBD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443C344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9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 w14:paraId="215C48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 w14:paraId="73ACAF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40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 w14:paraId="45B538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2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 w14:paraId="779B7A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39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 w14:paraId="25E4B0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51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 w14:paraId="627864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2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 w14:paraId="32DB5B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77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 w14:paraId="0241C6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528" w:type="pct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D9D9D9"/>
            <w:vAlign w:val="center"/>
          </w:tcPr>
          <w:p w14:paraId="74559F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07420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3" w:type="pct"/>
            <w:tcBorders>
              <w:top w:val="nil"/>
              <w:left w:val="single" w:color="000000" w:sz="8" w:space="0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4C0F0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lef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singl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>除咖啡吧台外低值易耗品、布草清洁、生态绿植租赁及洗手间气味管理费用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18D95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632B6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B6BDD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30B39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2FD19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C2C89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70BB1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6B7FC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56C6A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EDE8B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C86A0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065E75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A49B6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3" w:type="pct"/>
            <w:vMerge w:val="restart"/>
            <w:tcBorders>
              <w:top w:val="nil"/>
              <w:left w:val="single" w:color="000000" w:sz="8" w:space="0"/>
              <w:bottom w:val="nil"/>
              <w:right w:val="nil"/>
            </w:tcBorders>
            <w:shd w:val="clear" w:color="auto" w:fill="FFFFFF"/>
            <w:vAlign w:val="center"/>
          </w:tcPr>
          <w:p w14:paraId="480B0B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低值易耗品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96BCD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911CD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97B3A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元/月/位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7ACF4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5D282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14A60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11EC4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D0707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9D6EC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F1A67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87255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528" w:type="pct"/>
            <w:vMerge w:val="restar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305D5F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89C1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3" w:type="pct"/>
            <w:vMerge w:val="continue"/>
            <w:tcBorders>
              <w:top w:val="nil"/>
              <w:left w:val="single" w:color="000000" w:sz="8" w:space="0"/>
              <w:bottom w:val="nil"/>
              <w:right w:val="nil"/>
            </w:tcBorders>
            <w:shd w:val="clear" w:color="auto" w:fill="FFFFFF"/>
            <w:vAlign w:val="center"/>
          </w:tcPr>
          <w:p w14:paraId="2CAFD1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36028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CDB18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D7E4B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元/月/位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CF21D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A45E1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26BD8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8893A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E78FA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7D8FF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F8B16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CDC7E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528" w:type="pct"/>
            <w:vMerge w:val="continue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1A7D7C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6EF2D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3" w:type="pct"/>
            <w:tcBorders>
              <w:top w:val="nil"/>
              <w:left w:val="single" w:color="000000" w:sz="8" w:space="0"/>
              <w:bottom w:val="nil"/>
              <w:right w:val="nil"/>
            </w:tcBorders>
            <w:shd w:val="clear" w:color="auto" w:fill="FFFFFF"/>
            <w:vAlign w:val="center"/>
          </w:tcPr>
          <w:p w14:paraId="69C592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布草周期性清洁维护保养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46203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166E5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D209A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元/季度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AF159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6D768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1CF6C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731C9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8118B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2D51A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C512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FC8DD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7A589D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9357F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3" w:type="pct"/>
            <w:tcBorders>
              <w:top w:val="nil"/>
              <w:left w:val="single" w:color="000000" w:sz="8" w:space="0"/>
              <w:bottom w:val="nil"/>
              <w:right w:val="nil"/>
            </w:tcBorders>
            <w:shd w:val="clear" w:color="auto" w:fill="FFFFFF"/>
            <w:vAlign w:val="center"/>
          </w:tcPr>
          <w:p w14:paraId="1D24ED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有机生态绿植管理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C8BB7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1D0C2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1954E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元/月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41858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A6198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584BD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358E8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ABBD4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2BE34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C1DC7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CEA28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377113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AAD8E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3" w:type="pct"/>
            <w:tcBorders>
              <w:top w:val="nil"/>
              <w:left w:val="single" w:color="000000" w:sz="8" w:space="0"/>
              <w:bottom w:val="nil"/>
              <w:right w:val="nil"/>
            </w:tcBorders>
            <w:shd w:val="clear" w:color="auto" w:fill="FFFFFF"/>
            <w:vAlign w:val="center"/>
          </w:tcPr>
          <w:p w14:paraId="486BDF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空间气味管理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22169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3E9AF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D3DD4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元/月/台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4E32A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3DD86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A6444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8D491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337E9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AA993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39B10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3C7C0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1B9424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1F51B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3" w:type="pct"/>
            <w:tcBorders>
              <w:top w:val="single" w:color="000000" w:sz="8" w:space="0"/>
              <w:left w:val="single" w:color="000000" w:sz="8" w:space="0"/>
              <w:bottom w:val="nil"/>
              <w:right w:val="nil"/>
            </w:tcBorders>
            <w:shd w:val="clear" w:color="auto" w:fill="D9D9D9"/>
            <w:vAlign w:val="center"/>
          </w:tcPr>
          <w:p w14:paraId="5DFCCC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lef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成本小计</w:t>
            </w:r>
          </w:p>
        </w:tc>
        <w:tc>
          <w:tcPr>
            <w:tcW w:w="616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4F9A81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3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3B7537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553E74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9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 w14:paraId="01122A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 w14:paraId="3B4FBF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40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 w14:paraId="290372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2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 w14:paraId="5354A2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39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 w14:paraId="03C359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51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 w14:paraId="366242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2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 w14:paraId="2CA1BE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77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 w14:paraId="7AE36E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528" w:type="pct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D9D9D9"/>
            <w:vAlign w:val="center"/>
          </w:tcPr>
          <w:p w14:paraId="12EAEE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25803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3" w:type="pct"/>
            <w:tcBorders>
              <w:top w:val="nil"/>
              <w:left w:val="single" w:color="000000" w:sz="8" w:space="0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D3644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18973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E0246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A707F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F01BC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C9CBC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C78FE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88407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E5003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E65C1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8341B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17AB2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1197C4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13A70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3" w:type="pct"/>
            <w:tcBorders>
              <w:top w:val="nil"/>
              <w:left w:val="single" w:color="000000" w:sz="8" w:space="0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251AB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lef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singl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>空间租户福利活动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BF423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EF1CC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FC88B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0194A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EC38C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73DFF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D9033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0F3D4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E82C0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61863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C73A5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324CE5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E7F7A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3" w:type="pct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FFFFFF"/>
            <w:noWrap/>
            <w:vAlign w:val="center"/>
          </w:tcPr>
          <w:p w14:paraId="50C039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空间租户福利活动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FFFFFF"/>
            <w:noWrap/>
            <w:vAlign w:val="center"/>
          </w:tcPr>
          <w:p w14:paraId="344030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FFFFFF"/>
            <w:noWrap/>
            <w:vAlign w:val="center"/>
          </w:tcPr>
          <w:p w14:paraId="6164CD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FFFFFF"/>
            <w:noWrap/>
            <w:vAlign w:val="center"/>
          </w:tcPr>
          <w:p w14:paraId="54744A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元/月</w:t>
            </w:r>
          </w:p>
        </w:tc>
        <w:tc>
          <w:tcPr>
            <w:tcW w:w="359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FFFFFF"/>
            <w:noWrap/>
            <w:vAlign w:val="center"/>
          </w:tcPr>
          <w:p w14:paraId="14052F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FFFFFF"/>
            <w:noWrap/>
            <w:vAlign w:val="center"/>
          </w:tcPr>
          <w:p w14:paraId="2260AE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40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FFFFFF"/>
            <w:noWrap/>
            <w:vAlign w:val="center"/>
          </w:tcPr>
          <w:p w14:paraId="1892BD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2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FFFFFF"/>
            <w:noWrap/>
            <w:vAlign w:val="center"/>
          </w:tcPr>
          <w:p w14:paraId="521B5E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39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FFFFFF"/>
            <w:noWrap/>
            <w:vAlign w:val="center"/>
          </w:tcPr>
          <w:p w14:paraId="328EFF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51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FFFFFF"/>
            <w:noWrap/>
            <w:vAlign w:val="center"/>
          </w:tcPr>
          <w:p w14:paraId="554B71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2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FFFFFF"/>
            <w:noWrap/>
            <w:vAlign w:val="center"/>
          </w:tcPr>
          <w:p w14:paraId="488CFA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77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FFFFFF"/>
            <w:noWrap/>
            <w:vAlign w:val="center"/>
          </w:tcPr>
          <w:p w14:paraId="75AC96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52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34C77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FCAFB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3" w:type="pct"/>
            <w:tcBorders>
              <w:top w:val="single" w:color="000000" w:sz="8" w:space="0"/>
              <w:left w:val="single" w:color="000000" w:sz="8" w:space="0"/>
              <w:bottom w:val="nil"/>
              <w:right w:val="nil"/>
            </w:tcBorders>
            <w:shd w:val="clear" w:color="auto" w:fill="D9D9D9"/>
            <w:vAlign w:val="center"/>
          </w:tcPr>
          <w:p w14:paraId="184AC3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lef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成本小计</w:t>
            </w:r>
          </w:p>
        </w:tc>
        <w:tc>
          <w:tcPr>
            <w:tcW w:w="616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0D288B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3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1275EB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5BD7EA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9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 w14:paraId="6919BA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 w14:paraId="7209BF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40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 w14:paraId="639FC3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2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 w14:paraId="012371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39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 w14:paraId="69486C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51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 w14:paraId="4C138E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2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 w14:paraId="45E12E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77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 w14:paraId="074A54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528" w:type="pct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D9D9D9"/>
            <w:vAlign w:val="center"/>
          </w:tcPr>
          <w:p w14:paraId="38CC3A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9C5AA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3" w:type="pct"/>
            <w:tcBorders>
              <w:top w:val="nil"/>
              <w:left w:val="single" w:color="000000" w:sz="8" w:space="0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7A220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lef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singl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>保洁人员及除四害消杀、地板周期性清洁维护费用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345A2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F09F6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D7B0D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44F0C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1B85E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FCF8A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8A4C8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23805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2B91D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56206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E8E9E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557198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4E669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3" w:type="pct"/>
            <w:tcBorders>
              <w:top w:val="nil"/>
              <w:left w:val="single" w:color="000000" w:sz="8" w:space="0"/>
              <w:bottom w:val="nil"/>
              <w:right w:val="nil"/>
            </w:tcBorders>
            <w:shd w:val="clear" w:color="auto" w:fill="FFFFFF"/>
            <w:vAlign w:val="center"/>
          </w:tcPr>
          <w:p w14:paraId="47559E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空间巡查及清洁卫生服务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A316A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307D0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217A7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元/月/人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7CFF8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AD383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5737E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D499A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46203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2F329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8670A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235C9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3C13BE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DDDCF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3" w:type="pct"/>
            <w:tcBorders>
              <w:top w:val="nil"/>
              <w:left w:val="single" w:color="000000" w:sz="8" w:space="0"/>
              <w:bottom w:val="nil"/>
              <w:right w:val="nil"/>
            </w:tcBorders>
            <w:shd w:val="clear" w:color="auto" w:fill="FFFFFF"/>
            <w:vAlign w:val="center"/>
          </w:tcPr>
          <w:p w14:paraId="29C718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地板周期性清洁维护保养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ACE62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4C022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2D403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元/次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EBBF7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1C375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33042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A22C7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69D48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A4507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1D98B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66A64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78BE46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020FF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3" w:type="pct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72F1B2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环境除四害消杀服务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FFFFFF"/>
            <w:noWrap/>
            <w:vAlign w:val="center"/>
          </w:tcPr>
          <w:p w14:paraId="5529A9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FFFFFF"/>
            <w:noWrap/>
            <w:vAlign w:val="center"/>
          </w:tcPr>
          <w:p w14:paraId="4AA491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FFFFFF"/>
            <w:noWrap/>
            <w:vAlign w:val="center"/>
          </w:tcPr>
          <w:p w14:paraId="4AE7AE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元/次</w:t>
            </w:r>
          </w:p>
        </w:tc>
        <w:tc>
          <w:tcPr>
            <w:tcW w:w="359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FFFFFF"/>
            <w:noWrap/>
            <w:vAlign w:val="center"/>
          </w:tcPr>
          <w:p w14:paraId="6C10FE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FFFFFF"/>
            <w:noWrap/>
            <w:vAlign w:val="center"/>
          </w:tcPr>
          <w:p w14:paraId="27D1B5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40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FFFFFF"/>
            <w:noWrap/>
            <w:vAlign w:val="center"/>
          </w:tcPr>
          <w:p w14:paraId="617B70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2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FFFFFF"/>
            <w:noWrap/>
            <w:vAlign w:val="center"/>
          </w:tcPr>
          <w:p w14:paraId="3C81F9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39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FFFFFF"/>
            <w:noWrap/>
            <w:vAlign w:val="center"/>
          </w:tcPr>
          <w:p w14:paraId="49EB99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51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FFFFFF"/>
            <w:noWrap/>
            <w:vAlign w:val="center"/>
          </w:tcPr>
          <w:p w14:paraId="14EA07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2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FFFFFF"/>
            <w:noWrap/>
            <w:vAlign w:val="center"/>
          </w:tcPr>
          <w:p w14:paraId="2FD13D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77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FFFFFF"/>
            <w:noWrap/>
            <w:vAlign w:val="center"/>
          </w:tcPr>
          <w:p w14:paraId="7F1E55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52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8A5D4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E04C8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3" w:type="pct"/>
            <w:tcBorders>
              <w:top w:val="nil"/>
              <w:left w:val="single" w:color="000000" w:sz="8" w:space="0"/>
              <w:bottom w:val="nil"/>
              <w:right w:val="nil"/>
            </w:tcBorders>
            <w:shd w:val="clear" w:color="auto" w:fill="D9D9D9"/>
            <w:vAlign w:val="center"/>
          </w:tcPr>
          <w:p w14:paraId="54CBF8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lef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成本小计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60BC1C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31642B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6B66FE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 w14:paraId="781B3B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 w14:paraId="18567E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 w14:paraId="1B4D50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 w14:paraId="1815C3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 w14:paraId="5B934D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 w14:paraId="348405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 w14:paraId="184873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 w14:paraId="351681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D9D9D9"/>
            <w:vAlign w:val="center"/>
          </w:tcPr>
          <w:p w14:paraId="11D02C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E6719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3" w:type="pct"/>
            <w:tcBorders>
              <w:top w:val="nil"/>
              <w:left w:val="single" w:color="000000" w:sz="8" w:space="0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B95D9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lef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singl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>商业保险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351CF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F9EEF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62159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E6CE7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D15CC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1D574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9A721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D2A3A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6243E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58297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B3714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7A0ECB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99516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3" w:type="pct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FFFFFF"/>
            <w:noWrap/>
            <w:vAlign w:val="center"/>
          </w:tcPr>
          <w:p w14:paraId="50E82B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公众责任险、财产一切险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FFFFFF"/>
            <w:noWrap/>
            <w:vAlign w:val="center"/>
          </w:tcPr>
          <w:p w14:paraId="110C03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FFFFFF"/>
            <w:noWrap/>
            <w:vAlign w:val="center"/>
          </w:tcPr>
          <w:p w14:paraId="0D8E95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FFFFFF"/>
            <w:noWrap/>
            <w:vAlign w:val="center"/>
          </w:tcPr>
          <w:p w14:paraId="69063E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元/㎡/年</w:t>
            </w:r>
          </w:p>
        </w:tc>
        <w:tc>
          <w:tcPr>
            <w:tcW w:w="359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FFFFFF"/>
            <w:noWrap/>
            <w:vAlign w:val="center"/>
          </w:tcPr>
          <w:p w14:paraId="662C59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FFFFFF"/>
            <w:noWrap/>
            <w:vAlign w:val="center"/>
          </w:tcPr>
          <w:p w14:paraId="351236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40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FFFFFF"/>
            <w:noWrap/>
            <w:vAlign w:val="center"/>
          </w:tcPr>
          <w:p w14:paraId="72BA76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2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FFFFFF"/>
            <w:noWrap/>
            <w:vAlign w:val="center"/>
          </w:tcPr>
          <w:p w14:paraId="70F3C7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39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FFFFFF"/>
            <w:noWrap/>
            <w:vAlign w:val="center"/>
          </w:tcPr>
          <w:p w14:paraId="51CAD1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51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FFFFFF"/>
            <w:noWrap/>
            <w:vAlign w:val="center"/>
          </w:tcPr>
          <w:p w14:paraId="1A481C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2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FFFFFF"/>
            <w:noWrap/>
            <w:vAlign w:val="center"/>
          </w:tcPr>
          <w:p w14:paraId="69F99F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77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FFFFFF"/>
            <w:noWrap/>
            <w:vAlign w:val="center"/>
          </w:tcPr>
          <w:p w14:paraId="73E5D0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52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A4D21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A5622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3" w:type="pct"/>
            <w:tcBorders>
              <w:top w:val="single" w:color="000000" w:sz="8" w:space="0"/>
              <w:left w:val="single" w:color="000000" w:sz="8" w:space="0"/>
              <w:bottom w:val="nil"/>
              <w:right w:val="nil"/>
            </w:tcBorders>
            <w:shd w:val="clear" w:color="auto" w:fill="D9D9D9"/>
            <w:vAlign w:val="center"/>
          </w:tcPr>
          <w:p w14:paraId="3123D2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lef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成本小计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068D85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64EE0E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7B37BA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 w14:paraId="5D831C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 w14:paraId="0BA797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 w14:paraId="3A83C4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 w14:paraId="2E261A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 w14:paraId="644870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 w14:paraId="2B0649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 w14:paraId="539226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 w14:paraId="184765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D9D9D9"/>
            <w:vAlign w:val="center"/>
          </w:tcPr>
          <w:p w14:paraId="0A6372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F23D0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3" w:type="pct"/>
            <w:tcBorders>
              <w:top w:val="nil"/>
              <w:left w:val="single" w:color="000000" w:sz="8" w:space="0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5417A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8A7D9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B46D9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DD29B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7F072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F32B0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29FA4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78D23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C1A64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6EAF9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8ADFD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C0201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16E682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B7C45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D9D9D9"/>
            <w:noWrap/>
            <w:vAlign w:val="center"/>
          </w:tcPr>
          <w:p w14:paraId="2231F3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lef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项目运营阶段成本费用总额</w:t>
            </w:r>
          </w:p>
        </w:tc>
        <w:tc>
          <w:tcPr>
            <w:tcW w:w="616" w:type="pct"/>
            <w:tcBorders>
              <w:top w:val="single" w:color="000000" w:sz="8" w:space="0"/>
              <w:left w:val="nil"/>
              <w:bottom w:val="single" w:color="000000" w:sz="8" w:space="0"/>
              <w:right w:val="nil"/>
            </w:tcBorders>
            <w:shd w:val="clear" w:color="auto" w:fill="D9D9D9"/>
            <w:noWrap/>
            <w:vAlign w:val="center"/>
          </w:tcPr>
          <w:p w14:paraId="042FB3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3" w:type="pct"/>
            <w:tcBorders>
              <w:top w:val="single" w:color="000000" w:sz="8" w:space="0"/>
              <w:left w:val="nil"/>
              <w:bottom w:val="single" w:color="000000" w:sz="8" w:space="0"/>
              <w:right w:val="nil"/>
            </w:tcBorders>
            <w:shd w:val="clear" w:color="auto" w:fill="D9D9D9"/>
            <w:noWrap/>
            <w:vAlign w:val="center"/>
          </w:tcPr>
          <w:p w14:paraId="547772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8" w:space="0"/>
              <w:left w:val="nil"/>
              <w:bottom w:val="single" w:color="000000" w:sz="8" w:space="0"/>
              <w:right w:val="nil"/>
            </w:tcBorders>
            <w:shd w:val="clear" w:color="auto" w:fill="D9D9D9"/>
            <w:noWrap/>
            <w:vAlign w:val="center"/>
          </w:tcPr>
          <w:p w14:paraId="619D54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9" w:type="pct"/>
            <w:tcBorders>
              <w:top w:val="single" w:color="000000" w:sz="8" w:space="0"/>
              <w:left w:val="nil"/>
              <w:bottom w:val="single" w:color="000000" w:sz="8" w:space="0"/>
              <w:right w:val="nil"/>
            </w:tcBorders>
            <w:shd w:val="clear" w:color="auto" w:fill="D9D9D9"/>
            <w:noWrap/>
            <w:vAlign w:val="center"/>
          </w:tcPr>
          <w:p w14:paraId="55FCCC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8" w:space="0"/>
              <w:left w:val="nil"/>
              <w:bottom w:val="single" w:color="000000" w:sz="8" w:space="0"/>
              <w:right w:val="nil"/>
            </w:tcBorders>
            <w:shd w:val="clear" w:color="auto" w:fill="D9D9D9"/>
            <w:noWrap/>
            <w:vAlign w:val="center"/>
          </w:tcPr>
          <w:p w14:paraId="78E1B1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40" w:type="pct"/>
            <w:tcBorders>
              <w:top w:val="single" w:color="000000" w:sz="8" w:space="0"/>
              <w:left w:val="nil"/>
              <w:bottom w:val="single" w:color="000000" w:sz="8" w:space="0"/>
              <w:right w:val="nil"/>
            </w:tcBorders>
            <w:shd w:val="clear" w:color="auto" w:fill="D9D9D9"/>
            <w:noWrap/>
            <w:vAlign w:val="center"/>
          </w:tcPr>
          <w:p w14:paraId="2D6030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2" w:type="pct"/>
            <w:tcBorders>
              <w:top w:val="single" w:color="000000" w:sz="8" w:space="0"/>
              <w:left w:val="nil"/>
              <w:bottom w:val="single" w:color="000000" w:sz="8" w:space="0"/>
              <w:right w:val="nil"/>
            </w:tcBorders>
            <w:shd w:val="clear" w:color="auto" w:fill="D9D9D9"/>
            <w:noWrap/>
            <w:vAlign w:val="center"/>
          </w:tcPr>
          <w:p w14:paraId="47E929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39" w:type="pct"/>
            <w:tcBorders>
              <w:top w:val="single" w:color="000000" w:sz="8" w:space="0"/>
              <w:left w:val="nil"/>
              <w:bottom w:val="single" w:color="000000" w:sz="8" w:space="0"/>
              <w:right w:val="nil"/>
            </w:tcBorders>
            <w:shd w:val="clear" w:color="auto" w:fill="D9D9D9"/>
            <w:noWrap/>
            <w:vAlign w:val="center"/>
          </w:tcPr>
          <w:p w14:paraId="55A52D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51" w:type="pct"/>
            <w:tcBorders>
              <w:top w:val="single" w:color="000000" w:sz="8" w:space="0"/>
              <w:left w:val="nil"/>
              <w:bottom w:val="single" w:color="000000" w:sz="8" w:space="0"/>
              <w:right w:val="nil"/>
            </w:tcBorders>
            <w:shd w:val="clear" w:color="auto" w:fill="D9D9D9"/>
            <w:noWrap/>
            <w:vAlign w:val="center"/>
          </w:tcPr>
          <w:p w14:paraId="3C9669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2" w:type="pct"/>
            <w:tcBorders>
              <w:top w:val="single" w:color="000000" w:sz="8" w:space="0"/>
              <w:left w:val="nil"/>
              <w:bottom w:val="single" w:color="000000" w:sz="8" w:space="0"/>
              <w:right w:val="nil"/>
            </w:tcBorders>
            <w:shd w:val="clear" w:color="auto" w:fill="D9D9D9"/>
            <w:noWrap/>
            <w:vAlign w:val="center"/>
          </w:tcPr>
          <w:p w14:paraId="4E085F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77" w:type="pct"/>
            <w:tcBorders>
              <w:top w:val="single" w:color="000000" w:sz="8" w:space="0"/>
              <w:left w:val="nil"/>
              <w:bottom w:val="single" w:color="000000" w:sz="8" w:space="0"/>
              <w:right w:val="nil"/>
            </w:tcBorders>
            <w:shd w:val="clear" w:color="auto" w:fill="D9D9D9"/>
            <w:noWrap/>
            <w:vAlign w:val="center"/>
          </w:tcPr>
          <w:p w14:paraId="46B425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52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9D9D9"/>
            <w:vAlign w:val="center"/>
          </w:tcPr>
          <w:p w14:paraId="2922FB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 w:line="0" w:lineRule="atLeast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每年递增3%</w:t>
            </w:r>
          </w:p>
        </w:tc>
      </w:tr>
    </w:tbl>
    <w:p w14:paraId="660A8B1D">
      <w:bookmarkStart w:id="24" w:name="_GoBack"/>
      <w:bookmarkEnd w:id="24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ongti SC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Helvetica Neue">
    <w:altName w:val="Times New Roman"/>
    <w:panose1 w:val="02000503000000020004"/>
    <w:charset w:val="00"/>
    <w:family w:val="auto"/>
    <w:pitch w:val="default"/>
    <w:sig w:usb0="00000000" w:usb1="00000000" w:usb2="0000001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5B2DEC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D6177C7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D6177C7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12" w:lineRule="auto"/>
      </w:pPr>
      <w:r>
        <w:separator/>
      </w:r>
    </w:p>
  </w:footnote>
  <w:footnote w:type="continuationSeparator" w:id="1">
    <w:p>
      <w:pPr>
        <w:spacing w:before="0" w:after="0" w:line="312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DEEE14"/>
    <w:multiLevelType w:val="singleLevel"/>
    <w:tmpl w:val="9FDEEE14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>
    <w:nsid w:val="F1A6CB1E"/>
    <w:multiLevelType w:val="singleLevel"/>
    <w:tmpl w:val="F1A6CB1E"/>
    <w:lvl w:ilvl="0" w:tentative="0">
      <w:start w:val="1"/>
      <w:numFmt w:val="chineseCounting"/>
      <w:suff w:val="nothing"/>
      <w:lvlText w:val="%1、"/>
      <w:lvlJc w:val="left"/>
      <w:pPr>
        <w:ind w:left="-420" w:firstLine="420"/>
      </w:pPr>
      <w:rPr>
        <w:rFonts w:hint="eastAsia"/>
      </w:rPr>
    </w:lvl>
  </w:abstractNum>
  <w:abstractNum w:abstractNumId="2">
    <w:nsid w:val="FF1FBB2F"/>
    <w:multiLevelType w:val="singleLevel"/>
    <w:tmpl w:val="FF1FBB2F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3">
    <w:nsid w:val="4A6C107C"/>
    <w:multiLevelType w:val="singleLevel"/>
    <w:tmpl w:val="4A6C107C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4">
    <w:nsid w:val="6F6B1A34"/>
    <w:multiLevelType w:val="singleLevel"/>
    <w:tmpl w:val="6F6B1A34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yNDY0ZWE2YTYxYmI2MjU5OWZmMTU1NjRkMDA1MmIifQ=="/>
  </w:docVars>
  <w:rsids>
    <w:rsidRoot w:val="EFEF07DB"/>
    <w:rsid w:val="131B153F"/>
    <w:rsid w:val="1A7B34CF"/>
    <w:rsid w:val="649E25BA"/>
    <w:rsid w:val="79B951FC"/>
    <w:rsid w:val="7CCFC8AA"/>
    <w:rsid w:val="7DE9E101"/>
    <w:rsid w:val="BBFB93F1"/>
    <w:rsid w:val="EFEF07DB"/>
    <w:rsid w:val="FB6A4D30"/>
    <w:rsid w:val="FBFF3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napToGrid w:val="0"/>
      <w:spacing w:after="50" w:afterLines="50" w:line="312" w:lineRule="auto"/>
      <w:jc w:val="both"/>
    </w:pPr>
    <w:rPr>
      <w:rFonts w:eastAsia="Songti SC" w:asciiTheme="minorAscii" w:hAnsiTheme="minorAscii" w:cstheme="minorBidi"/>
      <w:snapToGrid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Default"/>
    <w:qFormat/>
    <w:uiPriority w:val="0"/>
    <w:rPr>
      <w:rFonts w:hint="eastAsia" w:ascii="Arial Unicode MS" w:hAnsi="Arial Unicode MS" w:eastAsia="Arial Unicode MS" w:cs="Arial Unicode MS"/>
      <w:color w:val="000000"/>
      <w:sz w:val="22"/>
      <w:szCs w:val="22"/>
      <w:u w:color="000000"/>
      <w:lang w:val="zh-TW" w:eastAsia="zh-TW" w:bidi="ar-SA"/>
    </w:rPr>
  </w:style>
  <w:style w:type="paragraph" w:customStyle="1" w:styleId="8">
    <w:name w:val="Caption A"/>
    <w:qFormat/>
    <w:uiPriority w:val="0"/>
    <w:pPr>
      <w:tabs>
        <w:tab w:val="left" w:pos="1150"/>
      </w:tabs>
    </w:pPr>
    <w:rPr>
      <w:rFonts w:ascii="Helvetica Neue" w:hAnsi="Helvetica Neue" w:eastAsia="Arial Unicode MS" w:cs="Arial Unicode MS"/>
      <w:b/>
      <w:bCs/>
      <w:caps/>
      <w:color w:val="000000"/>
      <w:u w:color="000000"/>
      <w:lang w:val="zh-TW" w:eastAsia="zh-TW" w:bidi="ar-SA"/>
    </w:rPr>
  </w:style>
  <w:style w:type="table" w:customStyle="1" w:styleId="9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Body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Times New Roman" w:hAnsi="Times New Roman" w:eastAsia="Times New Roman" w:cs="Times New Roman"/>
      <w:color w:val="000000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2938</Words>
  <Characters>2998</Characters>
  <Lines>0</Lines>
  <Paragraphs>0</Paragraphs>
  <TotalTime>9</TotalTime>
  <ScaleCrop>false</ScaleCrop>
  <LinksUpToDate>false</LinksUpToDate>
  <CharactersWithSpaces>3066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2024-05-30T16:45:00Z</dcterms:created>
  <dc:creator>Ceci</dc:creator>
  <cp:lastModifiedBy>曹译丹</cp:lastModifiedBy>
  <cp:lastPrinted>2024-12-24T10:39:00Z</cp:lastPrinted>
  <dcterms:modified xsi:type="dcterms:W3CDTF">2025-11-13T09:02:25Z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43C61D5797A5E49AD89A116949A51355_43</vt:lpwstr>
  </property>
  <property fmtid="{D5CDD505-2E9C-101B-9397-08002B2CF9AE}" pid="4" name="KSOTemplateDocerSaveRecord">
    <vt:lpwstr>eyJoZGlkIjoiNDI1NGQ4MDY4NjMxYWVlMzc3ODM2NDE0MmU1ODUxYzYiLCJ1c2VySWQiOiIxNjc3MDE1Nzc2In0=</vt:lpwstr>
  </property>
</Properties>
</file>