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ascii="宋体" w:hAnsi="宋体" w:cs="宋体"/>
          <w:b/>
          <w:sz w:val="52"/>
          <w:highlight w:val="none"/>
        </w:rPr>
      </w:pPr>
      <w:bookmarkStart w:id="0" w:name="_Toc4659642"/>
      <w:bookmarkStart w:id="36" w:name="_GoBack"/>
    </w:p>
    <w:p>
      <w:pPr>
        <w:spacing w:line="300" w:lineRule="auto"/>
        <w:jc w:val="center"/>
        <w:rPr>
          <w:rFonts w:ascii="宋体" w:hAnsi="宋体" w:cs="宋体"/>
          <w:b/>
          <w:sz w:val="52"/>
          <w:highlight w:val="none"/>
        </w:rPr>
      </w:pPr>
      <w:r>
        <w:rPr>
          <w:rFonts w:hint="eastAsia" w:ascii="宋体" w:hAnsi="宋体" w:cs="宋体"/>
          <w:b/>
          <w:sz w:val="52"/>
          <w:highlight w:val="none"/>
        </w:rPr>
        <w:t>海珠区西片区城市基础设施改造</w:t>
      </w:r>
    </w:p>
    <w:p>
      <w:pPr>
        <w:spacing w:line="300" w:lineRule="auto"/>
        <w:jc w:val="center"/>
        <w:rPr>
          <w:rFonts w:ascii="宋体" w:hAnsi="宋体" w:cs="宋体"/>
          <w:b/>
          <w:sz w:val="52"/>
          <w:highlight w:val="none"/>
        </w:rPr>
      </w:pPr>
      <w:r>
        <w:rPr>
          <w:rFonts w:hint="eastAsia" w:ascii="宋体" w:hAnsi="宋体" w:cs="宋体"/>
          <w:b/>
          <w:sz w:val="52"/>
          <w:highlight w:val="none"/>
        </w:rPr>
        <w:t>项目监理</w:t>
      </w:r>
    </w:p>
    <w:p>
      <w:pPr>
        <w:spacing w:line="300" w:lineRule="auto"/>
        <w:jc w:val="center"/>
        <w:rPr>
          <w:rFonts w:ascii="宋体" w:hAnsi="宋体" w:cs="宋体"/>
          <w:sz w:val="36"/>
          <w:highlight w:val="none"/>
        </w:rPr>
      </w:pPr>
      <w:r>
        <w:rPr>
          <w:rFonts w:hint="eastAsia" w:ascii="宋体" w:hAnsi="宋体" w:cs="宋体"/>
          <w:sz w:val="36"/>
          <w:highlight w:val="none"/>
        </w:rPr>
        <w:t>（招标编号：              ）</w:t>
      </w:r>
    </w:p>
    <w:p>
      <w:pPr>
        <w:spacing w:line="300" w:lineRule="auto"/>
        <w:jc w:val="center"/>
        <w:rPr>
          <w:rFonts w:ascii="宋体" w:hAnsi="宋体" w:cs="宋体"/>
          <w:sz w:val="36"/>
          <w:highlight w:val="none"/>
          <w:u w:val="single"/>
        </w:rPr>
      </w:pPr>
    </w:p>
    <w:p>
      <w:pPr>
        <w:spacing w:line="300" w:lineRule="auto"/>
        <w:jc w:val="center"/>
        <w:rPr>
          <w:rFonts w:ascii="宋体" w:hAnsi="宋体" w:cs="宋体"/>
          <w:sz w:val="36"/>
          <w:highlight w:val="none"/>
          <w:u w:val="single"/>
        </w:rPr>
      </w:pPr>
    </w:p>
    <w:p>
      <w:pPr>
        <w:spacing w:line="300" w:lineRule="auto"/>
        <w:jc w:val="center"/>
        <w:rPr>
          <w:rFonts w:ascii="宋体" w:hAnsi="宋体" w:cs="宋体"/>
          <w:b/>
          <w:spacing w:val="26"/>
          <w:sz w:val="110"/>
          <w:highlight w:val="none"/>
        </w:rPr>
      </w:pPr>
      <w:r>
        <w:rPr>
          <w:rFonts w:hint="eastAsia" w:ascii="宋体" w:hAnsi="宋体" w:cs="宋体"/>
          <w:b/>
          <w:spacing w:val="26"/>
          <w:sz w:val="110"/>
          <w:highlight w:val="none"/>
        </w:rPr>
        <w:t>招标公告</w:t>
      </w:r>
    </w:p>
    <w:p>
      <w:pPr>
        <w:jc w:val="center"/>
        <w:rPr>
          <w:rFonts w:ascii="宋体" w:hAnsi="宋体" w:cs="宋体"/>
          <w:b/>
          <w:sz w:val="30"/>
          <w:highlight w:val="none"/>
        </w:rPr>
      </w:pPr>
    </w:p>
    <w:p>
      <w:pPr>
        <w:spacing w:line="300" w:lineRule="auto"/>
        <w:jc w:val="center"/>
        <w:rPr>
          <w:rFonts w:ascii="宋体" w:hAnsi="宋体" w:cs="宋体"/>
          <w:sz w:val="32"/>
          <w:highlight w:val="none"/>
        </w:rPr>
      </w:pPr>
    </w:p>
    <w:p>
      <w:pPr>
        <w:spacing w:line="300" w:lineRule="auto"/>
        <w:jc w:val="center"/>
        <w:rPr>
          <w:rFonts w:ascii="宋体" w:hAnsi="宋体" w:cs="宋体"/>
          <w:sz w:val="32"/>
          <w:highlight w:val="none"/>
        </w:rPr>
      </w:pPr>
    </w:p>
    <w:p>
      <w:pPr>
        <w:spacing w:line="300" w:lineRule="auto"/>
        <w:jc w:val="center"/>
        <w:rPr>
          <w:rFonts w:ascii="宋体" w:hAnsi="宋体" w:cs="宋体"/>
          <w:sz w:val="32"/>
          <w:highlight w:val="none"/>
        </w:rPr>
      </w:pPr>
    </w:p>
    <w:p>
      <w:pPr>
        <w:spacing w:line="300" w:lineRule="auto"/>
        <w:rPr>
          <w:rFonts w:ascii="宋体" w:hAnsi="宋体" w:cs="宋体"/>
          <w:sz w:val="52"/>
          <w:highlight w:val="none"/>
        </w:rPr>
      </w:pPr>
    </w:p>
    <w:p>
      <w:pPr>
        <w:spacing w:line="300" w:lineRule="auto"/>
        <w:rPr>
          <w:rFonts w:ascii="宋体" w:hAnsi="宋体" w:cs="宋体"/>
          <w:sz w:val="52"/>
          <w:highlight w:val="none"/>
        </w:rPr>
      </w:pPr>
    </w:p>
    <w:p>
      <w:pPr>
        <w:spacing w:line="360" w:lineRule="auto"/>
        <w:ind w:firstLine="945"/>
        <w:rPr>
          <w:rFonts w:ascii="宋体" w:hAnsi="宋体" w:cs="宋体"/>
          <w:sz w:val="30"/>
          <w:highlight w:val="none"/>
          <w:u w:val="single"/>
        </w:rPr>
      </w:pPr>
      <w:r>
        <w:rPr>
          <w:rFonts w:hint="eastAsia" w:ascii="宋体" w:hAnsi="宋体" w:cs="宋体"/>
          <w:sz w:val="30"/>
          <w:highlight w:val="none"/>
        </w:rPr>
        <w:t>招  标 单 位：</w:t>
      </w:r>
      <w:r>
        <w:rPr>
          <w:rFonts w:hint="eastAsia" w:ascii="宋体" w:hAnsi="宋体" w:cs="宋体"/>
          <w:sz w:val="30"/>
          <w:highlight w:val="none"/>
          <w:u w:val="single"/>
        </w:rPr>
        <w:t>广州市海珠区住房和建设局</w:t>
      </w:r>
    </w:p>
    <w:p>
      <w:pPr>
        <w:spacing w:line="360" w:lineRule="auto"/>
        <w:ind w:firstLine="945"/>
        <w:rPr>
          <w:rFonts w:ascii="宋体" w:hAnsi="宋体" w:cs="宋体"/>
          <w:sz w:val="30"/>
          <w:highlight w:val="none"/>
          <w:u w:val="single"/>
        </w:rPr>
      </w:pPr>
      <w:r>
        <w:rPr>
          <w:rFonts w:hint="eastAsia" w:ascii="宋体" w:hAnsi="宋体" w:cs="宋体"/>
          <w:sz w:val="30"/>
          <w:highlight w:val="none"/>
        </w:rPr>
        <w:t>招标代理单位：</w:t>
      </w:r>
      <w:r>
        <w:rPr>
          <w:rFonts w:hint="eastAsia" w:ascii="宋体" w:hAnsi="宋体" w:cs="宋体"/>
          <w:sz w:val="30"/>
          <w:highlight w:val="none"/>
          <w:u w:val="single"/>
        </w:rPr>
        <w:t>广州盛园咨询服务有限公司</w:t>
      </w:r>
    </w:p>
    <w:p>
      <w:pPr>
        <w:spacing w:line="360" w:lineRule="auto"/>
        <w:ind w:firstLine="945"/>
        <w:rPr>
          <w:rFonts w:ascii="宋体" w:hAnsi="宋体" w:cs="宋体"/>
          <w:b/>
          <w:highlight w:val="none"/>
          <w:lang w:val="zh-CN"/>
        </w:rPr>
      </w:pPr>
      <w:r>
        <w:rPr>
          <w:rFonts w:hint="eastAsia" w:ascii="宋体" w:hAnsi="宋体" w:cs="宋体"/>
          <w:sz w:val="32"/>
          <w:highlight w:val="none"/>
        </w:rPr>
        <w:t>日       期：</w:t>
      </w:r>
      <w:r>
        <w:rPr>
          <w:rFonts w:hint="eastAsia" w:ascii="宋体" w:hAnsi="宋体" w:cs="宋体"/>
          <w:sz w:val="32"/>
          <w:highlight w:val="none"/>
          <w:u w:val="single"/>
        </w:rPr>
        <w:t>2023年2月</w:t>
      </w:r>
    </w:p>
    <w:p>
      <w:pPr>
        <w:pStyle w:val="3"/>
        <w:spacing w:line="360" w:lineRule="auto"/>
        <w:jc w:val="center"/>
        <w:rPr>
          <w:rFonts w:ascii="宋体" w:hAnsi="宋体" w:cs="宋体"/>
          <w:bCs/>
          <w:kern w:val="2"/>
          <w:sz w:val="32"/>
          <w:szCs w:val="32"/>
          <w:highlight w:val="none"/>
          <w:u w:val="single"/>
        </w:rPr>
      </w:pPr>
      <w:r>
        <w:rPr>
          <w:rFonts w:hint="eastAsia" w:ascii="宋体" w:hAnsi="宋体" w:cs="宋体"/>
          <w:bCs/>
          <w:kern w:val="2"/>
          <w:sz w:val="32"/>
          <w:szCs w:val="32"/>
          <w:highlight w:val="none"/>
          <w:u w:val="single"/>
        </w:rPr>
        <w:br w:type="page"/>
      </w:r>
      <w:r>
        <w:rPr>
          <w:rFonts w:hint="eastAsia" w:ascii="宋体" w:hAnsi="宋体" w:cs="宋体"/>
          <w:bCs/>
          <w:kern w:val="2"/>
          <w:sz w:val="32"/>
          <w:szCs w:val="32"/>
          <w:highlight w:val="none"/>
          <w:u w:val="single"/>
        </w:rPr>
        <w:t>海珠区西片区城市基础设施改造项目监理</w:t>
      </w:r>
    </w:p>
    <w:p>
      <w:pPr>
        <w:pStyle w:val="3"/>
        <w:spacing w:line="360" w:lineRule="auto"/>
        <w:jc w:val="center"/>
        <w:rPr>
          <w:rFonts w:ascii="宋体" w:hAnsi="宋体" w:cs="宋体"/>
          <w:bCs/>
          <w:kern w:val="2"/>
          <w:sz w:val="32"/>
          <w:szCs w:val="32"/>
          <w:highlight w:val="none"/>
          <w:u w:val="single"/>
        </w:rPr>
      </w:pPr>
      <w:r>
        <w:rPr>
          <w:rFonts w:hint="eastAsia" w:ascii="宋体" w:hAnsi="宋体" w:cs="宋体"/>
          <w:bCs/>
          <w:kern w:val="2"/>
          <w:sz w:val="32"/>
          <w:szCs w:val="32"/>
          <w:highlight w:val="none"/>
          <w:u w:val="single"/>
        </w:rPr>
        <w:t>招标公告</w:t>
      </w:r>
      <w:bookmarkEnd w:id="0"/>
    </w:p>
    <w:p>
      <w:pPr>
        <w:pStyle w:val="4"/>
        <w:spacing w:line="360" w:lineRule="auto"/>
        <w:rPr>
          <w:rFonts w:ascii="宋体" w:hAnsi="宋体" w:eastAsia="宋体" w:cs="宋体"/>
          <w:highlight w:val="none"/>
        </w:rPr>
      </w:pPr>
      <w:bookmarkStart w:id="1" w:name="_Toc492300546"/>
      <w:r>
        <w:rPr>
          <w:rFonts w:hint="eastAsia" w:ascii="宋体" w:hAnsi="宋体" w:eastAsia="宋体" w:cs="宋体"/>
          <w:highlight w:val="none"/>
        </w:rPr>
        <w:t>1. 招标条件</w:t>
      </w:r>
      <w:bookmarkEnd w:id="1"/>
    </w:p>
    <w:p>
      <w:pPr>
        <w:spacing w:line="360" w:lineRule="auto"/>
        <w:ind w:firstLine="480" w:firstLineChars="200"/>
        <w:rPr>
          <w:rFonts w:ascii="宋体" w:hAnsi="宋体" w:cs="宋体"/>
          <w:sz w:val="24"/>
          <w:szCs w:val="24"/>
          <w:highlight w:val="none"/>
        </w:rPr>
      </w:pPr>
      <w:r>
        <w:rPr>
          <w:rFonts w:hint="eastAsia"/>
          <w:sz w:val="24"/>
          <w:highlight w:val="none"/>
        </w:rPr>
        <w:t>本</w:t>
      </w:r>
      <w:r>
        <w:rPr>
          <w:rFonts w:hint="eastAsia" w:ascii="宋体" w:hAnsi="宋体" w:cs="宋体"/>
          <w:sz w:val="24"/>
          <w:szCs w:val="24"/>
          <w:highlight w:val="none"/>
        </w:rPr>
        <w:t>招标</w:t>
      </w:r>
      <w:r>
        <w:rPr>
          <w:rFonts w:hint="eastAsia"/>
          <w:sz w:val="24"/>
          <w:highlight w:val="none"/>
        </w:rPr>
        <w:t>项目</w:t>
      </w:r>
      <w:r>
        <w:rPr>
          <w:rFonts w:hint="eastAsia"/>
          <w:sz w:val="24"/>
          <w:highlight w:val="none"/>
          <w:u w:val="single"/>
        </w:rPr>
        <w:t>海珠区西片区城市基础设施改造项目</w:t>
      </w:r>
      <w:r>
        <w:rPr>
          <w:rFonts w:hint="eastAsia"/>
          <w:sz w:val="24"/>
          <w:highlight w:val="none"/>
        </w:rPr>
        <w:t>已由</w:t>
      </w:r>
      <w:r>
        <w:rPr>
          <w:rFonts w:hint="eastAsia" w:ascii="宋体" w:hAnsi="宋体" w:cs="宋体"/>
          <w:sz w:val="24"/>
          <w:szCs w:val="24"/>
          <w:highlight w:val="none"/>
          <w:u w:val="single"/>
        </w:rPr>
        <w:t>广州市海珠区发展和改革局</w:t>
      </w:r>
      <w:r>
        <w:rPr>
          <w:rFonts w:hint="eastAsia" w:ascii="宋体" w:hAnsi="宋体" w:cs="宋体"/>
          <w:sz w:val="24"/>
          <w:szCs w:val="24"/>
          <w:highlight w:val="none"/>
        </w:rPr>
        <w:t>以</w:t>
      </w:r>
      <w:r>
        <w:rPr>
          <w:rFonts w:hint="eastAsia" w:cs="宋体"/>
          <w:sz w:val="24"/>
          <w:highlight w:val="none"/>
          <w:u w:val="single"/>
        </w:rPr>
        <w:t>穗海发改投批〔2023〕1号文（项目代码：2301-440105-04-01-676016）</w:t>
      </w:r>
      <w:r>
        <w:rPr>
          <w:rFonts w:hint="eastAsia"/>
          <w:sz w:val="24"/>
          <w:highlight w:val="none"/>
        </w:rPr>
        <w:t>批准建设，项目业主为</w:t>
      </w:r>
      <w:r>
        <w:rPr>
          <w:rFonts w:hint="eastAsia"/>
          <w:sz w:val="24"/>
          <w:highlight w:val="none"/>
          <w:u w:val="single"/>
        </w:rPr>
        <w:t>广州市海珠区住房和建设局</w:t>
      </w:r>
      <w:r>
        <w:rPr>
          <w:rFonts w:hint="eastAsia"/>
          <w:sz w:val="24"/>
          <w:highlight w:val="none"/>
        </w:rPr>
        <w:t>，建设资金来自</w:t>
      </w:r>
      <w:r>
        <w:rPr>
          <w:rFonts w:hint="eastAsia"/>
          <w:sz w:val="24"/>
          <w:highlight w:val="none"/>
          <w:u w:val="single"/>
        </w:rPr>
        <w:t>区财政资金</w:t>
      </w:r>
      <w:r>
        <w:rPr>
          <w:rFonts w:hint="eastAsia"/>
          <w:sz w:val="24"/>
          <w:highlight w:val="none"/>
        </w:rPr>
        <w:t>，出资比例为</w:t>
      </w:r>
      <w:r>
        <w:rPr>
          <w:sz w:val="24"/>
          <w:highlight w:val="none"/>
          <w:u w:val="single"/>
        </w:rPr>
        <w:t>100%</w:t>
      </w:r>
      <w:r>
        <w:rPr>
          <w:rFonts w:hint="eastAsia"/>
          <w:sz w:val="24"/>
          <w:highlight w:val="none"/>
        </w:rPr>
        <w:t>，招标人为</w:t>
      </w:r>
      <w:r>
        <w:rPr>
          <w:rFonts w:hint="eastAsia"/>
          <w:sz w:val="24"/>
          <w:highlight w:val="none"/>
          <w:u w:val="single"/>
        </w:rPr>
        <w:t>广州市海珠区住房和建设局</w:t>
      </w:r>
      <w:r>
        <w:rPr>
          <w:rFonts w:hint="eastAsia"/>
          <w:sz w:val="24"/>
          <w:highlight w:val="none"/>
        </w:rPr>
        <w:t>。项目已具备招标条件，现对该项目的</w:t>
      </w:r>
      <w:r>
        <w:rPr>
          <w:rFonts w:hint="eastAsia"/>
          <w:sz w:val="24"/>
          <w:highlight w:val="none"/>
          <w:u w:val="single"/>
        </w:rPr>
        <w:t>监理</w:t>
      </w:r>
      <w:r>
        <w:rPr>
          <w:rFonts w:hint="eastAsia"/>
          <w:sz w:val="24"/>
          <w:highlight w:val="none"/>
        </w:rPr>
        <w:t>进行公开招标。</w:t>
      </w:r>
    </w:p>
    <w:p>
      <w:pPr>
        <w:pStyle w:val="4"/>
        <w:spacing w:line="360" w:lineRule="auto"/>
        <w:rPr>
          <w:rFonts w:ascii="宋体" w:hAnsi="宋体" w:eastAsia="宋体" w:cs="宋体"/>
          <w:highlight w:val="none"/>
        </w:rPr>
      </w:pPr>
      <w:bookmarkStart w:id="2" w:name="_Toc492300547"/>
      <w:r>
        <w:rPr>
          <w:rFonts w:hint="eastAsia" w:ascii="宋体" w:hAnsi="宋体" w:eastAsia="宋体" w:cs="宋体"/>
          <w:highlight w:val="none"/>
        </w:rPr>
        <w:t>2. 项目概况与招标范围</w:t>
      </w:r>
      <w:bookmarkEnd w:id="2"/>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 招标项目概况</w:t>
      </w:r>
    </w:p>
    <w:p>
      <w:pPr>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2.1.1招标项目名称：海珠区西片区城市基础设施改造项目监理。</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2.1.2工程建设规模：</w:t>
      </w:r>
      <w:r>
        <w:rPr>
          <w:rFonts w:hint="eastAsia" w:ascii="宋体" w:hAnsi="宋体"/>
          <w:sz w:val="24"/>
          <w:highlight w:val="none"/>
        </w:rPr>
        <w:t>对宝业路、江南东路等次干道路段和对江南大道（中段）等主干道路段进行节点空间、道路及室外管线提升改造，打造海珠区西片区融合圈。本项目为市政综合工程，建设内容主要为街区外观改造，包括市政道路改造、节点空间提升、建筑立面改造、照明工程及其他配套工程。本次招标内容为上述工程的施工监理内容。</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2.1.3工程建设地点：</w:t>
      </w:r>
      <w:r>
        <w:rPr>
          <w:rFonts w:hint="eastAsia" w:hAnsi="宋体" w:cs="宋体"/>
          <w:sz w:val="24"/>
          <w:szCs w:val="24"/>
          <w:highlight w:val="none"/>
        </w:rPr>
        <w:t>海珠区</w:t>
      </w:r>
      <w:r>
        <w:rPr>
          <w:rFonts w:hint="eastAsia" w:ascii="宋体" w:hAnsi="宋体" w:cs="宋体"/>
          <w:sz w:val="24"/>
          <w:szCs w:val="24"/>
          <w:highlight w:val="none"/>
        </w:rPr>
        <w:t>宝业路、江南东路、江南大道（中段）等路段</w:t>
      </w:r>
      <w:r>
        <w:rPr>
          <w:rFonts w:hint="eastAsia" w:hAnsi="宋体" w:cs="宋体"/>
          <w:sz w:val="24"/>
          <w:szCs w:val="24"/>
          <w:highlight w:val="none"/>
        </w:rPr>
        <w:t>。</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2.1.4</w:t>
      </w:r>
      <w:r>
        <w:rPr>
          <w:rFonts w:hint="eastAsia" w:ascii="宋体" w:hAnsi="宋体"/>
          <w:sz w:val="24"/>
          <w:szCs w:val="24"/>
          <w:highlight w:val="none"/>
        </w:rPr>
        <w:t>建筑安装工程费/工程概算（工程估算</w:t>
      </w:r>
      <w:r>
        <w:rPr>
          <w:rFonts w:hint="eastAsia" w:ascii="宋体" w:hAnsi="宋体" w:cs="宋体"/>
          <w:sz w:val="24"/>
          <w:szCs w:val="24"/>
          <w:highlight w:val="none"/>
        </w:rPr>
        <w:t>）：项目总投资19382.56万元，其中：工程费用：16685.18万元，工程建设其他费用：1774.40万元，预备费：922.98万元。</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2.2招标范围</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2.2.1监理标段划分：本项目设1个标段。</w:t>
      </w:r>
    </w:p>
    <w:p>
      <w:pPr>
        <w:tabs>
          <w:tab w:val="left" w:pos="7513"/>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2.2.2监理范围：</w:t>
      </w:r>
    </w:p>
    <w:p>
      <w:pPr>
        <w:spacing w:line="440" w:lineRule="exact"/>
        <w:ind w:firstLine="480" w:firstLineChars="200"/>
        <w:rPr>
          <w:sz w:val="24"/>
          <w:highlight w:val="none"/>
        </w:rPr>
      </w:pPr>
      <w:r>
        <w:rPr>
          <w:rFonts w:hint="eastAsia"/>
          <w:sz w:val="24"/>
          <w:highlight w:val="none"/>
        </w:rPr>
        <w:t>（1）本工程施工至保修阶段的监理工作，包括施工准备阶段、施工阶段、工程竣工阶段（包括但不限于竣工验收、整改、工程移交、工程结算等）及工程质量保修阶段的全过程监理工作。协助</w:t>
      </w:r>
      <w:r>
        <w:rPr>
          <w:rFonts w:hint="eastAsia"/>
          <w:sz w:val="24"/>
          <w:highlight w:val="none"/>
          <w:lang w:eastAsia="zh-CN"/>
        </w:rPr>
        <w:t>招标人</w:t>
      </w:r>
      <w:r>
        <w:rPr>
          <w:rFonts w:hint="eastAsia"/>
          <w:sz w:val="24"/>
          <w:highlight w:val="none"/>
        </w:rPr>
        <w:t>做好开工前准备和筹划工作；负责安全、质量、技术文件审核、进度（月报、周报）、投资控制及合同管理（包括投资月报、审核工程量、审核工程预算和结算、工程款支付、签证变更及其造价审核及变更台帐的管理）；组织协调、安全文明施工管理；工程创优，协调招标人和工程建设各方的工作关系；组织各类验收、审核竣工资料（包括且不限于竣工验收及竣工验收资料移交城建档案、整改、工程移交及实物移交、竣工备案等）。</w:t>
      </w:r>
    </w:p>
    <w:p>
      <w:pPr>
        <w:spacing w:line="440" w:lineRule="exact"/>
        <w:ind w:firstLine="480" w:firstLineChars="200"/>
        <w:rPr>
          <w:sz w:val="24"/>
          <w:highlight w:val="none"/>
        </w:rPr>
      </w:pPr>
      <w:r>
        <w:rPr>
          <w:rFonts w:hint="eastAsia" w:ascii="宋体" w:hAnsi="宋体"/>
          <w:sz w:val="24"/>
          <w:highlight w:val="none"/>
        </w:rPr>
        <w:t>（2）属本</w:t>
      </w:r>
      <w:r>
        <w:rPr>
          <w:rFonts w:hint="eastAsia"/>
          <w:sz w:val="24"/>
          <w:highlight w:val="none"/>
        </w:rPr>
        <w:t>工程的实施范围内（监理人具有相应的监理资质）的工作内容，均应包含在监理范围之内。在工程实施过程中工程量、设计范围、工程规模调整或设计变更在监理人监理资质范围内的，均属监理人监理范围。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2.2.3监理服务期限：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从监理人收到中标通知书或参加由建设单位组织的第一次进场动员会之日起算，至所有工程保修期结束且办妥竣工结算止（此处竣工结算指政府终审部门进行的竣工结算）,包括本工程的施工准备期、全过程施工期、工程收尾期、工程质量保修等全过程监理服务。监理服务周期必须满足实际施工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2.2.4监理服务最高投标限价：268.367775万元。</w:t>
      </w:r>
    </w:p>
    <w:p>
      <w:pPr>
        <w:pStyle w:val="4"/>
        <w:spacing w:line="360" w:lineRule="auto"/>
        <w:rPr>
          <w:rFonts w:ascii="宋体" w:hAnsi="宋体" w:eastAsia="宋体" w:cs="宋体"/>
          <w:highlight w:val="none"/>
        </w:rPr>
      </w:pPr>
      <w:bookmarkStart w:id="3" w:name="_Toc492300548"/>
      <w:r>
        <w:rPr>
          <w:rFonts w:hint="eastAsia" w:ascii="宋体" w:hAnsi="宋体" w:eastAsia="宋体" w:cs="宋体"/>
          <w:highlight w:val="none"/>
        </w:rPr>
        <w:t>3. 投标人资格要求</w:t>
      </w:r>
      <w:bookmarkEnd w:id="3"/>
    </w:p>
    <w:p>
      <w:pPr>
        <w:spacing w:line="360" w:lineRule="auto"/>
        <w:ind w:firstLine="437"/>
        <w:jc w:val="left"/>
        <w:rPr>
          <w:rFonts w:ascii="宋体" w:hAnsi="宋体" w:cs="宋体"/>
          <w:sz w:val="24"/>
          <w:szCs w:val="24"/>
          <w:highlight w:val="none"/>
          <w:u w:val="single"/>
        </w:rPr>
      </w:pPr>
      <w:r>
        <w:rPr>
          <w:rFonts w:hint="eastAsia" w:ascii="宋体" w:hAnsi="宋体" w:cs="宋体"/>
          <w:sz w:val="24"/>
          <w:szCs w:val="24"/>
          <w:highlight w:val="none"/>
        </w:rPr>
        <w:t>3.1 投标人须具备建设行政主管部门颁发的</w:t>
      </w:r>
      <w:r>
        <w:rPr>
          <w:rFonts w:hint="eastAsia" w:ascii="宋体" w:hAnsi="宋体" w:cs="宋体"/>
          <w:sz w:val="24"/>
          <w:szCs w:val="24"/>
          <w:highlight w:val="none"/>
          <w:u w:val="single"/>
        </w:rPr>
        <w:t>工程监理综合资质或市政公用工程专业甲级工程监理资质</w:t>
      </w:r>
      <w:r>
        <w:rPr>
          <w:rFonts w:hint="eastAsia" w:ascii="宋体" w:hAnsi="宋体" w:cs="宋体"/>
          <w:sz w:val="24"/>
          <w:szCs w:val="24"/>
          <w:highlight w:val="none"/>
        </w:rPr>
        <w:t>。</w:t>
      </w:r>
      <w:r>
        <w:rPr>
          <w:rFonts w:hint="eastAsia" w:ascii="宋体" w:hAnsi="宋体" w:cs="宋体"/>
          <w:sz w:val="24"/>
          <w:szCs w:val="24"/>
          <w:highlight w:val="none"/>
          <w:u w:val="single"/>
        </w:rPr>
        <w:t>香港企业参加投标的，须在广东省住房和城乡建设主管部门备案且备案的业务范围满足本项目招标文件要求。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注：①工程监理企业资质证书有效期按</w:t>
      </w:r>
      <w:r>
        <w:rPr>
          <w:rFonts w:hint="eastAsia" w:ascii="宋体" w:hAnsi="宋体" w:cs="楷体"/>
          <w:sz w:val="24"/>
          <w:szCs w:val="24"/>
          <w:highlight w:val="none"/>
        </w:rPr>
        <w:t>《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执行。</w:t>
      </w:r>
    </w:p>
    <w:p>
      <w:pPr>
        <w:spacing w:line="360" w:lineRule="auto"/>
        <w:ind w:firstLine="437"/>
        <w:rPr>
          <w:rFonts w:ascii="宋体" w:hAnsi="宋体" w:cs="宋体"/>
          <w:sz w:val="24"/>
          <w:szCs w:val="24"/>
          <w:highlight w:val="none"/>
        </w:rPr>
      </w:pPr>
      <w:r>
        <w:rPr>
          <w:rFonts w:hint="eastAsia" w:ascii="宋体" w:hAnsi="宋体" w:cs="宋体"/>
          <w:sz w:val="24"/>
          <w:szCs w:val="24"/>
          <w:highlight w:val="non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规定执行。</w:t>
      </w:r>
    </w:p>
    <w:p>
      <w:pPr>
        <w:spacing w:line="360" w:lineRule="auto"/>
        <w:ind w:left="900" w:leftChars="200" w:hanging="480" w:hangingChars="200"/>
        <w:rPr>
          <w:rFonts w:ascii="宋体" w:hAnsi="宋体" w:cs="宋体"/>
          <w:sz w:val="24"/>
          <w:szCs w:val="24"/>
          <w:highlight w:val="none"/>
          <w:u w:val="single"/>
        </w:rPr>
      </w:pPr>
      <w:r>
        <w:rPr>
          <w:rFonts w:hint="eastAsia" w:ascii="宋体" w:hAnsi="宋体" w:cs="宋体"/>
          <w:sz w:val="24"/>
          <w:szCs w:val="24"/>
          <w:highlight w:val="none"/>
        </w:rPr>
        <w:t>3.2 本次招标</w:t>
      </w:r>
      <w:r>
        <w:rPr>
          <w:rFonts w:hint="eastAsia" w:ascii="宋体" w:hAnsi="宋体" w:cs="宋体"/>
          <w:sz w:val="24"/>
          <w:szCs w:val="24"/>
          <w:highlight w:val="none"/>
          <w:u w:val="single"/>
        </w:rPr>
        <w:t xml:space="preserve"> 不接受 </w:t>
      </w:r>
      <w:r>
        <w:rPr>
          <w:rFonts w:hint="eastAsia" w:ascii="宋体" w:hAnsi="宋体" w:cs="宋体"/>
          <w:sz w:val="24"/>
          <w:szCs w:val="24"/>
          <w:highlight w:val="none"/>
        </w:rPr>
        <w:t>联合体投标。</w:t>
      </w:r>
    </w:p>
    <w:p>
      <w:pPr>
        <w:spacing w:line="360" w:lineRule="auto"/>
        <w:ind w:firstLine="437"/>
        <w:jc w:val="left"/>
        <w:rPr>
          <w:rFonts w:ascii="宋体" w:hAnsi="宋体" w:cs="宋体"/>
          <w:sz w:val="24"/>
          <w:szCs w:val="24"/>
          <w:highlight w:val="none"/>
        </w:rPr>
      </w:pPr>
      <w:r>
        <w:rPr>
          <w:rFonts w:hint="eastAsia" w:ascii="宋体" w:hAnsi="宋体" w:cs="宋体"/>
          <w:sz w:val="24"/>
          <w:szCs w:val="24"/>
          <w:highlight w:val="none"/>
        </w:rPr>
        <w:t>3.3拟派总监理工程师须具备：建设部2006年4月1日后颁发的中华人民共和国注册监理工程师注册执业证书，且其注册专业为市政公用工程，注册执业单位为本公司，并具有本科或以上的学历；或已在广东省住房和城乡建设主管部门备案且备案的业务范围满足本项目招标文件要求的香港专业人士。</w:t>
      </w:r>
    </w:p>
    <w:p>
      <w:pPr>
        <w:spacing w:line="360" w:lineRule="auto"/>
        <w:ind w:firstLine="437"/>
        <w:jc w:val="left"/>
        <w:rPr>
          <w:rFonts w:ascii="宋体" w:hAnsi="宋体" w:cs="宋体"/>
          <w:sz w:val="24"/>
          <w:szCs w:val="24"/>
          <w:highlight w:val="none"/>
          <w:u w:val="single"/>
        </w:rPr>
      </w:pPr>
      <w:r>
        <w:rPr>
          <w:rFonts w:hint="eastAsia" w:ascii="宋体" w:hAnsi="宋体" w:cs="宋体"/>
          <w:sz w:val="24"/>
          <w:szCs w:val="24"/>
          <w:highlight w:val="none"/>
        </w:rPr>
        <w:t>注：香港专业人士的备案业务范围依据《广东省住房和城乡建设厅关于印发香港工程建设咨询企业和专业人士在粤港澳大湾区内地城市开业执业试点管理暂行办法的通知》（粤建规范[2020]1号）规定执行。满足前述内容的香港企业及香港专业人士参与本次投标的，应按招标文件要求提供满足评审的相关证明文件。</w:t>
      </w:r>
    </w:p>
    <w:p>
      <w:pPr>
        <w:spacing w:line="360" w:lineRule="auto"/>
        <w:ind w:left="2357" w:leftChars="208" w:hanging="1920" w:hangingChars="800"/>
        <w:jc w:val="left"/>
        <w:rPr>
          <w:rFonts w:ascii="宋体" w:hAnsi="宋体" w:cs="宋体"/>
          <w:sz w:val="24"/>
          <w:szCs w:val="24"/>
          <w:highlight w:val="none"/>
        </w:rPr>
      </w:pPr>
      <w:r>
        <w:rPr>
          <w:rFonts w:hint="eastAsia" w:ascii="宋体" w:hAnsi="宋体" w:cs="宋体"/>
          <w:sz w:val="24"/>
          <w:szCs w:val="24"/>
          <w:highlight w:val="none"/>
        </w:rPr>
        <w:t>3.4 其他要求：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 投标人参加投标的意思表达清楚，投标人代表被授权有效。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 投标人均具有独立法人资格，持有有效的工商行政管理部门核发的法人营业执照，按国家法律经营。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（3）投标人已在广州公共资源交易中心企业库办理企业信息登记，本项目总监理工程师是本企业在广州公共资源交易中心企业信息登记中的在册人员。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企业信息登记取自投标截止时间投标人在广州公共资源交易中心企业库的信息，投标人无需提交相关资料，若招标人延长递交投标文件截止时间的，企业信息的评审时点也相应延长。投标人应及时维护其在广州公共资源交易中心企业库信息，确保各项信息在有效期内。</w:t>
      </w:r>
    </w:p>
    <w:p>
      <w:pPr>
        <w:pStyle w:val="12"/>
        <w:widowControl/>
        <w:spacing w:line="360" w:lineRule="auto"/>
        <w:ind w:firstLine="480" w:firstLineChars="200"/>
        <w:rPr>
          <w:rFonts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（4）投标人已按规定格式签字盖章《投标人声明》（格式见本招标公告附件一）。 </w:t>
      </w:r>
    </w:p>
    <w:p>
      <w:pPr>
        <w:pStyle w:val="12"/>
        <w:widowControl/>
        <w:spacing w:line="360" w:lineRule="auto"/>
        <w:ind w:firstLine="480"/>
        <w:rPr>
          <w:rFonts w:ascii="宋体" w:hAnsi="宋体" w:eastAsia="宋体" w:cs="宋体"/>
          <w:kern w:val="2"/>
          <w:sz w:val="24"/>
          <w:szCs w:val="24"/>
          <w:highlight w:val="none"/>
        </w:rPr>
      </w:pPr>
      <w:r>
        <w:rPr>
          <w:rFonts w:hint="eastAsia" w:ascii="宋体" w:hAnsi="宋体" w:eastAsia="宋体" w:cs="宋体"/>
          <w:kern w:val="2"/>
          <w:sz w:val="24"/>
          <w:szCs w:val="24"/>
          <w:highlight w:val="none"/>
        </w:rPr>
        <w:t>（5）投标人未被纳入失信联合惩戒名单且被限制参加财政投资工程或政府投资工程或建设工程投标的（具体名单以递交投标文件截止时间“信用广州”https://credit1.gz.gov.cn/sgs/sgsXkNew公布的“失信黑名单”为准）。（本项评审投标人无需提供资料，按广州公共资源交易的交易系统比对的结果进行评审）。</w:t>
      </w:r>
    </w:p>
    <w:p>
      <w:pPr>
        <w:pStyle w:val="12"/>
        <w:widowControl/>
        <w:spacing w:line="360" w:lineRule="auto"/>
        <w:ind w:firstLine="480"/>
        <w:rPr>
          <w:rFonts w:ascii="宋体" w:hAnsi="宋体" w:eastAsia="宋体" w:cs="宋体"/>
          <w:kern w:val="2"/>
          <w:sz w:val="24"/>
          <w:szCs w:val="24"/>
          <w:highlight w:val="none"/>
        </w:rPr>
      </w:pPr>
      <w:r>
        <w:rPr>
          <w:rFonts w:hint="eastAsia" w:ascii="宋体" w:hAnsi="宋体" w:eastAsia="宋体" w:cs="宋体"/>
          <w:kern w:val="2"/>
          <w:sz w:val="24"/>
          <w:szCs w:val="24"/>
          <w:highlight w:val="none"/>
        </w:rPr>
        <w:t>注：因联合惩戒措施表述存在细微差别，惩戒措施与上文不完全一致但措施内容相同的，也应属于被限制参与相关项目的投标。</w:t>
      </w:r>
    </w:p>
    <w:p>
      <w:pPr>
        <w:pStyle w:val="12"/>
        <w:widowControl/>
        <w:spacing w:line="360" w:lineRule="auto"/>
        <w:ind w:firstLine="480"/>
        <w:rPr>
          <w:rFonts w:ascii="宋体" w:hAnsi="宋体" w:eastAsia="宋体" w:cs="宋体"/>
          <w:b/>
          <w:bCs/>
          <w:kern w:val="2"/>
          <w:sz w:val="24"/>
          <w:szCs w:val="24"/>
          <w:highlight w:val="none"/>
        </w:rPr>
      </w:pPr>
      <w:r>
        <w:rPr>
          <w:rFonts w:hint="eastAsia" w:ascii="宋体" w:hAnsi="宋体" w:eastAsia="宋体" w:cs="宋体"/>
          <w:b/>
          <w:bCs/>
          <w:kern w:val="2"/>
          <w:sz w:val="24"/>
          <w:szCs w:val="24"/>
          <w:highlight w:val="none"/>
        </w:rPr>
        <w:t>未在招标公告第3条单列的资审合格条件，不作为资审不合格的依据。</w:t>
      </w:r>
    </w:p>
    <w:p>
      <w:pPr>
        <w:pStyle w:val="4"/>
        <w:spacing w:line="360" w:lineRule="auto"/>
        <w:rPr>
          <w:rFonts w:ascii="宋体" w:hAnsi="宋体" w:eastAsia="宋体" w:cs="宋体"/>
          <w:highlight w:val="none"/>
        </w:rPr>
      </w:pPr>
      <w:bookmarkStart w:id="4" w:name="_Toc492300549"/>
      <w:r>
        <w:rPr>
          <w:rFonts w:hint="eastAsia" w:ascii="宋体" w:hAnsi="宋体" w:eastAsia="宋体" w:cs="宋体"/>
          <w:highlight w:val="none"/>
        </w:rPr>
        <w:t>4. 招标文件的获取</w:t>
      </w:r>
      <w:bookmarkEnd w:id="4"/>
    </w:p>
    <w:p>
      <w:pPr>
        <w:spacing w:line="360" w:lineRule="auto"/>
        <w:ind w:left="10" w:firstLine="439" w:firstLineChars="183"/>
        <w:rPr>
          <w:rFonts w:ascii="宋体" w:hAnsi="宋体" w:cs="宋体"/>
          <w:sz w:val="24"/>
          <w:highlight w:val="none"/>
        </w:rPr>
      </w:pPr>
      <w:r>
        <w:rPr>
          <w:rFonts w:hint="eastAsia" w:ascii="宋体" w:hAnsi="宋体" w:cs="宋体"/>
          <w:sz w:val="24"/>
          <w:highlight w:val="none"/>
        </w:rPr>
        <w:t>4.1凡有意参加投标者，请于</w:t>
      </w:r>
      <w:r>
        <w:rPr>
          <w:rFonts w:hint="eastAsia" w:ascii="宋体" w:hAnsi="宋体" w:cs="宋体"/>
          <w:sz w:val="24"/>
          <w:highlight w:val="none"/>
          <w:u w:val="single"/>
        </w:rPr>
        <w:t>2023年 月 日</w:t>
      </w:r>
      <w:r>
        <w:rPr>
          <w:rFonts w:hint="eastAsia" w:ascii="宋体" w:hAnsi="宋体" w:cs="宋体"/>
          <w:kern w:val="0"/>
          <w:sz w:val="24"/>
          <w:szCs w:val="24"/>
          <w:highlight w:val="none"/>
          <w:u w:val="single"/>
        </w:rPr>
        <w:t>00时00分</w:t>
      </w:r>
      <w:r>
        <w:rPr>
          <w:rFonts w:hint="eastAsia" w:ascii="宋体" w:hAnsi="宋体" w:cs="宋体"/>
          <w:sz w:val="24"/>
          <w:highlight w:val="none"/>
          <w:u w:val="single"/>
        </w:rPr>
        <w:t>至2023年 月 日</w:t>
      </w:r>
      <w:r>
        <w:rPr>
          <w:rFonts w:hint="eastAsia" w:ascii="宋体" w:hAnsi="宋体" w:cs="宋体"/>
          <w:kern w:val="0"/>
          <w:sz w:val="24"/>
          <w:szCs w:val="24"/>
          <w:highlight w:val="none"/>
          <w:u w:val="single"/>
        </w:rPr>
        <w:t>分</w:t>
      </w:r>
      <w:r>
        <w:rPr>
          <w:rFonts w:hint="eastAsia" w:ascii="宋体" w:hAnsi="宋体" w:cs="宋体"/>
          <w:sz w:val="24"/>
          <w:highlight w:val="none"/>
        </w:rPr>
        <w:t>（北京时间，下同），登录</w:t>
      </w:r>
      <w:r>
        <w:rPr>
          <w:rFonts w:hint="eastAsia" w:ascii="宋体" w:hAnsi="宋体" w:cs="宋体"/>
          <w:sz w:val="24"/>
          <w:highlight w:val="none"/>
          <w:u w:val="single"/>
        </w:rPr>
        <w:t>广州公共资源交易中心网（网址：</w:t>
      </w:r>
      <w:r>
        <w:rPr>
          <w:highlight w:val="none"/>
        </w:rPr>
        <w:fldChar w:fldCharType="begin"/>
      </w:r>
      <w:r>
        <w:rPr>
          <w:highlight w:val="none"/>
        </w:rPr>
        <w:instrText xml:space="preserve"> HYPERLINK "http://www.gzggzy.cn）下载电子招标文件。" </w:instrText>
      </w:r>
      <w:r>
        <w:rPr>
          <w:highlight w:val="none"/>
        </w:rPr>
        <w:fldChar w:fldCharType="separate"/>
      </w:r>
      <w:r>
        <w:rPr>
          <w:rStyle w:val="21"/>
          <w:rFonts w:hint="default" w:ascii="宋体" w:hAnsi="宋体" w:cs="宋体"/>
          <w:color w:val="auto"/>
          <w:sz w:val="24"/>
          <w:highlight w:val="none"/>
          <w:u w:val="single"/>
        </w:rPr>
        <w:t>http://www.gzggzy.cn</w:t>
      </w:r>
      <w:r>
        <w:rPr>
          <w:rFonts w:hint="eastAsia" w:ascii="宋体" w:hAnsi="宋体" w:cs="宋体"/>
          <w:sz w:val="24"/>
          <w:szCs w:val="24"/>
          <w:highlight w:val="none"/>
          <w:u w:val="single"/>
        </w:rPr>
        <w:t>/</w:t>
      </w:r>
      <w:r>
        <w:rPr>
          <w:rStyle w:val="21"/>
          <w:rFonts w:hint="default" w:ascii="宋体" w:hAnsi="宋体" w:cs="宋体"/>
          <w:color w:val="auto"/>
          <w:sz w:val="24"/>
          <w:highlight w:val="none"/>
        </w:rPr>
        <w:t>）</w:t>
      </w:r>
      <w:r>
        <w:rPr>
          <w:rFonts w:hint="eastAsia" w:ascii="宋体" w:hAnsi="宋体" w:cs="宋体"/>
          <w:sz w:val="24"/>
          <w:highlight w:val="none"/>
        </w:rPr>
        <w:t>下载电子招标文件</w:t>
      </w:r>
      <w:r>
        <w:rPr>
          <w:rStyle w:val="21"/>
          <w:rFonts w:hint="default" w:ascii="宋体" w:hAnsi="宋体" w:cs="宋体"/>
          <w:color w:val="auto"/>
          <w:sz w:val="24"/>
          <w:highlight w:val="none"/>
        </w:rPr>
        <w:t>。</w:t>
      </w:r>
      <w:r>
        <w:rPr>
          <w:rStyle w:val="21"/>
          <w:rFonts w:hint="default" w:ascii="宋体" w:hAnsi="宋体" w:cs="宋体"/>
          <w:color w:val="auto"/>
          <w:sz w:val="24"/>
          <w:highlight w:val="none"/>
        </w:rPr>
        <w:fldChar w:fldCharType="end"/>
      </w:r>
    </w:p>
    <w:p>
      <w:pPr>
        <w:pStyle w:val="7"/>
        <w:spacing w:line="360" w:lineRule="auto"/>
        <w:ind w:left="0" w:leftChars="0" w:firstLine="480"/>
        <w:rPr>
          <w:rFonts w:ascii="宋体" w:hAnsi="宋体" w:cs="宋体"/>
          <w:kern w:val="0"/>
          <w:sz w:val="24"/>
          <w:szCs w:val="24"/>
          <w:highlight w:val="none"/>
        </w:rPr>
      </w:pPr>
      <w:r>
        <w:rPr>
          <w:rFonts w:hint="eastAsia" w:ascii="宋体" w:hAnsi="宋体" w:cs="宋体"/>
          <w:kern w:val="0"/>
          <w:sz w:val="24"/>
          <w:szCs w:val="24"/>
          <w:highlight w:val="none"/>
        </w:rPr>
        <w:t>4.2 发布招标公告时间（含本日）：</w:t>
      </w:r>
      <w:r>
        <w:rPr>
          <w:rFonts w:hint="eastAsia" w:ascii="宋体" w:hAnsi="宋体" w:cs="宋体"/>
          <w:kern w:val="0"/>
          <w:sz w:val="24"/>
          <w:szCs w:val="24"/>
          <w:highlight w:val="none"/>
          <w:u w:val="single"/>
        </w:rPr>
        <w:t>2023年 月 日 时 分至2023年 月 日 时分</w:t>
      </w:r>
      <w:r>
        <w:rPr>
          <w:rFonts w:hint="eastAsia" w:ascii="宋体" w:hAnsi="宋体" w:cs="宋体"/>
          <w:kern w:val="0"/>
          <w:sz w:val="24"/>
          <w:szCs w:val="24"/>
          <w:highlight w:val="none"/>
        </w:rPr>
        <w:t>。</w:t>
      </w:r>
    </w:p>
    <w:p>
      <w:pPr>
        <w:pStyle w:val="7"/>
        <w:spacing w:line="360" w:lineRule="auto"/>
        <w:ind w:left="0" w:leftChars="0"/>
        <w:rPr>
          <w:highlight w:val="none"/>
        </w:rPr>
      </w:pPr>
      <w:r>
        <w:rPr>
          <w:rFonts w:hint="eastAsia" w:ascii="宋体" w:hAnsi="宋体" w:cs="宋体"/>
          <w:kern w:val="0"/>
          <w:sz w:val="24"/>
          <w:szCs w:val="24"/>
          <w:highlight w:val="none"/>
        </w:rPr>
        <w:t xml:space="preserve">    注：本公告发布之日起开始发布招标文件，发布招标公告的时间为招标公告发出之日起至递交投标文件截止时间止,并从招标公告发布之日起开始计算备标时间。</w:t>
      </w:r>
    </w:p>
    <w:p>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4.3</w:t>
      </w:r>
      <w:r>
        <w:rPr>
          <w:rFonts w:hint="eastAsia" w:ascii="宋体" w:hAnsi="宋体" w:cs="宋体"/>
          <w:kern w:val="0"/>
          <w:sz w:val="24"/>
          <w:szCs w:val="24"/>
          <w:highlight w:val="none"/>
        </w:rPr>
        <w:t>本项目设立投标登记环节，采取</w:t>
      </w:r>
      <w:r>
        <w:rPr>
          <w:rFonts w:hint="eastAsia" w:ascii="宋体" w:hAnsi="宋体" w:cs="宋体"/>
          <w:kern w:val="0"/>
          <w:sz w:val="24"/>
          <w:szCs w:val="24"/>
          <w:highlight w:val="none"/>
          <w:u w:val="single"/>
        </w:rPr>
        <w:t>广州公共资源交易中心网上投标登记</w:t>
      </w:r>
      <w:r>
        <w:rPr>
          <w:rFonts w:hint="eastAsia" w:ascii="宋体" w:hAnsi="宋体" w:cs="宋体"/>
          <w:kern w:val="0"/>
          <w:sz w:val="24"/>
          <w:szCs w:val="24"/>
          <w:highlight w:val="none"/>
        </w:rPr>
        <w:t>方式进行投标登记，不接受现场投标登记（参加投标登记之前，投标人应查询本企业在广州公共资源交易中心的信息登记的状态，确保一切信息都是真实的、在有效期内的，以免出现相关信息不能被使用。上述情况有可能导致投标信息无法录入广州公共资源交易中心信息系统。如出现上述情况，投标人有可能失去投标机会，因其可能所引起的一切后果由投标人承担。电子招投标操作流程详见广州公共资源交易中心网站发布的最新版操作指引）</w:t>
      </w:r>
    </w:p>
    <w:p>
      <w:pPr>
        <w:spacing w:line="360" w:lineRule="auto"/>
        <w:ind w:firstLine="480" w:firstLineChars="200"/>
        <w:jc w:val="left"/>
        <w:rPr>
          <w:rFonts w:ascii="宋体" w:hAnsi="宋体" w:cs="宋体"/>
          <w:sz w:val="24"/>
          <w:highlight w:val="none"/>
        </w:rPr>
      </w:pPr>
      <w:r>
        <w:rPr>
          <w:rFonts w:hint="eastAsia" w:ascii="宋体" w:hAnsi="宋体" w:cs="宋体"/>
          <w:kern w:val="0"/>
          <w:sz w:val="24"/>
          <w:szCs w:val="24"/>
          <w:highlight w:val="none"/>
        </w:rPr>
        <w:t>4.3.1投标登记时间：</w:t>
      </w:r>
      <w:r>
        <w:rPr>
          <w:rFonts w:hint="eastAsia" w:ascii="宋体" w:hAnsi="宋体" w:cs="宋体"/>
          <w:kern w:val="0"/>
          <w:sz w:val="24"/>
          <w:szCs w:val="24"/>
          <w:highlight w:val="none"/>
          <w:u w:val="single"/>
        </w:rPr>
        <w:t>2023年 月 日 时 分至2023年 月 日 时 分</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4.4 本项目采用资格后审方式。</w:t>
      </w:r>
    </w:p>
    <w:p>
      <w:pPr>
        <w:pStyle w:val="4"/>
        <w:spacing w:line="360" w:lineRule="auto"/>
        <w:rPr>
          <w:rFonts w:ascii="宋体" w:hAnsi="宋体" w:eastAsia="宋体" w:cs="宋体"/>
          <w:highlight w:val="none"/>
        </w:rPr>
      </w:pPr>
      <w:bookmarkStart w:id="5" w:name="_Toc492300550"/>
      <w:r>
        <w:rPr>
          <w:rFonts w:hint="eastAsia" w:ascii="宋体" w:hAnsi="宋体" w:eastAsia="宋体" w:cs="宋体"/>
          <w:highlight w:val="none"/>
        </w:rPr>
        <w:t>5. 投标文件的递交</w:t>
      </w:r>
      <w:bookmarkEnd w:id="5"/>
    </w:p>
    <w:p>
      <w:pPr>
        <w:tabs>
          <w:tab w:val="left" w:pos="360"/>
        </w:tabs>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5.1投标文件递交的截止时间（投标截止时间，下同）为</w:t>
      </w:r>
      <w:r>
        <w:rPr>
          <w:rFonts w:hint="eastAsia" w:ascii="宋体" w:hAnsi="宋体" w:cs="宋体"/>
          <w:kern w:val="0"/>
          <w:sz w:val="24"/>
          <w:szCs w:val="24"/>
          <w:highlight w:val="none"/>
          <w:u w:val="single"/>
        </w:rPr>
        <w:t>2023</w:t>
      </w:r>
      <w:r>
        <w:rPr>
          <w:rFonts w:hint="eastAsia" w:ascii="宋体" w:hAnsi="宋体" w:cs="宋体"/>
          <w:kern w:val="0"/>
          <w:sz w:val="24"/>
          <w:szCs w:val="24"/>
          <w:highlight w:val="none"/>
        </w:rPr>
        <w:t>年 月 日 时分</w:t>
      </w:r>
      <w:r>
        <w:rPr>
          <w:rFonts w:hint="eastAsia" w:ascii="宋体" w:hAnsi="宋体" w:cs="宋体"/>
          <w:sz w:val="24"/>
          <w:szCs w:val="24"/>
          <w:highlight w:val="none"/>
        </w:rPr>
        <w:t>，投标人应在截止时间前通过</w:t>
      </w:r>
      <w:r>
        <w:rPr>
          <w:rFonts w:hint="eastAsia" w:ascii="宋体" w:hAnsi="宋体" w:cs="宋体"/>
          <w:sz w:val="24"/>
          <w:szCs w:val="24"/>
          <w:highlight w:val="none"/>
          <w:u w:val="single"/>
        </w:rPr>
        <w:t>广州公共资源交易中心网</w:t>
      </w:r>
      <w:r>
        <w:rPr>
          <w:rFonts w:hint="eastAsia" w:ascii="宋体" w:hAnsi="宋体"/>
          <w:sz w:val="24"/>
          <w:szCs w:val="24"/>
          <w:highlight w:val="none"/>
          <w:u w:val="single"/>
        </w:rPr>
        <w:t>（网址：</w:t>
      </w:r>
      <w:r>
        <w:rPr>
          <w:rFonts w:ascii="宋体" w:hAnsi="宋体"/>
          <w:sz w:val="24"/>
          <w:szCs w:val="24"/>
          <w:highlight w:val="none"/>
          <w:u w:val="single"/>
        </w:rPr>
        <w:t>http://www.gzggzy.cn</w:t>
      </w:r>
      <w:r>
        <w:rPr>
          <w:rFonts w:hint="eastAsia" w:ascii="宋体" w:hAnsi="宋体" w:cs="宋体"/>
          <w:sz w:val="24"/>
          <w:szCs w:val="24"/>
          <w:highlight w:val="none"/>
          <w:u w:val="single"/>
        </w:rPr>
        <w:t>/</w:t>
      </w:r>
      <w:r>
        <w:rPr>
          <w:rFonts w:hint="eastAsia" w:ascii="宋体" w:hAnsi="宋体"/>
          <w:sz w:val="24"/>
          <w:szCs w:val="24"/>
          <w:highlight w:val="none"/>
          <w:u w:val="single"/>
        </w:rPr>
        <w:t>）</w:t>
      </w:r>
      <w:r>
        <w:rPr>
          <w:rFonts w:hint="eastAsia" w:ascii="宋体" w:hAnsi="宋体" w:cs="宋体"/>
          <w:sz w:val="24"/>
          <w:szCs w:val="24"/>
          <w:highlight w:val="none"/>
        </w:rPr>
        <w:t>递交电子投标文件。</w:t>
      </w:r>
    </w:p>
    <w:p>
      <w:pPr>
        <w:tabs>
          <w:tab w:val="left" w:pos="360"/>
        </w:tabs>
        <w:spacing w:line="360" w:lineRule="auto"/>
        <w:ind w:left="418" w:leftChars="199"/>
        <w:rPr>
          <w:rFonts w:ascii="宋体" w:hAnsi="宋体" w:cs="宋体"/>
          <w:sz w:val="24"/>
          <w:szCs w:val="24"/>
          <w:highlight w:val="none"/>
        </w:rPr>
      </w:pPr>
      <w:r>
        <w:rPr>
          <w:rFonts w:hint="eastAsia" w:ascii="宋体" w:hAnsi="宋体" w:cs="宋体"/>
          <w:sz w:val="24"/>
          <w:szCs w:val="24"/>
          <w:highlight w:val="none"/>
        </w:rPr>
        <w:t>递交备用投标文件电子光盘的规定：时间为：</w:t>
      </w:r>
      <w:r>
        <w:rPr>
          <w:rFonts w:hint="eastAsia" w:ascii="宋体" w:hAnsi="宋体" w:cs="宋体"/>
          <w:kern w:val="0"/>
          <w:sz w:val="24"/>
          <w:szCs w:val="24"/>
          <w:highlight w:val="none"/>
          <w:u w:val="single"/>
        </w:rPr>
        <w:t>2023</w:t>
      </w:r>
      <w:r>
        <w:rPr>
          <w:rFonts w:hint="eastAsia" w:ascii="宋体" w:hAnsi="宋体" w:cs="宋体"/>
          <w:kern w:val="0"/>
          <w:sz w:val="24"/>
          <w:szCs w:val="24"/>
          <w:highlight w:val="none"/>
        </w:rPr>
        <w:t>年 月 日  时 分</w:t>
      </w:r>
      <w:r>
        <w:rPr>
          <w:rFonts w:hint="eastAsia" w:ascii="宋体" w:hAnsi="宋体" w:cs="宋体"/>
          <w:sz w:val="24"/>
          <w:szCs w:val="24"/>
          <w:highlight w:val="none"/>
        </w:rPr>
        <w:t>至</w:t>
      </w:r>
    </w:p>
    <w:p>
      <w:pPr>
        <w:tabs>
          <w:tab w:val="left" w:pos="360"/>
        </w:tabs>
        <w:spacing w:line="360" w:lineRule="auto"/>
        <w:rPr>
          <w:rFonts w:ascii="宋体" w:hAnsi="宋体" w:cs="宋体"/>
          <w:sz w:val="24"/>
          <w:szCs w:val="24"/>
          <w:highlight w:val="none"/>
        </w:rPr>
      </w:pPr>
      <w:r>
        <w:rPr>
          <w:rFonts w:hint="eastAsia" w:ascii="宋体" w:hAnsi="宋体" w:cs="宋体"/>
          <w:kern w:val="0"/>
          <w:sz w:val="24"/>
          <w:szCs w:val="24"/>
          <w:highlight w:val="none"/>
          <w:u w:val="single"/>
        </w:rPr>
        <w:t>2023</w:t>
      </w:r>
      <w:r>
        <w:rPr>
          <w:rFonts w:hint="eastAsia" w:ascii="宋体" w:hAnsi="宋体" w:cs="宋体"/>
          <w:kern w:val="0"/>
          <w:sz w:val="24"/>
          <w:szCs w:val="24"/>
          <w:highlight w:val="none"/>
        </w:rPr>
        <w:t>年 月 日 时 分</w:t>
      </w:r>
      <w:r>
        <w:rPr>
          <w:rFonts w:hint="eastAsia" w:ascii="宋体" w:hAnsi="宋体" w:cs="宋体"/>
          <w:sz w:val="24"/>
          <w:szCs w:val="24"/>
          <w:highlight w:val="none"/>
        </w:rPr>
        <w:t>；地点：</w:t>
      </w:r>
      <w:r>
        <w:rPr>
          <w:rFonts w:hint="eastAsia" w:ascii="宋体" w:hAnsi="宋体" w:cs="宋体"/>
          <w:sz w:val="24"/>
          <w:szCs w:val="24"/>
          <w:highlight w:val="none"/>
          <w:u w:val="single"/>
        </w:rPr>
        <w:t>广州公共资源交易中心  开标室</w:t>
      </w:r>
      <w:r>
        <w:rPr>
          <w:rFonts w:hint="eastAsia" w:ascii="宋体" w:hAnsi="宋体" w:cs="宋体"/>
          <w:sz w:val="24"/>
          <w:szCs w:val="24"/>
          <w:highlight w:val="none"/>
        </w:rPr>
        <w:t>。（电子光盘需按规定封装。投标人将数据刻录到光盘之后，投标前自行检查文件是否可以读取。）</w:t>
      </w:r>
    </w:p>
    <w:p>
      <w:pPr>
        <w:tabs>
          <w:tab w:val="left" w:pos="110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5.2采取电子投标时，逾期送达的投标文件，电子招标投标交易平台将予以拒收。</w:t>
      </w:r>
    </w:p>
    <w:p>
      <w:pPr>
        <w:tabs>
          <w:tab w:val="left" w:pos="1100"/>
        </w:tabs>
        <w:spacing w:line="400" w:lineRule="exact"/>
        <w:ind w:firstLine="480" w:firstLineChars="200"/>
        <w:jc w:val="left"/>
        <w:rPr>
          <w:rFonts w:ascii="宋体" w:hAnsi="宋体"/>
          <w:sz w:val="24"/>
          <w:highlight w:val="none"/>
        </w:rPr>
      </w:pPr>
      <w:r>
        <w:rPr>
          <w:rFonts w:hint="eastAsia" w:ascii="宋体" w:hAnsi="宋体" w:cs="宋体"/>
          <w:sz w:val="24"/>
          <w:szCs w:val="24"/>
          <w:highlight w:val="none"/>
        </w:rPr>
        <w:t>5.3</w:t>
      </w:r>
      <w:r>
        <w:rPr>
          <w:rFonts w:ascii="宋体" w:hAnsi="宋体"/>
          <w:sz w:val="24"/>
          <w:highlight w:val="none"/>
        </w:rPr>
        <w:t>投标人完成电子投标上传后，电子招标投标交易平台即时向投标人发出递交回执通知。递交时间以递交回执通知载明的传输时间为准。</w:t>
      </w:r>
    </w:p>
    <w:p>
      <w:pPr>
        <w:tabs>
          <w:tab w:val="left" w:pos="1100"/>
        </w:tabs>
        <w:spacing w:line="400" w:lineRule="exact"/>
        <w:ind w:firstLine="480" w:firstLineChars="200"/>
        <w:jc w:val="left"/>
        <w:rPr>
          <w:rFonts w:ascii="宋体" w:hAnsi="宋体" w:cs="宋体"/>
          <w:sz w:val="24"/>
          <w:szCs w:val="24"/>
          <w:highlight w:val="none"/>
        </w:rPr>
      </w:pPr>
      <w:r>
        <w:rPr>
          <w:rFonts w:hint="eastAsia" w:ascii="宋体" w:hAnsi="宋体"/>
          <w:sz w:val="24"/>
          <w:highlight w:val="none"/>
        </w:rPr>
        <w:t>5.4</w:t>
      </w:r>
      <w:r>
        <w:rPr>
          <w:rFonts w:hint="eastAsia" w:ascii="宋体" w:hAnsi="宋体" w:cs="宋体"/>
          <w:sz w:val="24"/>
          <w:szCs w:val="24"/>
          <w:highlight w:val="none"/>
        </w:rPr>
        <w:t>开标时间为</w:t>
      </w:r>
      <w:r>
        <w:rPr>
          <w:rFonts w:hint="eastAsia" w:ascii="宋体" w:hAnsi="宋体" w:cs="宋体"/>
          <w:sz w:val="24"/>
          <w:szCs w:val="24"/>
          <w:highlight w:val="none"/>
          <w:u w:val="single"/>
        </w:rPr>
        <w:t>2023</w:t>
      </w:r>
      <w:r>
        <w:rPr>
          <w:rFonts w:hint="eastAsia" w:ascii="宋体" w:hAnsi="宋体" w:cs="宋体"/>
          <w:sz w:val="24"/>
          <w:szCs w:val="24"/>
          <w:highlight w:val="none"/>
        </w:rPr>
        <w:t>年 月 日 时 分，地点：广州公共资源交易中心第 开标室。</w:t>
      </w:r>
    </w:p>
    <w:p>
      <w:pPr>
        <w:tabs>
          <w:tab w:val="left" w:pos="1100"/>
        </w:tabs>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5.5递交投标文件截止时间及开标时间是否有变化，请密切留意交易中心网站中的相关信息。递交投标文件截止时间后，投标文件评审时间因故推迟的，相关资审信息仍以原递交投标文件截止时间的信息为准。</w:t>
      </w:r>
    </w:p>
    <w:p>
      <w:pPr>
        <w:tabs>
          <w:tab w:val="left" w:pos="1100"/>
        </w:tabs>
        <w:spacing w:line="360" w:lineRule="auto"/>
        <w:ind w:firstLine="480" w:firstLineChars="200"/>
        <w:jc w:val="left"/>
        <w:rPr>
          <w:rFonts w:ascii="宋体" w:hAnsi="宋体" w:cs="宋体"/>
          <w:sz w:val="24"/>
          <w:szCs w:val="24"/>
          <w:highlight w:val="none"/>
        </w:rPr>
      </w:pPr>
    </w:p>
    <w:p>
      <w:pPr>
        <w:pStyle w:val="4"/>
        <w:spacing w:line="360" w:lineRule="auto"/>
        <w:rPr>
          <w:rFonts w:ascii="宋体" w:hAnsi="宋体" w:eastAsia="宋体" w:cs="宋体"/>
          <w:highlight w:val="none"/>
        </w:rPr>
      </w:pPr>
      <w:bookmarkStart w:id="6" w:name="_Toc492300551"/>
      <w:r>
        <w:rPr>
          <w:rFonts w:hint="eastAsia" w:ascii="宋体" w:hAnsi="宋体" w:eastAsia="宋体" w:cs="宋体"/>
          <w:highlight w:val="none"/>
        </w:rPr>
        <w:t>6. 发布公告的媒介</w:t>
      </w:r>
      <w:bookmarkEnd w:id="6"/>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次招标公告同时在广州公共资源交易网（网址：http://www.gzggzy.cn/）、广东省招标投标监管网（网址：http://zbtb.gd.gov.cn/）和中国招标投标公共服务平台（网址：http://www.cebpubservice.com/）发布，本公告的修改、补充，在广州公共资源交易中心网站上发布。本公告在各媒体发布的文本如有不同之处，以在广州公共资源交易网发布的文本为准。</w:t>
      </w:r>
    </w:p>
    <w:p>
      <w:pPr>
        <w:pStyle w:val="4"/>
        <w:spacing w:line="360" w:lineRule="auto"/>
        <w:rPr>
          <w:rFonts w:ascii="宋体" w:hAnsi="宋体" w:eastAsia="宋体" w:cs="宋体"/>
          <w:highlight w:val="none"/>
        </w:rPr>
      </w:pPr>
      <w:bookmarkStart w:id="7" w:name="_Toc492300552"/>
      <w:r>
        <w:rPr>
          <w:rFonts w:hint="eastAsia" w:ascii="宋体" w:hAnsi="宋体" w:eastAsia="宋体" w:cs="宋体"/>
          <w:highlight w:val="none"/>
        </w:rPr>
        <w:t>7. 联系方式</w:t>
      </w:r>
      <w:bookmarkEnd w:id="7"/>
    </w:p>
    <w:p>
      <w:pPr>
        <w:topLinePunct/>
        <w:spacing w:line="360" w:lineRule="auto"/>
        <w:ind w:firstLine="480" w:firstLineChars="200"/>
        <w:rPr>
          <w:rFonts w:ascii="宋体" w:hAnsi="宋体" w:cs="宋体"/>
          <w:sz w:val="24"/>
          <w:szCs w:val="24"/>
          <w:highlight w:val="none"/>
        </w:rPr>
      </w:pPr>
      <w:bookmarkStart w:id="8" w:name="_Toc247527535"/>
      <w:bookmarkEnd w:id="8"/>
      <w:bookmarkStart w:id="9" w:name="_Toc384308187"/>
      <w:bookmarkEnd w:id="9"/>
      <w:bookmarkStart w:id="10" w:name="_Toc352691455"/>
      <w:bookmarkEnd w:id="10"/>
      <w:bookmarkStart w:id="11" w:name="_Toc144974481"/>
      <w:bookmarkEnd w:id="11"/>
      <w:bookmarkStart w:id="12" w:name="_Toc384308188"/>
      <w:bookmarkEnd w:id="12"/>
      <w:bookmarkStart w:id="13" w:name="_Toc369531497"/>
      <w:bookmarkEnd w:id="13"/>
      <w:bookmarkStart w:id="14" w:name="_Toc300834930"/>
      <w:bookmarkEnd w:id="14"/>
      <w:bookmarkStart w:id="15" w:name="_Toc10785"/>
      <w:bookmarkEnd w:id="15"/>
      <w:bookmarkStart w:id="16" w:name="_Toc152042288"/>
      <w:bookmarkEnd w:id="16"/>
      <w:bookmarkStart w:id="17" w:name="_Toc369531498"/>
      <w:bookmarkEnd w:id="17"/>
      <w:bookmarkStart w:id="18" w:name="_Toc144974480"/>
      <w:bookmarkEnd w:id="18"/>
      <w:bookmarkStart w:id="19" w:name="_Toc300834927"/>
      <w:bookmarkEnd w:id="19"/>
      <w:bookmarkStart w:id="20" w:name="_Toc30817"/>
      <w:bookmarkEnd w:id="20"/>
      <w:bookmarkStart w:id="21" w:name="_Toc352691456"/>
      <w:bookmarkEnd w:id="21"/>
      <w:bookmarkStart w:id="22" w:name="_Toc352691453"/>
      <w:bookmarkEnd w:id="22"/>
      <w:bookmarkStart w:id="23" w:name="_Toc361508563"/>
      <w:bookmarkEnd w:id="23"/>
      <w:bookmarkStart w:id="24" w:name="_Toc247527536"/>
      <w:bookmarkEnd w:id="24"/>
      <w:bookmarkStart w:id="25" w:name="_Toc152045512"/>
      <w:bookmarkEnd w:id="25"/>
      <w:bookmarkStart w:id="26" w:name="_Toc384308185"/>
      <w:bookmarkEnd w:id="26"/>
      <w:bookmarkStart w:id="27" w:name="_Toc361508560"/>
      <w:bookmarkEnd w:id="27"/>
      <w:bookmarkStart w:id="28" w:name="_Toc369531495"/>
      <w:bookmarkEnd w:id="28"/>
      <w:bookmarkStart w:id="29" w:name="_Toc361508562"/>
      <w:bookmarkEnd w:id="29"/>
      <w:bookmarkStart w:id="30" w:name="_Toc247513935"/>
      <w:bookmarkEnd w:id="30"/>
      <w:bookmarkStart w:id="31" w:name="_Toc152042289"/>
      <w:bookmarkEnd w:id="31"/>
      <w:bookmarkStart w:id="32" w:name="_Toc247513934"/>
      <w:bookmarkEnd w:id="32"/>
      <w:bookmarkStart w:id="33" w:name="_Toc152045513"/>
      <w:bookmarkEnd w:id="33"/>
      <w:bookmarkStart w:id="34" w:name="_Toc300834929"/>
      <w:bookmarkEnd w:id="34"/>
      <w:bookmarkStart w:id="35" w:name="_Toc17972"/>
      <w:bookmarkEnd w:id="35"/>
      <w:r>
        <w:rPr>
          <w:rFonts w:hint="eastAsia" w:ascii="宋体" w:hAnsi="宋体" w:cs="宋体"/>
          <w:sz w:val="24"/>
          <w:szCs w:val="24"/>
          <w:highlight w:val="none"/>
        </w:rPr>
        <w:t>招 标 人：</w:t>
      </w:r>
      <w:r>
        <w:rPr>
          <w:rFonts w:hint="eastAsia" w:ascii="宋体" w:hAnsi="宋体" w:cs="宋体"/>
          <w:sz w:val="24"/>
          <w:szCs w:val="24"/>
          <w:highlight w:val="none"/>
          <w:u w:val="single"/>
        </w:rPr>
        <w:t>广州市海珠区住房和建设局</w:t>
      </w:r>
    </w:p>
    <w:p>
      <w:pPr>
        <w:topLinePunct/>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sz w:val="24"/>
          <w:szCs w:val="24"/>
          <w:highlight w:val="none"/>
          <w:u w:val="single"/>
        </w:rPr>
        <w:t>广州市海珠区新港中路472号</w:t>
      </w:r>
    </w:p>
    <w:p>
      <w:pPr>
        <w:topLinePunct/>
        <w:spacing w:line="360" w:lineRule="auto"/>
        <w:ind w:firstLine="480" w:firstLineChars="200"/>
        <w:rPr>
          <w:rFonts w:ascii="宋体" w:hAnsi="宋体"/>
          <w:sz w:val="24"/>
          <w:szCs w:val="24"/>
          <w:highlight w:val="none"/>
          <w:u w:val="single"/>
        </w:rPr>
      </w:pPr>
      <w:r>
        <w:rPr>
          <w:rFonts w:hint="eastAsia" w:ascii="宋体" w:hAnsi="宋体" w:cs="宋体"/>
          <w:sz w:val="24"/>
          <w:szCs w:val="24"/>
          <w:highlight w:val="none"/>
        </w:rPr>
        <w:t>联 系 人：</w:t>
      </w:r>
      <w:r>
        <w:rPr>
          <w:rFonts w:hint="eastAsia" w:ascii="宋体" w:hAnsi="宋体" w:cs="宋体"/>
          <w:sz w:val="24"/>
          <w:szCs w:val="24"/>
          <w:highlight w:val="none"/>
          <w:u w:val="single"/>
        </w:rPr>
        <w:t>曾工</w:t>
      </w:r>
    </w:p>
    <w:p>
      <w:pPr>
        <w:topLinePunct/>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    话：</w:t>
      </w:r>
      <w:r>
        <w:rPr>
          <w:rFonts w:hint="eastAsia" w:asciiTheme="minorEastAsia" w:hAnsiTheme="minorEastAsia" w:eastAsiaTheme="minorEastAsia" w:cstheme="minorEastAsia"/>
          <w:sz w:val="24"/>
          <w:highlight w:val="none"/>
          <w:u w:val="single"/>
        </w:rPr>
        <w:t>020-89885856</w:t>
      </w:r>
    </w:p>
    <w:p>
      <w:pPr>
        <w:topLinePunct/>
        <w:spacing w:line="360" w:lineRule="auto"/>
        <w:ind w:left="7422" w:leftChars="202" w:hanging="6998" w:hangingChars="2916"/>
        <w:jc w:val="left"/>
        <w:rPr>
          <w:rFonts w:ascii="宋体" w:hAnsi="宋体" w:cs="宋体"/>
          <w:sz w:val="24"/>
          <w:szCs w:val="24"/>
          <w:highlight w:val="none"/>
        </w:rPr>
      </w:pP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招标代理机构：</w:t>
      </w:r>
      <w:r>
        <w:rPr>
          <w:rFonts w:hint="eastAsia" w:ascii="宋体" w:hAnsi="宋体" w:cs="宋体"/>
          <w:sz w:val="24"/>
          <w:szCs w:val="24"/>
          <w:highlight w:val="none"/>
          <w:u w:val="single"/>
        </w:rPr>
        <w:t>广州盛园咨询服务有限公司</w:t>
      </w: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广州市白云区鹤龙街黄边北路575号四楼</w:t>
      </w: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联 系 人：</w:t>
      </w:r>
      <w:r>
        <w:rPr>
          <w:rFonts w:hint="eastAsia" w:ascii="宋体" w:hAnsi="宋体"/>
          <w:sz w:val="24"/>
          <w:szCs w:val="24"/>
          <w:highlight w:val="none"/>
          <w:u w:val="single"/>
        </w:rPr>
        <w:t>郭工</w:t>
      </w:r>
    </w:p>
    <w:p>
      <w:pPr>
        <w:adjustRightInd w:val="0"/>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020-83705173</w:t>
      </w:r>
    </w:p>
    <w:p>
      <w:pPr>
        <w:adjustRightInd w:val="0"/>
        <w:snapToGrid w:val="0"/>
        <w:spacing w:line="360" w:lineRule="auto"/>
        <w:ind w:firstLine="480" w:firstLineChars="200"/>
        <w:rPr>
          <w:rFonts w:ascii="宋体" w:hAnsi="宋体" w:cs="宋体"/>
          <w:sz w:val="24"/>
          <w:szCs w:val="24"/>
          <w:highlight w:val="none"/>
          <w:u w:val="single"/>
        </w:rPr>
      </w:pPr>
    </w:p>
    <w:p>
      <w:pPr>
        <w:spacing w:line="360" w:lineRule="auto"/>
        <w:ind w:firstLine="489" w:firstLineChars="204"/>
        <w:rPr>
          <w:rFonts w:ascii="宋体" w:hAnsi="宋体" w:cs="宋体"/>
          <w:sz w:val="24"/>
          <w:szCs w:val="24"/>
          <w:highlight w:val="none"/>
          <w:u w:val="single"/>
        </w:rPr>
      </w:pPr>
      <w:r>
        <w:rPr>
          <w:rFonts w:hint="eastAsia" w:ascii="宋体" w:hAnsi="宋体" w:cs="宋体"/>
          <w:sz w:val="24"/>
          <w:szCs w:val="24"/>
          <w:highlight w:val="none"/>
        </w:rPr>
        <w:t>招标监督机构：</w:t>
      </w:r>
      <w:r>
        <w:rPr>
          <w:rFonts w:hint="eastAsia" w:ascii="宋体" w:hAnsi="宋体" w:cs="宋体"/>
          <w:sz w:val="24"/>
          <w:szCs w:val="24"/>
          <w:highlight w:val="none"/>
          <w:u w:val="single"/>
        </w:rPr>
        <w:t>广州市海珠区建设工程招标管理办公室</w:t>
      </w:r>
    </w:p>
    <w:p>
      <w:pPr>
        <w:spacing w:line="360" w:lineRule="auto"/>
        <w:ind w:firstLine="489" w:firstLineChars="204"/>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广州市海珠区新港中路472号</w:t>
      </w:r>
    </w:p>
    <w:p>
      <w:pPr>
        <w:spacing w:line="360" w:lineRule="auto"/>
        <w:ind w:firstLine="489" w:firstLineChars="204"/>
        <w:rPr>
          <w:rFonts w:ascii="宋体" w:hAnsi="宋体" w:cs="宋体"/>
          <w:kern w:val="0"/>
          <w:sz w:val="24"/>
          <w:szCs w:val="24"/>
          <w:highlight w:val="none"/>
          <w:u w:val="single"/>
        </w:rPr>
      </w:pPr>
      <w:r>
        <w:rPr>
          <w:rFonts w:hint="eastAsia" w:ascii="宋体" w:hAnsi="宋体" w:cs="宋体"/>
          <w:sz w:val="24"/>
          <w:szCs w:val="24"/>
          <w:highlight w:val="none"/>
        </w:rPr>
        <w:t>电话：</w:t>
      </w:r>
      <w:r>
        <w:rPr>
          <w:rFonts w:hint="eastAsia" w:ascii="宋体" w:hAnsi="宋体" w:cs="宋体"/>
          <w:kern w:val="0"/>
          <w:sz w:val="24"/>
          <w:szCs w:val="24"/>
          <w:highlight w:val="none"/>
          <w:u w:val="single"/>
        </w:rPr>
        <w:t>020-89885682</w:t>
      </w:r>
    </w:p>
    <w:p>
      <w:pPr>
        <w:spacing w:line="360" w:lineRule="auto"/>
        <w:ind w:firstLine="489" w:firstLineChars="204"/>
        <w:rPr>
          <w:rFonts w:ascii="宋体" w:hAnsi="宋体" w:cs="宋体"/>
          <w:kern w:val="0"/>
          <w:sz w:val="24"/>
          <w:szCs w:val="24"/>
          <w:highlight w:val="none"/>
          <w:u w:val="single"/>
        </w:rPr>
      </w:pPr>
    </w:p>
    <w:p>
      <w:pPr>
        <w:spacing w:line="360" w:lineRule="auto"/>
        <w:ind w:firstLine="489" w:firstLineChars="204"/>
        <w:rPr>
          <w:rFonts w:ascii="宋体" w:hAnsi="宋体" w:cs="宋体"/>
          <w:sz w:val="24"/>
          <w:szCs w:val="24"/>
          <w:highlight w:val="none"/>
        </w:rPr>
      </w:pPr>
      <w:r>
        <w:rPr>
          <w:rFonts w:hint="eastAsia" w:ascii="宋体" w:hAnsi="宋体" w:cs="宋体"/>
          <w:sz w:val="24"/>
          <w:szCs w:val="24"/>
          <w:highlight w:val="none"/>
        </w:rPr>
        <w:t>异议受理部门：</w:t>
      </w:r>
      <w:r>
        <w:rPr>
          <w:rFonts w:hint="eastAsia" w:ascii="宋体" w:hAnsi="宋体" w:cs="宋体"/>
          <w:sz w:val="24"/>
          <w:szCs w:val="24"/>
          <w:highlight w:val="none"/>
          <w:u w:val="single"/>
        </w:rPr>
        <w:t>广州市海珠区住房和建设局</w:t>
      </w:r>
    </w:p>
    <w:p>
      <w:pPr>
        <w:spacing w:line="360" w:lineRule="auto"/>
        <w:ind w:firstLine="489" w:firstLineChars="204"/>
        <w:rPr>
          <w:rFonts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sz w:val="24"/>
          <w:szCs w:val="24"/>
          <w:highlight w:val="none"/>
          <w:u w:val="single"/>
        </w:rPr>
        <w:t>广州市海珠区新港中路472号</w:t>
      </w:r>
    </w:p>
    <w:p>
      <w:pPr>
        <w:spacing w:line="360" w:lineRule="auto"/>
        <w:ind w:firstLine="489" w:firstLineChars="204"/>
        <w:rPr>
          <w:rFonts w:ascii="宋体" w:hAnsi="宋体" w:cs="宋体"/>
          <w:sz w:val="24"/>
          <w:szCs w:val="24"/>
          <w:highlight w:val="none"/>
        </w:rPr>
      </w:pPr>
      <w:r>
        <w:rPr>
          <w:rFonts w:hint="eastAsia" w:ascii="宋体" w:hAnsi="宋体" w:cs="宋体"/>
          <w:sz w:val="24"/>
          <w:szCs w:val="24"/>
          <w:highlight w:val="none"/>
        </w:rPr>
        <w:t>电话：</w:t>
      </w:r>
      <w:r>
        <w:rPr>
          <w:rFonts w:hint="eastAsia" w:asciiTheme="minorEastAsia" w:hAnsiTheme="minorEastAsia" w:eastAsiaTheme="minorEastAsia" w:cstheme="minorEastAsia"/>
          <w:sz w:val="24"/>
          <w:highlight w:val="none"/>
          <w:u w:val="single"/>
        </w:rPr>
        <w:t>020-89885856</w:t>
      </w:r>
    </w:p>
    <w:p>
      <w:pPr>
        <w:spacing w:line="360" w:lineRule="auto"/>
        <w:ind w:firstLine="489" w:firstLineChars="204"/>
        <w:rPr>
          <w:rFonts w:ascii="宋体" w:hAnsi="宋体" w:cs="宋体"/>
          <w:sz w:val="24"/>
          <w:szCs w:val="24"/>
          <w:highlight w:val="none"/>
        </w:rPr>
      </w:pPr>
      <w:r>
        <w:rPr>
          <w:rFonts w:hint="eastAsia" w:ascii="宋体" w:hAnsi="宋体" w:cs="宋体"/>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9" w:firstLineChars="204"/>
        <w:rPr>
          <w:rFonts w:ascii="宋体" w:hAnsi="宋体" w:cs="宋体"/>
          <w:sz w:val="24"/>
          <w:szCs w:val="24"/>
          <w:highlight w:val="none"/>
        </w:rPr>
      </w:pPr>
    </w:p>
    <w:p>
      <w:pPr>
        <w:spacing w:line="360" w:lineRule="auto"/>
        <w:rPr>
          <w:rFonts w:ascii="宋体" w:hAnsi="宋体" w:cs="宋体"/>
          <w:sz w:val="24"/>
          <w:szCs w:val="24"/>
          <w:highlight w:val="none"/>
        </w:rPr>
      </w:pPr>
      <w:r>
        <w:rPr>
          <w:rFonts w:hint="eastAsia" w:ascii="宋体" w:hAnsi="宋体" w:cs="宋体"/>
          <w:highlight w:val="none"/>
        </w:rPr>
        <w:br w:type="page"/>
      </w:r>
      <w:r>
        <w:rPr>
          <w:rFonts w:hint="eastAsia" w:ascii="宋体" w:hAnsi="宋体" w:cs="宋体"/>
          <w:highlight w:val="none"/>
        </w:rPr>
        <w:t>附件一</w:t>
      </w:r>
    </w:p>
    <w:p>
      <w:pPr>
        <w:widowControl/>
        <w:snapToGrid w:val="0"/>
        <w:spacing w:before="260" w:after="260"/>
        <w:ind w:right="386"/>
        <w:jc w:val="center"/>
        <w:rPr>
          <w:rFonts w:ascii="方正小标宋_GBK" w:hAnsi="宋体" w:eastAsia="方正小标宋_GBK" w:cs="宋体"/>
          <w:kern w:val="0"/>
          <w:sz w:val="32"/>
          <w:szCs w:val="32"/>
          <w:highlight w:val="none"/>
        </w:rPr>
      </w:pPr>
      <w:r>
        <w:rPr>
          <w:rFonts w:hint="eastAsia" w:ascii="方正小标宋_GBK" w:hAnsi="宋体" w:eastAsia="方正小标宋_GBK" w:cs="宋体"/>
          <w:kern w:val="0"/>
          <w:sz w:val="32"/>
          <w:szCs w:val="32"/>
          <w:highlight w:val="none"/>
        </w:rPr>
        <w:t>投标人声明</w:t>
      </w:r>
    </w:p>
    <w:p>
      <w:pPr>
        <w:snapToGrid w:val="0"/>
        <w:spacing w:line="440" w:lineRule="exac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本招标项目招标人及招标监管机构：</w:t>
      </w:r>
    </w:p>
    <w:p>
      <w:pPr>
        <w:snapToGrid w:val="0"/>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本公司就参加</w:t>
      </w:r>
      <w:r>
        <w:rPr>
          <w:rFonts w:hint="eastAsia" w:ascii="仿宋_GB2312" w:hAnsi="宋体" w:eastAsia="仿宋_GB2312" w:cs="宋体"/>
          <w:kern w:val="0"/>
          <w:sz w:val="24"/>
          <w:szCs w:val="24"/>
          <w:highlight w:val="none"/>
          <w:u w:val="single"/>
        </w:rPr>
        <w:t>                </w:t>
      </w:r>
      <w:r>
        <w:rPr>
          <w:rFonts w:hint="eastAsia" w:ascii="仿宋_GB2312" w:hAnsi="宋体" w:eastAsia="仿宋_GB2312" w:cs="宋体"/>
          <w:kern w:val="0"/>
          <w:sz w:val="24"/>
          <w:szCs w:val="24"/>
          <w:highlight w:val="none"/>
        </w:rPr>
        <w:t>项目投标工作，作出郑重声明：</w:t>
      </w:r>
    </w:p>
    <w:p>
      <w:pPr>
        <w:snapToGrid w:val="0"/>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三、本公司不存在招标文件第二章投标人须知第1.4.3项所规定的任何一种情形。</w:t>
      </w:r>
    </w:p>
    <w:p>
      <w:pPr>
        <w:snapToGrid w:val="0"/>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四、本公司及其有隶属关系的机构，没有参加本项目招标文件的编写工作；本公司与本次招标的招标代理机构没有隶属关系或其他利害关系。</w:t>
      </w:r>
    </w:p>
    <w:p>
      <w:pPr>
        <w:snapToGrid w:val="0"/>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五、</w:t>
      </w:r>
      <w:r>
        <w:rPr>
          <w:rFonts w:ascii="仿宋_GB2312" w:hAnsi="宋体" w:eastAsia="仿宋_GB2312" w:cs="宋体"/>
          <w:kern w:val="0"/>
          <w:sz w:val="24"/>
          <w:szCs w:val="24"/>
          <w:highlight w:val="none"/>
        </w:rPr>
        <w:t>本公司承诺，中标后严格执行安全生产相关管理规定</w:t>
      </w:r>
      <w:r>
        <w:rPr>
          <w:rFonts w:hint="eastAsia" w:ascii="仿宋_GB2312" w:hAnsi="宋体" w:eastAsia="仿宋_GB2312" w:cs="宋体"/>
          <w:kern w:val="0"/>
          <w:sz w:val="24"/>
          <w:szCs w:val="24"/>
          <w:highlight w:val="none"/>
        </w:rPr>
        <w:t>。</w:t>
      </w:r>
    </w:p>
    <w:p>
      <w:pPr>
        <w:snapToGrid w:val="0"/>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b w:val="0"/>
          <w:bCs/>
          <w:kern w:val="0"/>
          <w:sz w:val="24"/>
          <w:szCs w:val="24"/>
          <w:highlight w:val="none"/>
        </w:rPr>
        <w:t>本公司违反上述承诺，或本声明陈述与事实不符，经查实，本公司愿意接受公开通报，愿意按照《广州市建筑市场信用管理办法》（穗建规字</w:t>
      </w:r>
      <w:r>
        <w:rPr>
          <w:rFonts w:hint="eastAsia" w:ascii="微软雅黑" w:hAnsi="微软雅黑" w:eastAsia="微软雅黑" w:cs="微软雅黑"/>
          <w:b w:val="0"/>
          <w:bCs/>
          <w:kern w:val="0"/>
          <w:sz w:val="24"/>
          <w:szCs w:val="24"/>
          <w:highlight w:val="none"/>
        </w:rPr>
        <w:t>﹝</w:t>
      </w:r>
      <w:r>
        <w:rPr>
          <w:rFonts w:ascii="仿宋_GB2312" w:hAnsi="宋体" w:eastAsia="仿宋_GB2312" w:cs="宋体"/>
          <w:b w:val="0"/>
          <w:bCs/>
          <w:kern w:val="0"/>
          <w:sz w:val="24"/>
          <w:szCs w:val="24"/>
          <w:highlight w:val="none"/>
        </w:rPr>
        <w:t>2019</w:t>
      </w:r>
      <w:r>
        <w:rPr>
          <w:rFonts w:hint="eastAsia" w:ascii="微软雅黑" w:hAnsi="微软雅黑" w:eastAsia="微软雅黑" w:cs="微软雅黑"/>
          <w:b w:val="0"/>
          <w:bCs/>
          <w:kern w:val="0"/>
          <w:sz w:val="24"/>
          <w:szCs w:val="24"/>
          <w:highlight w:val="none"/>
        </w:rPr>
        <w:t>﹞</w:t>
      </w:r>
      <w:r>
        <w:rPr>
          <w:rFonts w:ascii="仿宋_GB2312" w:hAnsi="宋体" w:eastAsia="仿宋_GB2312" w:cs="宋体"/>
          <w:b w:val="0"/>
          <w:bCs/>
          <w:kern w:val="0"/>
          <w:sz w:val="24"/>
          <w:szCs w:val="24"/>
          <w:highlight w:val="none"/>
        </w:rPr>
        <w:t>16号）的规定被记录为失信信息，</w:t>
      </w:r>
      <w:r>
        <w:rPr>
          <w:rFonts w:hint="eastAsia" w:ascii="仿宋_GB2312" w:hAnsi="宋体" w:eastAsia="仿宋_GB2312" w:cs="宋体"/>
          <w:bCs/>
          <w:kern w:val="0"/>
          <w:sz w:val="24"/>
          <w:szCs w:val="24"/>
          <w:highlight w:val="none"/>
        </w:rPr>
        <w:t>承担由此带来的一切后果，并自愿停止参加广州市行政辖区内的招标投标活动三个月。</w:t>
      </w:r>
    </w:p>
    <w:p>
      <w:pPr>
        <w:widowControl/>
        <w:shd w:val="clear" w:color="auto" w:fill="FFFFFF"/>
        <w:spacing w:line="440" w:lineRule="exact"/>
        <w:ind w:firstLine="480" w:firstLineChars="2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特此声明。</w:t>
      </w:r>
    </w:p>
    <w:p>
      <w:pPr>
        <w:snapToGrid w:val="0"/>
        <w:spacing w:line="440" w:lineRule="exact"/>
        <w:ind w:firstLine="4320" w:firstLineChars="18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声明企业：            (企业公章)</w:t>
      </w:r>
    </w:p>
    <w:p>
      <w:pPr>
        <w:snapToGrid w:val="0"/>
        <w:spacing w:line="440" w:lineRule="exact"/>
        <w:ind w:firstLine="4320" w:firstLineChars="180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总监理工程师：</w:t>
      </w:r>
      <w:r>
        <w:rPr>
          <w:rFonts w:ascii="仿宋_GB2312" w:hAnsi="宋体" w:eastAsia="仿宋_GB2312" w:cs="宋体"/>
          <w:kern w:val="0"/>
          <w:sz w:val="24"/>
          <w:szCs w:val="24"/>
          <w:highlight w:val="none"/>
        </w:rPr>
        <w:t xml:space="preserve">         </w:t>
      </w:r>
      <w:r>
        <w:rPr>
          <w:rFonts w:hint="eastAsia" w:ascii="仿宋_GB2312" w:hAnsi="宋体" w:eastAsia="仿宋_GB2312" w:cs="宋体"/>
          <w:kern w:val="0"/>
          <w:sz w:val="24"/>
          <w:szCs w:val="24"/>
          <w:highlight w:val="none"/>
        </w:rPr>
        <w:t>（签字）</w:t>
      </w:r>
    </w:p>
    <w:p>
      <w:pPr>
        <w:snapToGrid w:val="0"/>
        <w:spacing w:line="440" w:lineRule="exact"/>
        <w:ind w:firstLine="4252" w:firstLineChars="1772"/>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法定代表人签字：</w:t>
      </w:r>
    </w:p>
    <w:p>
      <w:pPr>
        <w:spacing w:line="440" w:lineRule="exact"/>
        <w:ind w:firstLine="4920" w:firstLineChars="2050"/>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年   月   日</w:t>
      </w:r>
    </w:p>
    <w:bookmarkEnd w:id="3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embedRegular r:id="rId1" w:fontKey="{D1E7F756-05F1-422C-BB46-21BACBE536EF}"/>
  </w:font>
  <w:font w:name="微软雅黑">
    <w:panose1 w:val="020B0503020204020204"/>
    <w:charset w:val="86"/>
    <w:family w:val="auto"/>
    <w:pitch w:val="default"/>
    <w:sig w:usb0="80000287" w:usb1="280F3C52" w:usb2="00000016" w:usb3="00000000" w:csb0="0004001F" w:csb1="00000000"/>
    <w:embedRegular r:id="rId2" w:fontKey="{2BCCC831-45BF-4442-A64A-E0FCB907C549}"/>
  </w:font>
  <w:font w:name="Consolas">
    <w:panose1 w:val="020B0609020204030204"/>
    <w:charset w:val="00"/>
    <w:family w:val="modern"/>
    <w:pitch w:val="default"/>
    <w:sig w:usb0="E10002FF" w:usb1="4000FCFF" w:usb2="00000009" w:usb3="00000000" w:csb0="6000019F" w:csb1="DFD70000"/>
  </w:font>
  <w:font w:name="楷体">
    <w:panose1 w:val="02010609060101010101"/>
    <w:charset w:val="86"/>
    <w:family w:val="modern"/>
    <w:pitch w:val="default"/>
    <w:sig w:usb0="800002BF" w:usb1="38CF7CFA" w:usb2="00000016" w:usb3="00000000" w:csb0="00040001" w:csb1="00000000"/>
    <w:embedRegular r:id="rId3" w:fontKey="{010B3B02-EE8D-4E6F-8100-36D41C3FA2C2}"/>
  </w:font>
  <w:font w:name="方正小标宋_GBK">
    <w:panose1 w:val="02000000000000000000"/>
    <w:charset w:val="86"/>
    <w:family w:val="script"/>
    <w:pitch w:val="default"/>
    <w:sig w:usb0="A00002BF" w:usb1="38CF7CFA" w:usb2="00082016" w:usb3="00000000" w:csb0="00040001" w:csb1="00000000"/>
    <w:embedRegular r:id="rId4" w:fontKey="{6E9CA145-108C-459A-AB62-782EC0B4E487}"/>
  </w:font>
  <w:font w:name="仿宋_GB2312">
    <w:panose1 w:val="02010609030101010101"/>
    <w:charset w:val="86"/>
    <w:family w:val="modern"/>
    <w:pitch w:val="default"/>
    <w:sig w:usb0="00000001" w:usb1="080E0000" w:usb2="00000000" w:usb3="00000000" w:csb0="00040000" w:csb1="00000000"/>
    <w:embedRegular r:id="rId5" w:fontKey="{5EA4BBC2-A3ED-45C8-9CFC-70A24A34EE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NotTrackMoves/>
  <w:trackRevisions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YyNTAxN2UyYTBlNWRkNjIyMzRkMmFlYmNhNzQ3MjcifQ=="/>
  </w:docVars>
  <w:rsids>
    <w:rsidRoot w:val="4E3B4CFE"/>
    <w:rsid w:val="00003EC5"/>
    <w:rsid w:val="00005B77"/>
    <w:rsid w:val="00067D97"/>
    <w:rsid w:val="00073113"/>
    <w:rsid w:val="00093869"/>
    <w:rsid w:val="000B0DCC"/>
    <w:rsid w:val="000B5A47"/>
    <w:rsid w:val="000C3C61"/>
    <w:rsid w:val="000C502C"/>
    <w:rsid w:val="000E3D71"/>
    <w:rsid w:val="00102F73"/>
    <w:rsid w:val="00112FAF"/>
    <w:rsid w:val="00161817"/>
    <w:rsid w:val="00181BE1"/>
    <w:rsid w:val="00185E4F"/>
    <w:rsid w:val="00185EF8"/>
    <w:rsid w:val="001A6CBC"/>
    <w:rsid w:val="001B0D42"/>
    <w:rsid w:val="001B6717"/>
    <w:rsid w:val="002339B5"/>
    <w:rsid w:val="00244BC2"/>
    <w:rsid w:val="00263541"/>
    <w:rsid w:val="00286D98"/>
    <w:rsid w:val="002941FE"/>
    <w:rsid w:val="002A2E44"/>
    <w:rsid w:val="002C0543"/>
    <w:rsid w:val="002C791E"/>
    <w:rsid w:val="002F4615"/>
    <w:rsid w:val="002F5672"/>
    <w:rsid w:val="00301F8C"/>
    <w:rsid w:val="00355AB1"/>
    <w:rsid w:val="00360870"/>
    <w:rsid w:val="00361BD0"/>
    <w:rsid w:val="00382D13"/>
    <w:rsid w:val="0038701E"/>
    <w:rsid w:val="00392EFC"/>
    <w:rsid w:val="003A4F77"/>
    <w:rsid w:val="003A7462"/>
    <w:rsid w:val="003C00A8"/>
    <w:rsid w:val="003C1607"/>
    <w:rsid w:val="003C7881"/>
    <w:rsid w:val="003D3EDC"/>
    <w:rsid w:val="003E04C9"/>
    <w:rsid w:val="003F0E1F"/>
    <w:rsid w:val="00400D8E"/>
    <w:rsid w:val="0040181F"/>
    <w:rsid w:val="00421D28"/>
    <w:rsid w:val="00444CC5"/>
    <w:rsid w:val="00451E7F"/>
    <w:rsid w:val="00465CA8"/>
    <w:rsid w:val="004661AB"/>
    <w:rsid w:val="004664AE"/>
    <w:rsid w:val="0046657A"/>
    <w:rsid w:val="00475F4B"/>
    <w:rsid w:val="00496113"/>
    <w:rsid w:val="00497B98"/>
    <w:rsid w:val="004B2912"/>
    <w:rsid w:val="004B57DE"/>
    <w:rsid w:val="004C3F7F"/>
    <w:rsid w:val="004C4207"/>
    <w:rsid w:val="004E0B5C"/>
    <w:rsid w:val="004E5AD8"/>
    <w:rsid w:val="00517017"/>
    <w:rsid w:val="0052540F"/>
    <w:rsid w:val="00541C4E"/>
    <w:rsid w:val="00576CC5"/>
    <w:rsid w:val="00583351"/>
    <w:rsid w:val="005834B4"/>
    <w:rsid w:val="0058761D"/>
    <w:rsid w:val="0059559D"/>
    <w:rsid w:val="0059658F"/>
    <w:rsid w:val="005A34CB"/>
    <w:rsid w:val="005D49B0"/>
    <w:rsid w:val="005E776B"/>
    <w:rsid w:val="006132A7"/>
    <w:rsid w:val="006351EB"/>
    <w:rsid w:val="0064355D"/>
    <w:rsid w:val="006614CE"/>
    <w:rsid w:val="0068602A"/>
    <w:rsid w:val="006B063D"/>
    <w:rsid w:val="006C17B9"/>
    <w:rsid w:val="006E2284"/>
    <w:rsid w:val="006E4F2C"/>
    <w:rsid w:val="006E7879"/>
    <w:rsid w:val="006F2AEF"/>
    <w:rsid w:val="006F2CF6"/>
    <w:rsid w:val="007037F1"/>
    <w:rsid w:val="00736F92"/>
    <w:rsid w:val="00754341"/>
    <w:rsid w:val="00754A47"/>
    <w:rsid w:val="007606D4"/>
    <w:rsid w:val="007817B1"/>
    <w:rsid w:val="007909E5"/>
    <w:rsid w:val="00792CC0"/>
    <w:rsid w:val="007A076C"/>
    <w:rsid w:val="007B0A2A"/>
    <w:rsid w:val="007C3182"/>
    <w:rsid w:val="007F053C"/>
    <w:rsid w:val="00804C6E"/>
    <w:rsid w:val="00805918"/>
    <w:rsid w:val="0081266A"/>
    <w:rsid w:val="00817BDF"/>
    <w:rsid w:val="00822709"/>
    <w:rsid w:val="00840093"/>
    <w:rsid w:val="00844F85"/>
    <w:rsid w:val="00870318"/>
    <w:rsid w:val="008944CF"/>
    <w:rsid w:val="008A091B"/>
    <w:rsid w:val="008B15A3"/>
    <w:rsid w:val="008C6737"/>
    <w:rsid w:val="008D557D"/>
    <w:rsid w:val="008F1B19"/>
    <w:rsid w:val="00920FC3"/>
    <w:rsid w:val="009534C1"/>
    <w:rsid w:val="0096041A"/>
    <w:rsid w:val="00962437"/>
    <w:rsid w:val="009742FD"/>
    <w:rsid w:val="0097581C"/>
    <w:rsid w:val="00984A19"/>
    <w:rsid w:val="009B4F3E"/>
    <w:rsid w:val="009B5362"/>
    <w:rsid w:val="009B6412"/>
    <w:rsid w:val="009C10EA"/>
    <w:rsid w:val="009C4A36"/>
    <w:rsid w:val="00A21447"/>
    <w:rsid w:val="00A312D4"/>
    <w:rsid w:val="00A31D7D"/>
    <w:rsid w:val="00A36DE3"/>
    <w:rsid w:val="00A5705C"/>
    <w:rsid w:val="00A62016"/>
    <w:rsid w:val="00A64754"/>
    <w:rsid w:val="00A66B25"/>
    <w:rsid w:val="00A7276B"/>
    <w:rsid w:val="00A92DEE"/>
    <w:rsid w:val="00AA7A5B"/>
    <w:rsid w:val="00AC0528"/>
    <w:rsid w:val="00AF2BE7"/>
    <w:rsid w:val="00AF387A"/>
    <w:rsid w:val="00AF68E5"/>
    <w:rsid w:val="00B15514"/>
    <w:rsid w:val="00B25775"/>
    <w:rsid w:val="00B3470B"/>
    <w:rsid w:val="00B70F46"/>
    <w:rsid w:val="00B71097"/>
    <w:rsid w:val="00BA688E"/>
    <w:rsid w:val="00BB3B6C"/>
    <w:rsid w:val="00BB6019"/>
    <w:rsid w:val="00BC65D7"/>
    <w:rsid w:val="00BC6899"/>
    <w:rsid w:val="00BD41B9"/>
    <w:rsid w:val="00BD7078"/>
    <w:rsid w:val="00BE1085"/>
    <w:rsid w:val="00C009CB"/>
    <w:rsid w:val="00C367E3"/>
    <w:rsid w:val="00C61C4F"/>
    <w:rsid w:val="00C62782"/>
    <w:rsid w:val="00C66298"/>
    <w:rsid w:val="00C7110E"/>
    <w:rsid w:val="00C74E39"/>
    <w:rsid w:val="00D1596D"/>
    <w:rsid w:val="00D34649"/>
    <w:rsid w:val="00D629EC"/>
    <w:rsid w:val="00D64B40"/>
    <w:rsid w:val="00D80A9C"/>
    <w:rsid w:val="00D90884"/>
    <w:rsid w:val="00DA149C"/>
    <w:rsid w:val="00DB5F9E"/>
    <w:rsid w:val="00DC27A0"/>
    <w:rsid w:val="00DC40BF"/>
    <w:rsid w:val="00DE3A5A"/>
    <w:rsid w:val="00DE7F75"/>
    <w:rsid w:val="00DF366B"/>
    <w:rsid w:val="00E01D29"/>
    <w:rsid w:val="00E07905"/>
    <w:rsid w:val="00E12643"/>
    <w:rsid w:val="00E13597"/>
    <w:rsid w:val="00E20652"/>
    <w:rsid w:val="00E465F0"/>
    <w:rsid w:val="00E81277"/>
    <w:rsid w:val="00E918A3"/>
    <w:rsid w:val="00EC0749"/>
    <w:rsid w:val="00EC2AD8"/>
    <w:rsid w:val="00EC7ACB"/>
    <w:rsid w:val="00EC7F68"/>
    <w:rsid w:val="00ED1687"/>
    <w:rsid w:val="00ED33F0"/>
    <w:rsid w:val="00EE6500"/>
    <w:rsid w:val="00F05486"/>
    <w:rsid w:val="00F05B84"/>
    <w:rsid w:val="00F130EE"/>
    <w:rsid w:val="00F135D3"/>
    <w:rsid w:val="00F15FEC"/>
    <w:rsid w:val="00F23F4C"/>
    <w:rsid w:val="00F3366C"/>
    <w:rsid w:val="00F604BC"/>
    <w:rsid w:val="00F64D45"/>
    <w:rsid w:val="00F67858"/>
    <w:rsid w:val="00F8347A"/>
    <w:rsid w:val="00F9670D"/>
    <w:rsid w:val="00FA5C05"/>
    <w:rsid w:val="00FB70D7"/>
    <w:rsid w:val="00FF3968"/>
    <w:rsid w:val="018A616B"/>
    <w:rsid w:val="034340BD"/>
    <w:rsid w:val="035D17BD"/>
    <w:rsid w:val="039312AB"/>
    <w:rsid w:val="03EB03EE"/>
    <w:rsid w:val="04887676"/>
    <w:rsid w:val="049B16A5"/>
    <w:rsid w:val="05D7017B"/>
    <w:rsid w:val="05E635CE"/>
    <w:rsid w:val="0620048D"/>
    <w:rsid w:val="06C3676E"/>
    <w:rsid w:val="06D55462"/>
    <w:rsid w:val="07D1456C"/>
    <w:rsid w:val="08775783"/>
    <w:rsid w:val="08AB725B"/>
    <w:rsid w:val="0921146F"/>
    <w:rsid w:val="09C469A6"/>
    <w:rsid w:val="09CF66CE"/>
    <w:rsid w:val="0B8A1464"/>
    <w:rsid w:val="0BCE5289"/>
    <w:rsid w:val="0C452D30"/>
    <w:rsid w:val="0CC1505E"/>
    <w:rsid w:val="0CD959B1"/>
    <w:rsid w:val="0D0D2779"/>
    <w:rsid w:val="0D8866CA"/>
    <w:rsid w:val="0D9C5DBE"/>
    <w:rsid w:val="0E3E08ED"/>
    <w:rsid w:val="0EB05A72"/>
    <w:rsid w:val="0F575FB0"/>
    <w:rsid w:val="0F5C625A"/>
    <w:rsid w:val="12820265"/>
    <w:rsid w:val="12C5485D"/>
    <w:rsid w:val="13061CA9"/>
    <w:rsid w:val="135A5B83"/>
    <w:rsid w:val="13F3581C"/>
    <w:rsid w:val="147B4D20"/>
    <w:rsid w:val="15774FC7"/>
    <w:rsid w:val="167A299C"/>
    <w:rsid w:val="18304E5A"/>
    <w:rsid w:val="18B232E6"/>
    <w:rsid w:val="19623030"/>
    <w:rsid w:val="19901F40"/>
    <w:rsid w:val="19B2346B"/>
    <w:rsid w:val="19F01AFC"/>
    <w:rsid w:val="1A27597A"/>
    <w:rsid w:val="1ACB5457"/>
    <w:rsid w:val="1B494CAD"/>
    <w:rsid w:val="1BF14427"/>
    <w:rsid w:val="1C361957"/>
    <w:rsid w:val="1C5661C9"/>
    <w:rsid w:val="1D9E17FB"/>
    <w:rsid w:val="1E265C15"/>
    <w:rsid w:val="1E807550"/>
    <w:rsid w:val="1E817F6C"/>
    <w:rsid w:val="1E8C288B"/>
    <w:rsid w:val="1EEB3105"/>
    <w:rsid w:val="1F0152EE"/>
    <w:rsid w:val="1FCC023A"/>
    <w:rsid w:val="1FFF6869"/>
    <w:rsid w:val="21420272"/>
    <w:rsid w:val="2201018D"/>
    <w:rsid w:val="22F13815"/>
    <w:rsid w:val="23152545"/>
    <w:rsid w:val="242B61BA"/>
    <w:rsid w:val="24D1323A"/>
    <w:rsid w:val="257763E0"/>
    <w:rsid w:val="26805FDA"/>
    <w:rsid w:val="26BE03CF"/>
    <w:rsid w:val="27E75E7E"/>
    <w:rsid w:val="281540D0"/>
    <w:rsid w:val="29180356"/>
    <w:rsid w:val="29424BE1"/>
    <w:rsid w:val="297D7A27"/>
    <w:rsid w:val="29CE5843"/>
    <w:rsid w:val="2A38335C"/>
    <w:rsid w:val="2A592B7E"/>
    <w:rsid w:val="2BA8629D"/>
    <w:rsid w:val="2BC42721"/>
    <w:rsid w:val="2BC77A5C"/>
    <w:rsid w:val="2BE267E8"/>
    <w:rsid w:val="2CCD6F0D"/>
    <w:rsid w:val="2D337AA4"/>
    <w:rsid w:val="2D9767D9"/>
    <w:rsid w:val="2DA90E30"/>
    <w:rsid w:val="2E4C536C"/>
    <w:rsid w:val="2EB06BE1"/>
    <w:rsid w:val="30120E44"/>
    <w:rsid w:val="309D5327"/>
    <w:rsid w:val="30C861A8"/>
    <w:rsid w:val="30D229D6"/>
    <w:rsid w:val="310817F9"/>
    <w:rsid w:val="31517D72"/>
    <w:rsid w:val="321E333F"/>
    <w:rsid w:val="332E121A"/>
    <w:rsid w:val="33776EF6"/>
    <w:rsid w:val="33B952F1"/>
    <w:rsid w:val="33F357A4"/>
    <w:rsid w:val="341220B6"/>
    <w:rsid w:val="34145E57"/>
    <w:rsid w:val="35F7329B"/>
    <w:rsid w:val="367C1309"/>
    <w:rsid w:val="371F39FE"/>
    <w:rsid w:val="37E77F34"/>
    <w:rsid w:val="38180660"/>
    <w:rsid w:val="38AA7B27"/>
    <w:rsid w:val="38AF14BB"/>
    <w:rsid w:val="38FA4530"/>
    <w:rsid w:val="39225D37"/>
    <w:rsid w:val="394871BB"/>
    <w:rsid w:val="399E657B"/>
    <w:rsid w:val="39DE04B0"/>
    <w:rsid w:val="39E936DA"/>
    <w:rsid w:val="3A8651ED"/>
    <w:rsid w:val="3A95051C"/>
    <w:rsid w:val="3B48778D"/>
    <w:rsid w:val="3C105D7E"/>
    <w:rsid w:val="3C650F8F"/>
    <w:rsid w:val="3CBC2378"/>
    <w:rsid w:val="3D1F522D"/>
    <w:rsid w:val="3E96648C"/>
    <w:rsid w:val="3F5900B0"/>
    <w:rsid w:val="404344FB"/>
    <w:rsid w:val="4126195A"/>
    <w:rsid w:val="41581E30"/>
    <w:rsid w:val="420273FD"/>
    <w:rsid w:val="42B23AB2"/>
    <w:rsid w:val="42EC058C"/>
    <w:rsid w:val="43676CB7"/>
    <w:rsid w:val="43F6747C"/>
    <w:rsid w:val="43F85001"/>
    <w:rsid w:val="44075480"/>
    <w:rsid w:val="440B51DF"/>
    <w:rsid w:val="441B4AB4"/>
    <w:rsid w:val="44572664"/>
    <w:rsid w:val="447D750C"/>
    <w:rsid w:val="4483016C"/>
    <w:rsid w:val="45300FAE"/>
    <w:rsid w:val="45863281"/>
    <w:rsid w:val="45A44BE1"/>
    <w:rsid w:val="45D00D30"/>
    <w:rsid w:val="4745319B"/>
    <w:rsid w:val="48B60ACF"/>
    <w:rsid w:val="48BE34CE"/>
    <w:rsid w:val="48FF75D2"/>
    <w:rsid w:val="4A136C16"/>
    <w:rsid w:val="4A196FF4"/>
    <w:rsid w:val="4A6C4B14"/>
    <w:rsid w:val="4B0E5CB7"/>
    <w:rsid w:val="4B3C4CB1"/>
    <w:rsid w:val="4BF076A6"/>
    <w:rsid w:val="4C6A5BE5"/>
    <w:rsid w:val="4CB41511"/>
    <w:rsid w:val="4D65629D"/>
    <w:rsid w:val="4D8013EE"/>
    <w:rsid w:val="4D9C38BA"/>
    <w:rsid w:val="4DA41071"/>
    <w:rsid w:val="4DB76D6C"/>
    <w:rsid w:val="4DDE7613"/>
    <w:rsid w:val="4E3B4CFE"/>
    <w:rsid w:val="4E494A59"/>
    <w:rsid w:val="4EEB163A"/>
    <w:rsid w:val="50242813"/>
    <w:rsid w:val="506C6F9A"/>
    <w:rsid w:val="50D34CB7"/>
    <w:rsid w:val="51A57002"/>
    <w:rsid w:val="51B76E20"/>
    <w:rsid w:val="524019C9"/>
    <w:rsid w:val="528F5E6A"/>
    <w:rsid w:val="529C37DB"/>
    <w:rsid w:val="52C1287D"/>
    <w:rsid w:val="530B3C23"/>
    <w:rsid w:val="531E5240"/>
    <w:rsid w:val="532D4903"/>
    <w:rsid w:val="534D3864"/>
    <w:rsid w:val="53D459AB"/>
    <w:rsid w:val="53D56BE5"/>
    <w:rsid w:val="53F35901"/>
    <w:rsid w:val="54502563"/>
    <w:rsid w:val="545D6D53"/>
    <w:rsid w:val="57930622"/>
    <w:rsid w:val="57D713C3"/>
    <w:rsid w:val="58217662"/>
    <w:rsid w:val="58234845"/>
    <w:rsid w:val="587E528D"/>
    <w:rsid w:val="58CD6AA7"/>
    <w:rsid w:val="5A621B59"/>
    <w:rsid w:val="5B3F0B62"/>
    <w:rsid w:val="5B5E53C7"/>
    <w:rsid w:val="5CA26EDC"/>
    <w:rsid w:val="5CCD7F7B"/>
    <w:rsid w:val="5CDC52A2"/>
    <w:rsid w:val="5D175299"/>
    <w:rsid w:val="5D3C530B"/>
    <w:rsid w:val="5DCF09EF"/>
    <w:rsid w:val="5DF73A3D"/>
    <w:rsid w:val="5F387920"/>
    <w:rsid w:val="5F5E5ACC"/>
    <w:rsid w:val="5F933E59"/>
    <w:rsid w:val="5FF17E67"/>
    <w:rsid w:val="60DB4DBE"/>
    <w:rsid w:val="61005011"/>
    <w:rsid w:val="61446953"/>
    <w:rsid w:val="61CC3498"/>
    <w:rsid w:val="61E92531"/>
    <w:rsid w:val="61EC0042"/>
    <w:rsid w:val="62B6741A"/>
    <w:rsid w:val="62C0018C"/>
    <w:rsid w:val="64694012"/>
    <w:rsid w:val="64D975B9"/>
    <w:rsid w:val="670B5C62"/>
    <w:rsid w:val="67C15F54"/>
    <w:rsid w:val="67E3511F"/>
    <w:rsid w:val="680803B8"/>
    <w:rsid w:val="68297280"/>
    <w:rsid w:val="68305069"/>
    <w:rsid w:val="686C2E28"/>
    <w:rsid w:val="6A6451C0"/>
    <w:rsid w:val="6B451351"/>
    <w:rsid w:val="6B816167"/>
    <w:rsid w:val="6C2616A5"/>
    <w:rsid w:val="6C681E09"/>
    <w:rsid w:val="6D2C2F44"/>
    <w:rsid w:val="6DE934CB"/>
    <w:rsid w:val="6F3D4798"/>
    <w:rsid w:val="70085061"/>
    <w:rsid w:val="701722A6"/>
    <w:rsid w:val="70AB6BD0"/>
    <w:rsid w:val="71397F92"/>
    <w:rsid w:val="718F76DE"/>
    <w:rsid w:val="71D869C5"/>
    <w:rsid w:val="71F21E1C"/>
    <w:rsid w:val="720A4B35"/>
    <w:rsid w:val="722B7C07"/>
    <w:rsid w:val="73F5681D"/>
    <w:rsid w:val="74D46B68"/>
    <w:rsid w:val="75C52758"/>
    <w:rsid w:val="768C09EF"/>
    <w:rsid w:val="76902658"/>
    <w:rsid w:val="774124BE"/>
    <w:rsid w:val="77BA11A2"/>
    <w:rsid w:val="78353E4E"/>
    <w:rsid w:val="78824DD3"/>
    <w:rsid w:val="78A41B25"/>
    <w:rsid w:val="79112A67"/>
    <w:rsid w:val="79E3351B"/>
    <w:rsid w:val="79F563E6"/>
    <w:rsid w:val="7A6859CF"/>
    <w:rsid w:val="7ACC4F5C"/>
    <w:rsid w:val="7B6E174E"/>
    <w:rsid w:val="7C577C18"/>
    <w:rsid w:val="7E632947"/>
    <w:rsid w:val="7ED44E05"/>
    <w:rsid w:val="7F20204C"/>
    <w:rsid w:val="7F236C5A"/>
    <w:rsid w:val="7F406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20"/>
      <w:textAlignment w:val="baseline"/>
    </w:pPr>
    <w:rPr>
      <w:szCs w:val="20"/>
      <w:lang w:val="zh-CN"/>
    </w:rPr>
  </w:style>
  <w:style w:type="paragraph" w:styleId="5">
    <w:name w:val="annotation text"/>
    <w:basedOn w:val="1"/>
    <w:link w:val="32"/>
    <w:qFormat/>
    <w:uiPriority w:val="0"/>
    <w:pPr>
      <w:jc w:val="left"/>
    </w:pPr>
    <w:rPr>
      <w:rFonts w:ascii="Calibri" w:hAnsi="Calibri"/>
    </w:rPr>
  </w:style>
  <w:style w:type="paragraph" w:styleId="6">
    <w:name w:val="Body Text"/>
    <w:basedOn w:val="1"/>
    <w:qFormat/>
    <w:uiPriority w:val="0"/>
    <w:pPr>
      <w:spacing w:after="120"/>
    </w:pPr>
    <w:rPr>
      <w:szCs w:val="20"/>
    </w:rPr>
  </w:style>
  <w:style w:type="paragraph" w:styleId="7">
    <w:name w:val="index 4"/>
    <w:basedOn w:val="1"/>
    <w:next w:val="1"/>
    <w:unhideWhenUsed/>
    <w:qFormat/>
    <w:uiPriority w:val="99"/>
    <w:pPr>
      <w:ind w:left="600" w:leftChars="600"/>
    </w:pPr>
  </w:style>
  <w:style w:type="paragraph" w:styleId="8">
    <w:name w:val="Plain Text"/>
    <w:basedOn w:val="1"/>
    <w:next w:val="1"/>
    <w:link w:val="33"/>
    <w:qFormat/>
    <w:uiPriority w:val="0"/>
    <w:rPr>
      <w:rFonts w:ascii="宋体" w:hAnsi="Courier New"/>
    </w:rPr>
  </w:style>
  <w:style w:type="paragraph" w:styleId="9">
    <w:name w:val="Balloon Text"/>
    <w:basedOn w:val="1"/>
    <w:link w:val="34"/>
    <w:qFormat/>
    <w:uiPriority w:val="0"/>
    <w:rPr>
      <w:rFonts w:ascii="Calibri" w:hAnsi="Calibri"/>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3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2">
    <w:name w:val="Normal (Web)"/>
    <w:basedOn w:val="1"/>
    <w:qFormat/>
    <w:uiPriority w:val="0"/>
    <w:pPr>
      <w:jc w:val="left"/>
    </w:pPr>
    <w:rPr>
      <w:rFonts w:ascii="微软雅黑" w:hAnsi="微软雅黑" w:eastAsia="微软雅黑"/>
      <w:kern w:val="0"/>
      <w:sz w:val="20"/>
      <w:szCs w:val="20"/>
    </w:rPr>
  </w:style>
  <w:style w:type="paragraph" w:styleId="13">
    <w:name w:val="annotation subject"/>
    <w:basedOn w:val="5"/>
    <w:next w:val="5"/>
    <w:link w:val="35"/>
    <w:qFormat/>
    <w:uiPriority w:val="0"/>
    <w:rPr>
      <w:b/>
      <w:bCs/>
    </w:rPr>
  </w:style>
  <w:style w:type="paragraph" w:styleId="14">
    <w:name w:val="Body Text First Indent"/>
    <w:basedOn w:val="6"/>
    <w:qFormat/>
    <w:uiPriority w:val="0"/>
    <w:pPr>
      <w:spacing w:line="312" w:lineRule="auto"/>
      <w:ind w:firstLine="42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FollowedHyperlink"/>
    <w:qFormat/>
    <w:uiPriority w:val="0"/>
    <w:rPr>
      <w:rFonts w:hint="eastAsia" w:ascii="微软雅黑" w:hAnsi="微软雅黑" w:eastAsia="微软雅黑" w:cs="微软雅黑"/>
      <w:color w:val="337AB7"/>
      <w:u w:val="none"/>
    </w:rPr>
  </w:style>
  <w:style w:type="character" w:styleId="20">
    <w:name w:val="HTML Definition"/>
    <w:qFormat/>
    <w:uiPriority w:val="0"/>
    <w:rPr>
      <w:i/>
      <w:sz w:val="20"/>
      <w:szCs w:val="20"/>
    </w:rPr>
  </w:style>
  <w:style w:type="character" w:styleId="21">
    <w:name w:val="Hyperlink"/>
    <w:qFormat/>
    <w:uiPriority w:val="0"/>
    <w:rPr>
      <w:rFonts w:hint="eastAsia" w:ascii="微软雅黑" w:hAnsi="微软雅黑" w:eastAsia="微软雅黑" w:cs="微软雅黑"/>
      <w:color w:val="337AB7"/>
      <w:u w:val="none"/>
    </w:rPr>
  </w:style>
  <w:style w:type="character" w:styleId="22">
    <w:name w:val="HTML Code"/>
    <w:qFormat/>
    <w:uiPriority w:val="0"/>
    <w:rPr>
      <w:rFonts w:ascii="Consolas" w:hAnsi="Consolas" w:eastAsia="Consolas" w:cs="Consolas"/>
      <w:color w:val="C7254E"/>
      <w:sz w:val="21"/>
      <w:szCs w:val="21"/>
      <w:bdr w:val="single" w:color="E1E1E1" w:sz="6" w:space="0"/>
      <w:shd w:val="clear" w:color="auto" w:fill="F9F2F4"/>
    </w:rPr>
  </w:style>
  <w:style w:type="character" w:styleId="23">
    <w:name w:val="annotation reference"/>
    <w:qFormat/>
    <w:uiPriority w:val="0"/>
    <w:rPr>
      <w:sz w:val="21"/>
      <w:szCs w:val="21"/>
    </w:rPr>
  </w:style>
  <w:style w:type="character" w:styleId="24">
    <w:name w:val="HTML Keyboard"/>
    <w:qFormat/>
    <w:uiPriority w:val="0"/>
    <w:rPr>
      <w:rFonts w:hint="default" w:ascii="Consolas" w:hAnsi="Consolas" w:eastAsia="Consolas" w:cs="Consolas"/>
      <w:color w:val="FFFFFF"/>
      <w:sz w:val="21"/>
      <w:szCs w:val="21"/>
      <w:shd w:val="clear" w:color="auto" w:fill="333333"/>
      <w:vertAlign w:val="baseline"/>
    </w:rPr>
  </w:style>
  <w:style w:type="character" w:styleId="25">
    <w:name w:val="HTML Sample"/>
    <w:qFormat/>
    <w:uiPriority w:val="0"/>
    <w:rPr>
      <w:rFonts w:hint="default" w:ascii="Consolas" w:hAnsi="Consolas" w:eastAsia="Consolas" w:cs="Consolas"/>
      <w:sz w:val="21"/>
      <w:szCs w:val="21"/>
    </w:rPr>
  </w:style>
  <w:style w:type="paragraph" w:customStyle="1" w:styleId="26">
    <w:name w:val="_Style 23"/>
    <w:unhideWhenUsed/>
    <w:qFormat/>
    <w:uiPriority w:val="99"/>
    <w:rPr>
      <w:rFonts w:ascii="Times New Roman" w:hAnsi="Times New Roman" w:eastAsia="宋体" w:cs="Times New Roman"/>
      <w:kern w:val="2"/>
      <w:sz w:val="21"/>
      <w:szCs w:val="22"/>
      <w:lang w:val="en-US" w:eastAsia="zh-CN" w:bidi="ar-SA"/>
    </w:rPr>
  </w:style>
  <w:style w:type="character" w:customStyle="1" w:styleId="27">
    <w:name w:val="title21"/>
    <w:basedOn w:val="17"/>
    <w:qFormat/>
    <w:uiPriority w:val="0"/>
  </w:style>
  <w:style w:type="character" w:customStyle="1" w:styleId="28">
    <w:name w:val="title23"/>
    <w:basedOn w:val="17"/>
    <w:qFormat/>
    <w:uiPriority w:val="0"/>
  </w:style>
  <w:style w:type="character" w:customStyle="1" w:styleId="29">
    <w:name w:val="title26"/>
    <w:basedOn w:val="17"/>
    <w:qFormat/>
    <w:uiPriority w:val="0"/>
  </w:style>
  <w:style w:type="character" w:customStyle="1" w:styleId="30">
    <w:name w:val="username"/>
    <w:basedOn w:val="17"/>
    <w:qFormat/>
    <w:uiPriority w:val="0"/>
  </w:style>
  <w:style w:type="character" w:customStyle="1" w:styleId="31">
    <w:name w:val="title2"/>
    <w:basedOn w:val="17"/>
    <w:qFormat/>
    <w:uiPriority w:val="0"/>
  </w:style>
  <w:style w:type="character" w:customStyle="1" w:styleId="32">
    <w:name w:val="批注文字 Char"/>
    <w:link w:val="5"/>
    <w:qFormat/>
    <w:uiPriority w:val="0"/>
    <w:rPr>
      <w:kern w:val="2"/>
      <w:sz w:val="21"/>
      <w:szCs w:val="22"/>
    </w:rPr>
  </w:style>
  <w:style w:type="character" w:customStyle="1" w:styleId="33">
    <w:name w:val="纯文本 Char"/>
    <w:link w:val="8"/>
    <w:qFormat/>
    <w:uiPriority w:val="0"/>
    <w:rPr>
      <w:rFonts w:hint="eastAsia" w:ascii="宋体" w:hAnsi="Courier New" w:eastAsia="宋体" w:cs="Courier New"/>
      <w:kern w:val="2"/>
      <w:sz w:val="21"/>
      <w:szCs w:val="22"/>
    </w:rPr>
  </w:style>
  <w:style w:type="character" w:customStyle="1" w:styleId="34">
    <w:name w:val="批注框文本 Char"/>
    <w:link w:val="9"/>
    <w:qFormat/>
    <w:uiPriority w:val="0"/>
    <w:rPr>
      <w:kern w:val="2"/>
      <w:sz w:val="18"/>
      <w:szCs w:val="18"/>
    </w:rPr>
  </w:style>
  <w:style w:type="character" w:customStyle="1" w:styleId="35">
    <w:name w:val="批注主题 Char"/>
    <w:link w:val="13"/>
    <w:qFormat/>
    <w:uiPriority w:val="0"/>
    <w:rPr>
      <w:b/>
      <w:bCs/>
      <w:kern w:val="2"/>
      <w:sz w:val="21"/>
      <w:szCs w:val="22"/>
    </w:rPr>
  </w:style>
  <w:style w:type="character" w:customStyle="1" w:styleId="36">
    <w:name w:val="title24"/>
    <w:basedOn w:val="17"/>
    <w:qFormat/>
    <w:uiPriority w:val="0"/>
  </w:style>
  <w:style w:type="character" w:customStyle="1" w:styleId="37">
    <w:name w:val="页眉 Char"/>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4027</Words>
  <Characters>4489</Characters>
  <Lines>36</Lines>
  <Paragraphs>10</Paragraphs>
  <TotalTime>61</TotalTime>
  <ScaleCrop>false</ScaleCrop>
  <LinksUpToDate>false</LinksUpToDate>
  <CharactersWithSpaces>4640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2021-06-07T07:15:00Z</dcterms:created>
  <dc:creator>BB空白一片</dc:creator>
  <cp:lastModifiedBy>Administrator</cp:lastModifiedBy>
  <cp:lastPrinted>2021-06-01T03:57:00Z</cp:lastPrinted>
  <dcterms:modified xsi:type="dcterms:W3CDTF">2023-02-28T00:43:34Z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27855B6AA665423E941C092BD7DE360D</vt:lpwstr>
  </property>
</Properties>
</file>