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112D">
      <w:pPr>
        <w:ind w:firstLine="315" w:firstLineChars="150"/>
        <w:rPr>
          <w:rFonts w:hint="eastAsia" w:ascii="宋体" w:hAnsi="宋体" w:cs="宋体"/>
          <w:color w:val="auto"/>
          <w:szCs w:val="21"/>
          <w:highlight w:val="none"/>
        </w:rPr>
      </w:pPr>
      <w:bookmarkStart w:id="401" w:name="_GoBack"/>
      <w:bookmarkEnd w:id="401"/>
    </w:p>
    <w:p w14:paraId="04E98872">
      <w:pPr>
        <w:rPr>
          <w:rFonts w:hint="eastAsia" w:ascii="宋体" w:hAnsi="宋体" w:cs="宋体"/>
          <w:b/>
          <w:color w:val="auto"/>
          <w:sz w:val="52"/>
          <w:szCs w:val="52"/>
          <w:highlight w:val="none"/>
        </w:rPr>
      </w:pPr>
    </w:p>
    <w:p w14:paraId="78DD26DA">
      <w:pPr>
        <w:pStyle w:val="10"/>
        <w:rPr>
          <w:rFonts w:hint="eastAsia" w:hAnsi="宋体" w:cs="宋体"/>
          <w:color w:val="auto"/>
          <w:highlight w:val="none"/>
        </w:rPr>
      </w:pPr>
    </w:p>
    <w:p w14:paraId="57796455">
      <w:pPr>
        <w:spacing w:line="360" w:lineRule="auto"/>
        <w:jc w:val="center"/>
        <w:rPr>
          <w:rFonts w:hint="eastAsia" w:ascii="宋体" w:hAnsi="宋体" w:cs="宋体"/>
          <w:b/>
          <w:color w:val="auto"/>
          <w:sz w:val="52"/>
          <w:szCs w:val="52"/>
          <w:highlight w:val="none"/>
        </w:rPr>
      </w:pPr>
      <w:r>
        <w:rPr>
          <w:rFonts w:hint="eastAsia" w:ascii="宋体" w:hAnsi="宋体" w:cs="宋体"/>
          <w:b/>
          <w:color w:val="auto"/>
          <w:sz w:val="44"/>
          <w:szCs w:val="44"/>
          <w:highlight w:val="none"/>
        </w:rPr>
        <w:t>广州市黄埔区云埔街火村社区莲潭经济合作社城中村改造项目（南岗街南岗西路片区）复建15地块勘察初步设计</w:t>
      </w:r>
    </w:p>
    <w:p w14:paraId="4C60D227">
      <w:pPr>
        <w:pStyle w:val="10"/>
        <w:rPr>
          <w:rFonts w:hint="eastAsia" w:hAnsi="宋体" w:cs="宋体"/>
          <w:color w:val="auto"/>
          <w:highlight w:val="none"/>
        </w:rPr>
      </w:pPr>
    </w:p>
    <w:p w14:paraId="2D1B0897">
      <w:pPr>
        <w:rPr>
          <w:rFonts w:hint="eastAsia" w:hAnsi="宋体" w:cs="宋体"/>
          <w:color w:val="auto"/>
          <w:highlight w:val="none"/>
        </w:rPr>
      </w:pPr>
    </w:p>
    <w:p w14:paraId="587459BA">
      <w:pPr>
        <w:pStyle w:val="7"/>
        <w:rPr>
          <w:rFonts w:hint="eastAsia" w:hAnsi="宋体" w:cs="宋体"/>
          <w:color w:val="auto"/>
          <w:highlight w:val="none"/>
        </w:rPr>
      </w:pPr>
    </w:p>
    <w:p w14:paraId="129B698D">
      <w:pPr>
        <w:pStyle w:val="8"/>
        <w:rPr>
          <w:rFonts w:hint="eastAsia" w:hAnsi="宋体" w:cs="宋体"/>
          <w:color w:val="auto"/>
          <w:highlight w:val="none"/>
        </w:rPr>
      </w:pPr>
    </w:p>
    <w:p w14:paraId="77754D5A">
      <w:pPr>
        <w:rPr>
          <w:rFonts w:hint="eastAsia" w:hAnsi="宋体" w:cs="宋体"/>
          <w:color w:val="auto"/>
          <w:highlight w:val="none"/>
        </w:rPr>
      </w:pPr>
    </w:p>
    <w:p w14:paraId="1A20C2CD">
      <w:pPr>
        <w:pStyle w:val="7"/>
        <w:rPr>
          <w:rFonts w:hint="eastAsia" w:hAnsi="宋体" w:cs="宋体"/>
          <w:color w:val="auto"/>
          <w:highlight w:val="none"/>
        </w:rPr>
      </w:pPr>
    </w:p>
    <w:p w14:paraId="705266FB">
      <w:pPr>
        <w:pStyle w:val="8"/>
        <w:rPr>
          <w:rFonts w:hint="eastAsia"/>
          <w:color w:val="auto"/>
          <w:highlight w:val="none"/>
        </w:rPr>
      </w:pPr>
    </w:p>
    <w:p w14:paraId="066DF7C3">
      <w:pPr>
        <w:pStyle w:val="10"/>
        <w:rPr>
          <w:rFonts w:hint="eastAsia" w:hAnsi="宋体" w:cs="宋体"/>
          <w:color w:val="auto"/>
          <w:highlight w:val="none"/>
        </w:rPr>
      </w:pPr>
    </w:p>
    <w:p w14:paraId="39C844F5">
      <w:pPr>
        <w:spacing w:line="360" w:lineRule="auto"/>
        <w:jc w:val="center"/>
        <w:rPr>
          <w:rFonts w:hint="eastAsia" w:ascii="宋体" w:hAnsi="宋体" w:cs="宋体"/>
          <w:b/>
          <w:color w:val="auto"/>
          <w:sz w:val="52"/>
          <w:szCs w:val="52"/>
          <w:highlight w:val="none"/>
        </w:rPr>
      </w:pPr>
      <w:bookmarkStart w:id="0" w:name="_Toc12159"/>
      <w:bookmarkStart w:id="1" w:name="_Toc25654"/>
      <w:bookmarkStart w:id="2" w:name="_Toc16377"/>
      <w:bookmarkStart w:id="3" w:name="_Toc16273"/>
      <w:r>
        <w:rPr>
          <w:rFonts w:hint="eastAsia" w:ascii="宋体" w:hAnsi="宋体" w:cs="宋体"/>
          <w:b/>
          <w:color w:val="auto"/>
          <w:sz w:val="52"/>
          <w:szCs w:val="52"/>
          <w:highlight w:val="none"/>
        </w:rPr>
        <w:t>招标文件</w:t>
      </w:r>
      <w:bookmarkEnd w:id="0"/>
      <w:bookmarkEnd w:id="1"/>
      <w:bookmarkEnd w:id="2"/>
      <w:bookmarkEnd w:id="3"/>
    </w:p>
    <w:p w14:paraId="3B72A070">
      <w:pPr>
        <w:spacing w:line="360" w:lineRule="auto"/>
        <w:rPr>
          <w:rFonts w:hint="eastAsia" w:ascii="宋体" w:hAnsi="宋体" w:cs="宋体"/>
          <w:color w:val="auto"/>
          <w:szCs w:val="21"/>
          <w:highlight w:val="none"/>
        </w:rPr>
      </w:pPr>
    </w:p>
    <w:p w14:paraId="7C5F6EFF">
      <w:pPr>
        <w:pStyle w:val="2"/>
        <w:rPr>
          <w:rFonts w:hint="eastAsia" w:ascii="宋体" w:hAnsi="宋体" w:cs="宋体"/>
          <w:color w:val="auto"/>
          <w:szCs w:val="21"/>
          <w:highlight w:val="none"/>
        </w:rPr>
      </w:pPr>
    </w:p>
    <w:p w14:paraId="11E545C2">
      <w:pPr>
        <w:pStyle w:val="2"/>
        <w:rPr>
          <w:rFonts w:hint="eastAsia" w:ascii="宋体" w:hAnsi="宋体" w:cs="宋体"/>
          <w:color w:val="auto"/>
          <w:szCs w:val="21"/>
          <w:highlight w:val="none"/>
        </w:rPr>
      </w:pPr>
    </w:p>
    <w:p w14:paraId="61461528">
      <w:pPr>
        <w:pStyle w:val="2"/>
        <w:rPr>
          <w:rFonts w:hint="eastAsia" w:ascii="宋体" w:hAnsi="宋体" w:cs="宋体"/>
          <w:color w:val="auto"/>
          <w:szCs w:val="21"/>
          <w:highlight w:val="none"/>
        </w:rPr>
      </w:pPr>
    </w:p>
    <w:p w14:paraId="5DA3FFF7">
      <w:pPr>
        <w:pStyle w:val="2"/>
        <w:rPr>
          <w:rFonts w:hint="eastAsia" w:ascii="宋体" w:hAnsi="宋体" w:cs="宋体"/>
          <w:color w:val="auto"/>
          <w:szCs w:val="21"/>
          <w:highlight w:val="none"/>
        </w:rPr>
      </w:pPr>
    </w:p>
    <w:p w14:paraId="26611AB6">
      <w:pPr>
        <w:pStyle w:val="2"/>
        <w:rPr>
          <w:rFonts w:hint="eastAsia" w:ascii="宋体" w:hAnsi="宋体" w:cs="宋体"/>
          <w:color w:val="auto"/>
          <w:szCs w:val="21"/>
          <w:highlight w:val="none"/>
        </w:rPr>
      </w:pPr>
    </w:p>
    <w:p w14:paraId="0E2CE8B1">
      <w:pPr>
        <w:pStyle w:val="2"/>
        <w:rPr>
          <w:rFonts w:hint="eastAsia" w:ascii="宋体" w:hAnsi="宋体" w:cs="宋体"/>
          <w:color w:val="auto"/>
          <w:szCs w:val="21"/>
          <w:highlight w:val="none"/>
        </w:rPr>
      </w:pPr>
    </w:p>
    <w:p w14:paraId="6430E16E">
      <w:pPr>
        <w:pStyle w:val="2"/>
        <w:rPr>
          <w:rFonts w:hint="eastAsia" w:ascii="宋体" w:hAnsi="宋体" w:cs="宋体"/>
          <w:color w:val="auto"/>
          <w:szCs w:val="21"/>
          <w:highlight w:val="none"/>
        </w:rPr>
      </w:pPr>
    </w:p>
    <w:p w14:paraId="757251AB">
      <w:pPr>
        <w:spacing w:line="360" w:lineRule="auto"/>
        <w:rPr>
          <w:rFonts w:hint="eastAsia" w:ascii="宋体" w:hAnsi="宋体" w:cs="宋体"/>
          <w:color w:val="auto"/>
          <w:szCs w:val="21"/>
          <w:highlight w:val="none"/>
          <w:lang w:bidi="ar"/>
        </w:rPr>
        <w:sectPr>
          <w:type w:val="continuous"/>
          <w:pgSz w:w="11906" w:h="16838"/>
          <w:pgMar w:top="1440" w:right="1274" w:bottom="1440" w:left="1276"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w:t>
      </w:r>
    </w:p>
    <w:p w14:paraId="54B56755">
      <w:pPr>
        <w:keepNext w:val="0"/>
        <w:keepLines w:val="0"/>
        <w:pageBreakBefore w:val="0"/>
        <w:widowControl w:val="0"/>
        <w:kinsoku/>
        <w:wordWrap/>
        <w:overflowPunct/>
        <w:topLinePunct w:val="0"/>
        <w:autoSpaceDE/>
        <w:autoSpaceDN/>
        <w:bidi w:val="0"/>
        <w:adjustRightInd/>
        <w:snapToGrid/>
        <w:spacing w:line="288" w:lineRule="auto"/>
        <w:ind w:right="-103" w:rightChars="-49"/>
        <w:textAlignment w:val="auto"/>
        <w:rPr>
          <w:rFonts w:hint="default" w:ascii="Times New Roman" w:hAnsi="Times New Roman" w:cs="Times New Roman"/>
          <w:color w:val="auto"/>
          <w:szCs w:val="21"/>
          <w:highlight w:val="none"/>
          <w:u w:val="none"/>
          <w:lang w:val="en-US"/>
        </w:rPr>
      </w:pPr>
      <w:r>
        <w:rPr>
          <w:rFonts w:hint="default" w:ascii="Times New Roman" w:hAnsi="Times New Roman" w:cs="Times New Roman"/>
          <w:color w:val="auto"/>
          <w:szCs w:val="21"/>
          <w:highlight w:val="none"/>
          <w:u w:val="none"/>
          <w:lang w:bidi="ar"/>
        </w:rPr>
        <w:t>招标人（章）：广州开城联晟城市开发投资有限公司</w:t>
      </w:r>
    </w:p>
    <w:p w14:paraId="6BEAD1D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Cs w:val="21"/>
          <w:highlight w:val="none"/>
          <w:u w:val="none"/>
          <w:lang w:val="en-US"/>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陈工、魏工</w:t>
      </w:r>
    </w:p>
    <w:p w14:paraId="3450BF34">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地址：广州市黄埔区知凤街9号知识城大厦7楼01-06室</w:t>
      </w:r>
    </w:p>
    <w:p w14:paraId="229AE4F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p>
    <w:p w14:paraId="539FFBF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Cs w:val="21"/>
          <w:highlight w:val="none"/>
          <w:lang w:val="en-US" w:eastAsia="zh-CN" w:bidi="ar"/>
        </w:rPr>
        <w:t>020-31700409</w:t>
      </w:r>
    </w:p>
    <w:p w14:paraId="41332BC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bidi="ar"/>
        </w:rPr>
        <w:t>传真：</w:t>
      </w:r>
      <w:r>
        <w:rPr>
          <w:rFonts w:hint="eastAsia" w:ascii="Times New Roman" w:hAnsi="Times New Roman" w:cs="Times New Roman"/>
          <w:color w:val="auto"/>
          <w:szCs w:val="21"/>
          <w:highlight w:val="none"/>
          <w:u w:val="single"/>
          <w:lang w:val="en-US" w:eastAsia="zh-CN" w:bidi="ar"/>
        </w:rPr>
        <w:t>/</w:t>
      </w:r>
    </w:p>
    <w:p w14:paraId="5A839F7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79E5A64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Cs w:val="21"/>
          <w:highlight w:val="none"/>
          <w:u w:val="none"/>
          <w:lang w:bidi="ar"/>
        </w:rPr>
      </w:pPr>
    </w:p>
    <w:p w14:paraId="1BF5381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val="en-US" w:eastAsia="zh-CN" w:bidi="ar"/>
        </w:rPr>
        <w:t>广州宏达工程顾问集团有限公司</w:t>
      </w:r>
    </w:p>
    <w:p w14:paraId="47F1A104">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覃工、郑工</w:t>
      </w:r>
    </w:p>
    <w:p w14:paraId="29E22126">
      <w:pPr>
        <w:pStyle w:val="2"/>
        <w:keepNext w:val="0"/>
        <w:keepLines w:val="0"/>
        <w:pageBreakBefore w:val="0"/>
        <w:widowControl w:val="0"/>
        <w:kinsoku/>
        <w:wordWrap/>
        <w:overflowPunct/>
        <w:topLinePunct w:val="0"/>
        <w:autoSpaceDE/>
        <w:autoSpaceDN/>
        <w:bidi w:val="0"/>
        <w:adjustRightInd/>
        <w:snapToGrid/>
        <w:spacing w:line="288" w:lineRule="auto"/>
        <w:ind w:left="0" w:leftChars="0" w:right="-153" w:rightChars="-73" w:firstLine="0" w:firstLineChars="0"/>
        <w:textAlignment w:val="auto"/>
        <w:rPr>
          <w:rFonts w:hint="default" w:ascii="Times New Roman" w:hAnsi="Times New Roman" w:cs="Times New Roman"/>
          <w:color w:val="auto"/>
          <w:szCs w:val="21"/>
          <w:highlight w:val="none"/>
          <w:u w:val="none"/>
          <w:lang w:bidi="ar"/>
        </w:rPr>
      </w:pPr>
      <w:r>
        <w:rPr>
          <w:rFonts w:hint="default" w:ascii="Times New Roman" w:hAnsi="Times New Roman" w:cs="Times New Roman"/>
          <w:color w:val="auto"/>
          <w:szCs w:val="21"/>
          <w:highlight w:val="none"/>
          <w:u w:val="none"/>
          <w:lang w:bidi="ar"/>
        </w:rPr>
        <w:t>地址：广州市黄埔区科学大道99号科汇金谷二街7号</w:t>
      </w:r>
    </w:p>
    <w:p w14:paraId="280552EC">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cs="Times New Roman"/>
          <w:color w:val="auto"/>
          <w:szCs w:val="21"/>
          <w:highlight w:val="none"/>
          <w:u w:val="none"/>
          <w:lang w:bidi="ar"/>
        </w:rPr>
      </w:pPr>
      <w:r>
        <w:rPr>
          <w:rFonts w:hint="default" w:ascii="Times New Roman" w:hAnsi="Times New Roman" w:cs="Times New Roman"/>
          <w:color w:val="auto"/>
          <w:szCs w:val="21"/>
          <w:highlight w:val="none"/>
          <w:u w:val="none"/>
          <w:lang w:bidi="ar"/>
        </w:rPr>
        <w:t>邮政编码：510000</w:t>
      </w:r>
    </w:p>
    <w:p w14:paraId="0D30B538">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auto"/>
          <w:szCs w:val="21"/>
          <w:highlight w:val="none"/>
          <w:lang w:val="en-US" w:eastAsia="zh-CN" w:bidi="ar"/>
        </w:rPr>
      </w:pP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Cs w:val="21"/>
          <w:highlight w:val="none"/>
          <w:lang w:val="en-US" w:eastAsia="zh-CN" w:bidi="ar"/>
        </w:rPr>
        <w:t>020-87562291-8722</w:t>
      </w:r>
    </w:p>
    <w:p w14:paraId="1FB0CD9D">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cs="Times New Roman"/>
          <w:color w:val="auto"/>
          <w:szCs w:val="21"/>
          <w:highlight w:val="none"/>
          <w:u w:val="single"/>
          <w:lang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bidi="ar"/>
        </w:rPr>
        <w:t>/</w:t>
      </w:r>
    </w:p>
    <w:p w14:paraId="46E680D0">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color w:val="auto"/>
          <w:highlight w:val="none"/>
          <w:lang w:val="en-US"/>
        </w:rPr>
        <w:sectPr>
          <w:type w:val="continuous"/>
          <w:pgSz w:w="11906" w:h="16838"/>
          <w:pgMar w:top="1440" w:right="1274" w:bottom="1440" w:left="1276" w:header="851" w:footer="992" w:gutter="0"/>
          <w:pgBorders>
            <w:top w:val="none" w:sz="0" w:space="0"/>
            <w:left w:val="none" w:sz="0" w:space="0"/>
            <w:bottom w:val="none" w:sz="0" w:space="0"/>
            <w:right w:val="none" w:sz="0" w:space="0"/>
          </w:pgBorders>
          <w:cols w:equalWidth="0" w:num="2">
            <w:col w:w="4620" w:space="270"/>
            <w:col w:w="4465"/>
          </w:cols>
          <w:docGrid w:type="lines" w:linePitch="312" w:charSpace="0"/>
        </w:sectPr>
      </w:pPr>
      <w:r>
        <w:rPr>
          <w:rFonts w:hint="default" w:ascii="Times New Roman" w:hAnsi="Times New Roman" w:cs="Times New Roman"/>
          <w:color w:val="auto"/>
          <w:szCs w:val="21"/>
          <w:highlight w:val="none"/>
          <w:lang w:bidi="ar"/>
        </w:rPr>
        <w:t>电子邮箱：</w:t>
      </w:r>
      <w:r>
        <w:rPr>
          <w:rFonts w:hint="eastAsia" w:ascii="Times New Roman" w:hAnsi="Times New Roman" w:cs="Times New Roman"/>
          <w:color w:val="auto"/>
          <w:szCs w:val="21"/>
          <w:highlight w:val="none"/>
          <w:lang w:val="en-US" w:eastAsia="zh-CN" w:bidi="ar"/>
        </w:rPr>
        <w:t>zb87562291@163.com</w:t>
      </w:r>
    </w:p>
    <w:p w14:paraId="18EBBAD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cs="宋体"/>
          <w:b/>
          <w:color w:val="auto"/>
          <w:sz w:val="32"/>
          <w:szCs w:val="32"/>
          <w:highlight w:val="none"/>
        </w:rPr>
      </w:pPr>
      <w:bookmarkStart w:id="4" w:name="_Toc23884"/>
      <w:bookmarkStart w:id="5" w:name="_Toc29872"/>
      <w:bookmarkStart w:id="6" w:name="_Toc20544"/>
      <w:bookmarkStart w:id="7" w:name="_Toc4957"/>
      <w:bookmarkStart w:id="8" w:name="_Toc9546"/>
      <w:bookmarkStart w:id="9" w:name="_Toc21919"/>
      <w:bookmarkStart w:id="10" w:name="_Toc30652"/>
      <w:bookmarkStart w:id="11" w:name="_Toc19464"/>
      <w:bookmarkStart w:id="12" w:name="_Toc6182"/>
      <w:r>
        <w:rPr>
          <w:rFonts w:hint="eastAsia" w:ascii="宋体" w:hAnsi="宋体" w:cs="宋体"/>
          <w:b/>
          <w:color w:val="auto"/>
          <w:sz w:val="32"/>
          <w:szCs w:val="32"/>
          <w:highlight w:val="none"/>
        </w:rPr>
        <w:t>招标文件修改表</w:t>
      </w:r>
      <w:bookmarkEnd w:id="4"/>
      <w:bookmarkEnd w:id="5"/>
      <w:bookmarkEnd w:id="6"/>
      <w:bookmarkEnd w:id="7"/>
      <w:bookmarkEnd w:id="8"/>
      <w:bookmarkEnd w:id="9"/>
      <w:bookmarkEnd w:id="10"/>
      <w:bookmarkEnd w:id="11"/>
      <w:bookmarkEnd w:id="12"/>
    </w:p>
    <w:p w14:paraId="1529330B">
      <w:pPr>
        <w:ind w:firstLine="420"/>
        <w:rPr>
          <w:rFonts w:hint="eastAsia" w:ascii="宋体" w:hAnsi="宋体" w:cs="宋体"/>
          <w:color w:val="auto"/>
          <w:szCs w:val="21"/>
          <w:highlight w:val="none"/>
        </w:rPr>
      </w:pPr>
      <w:r>
        <w:rPr>
          <w:rFonts w:hint="eastAsia" w:ascii="宋体" w:hAnsi="宋体" w:cs="宋体"/>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http://zfcj.gz.gov.cn/）下载查阅。</w:t>
      </w:r>
    </w:p>
    <w:tbl>
      <w:tblPr>
        <w:tblStyle w:val="20"/>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733"/>
        <w:gridCol w:w="4075"/>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882709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A61493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章节、条目</w:t>
            </w:r>
          </w:p>
        </w:tc>
        <w:tc>
          <w:tcPr>
            <w:tcW w:w="3733" w:type="dxa"/>
            <w:tcBorders>
              <w:top w:val="single" w:color="auto" w:sz="4" w:space="0"/>
              <w:left w:val="single" w:color="auto" w:sz="4" w:space="0"/>
              <w:bottom w:val="single" w:color="auto" w:sz="4" w:space="0"/>
              <w:right w:val="single" w:color="auto" w:sz="4" w:space="0"/>
            </w:tcBorders>
            <w:vAlign w:val="center"/>
          </w:tcPr>
          <w:p w14:paraId="3798C46E">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范本原文</w:t>
            </w:r>
          </w:p>
        </w:tc>
        <w:tc>
          <w:tcPr>
            <w:tcW w:w="4075" w:type="dxa"/>
            <w:tcBorders>
              <w:top w:val="single" w:color="auto" w:sz="4" w:space="0"/>
              <w:left w:val="single" w:color="auto" w:sz="4" w:space="0"/>
              <w:bottom w:val="single" w:color="auto" w:sz="4" w:space="0"/>
              <w:right w:val="single" w:color="auto" w:sz="4" w:space="0"/>
            </w:tcBorders>
            <w:vAlign w:val="center"/>
          </w:tcPr>
          <w:p w14:paraId="5F6C32CE">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46189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ACE33C6">
            <w:pPr>
              <w:jc w:val="center"/>
              <w:rPr>
                <w:rFonts w:hint="eastAsia" w:ascii="宋体" w:hAnsi="宋体" w:cs="宋体"/>
                <w:color w:val="auto"/>
                <w:szCs w:val="21"/>
                <w:highlight w:val="none"/>
              </w:rPr>
            </w:pPr>
            <w:r>
              <w:rPr>
                <w:rFonts w:hint="eastAsia" w:ascii="宋体" w:hAnsi="宋体" w:cs="宋体"/>
                <w:color w:val="auto"/>
                <w:szCs w:val="21"/>
                <w:highlight w:val="none"/>
              </w:rPr>
              <w:t>第一章</w:t>
            </w:r>
          </w:p>
        </w:tc>
        <w:tc>
          <w:tcPr>
            <w:tcW w:w="3733" w:type="dxa"/>
            <w:tcBorders>
              <w:top w:val="single" w:color="auto" w:sz="4" w:space="0"/>
              <w:left w:val="single" w:color="auto" w:sz="4" w:space="0"/>
              <w:bottom w:val="single" w:color="auto" w:sz="4" w:space="0"/>
              <w:right w:val="single" w:color="auto" w:sz="4" w:space="0"/>
            </w:tcBorders>
            <w:vAlign w:val="center"/>
          </w:tcPr>
          <w:p w14:paraId="12DAF56A">
            <w:pPr>
              <w:jc w:val="center"/>
              <w:rPr>
                <w:rFonts w:hint="eastAsia" w:ascii="宋体" w:hAnsi="宋体" w:cs="宋体"/>
                <w:color w:val="auto"/>
                <w:szCs w:val="21"/>
                <w:highlight w:val="none"/>
              </w:rPr>
            </w:pPr>
            <w:r>
              <w:rPr>
                <w:rFonts w:hint="eastAsia" w:ascii="宋体" w:hAnsi="宋体" w:cs="宋体"/>
                <w:color w:val="auto"/>
                <w:szCs w:val="21"/>
                <w:highlight w:val="none"/>
              </w:rPr>
              <w:t>招标公告</w:t>
            </w:r>
          </w:p>
        </w:tc>
        <w:tc>
          <w:tcPr>
            <w:tcW w:w="4075" w:type="dxa"/>
            <w:tcBorders>
              <w:top w:val="single" w:color="auto" w:sz="4" w:space="0"/>
              <w:left w:val="single" w:color="auto" w:sz="4" w:space="0"/>
              <w:bottom w:val="single" w:color="auto" w:sz="4" w:space="0"/>
              <w:right w:val="single" w:color="auto" w:sz="4" w:space="0"/>
            </w:tcBorders>
            <w:vAlign w:val="center"/>
          </w:tcPr>
          <w:p w14:paraId="21108AFA">
            <w:pPr>
              <w:jc w:val="center"/>
              <w:rPr>
                <w:rFonts w:hint="eastAsia" w:ascii="宋体" w:hAnsi="宋体" w:cs="宋体"/>
                <w:color w:val="auto"/>
                <w:szCs w:val="21"/>
                <w:highlight w:val="none"/>
              </w:rPr>
            </w:pPr>
            <w:r>
              <w:rPr>
                <w:rFonts w:hint="eastAsia" w:ascii="宋体" w:hAnsi="宋体" w:cs="宋体"/>
                <w:color w:val="auto"/>
                <w:szCs w:val="21"/>
                <w:highlight w:val="none"/>
              </w:rPr>
              <w:t>修改详见《招标公告》</w:t>
            </w:r>
          </w:p>
        </w:tc>
      </w:tr>
      <w:tr w14:paraId="6AF6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780B6C6">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2A66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2.2.8</w:t>
            </w:r>
          </w:p>
        </w:tc>
        <w:tc>
          <w:tcPr>
            <w:tcW w:w="3733" w:type="dxa"/>
            <w:tcBorders>
              <w:top w:val="single" w:color="auto" w:sz="4" w:space="0"/>
              <w:left w:val="single" w:color="auto" w:sz="4" w:space="0"/>
              <w:bottom w:val="single" w:color="auto" w:sz="4" w:space="0"/>
              <w:right w:val="single" w:color="auto" w:sz="4" w:space="0"/>
            </w:tcBorders>
            <w:vAlign w:val="center"/>
          </w:tcPr>
          <w:p w14:paraId="100236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tcPr>
          <w:p w14:paraId="7074068D">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增加：</w:t>
            </w:r>
            <w:r>
              <w:rPr>
                <w:rFonts w:hint="eastAsia" w:ascii="宋体" w:hAnsi="宋体" w:cs="宋体"/>
                <w:color w:val="auto"/>
                <w:szCs w:val="21"/>
                <w:highlight w:val="none"/>
                <w:u w:val="single"/>
              </w:rPr>
              <w:t>2.2.8</w:t>
            </w:r>
          </w:p>
          <w:p w14:paraId="7B90F742">
            <w:pPr>
              <w:rPr>
                <w:rFonts w:hint="eastAsia" w:ascii="宋体" w:hAnsi="宋体" w:cs="宋体"/>
                <w:color w:val="auto"/>
                <w:szCs w:val="21"/>
                <w:highlight w:val="none"/>
                <w:u w:val="single"/>
              </w:rPr>
            </w:pPr>
            <w:r>
              <w:rPr>
                <w:rFonts w:hint="eastAsia" w:ascii="宋体" w:hAnsi="宋体" w:cs="宋体"/>
                <w:color w:val="auto"/>
                <w:szCs w:val="21"/>
                <w:highlight w:val="none"/>
                <w:u w:val="single"/>
              </w:rPr>
              <w:t>2.2.8 招标人有权使用领取补偿费的未中标单位的设计方案（不需另付给使用费）。</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9280806">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19CA06">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3733" w:type="dxa"/>
            <w:tcBorders>
              <w:top w:val="single" w:color="auto" w:sz="4" w:space="0"/>
              <w:left w:val="single" w:color="auto" w:sz="4" w:space="0"/>
              <w:bottom w:val="single" w:color="auto" w:sz="4" w:space="0"/>
              <w:right w:val="single" w:color="auto" w:sz="4" w:space="0"/>
            </w:tcBorders>
          </w:tcPr>
          <w:p w14:paraId="334428AD">
            <w:pPr>
              <w:rPr>
                <w:rFonts w:hint="eastAsia" w:ascii="宋体" w:hAnsi="宋体" w:cs="宋体"/>
                <w:color w:val="auto"/>
                <w:szCs w:val="21"/>
                <w:highlight w:val="none"/>
              </w:rPr>
            </w:pPr>
            <w:r>
              <w:rPr>
                <w:rFonts w:hint="eastAsia" w:ascii="宋体" w:hAnsi="宋体" w:cs="宋体"/>
                <w:color w:val="auto"/>
                <w:szCs w:val="21"/>
                <w:highlight w:val="none"/>
              </w:rPr>
              <w:t>3.1    现场考察</w:t>
            </w:r>
          </w:p>
          <w:p w14:paraId="420C84A8">
            <w:pPr>
              <w:rPr>
                <w:rFonts w:hint="eastAsia" w:ascii="宋体" w:hAnsi="宋体" w:cs="宋体"/>
                <w:color w:val="auto"/>
                <w:szCs w:val="21"/>
                <w:highlight w:val="none"/>
              </w:rPr>
            </w:pPr>
            <w:r>
              <w:rPr>
                <w:rFonts w:hint="eastAsia" w:ascii="宋体" w:hAnsi="宋体" w:cs="宋体"/>
                <w:color w:val="auto"/>
                <w:szCs w:val="21"/>
                <w:highlight w:val="none"/>
              </w:rPr>
              <w:t>3.1.1  招标人安排投标人代表对工程现场进行考察，目的是使每个投标人查看现场并获得编制投标文件所需要的一切资料。</w:t>
            </w:r>
          </w:p>
          <w:p w14:paraId="34BC4F21">
            <w:pPr>
              <w:rPr>
                <w:rFonts w:hint="eastAsia" w:ascii="宋体" w:hAnsi="宋体" w:cs="宋体"/>
                <w:color w:val="auto"/>
                <w:szCs w:val="21"/>
                <w:highlight w:val="none"/>
              </w:rPr>
            </w:pPr>
            <w:r>
              <w:rPr>
                <w:rFonts w:hint="eastAsia" w:ascii="宋体" w:hAnsi="宋体" w:cs="宋体"/>
                <w:color w:val="auto"/>
                <w:szCs w:val="21"/>
                <w:highlight w:val="none"/>
              </w:rPr>
              <w:t>3.1.2  每个投标人参加现场考察的人数不宜超过3人，外国投标人代表应自带中文翻译。</w:t>
            </w:r>
          </w:p>
          <w:p w14:paraId="5A211B3D">
            <w:pPr>
              <w:rPr>
                <w:rFonts w:hint="eastAsia" w:ascii="宋体" w:hAnsi="宋体" w:cs="宋体"/>
                <w:color w:val="auto"/>
                <w:szCs w:val="21"/>
                <w:highlight w:val="none"/>
              </w:rPr>
            </w:pPr>
            <w:r>
              <w:rPr>
                <w:rFonts w:hint="eastAsia" w:ascii="宋体" w:hAnsi="宋体" w:cs="宋体"/>
                <w:color w:val="auto"/>
                <w:szCs w:val="21"/>
                <w:highlight w:val="none"/>
              </w:rPr>
              <w:t>3.1.3  现场考察期间招标人接受投标人代表的提问。</w:t>
            </w:r>
          </w:p>
        </w:tc>
        <w:tc>
          <w:tcPr>
            <w:tcW w:w="4075" w:type="dxa"/>
            <w:tcBorders>
              <w:top w:val="single" w:color="auto" w:sz="4" w:space="0"/>
              <w:left w:val="single" w:color="auto" w:sz="4" w:space="0"/>
              <w:bottom w:val="single" w:color="auto" w:sz="4" w:space="0"/>
              <w:right w:val="single" w:color="auto" w:sz="4" w:space="0"/>
            </w:tcBorders>
          </w:tcPr>
          <w:p w14:paraId="7F3041E0">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3.1    现场考察</w:t>
            </w:r>
          </w:p>
          <w:p w14:paraId="528F301F">
            <w:pPr>
              <w:rPr>
                <w:rFonts w:hint="eastAsia" w:ascii="宋体" w:hAnsi="宋体" w:cs="宋体"/>
                <w:color w:val="auto"/>
                <w:szCs w:val="21"/>
                <w:highlight w:val="none"/>
              </w:rPr>
            </w:pPr>
            <w:r>
              <w:rPr>
                <w:rFonts w:hint="eastAsia" w:ascii="宋体" w:hAnsi="宋体" w:cs="宋体"/>
                <w:color w:val="auto"/>
                <w:szCs w:val="21"/>
                <w:highlight w:val="none"/>
              </w:rPr>
              <w:t xml:space="preserve">3.1.1  </w:t>
            </w:r>
            <w:r>
              <w:rPr>
                <w:rFonts w:hint="eastAsia" w:ascii="宋体" w:hAnsi="宋体" w:cs="宋体"/>
                <w:color w:val="auto"/>
                <w:szCs w:val="21"/>
                <w:highlight w:val="none"/>
                <w:u w:val="single"/>
              </w:rPr>
              <w:t>现场考察由投标人自行考察，招标人不统一安排现场考察。</w:t>
            </w:r>
          </w:p>
          <w:p w14:paraId="76364CBF">
            <w:pPr>
              <w:rPr>
                <w:rFonts w:hint="eastAsia" w:ascii="宋体" w:hAnsi="宋体" w:cs="宋体"/>
                <w:color w:val="auto"/>
                <w:szCs w:val="21"/>
                <w:highlight w:val="none"/>
              </w:rPr>
            </w:pPr>
            <w:r>
              <w:rPr>
                <w:rFonts w:hint="eastAsia" w:ascii="宋体" w:hAnsi="宋体" w:cs="宋体"/>
                <w:color w:val="auto"/>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08A436">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65A2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3733" w:type="dxa"/>
            <w:tcBorders>
              <w:top w:val="single" w:color="auto" w:sz="4" w:space="0"/>
              <w:left w:val="single" w:color="auto" w:sz="4" w:space="0"/>
              <w:bottom w:val="single" w:color="auto" w:sz="4" w:space="0"/>
              <w:right w:val="single" w:color="auto" w:sz="4" w:space="0"/>
            </w:tcBorders>
            <w:vAlign w:val="center"/>
          </w:tcPr>
          <w:p w14:paraId="27644CA1">
            <w:pPr>
              <w:rPr>
                <w:rFonts w:hint="eastAsia" w:ascii="宋体" w:hAnsi="宋体" w:cs="宋体"/>
                <w:color w:val="auto"/>
                <w:szCs w:val="21"/>
                <w:highlight w:val="none"/>
              </w:rPr>
            </w:pPr>
            <w:r>
              <w:rPr>
                <w:rFonts w:hint="eastAsia" w:ascii="宋体" w:hAnsi="宋体" w:cs="宋体"/>
                <w:color w:val="auto"/>
                <w:szCs w:val="21"/>
                <w:highlight w:val="none"/>
              </w:rPr>
              <w:t>投标人应认真审阅招标文件和有关资料，尽力澄清一切疑点，对工程现场和周围环境进行勘察，以获取编制投标文件和签署合同所需的所有资料。</w:t>
            </w:r>
          </w:p>
        </w:tc>
        <w:tc>
          <w:tcPr>
            <w:tcW w:w="4075" w:type="dxa"/>
            <w:tcBorders>
              <w:top w:val="single" w:color="auto" w:sz="4" w:space="0"/>
              <w:left w:val="single" w:color="auto" w:sz="4" w:space="0"/>
              <w:bottom w:val="single" w:color="auto" w:sz="4" w:space="0"/>
              <w:right w:val="single" w:color="auto" w:sz="4" w:space="0"/>
            </w:tcBorders>
            <w:vAlign w:val="center"/>
          </w:tcPr>
          <w:p w14:paraId="6C02465F">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投标人应认真审阅招标文件和有关资料，尽力澄清一切疑点，</w:t>
            </w:r>
            <w:r>
              <w:rPr>
                <w:rFonts w:hint="eastAsia" w:ascii="宋体" w:hAnsi="宋体" w:cs="宋体"/>
                <w:b/>
                <w:color w:val="auto"/>
                <w:szCs w:val="21"/>
                <w:highlight w:val="none"/>
                <w:u w:val="single"/>
              </w:rPr>
              <w:t>自行</w:t>
            </w:r>
            <w:r>
              <w:rPr>
                <w:rFonts w:hint="eastAsia" w:ascii="宋体" w:hAnsi="宋体" w:cs="宋体"/>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40D33D">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31AB75">
            <w:pPr>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3733" w:type="dxa"/>
            <w:tcBorders>
              <w:top w:val="single" w:color="auto" w:sz="4" w:space="0"/>
              <w:left w:val="single" w:color="auto" w:sz="4" w:space="0"/>
              <w:bottom w:val="single" w:color="auto" w:sz="4" w:space="0"/>
              <w:right w:val="single" w:color="auto" w:sz="4" w:space="0"/>
            </w:tcBorders>
            <w:vAlign w:val="center"/>
          </w:tcPr>
          <w:p w14:paraId="717704CD">
            <w:pPr>
              <w:rPr>
                <w:rFonts w:hint="eastAsia" w:ascii="宋体" w:hAnsi="宋体" w:cs="宋体"/>
                <w:color w:val="auto"/>
                <w:szCs w:val="21"/>
                <w:highlight w:val="none"/>
              </w:rPr>
            </w:pPr>
            <w:r>
              <w:rPr>
                <w:rFonts w:hint="eastAsia" w:ascii="宋体" w:hAnsi="宋体" w:cs="宋体"/>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4075" w:type="dxa"/>
            <w:tcBorders>
              <w:top w:val="single" w:color="auto" w:sz="4" w:space="0"/>
              <w:left w:val="single" w:color="auto" w:sz="4" w:space="0"/>
              <w:bottom w:val="single" w:color="auto" w:sz="4" w:space="0"/>
              <w:right w:val="single" w:color="auto" w:sz="4" w:space="0"/>
            </w:tcBorders>
            <w:vAlign w:val="center"/>
          </w:tcPr>
          <w:p w14:paraId="247AFD5C">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：投标人需要澄清的问题应</w:t>
            </w:r>
            <w:r>
              <w:rPr>
                <w:rFonts w:hint="eastAsia" w:ascii="宋体" w:hAnsi="宋体" w:cs="宋体"/>
                <w:color w:val="auto"/>
                <w:szCs w:val="21"/>
                <w:highlight w:val="none"/>
                <w:u w:val="single"/>
              </w:rPr>
              <w:t>在投标截止时间18个日历天前</w:t>
            </w:r>
            <w:r>
              <w:rPr>
                <w:rFonts w:hint="eastAsia" w:ascii="宋体" w:hAnsi="宋体" w:cs="宋体"/>
                <w:color w:val="auto"/>
                <w:szCs w:val="21"/>
                <w:highlight w:val="none"/>
              </w:rPr>
              <w:t>，按交易平台的操作指引上传至交易平台网站。招标人应在递交投标文件截止时间</w:t>
            </w:r>
            <w:r>
              <w:rPr>
                <w:rFonts w:hint="eastAsia" w:ascii="宋体" w:hAnsi="宋体" w:cs="宋体"/>
                <w:color w:val="auto"/>
                <w:szCs w:val="21"/>
                <w:highlight w:val="none"/>
                <w:u w:val="single"/>
              </w:rPr>
              <w:t>15个日历天前</w:t>
            </w:r>
            <w:r>
              <w:rPr>
                <w:rFonts w:hint="eastAsia" w:ascii="宋体" w:hAnsi="宋体" w:cs="宋体"/>
                <w:color w:val="auto"/>
                <w:szCs w:val="21"/>
                <w:highlight w:val="none"/>
              </w:rPr>
              <w:t>解答投标人对招标文件提出的疑问，形成澄清或答疑纪要，</w:t>
            </w:r>
            <w:r>
              <w:rPr>
                <w:rFonts w:hint="eastAsia" w:ascii="宋体" w:hAnsi="宋体" w:cs="宋体"/>
                <w:color w:val="auto"/>
                <w:szCs w:val="21"/>
                <w:highlight w:val="none"/>
                <w:u w:val="single"/>
              </w:rPr>
              <w:t>在广州交易集团有限公司（广州公共资源交易中心）网站项目查询中本项目详情页里面发布。</w:t>
            </w:r>
            <w:r>
              <w:rPr>
                <w:rFonts w:hint="eastAsia" w:ascii="宋体" w:hAnsi="宋体" w:cs="宋体"/>
                <w:color w:val="auto"/>
                <w:szCs w:val="21"/>
                <w:highlight w:val="none"/>
              </w:rPr>
              <w:t>不足</w:t>
            </w:r>
            <w:r>
              <w:rPr>
                <w:rFonts w:hint="eastAsia" w:ascii="宋体" w:hAnsi="宋体" w:cs="宋体"/>
                <w:color w:val="auto"/>
                <w:szCs w:val="21"/>
                <w:highlight w:val="none"/>
                <w:u w:val="single"/>
              </w:rPr>
              <w:t>15个日历天</w:t>
            </w:r>
            <w:r>
              <w:rPr>
                <w:rFonts w:hint="eastAsia" w:ascii="宋体" w:hAnsi="宋体" w:cs="宋体"/>
                <w:color w:val="auto"/>
                <w:szCs w:val="21"/>
                <w:highlight w:val="none"/>
              </w:rPr>
              <w:t>的，招标人应当顺延投标文件的截止时间。</w:t>
            </w:r>
            <w:r>
              <w:rPr>
                <w:rFonts w:hint="eastAsia" w:ascii="宋体" w:hAnsi="宋体" w:cs="宋体"/>
                <w:color w:val="auto"/>
                <w:szCs w:val="21"/>
                <w:highlight w:val="none"/>
                <w:u w:val="single"/>
              </w:rPr>
              <w:t>投标人应在规定的时间内停止质疑。招标人对已发出的招标文件进行必要的澄清或者修改的，将统一整理为按时序编号的补充材料，在交易中心网站“项目查询（日程安排、答疑纪要）”中公开登载。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以及查看所有的问题。</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F589989">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D26E3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3733" w:type="dxa"/>
            <w:tcBorders>
              <w:top w:val="single" w:color="auto" w:sz="4" w:space="0"/>
              <w:left w:val="single" w:color="auto" w:sz="4" w:space="0"/>
              <w:bottom w:val="single" w:color="auto" w:sz="4" w:space="0"/>
              <w:right w:val="single" w:color="auto" w:sz="4" w:space="0"/>
            </w:tcBorders>
            <w:vAlign w:val="center"/>
          </w:tcPr>
          <w:p w14:paraId="441B0DD4">
            <w:pPr>
              <w:rPr>
                <w:rFonts w:hint="eastAsia" w:ascii="宋体" w:hAnsi="宋体" w:cs="宋体"/>
                <w:color w:val="auto"/>
                <w:szCs w:val="21"/>
                <w:highlight w:val="none"/>
              </w:rPr>
            </w:pPr>
            <w:r>
              <w:rPr>
                <w:rFonts w:hint="eastAsia" w:ascii="宋体" w:hAnsi="宋体" w:cs="宋体"/>
                <w:color w:val="auto"/>
                <w:szCs w:val="21"/>
                <w:highlight w:val="none"/>
              </w:rPr>
              <w:t>网上答疑的具体操作详见交易平台发布的相关操作指引。</w:t>
            </w:r>
          </w:p>
        </w:tc>
        <w:tc>
          <w:tcPr>
            <w:tcW w:w="4075" w:type="dxa"/>
            <w:tcBorders>
              <w:top w:val="single" w:color="auto" w:sz="4" w:space="0"/>
              <w:left w:val="single" w:color="auto" w:sz="4" w:space="0"/>
              <w:bottom w:val="single" w:color="auto" w:sz="4" w:space="0"/>
              <w:right w:val="single" w:color="auto" w:sz="4" w:space="0"/>
            </w:tcBorders>
            <w:vAlign w:val="center"/>
          </w:tcPr>
          <w:p w14:paraId="05A2F268">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：网上答疑的具体操作详见交易平台发布的相关操作指引。</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网上答疑的具体操作详见交易平台发布的相关操作指引。</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2084828">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BAF5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3.3.3</w:t>
            </w:r>
          </w:p>
        </w:tc>
        <w:tc>
          <w:tcPr>
            <w:tcW w:w="3733" w:type="dxa"/>
            <w:tcBorders>
              <w:top w:val="single" w:color="auto" w:sz="4" w:space="0"/>
              <w:left w:val="single" w:color="auto" w:sz="4" w:space="0"/>
              <w:bottom w:val="single" w:color="auto" w:sz="4" w:space="0"/>
              <w:right w:val="single" w:color="auto" w:sz="4" w:space="0"/>
            </w:tcBorders>
            <w:vAlign w:val="center"/>
          </w:tcPr>
          <w:p w14:paraId="33FE2F65">
            <w:pPr>
              <w:rPr>
                <w:rFonts w:hint="eastAsia" w:ascii="宋体" w:hAnsi="宋体" w:cs="宋体"/>
                <w:color w:val="auto"/>
                <w:szCs w:val="21"/>
                <w:highlight w:val="none"/>
              </w:rPr>
            </w:pPr>
            <w:r>
              <w:rPr>
                <w:rFonts w:hint="eastAsia" w:ascii="宋体" w:hAnsi="宋体" w:cs="宋体"/>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4075" w:type="dxa"/>
            <w:tcBorders>
              <w:top w:val="single" w:color="auto" w:sz="4" w:space="0"/>
              <w:left w:val="single" w:color="auto" w:sz="4" w:space="0"/>
              <w:bottom w:val="single" w:color="auto" w:sz="4" w:space="0"/>
              <w:right w:val="single" w:color="auto" w:sz="4" w:space="0"/>
            </w:tcBorders>
            <w:vAlign w:val="center"/>
          </w:tcPr>
          <w:p w14:paraId="22140D95">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：投标文件全部采用电子文档，投标文件所附证书证件均为原件扫描件或电子证书，并采用单位数字证书，</w:t>
            </w:r>
            <w:r>
              <w:rPr>
                <w:rFonts w:hint="eastAsia" w:ascii="宋体" w:hAnsi="宋体" w:cs="宋体"/>
                <w:color w:val="auto"/>
                <w:szCs w:val="21"/>
                <w:highlight w:val="none"/>
                <w:u w:val="single"/>
              </w:rPr>
              <w:t>对投标文件</w:t>
            </w:r>
            <w:r>
              <w:rPr>
                <w:rFonts w:hint="eastAsia" w:ascii="宋体" w:hAnsi="宋体" w:cs="宋体"/>
                <w:color w:val="auto"/>
                <w:szCs w:val="21"/>
                <w:highlight w:val="none"/>
              </w:rPr>
              <w:t>加盖电子印章，投标文件中需个人签字或盖章的</w:t>
            </w:r>
            <w:r>
              <w:rPr>
                <w:rFonts w:hint="eastAsia" w:ascii="宋体" w:hAnsi="宋体" w:cs="宋体"/>
                <w:color w:val="auto"/>
                <w:szCs w:val="21"/>
                <w:highlight w:val="none"/>
                <w:u w:val="single"/>
              </w:rPr>
              <w:t>，应</w:t>
            </w:r>
            <w:r>
              <w:rPr>
                <w:rFonts w:hint="eastAsia" w:ascii="Times New Roman" w:hAnsi="Times New Roman" w:cs="Times New Roman"/>
                <w:color w:val="auto"/>
                <w:sz w:val="21"/>
                <w:szCs w:val="21"/>
                <w:highlight w:val="none"/>
                <w:u w:val="single"/>
                <w:lang w:eastAsia="zh-CN"/>
              </w:rPr>
              <w:t>在</w:t>
            </w:r>
            <w:r>
              <w:rPr>
                <w:rFonts w:hint="eastAsia" w:ascii="Times New Roman" w:hAnsi="Times New Roman" w:cs="Times New Roman"/>
                <w:color w:val="auto"/>
                <w:sz w:val="21"/>
                <w:szCs w:val="21"/>
                <w:highlight w:val="none"/>
                <w:u w:val="single"/>
                <w:lang w:val="en-US" w:eastAsia="zh-CN"/>
              </w:rPr>
              <w:t>线下完成</w:t>
            </w:r>
            <w:r>
              <w:rPr>
                <w:rFonts w:hint="eastAsia" w:ascii="宋体" w:hAnsi="宋体" w:cs="宋体"/>
                <w:color w:val="auto"/>
                <w:szCs w:val="21"/>
                <w:highlight w:val="none"/>
                <w:u w:val="single"/>
              </w:rPr>
              <w:t>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投标文件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04F9A2">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0D17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3733" w:type="dxa"/>
            <w:tcBorders>
              <w:top w:val="single" w:color="auto" w:sz="4" w:space="0"/>
              <w:left w:val="single" w:color="auto" w:sz="4" w:space="0"/>
              <w:bottom w:val="single" w:color="auto" w:sz="4" w:space="0"/>
              <w:right w:val="single" w:color="auto" w:sz="4" w:space="0"/>
            </w:tcBorders>
            <w:vAlign w:val="center"/>
          </w:tcPr>
          <w:p w14:paraId="0D204926">
            <w:pPr>
              <w:rPr>
                <w:rFonts w:hint="eastAsia" w:ascii="宋体" w:hAnsi="宋体" w:cs="宋体"/>
                <w:color w:val="auto"/>
                <w:szCs w:val="21"/>
                <w:highlight w:val="none"/>
              </w:rPr>
            </w:pPr>
            <w:r>
              <w:rPr>
                <w:rFonts w:hint="eastAsia" w:ascii="宋体" w:hAnsi="宋体" w:cs="宋体"/>
                <w:color w:val="auto"/>
                <w:szCs w:val="21"/>
                <w:highlight w:val="none"/>
              </w:rPr>
              <w:t>投标人通过下载招标文件的交易平台递交电子投标文件。</w:t>
            </w:r>
          </w:p>
        </w:tc>
        <w:tc>
          <w:tcPr>
            <w:tcW w:w="4075" w:type="dxa"/>
            <w:tcBorders>
              <w:top w:val="single" w:color="auto" w:sz="4" w:space="0"/>
              <w:left w:val="single" w:color="auto" w:sz="4" w:space="0"/>
              <w:bottom w:val="single" w:color="auto" w:sz="4" w:space="0"/>
              <w:right w:val="single" w:color="auto" w:sz="4" w:space="0"/>
            </w:tcBorders>
            <w:vAlign w:val="center"/>
          </w:tcPr>
          <w:p w14:paraId="3ECF7009">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：投标人通过下载招标文件的</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84941C">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4C97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3733" w:type="dxa"/>
            <w:tcBorders>
              <w:top w:val="single" w:color="auto" w:sz="4" w:space="0"/>
              <w:left w:val="single" w:color="auto" w:sz="4" w:space="0"/>
              <w:bottom w:val="single" w:color="auto" w:sz="4" w:space="0"/>
              <w:right w:val="single" w:color="auto" w:sz="4" w:space="0"/>
            </w:tcBorders>
          </w:tcPr>
          <w:p w14:paraId="4F008834">
            <w:pPr>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提交投标文件光盘备用</w:t>
            </w:r>
          </w:p>
          <w:p w14:paraId="047C0FF7">
            <w:pPr>
              <w:jc w:val="left"/>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4075" w:type="dxa"/>
            <w:tcBorders>
              <w:top w:val="single" w:color="auto" w:sz="4" w:space="0"/>
              <w:left w:val="single" w:color="auto" w:sz="4" w:space="0"/>
              <w:bottom w:val="single" w:color="auto" w:sz="4" w:space="0"/>
              <w:right w:val="single" w:color="auto" w:sz="4" w:space="0"/>
            </w:tcBorders>
          </w:tcPr>
          <w:p w14:paraId="65690D1E">
            <w:pPr>
              <w:ind w:hanging="9"/>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：提交投标文件光盘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w:t>
            </w:r>
          </w:p>
          <w:p w14:paraId="568A2B57">
            <w:pPr>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投标人可制作非加密的电子投标文件刻入光盘（或U盘）</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总信封1份，内含3个光盘（或U盘）</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光盘</w:t>
            </w:r>
            <w:r>
              <w:rPr>
                <w:rFonts w:hint="eastAsia" w:ascii="宋体" w:hAnsi="宋体" w:cs="宋体"/>
                <w:b/>
                <w:bCs/>
                <w:color w:val="auto"/>
                <w:szCs w:val="21"/>
                <w:highlight w:val="none"/>
                <w:u w:val="single"/>
              </w:rPr>
              <w:t>（或U盘）</w:t>
            </w:r>
            <w:r>
              <w:rPr>
                <w:rFonts w:hint="eastAsia" w:ascii="宋体" w:hAnsi="宋体" w:cs="宋体"/>
                <w:b/>
                <w:color w:val="auto"/>
                <w:szCs w:val="21"/>
                <w:highlight w:val="none"/>
                <w:u w:val="single"/>
              </w:rPr>
              <w:t>分类如下</w:t>
            </w:r>
            <w:r>
              <w:rPr>
                <w:rFonts w:hint="eastAsia" w:ascii="宋体" w:hAnsi="宋体" w:cs="宋体"/>
                <w:color w:val="auto"/>
                <w:szCs w:val="21"/>
                <w:highlight w:val="none"/>
                <w:u w:val="single"/>
              </w:rPr>
              <w:t>：①勘察初步设计方案（暗标，单独密封在密封袋中，不得标注或做任何可以辨认投标人及专业技术人员身份的名称、印章、商标、图形等），②</w:t>
            </w:r>
            <w:r>
              <w:rPr>
                <w:rFonts w:hint="eastAsia" w:ascii="宋体" w:hAnsi="宋体" w:cs="宋体"/>
                <w:color w:val="auto"/>
                <w:szCs w:val="21"/>
                <w:highlight w:val="none"/>
                <w:u w:val="single"/>
                <w:lang w:val="en-US" w:eastAsia="zh-CN"/>
              </w:rPr>
              <w:t>单</w:t>
            </w:r>
            <w:r>
              <w:rPr>
                <w:rFonts w:hint="eastAsia" w:ascii="宋体" w:hAnsi="宋体" w:cs="宋体"/>
                <w:color w:val="auto"/>
                <w:szCs w:val="21"/>
                <w:highlight w:val="none"/>
                <w:u w:val="single"/>
              </w:rPr>
              <w:t>用于揭晓勘察初步设计方案的可识别投标人身份的文件③开标信封</w:t>
            </w:r>
            <w:r>
              <w:rPr>
                <w:rFonts w:hint="eastAsia" w:ascii="宋体" w:hAnsi="宋体" w:cs="宋体"/>
                <w:b/>
                <w:color w:val="auto"/>
                <w:szCs w:val="21"/>
                <w:highlight w:val="none"/>
                <w:u w:val="single"/>
              </w:rPr>
              <w:t>（开标信封需包含的内容详见备注）</w:t>
            </w:r>
            <w:r>
              <w:rPr>
                <w:rFonts w:hint="eastAsia" w:ascii="宋体" w:hAnsi="宋体" w:cs="宋体"/>
                <w:color w:val="auto"/>
                <w:szCs w:val="21"/>
                <w:highlight w:val="none"/>
                <w:u w:val="single"/>
              </w:rPr>
              <w:t>、资格审查文件及其他文件（如有）、报价文件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商务文件</w:t>
            </w:r>
            <w:r>
              <w:rPr>
                <w:rFonts w:hint="eastAsia" w:ascii="宋体" w:hAnsi="宋体" w:cs="宋体"/>
                <w:color w:val="auto"/>
                <w:szCs w:val="21"/>
                <w:highlight w:val="none"/>
                <w:u w:val="single"/>
              </w:rPr>
              <w:t>。</w:t>
            </w:r>
            <w:r>
              <w:rPr>
                <w:rFonts w:hint="eastAsia" w:ascii="宋体" w:hAnsi="宋体" w:cs="宋体"/>
                <w:color w:val="auto"/>
                <w:szCs w:val="21"/>
                <w:highlight w:val="none"/>
              </w:rPr>
              <w:t>在招标公告规定的时间、地点</w:t>
            </w:r>
            <w:r>
              <w:rPr>
                <w:rFonts w:hint="eastAsia" w:ascii="宋体" w:hAnsi="宋体" w:cs="宋体"/>
                <w:bCs/>
                <w:color w:val="auto"/>
                <w:szCs w:val="24"/>
                <w:highlight w:val="none"/>
                <w:u w:val="single"/>
              </w:rPr>
              <w:t>凭</w:t>
            </w:r>
            <w:r>
              <w:rPr>
                <w:rFonts w:hint="eastAsia" w:ascii="宋体" w:hAnsi="宋体" w:eastAsia="宋体" w:cs="宋体"/>
                <w:color w:val="auto"/>
                <w:kern w:val="0"/>
                <w:sz w:val="21"/>
                <w:szCs w:val="20"/>
                <w:highlight w:val="none"/>
                <w:u w:val="single"/>
              </w:rPr>
              <w:t>法定代表人证明书原件、法定代表人授权委托书原件、本人身份证复印件、联合体共同投标协议原件（联合体投标时提供，格式见招标文件附录）</w:t>
            </w:r>
            <w:r>
              <w:rPr>
                <w:rFonts w:hint="eastAsia" w:ascii="宋体" w:hAnsi="宋体" w:cs="宋体"/>
                <w:color w:val="auto"/>
                <w:szCs w:val="21"/>
                <w:highlight w:val="none"/>
              </w:rPr>
              <w:t>提交备用。刻录好的投标文件光盘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密封在密封袋中，并在封口处加盖投标人单位公章</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勘察初步</w:t>
            </w:r>
            <w:r>
              <w:rPr>
                <w:rFonts w:hint="eastAsia" w:ascii="宋体" w:hAnsi="宋体" w:cs="宋体"/>
                <w:color w:val="auto"/>
                <w:szCs w:val="21"/>
                <w:highlight w:val="none"/>
                <w:u w:val="single"/>
              </w:rPr>
              <w:t>设计方案光盘（或U盘）除外）</w:t>
            </w:r>
            <w:r>
              <w:rPr>
                <w:rFonts w:hint="eastAsia" w:ascii="宋体" w:hAnsi="宋体" w:cs="宋体"/>
                <w:color w:val="auto"/>
                <w:szCs w:val="21"/>
                <w:highlight w:val="none"/>
              </w:rPr>
              <w:t>。密封袋上应写明项目名称和招标人名称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勘察初步</w:t>
            </w:r>
            <w:r>
              <w:rPr>
                <w:rFonts w:hint="eastAsia" w:ascii="宋体" w:hAnsi="宋体" w:cs="宋体"/>
                <w:color w:val="auto"/>
                <w:szCs w:val="21"/>
                <w:highlight w:val="none"/>
                <w:u w:val="single"/>
              </w:rPr>
              <w:t>设计方案光盘（或U盘）除外）</w:t>
            </w:r>
            <w:r>
              <w:rPr>
                <w:rFonts w:hint="eastAsia" w:ascii="宋体" w:hAnsi="宋体" w:cs="宋体"/>
                <w:color w:val="auto"/>
                <w:szCs w:val="21"/>
                <w:highlight w:val="none"/>
              </w:rPr>
              <w:t>。递交的投标文件光盘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（备用）不得加密。备用光盘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无法读取或导入的，则视为未提交投标文件光盘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（备用）。如果投标人没有按规定通过广州交易集团有限公司（广州公共资源交易中心）平台网上递交电子投标文件的，不再读取提交的光盘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。投标人也可不提交投标文件光盘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w:t>
            </w:r>
          </w:p>
          <w:p w14:paraId="3DCD60A3">
            <w:pPr>
              <w:rPr>
                <w:rFonts w:hint="eastAsia" w:ascii="宋体" w:hAnsi="宋体" w:cs="宋体"/>
                <w:b/>
                <w:color w:val="auto"/>
                <w:szCs w:val="21"/>
                <w:highlight w:val="none"/>
              </w:rPr>
            </w:pPr>
            <w:r>
              <w:rPr>
                <w:rFonts w:hint="eastAsia" w:ascii="宋体" w:hAnsi="宋体" w:cs="宋体"/>
                <w:b/>
                <w:color w:val="auto"/>
                <w:szCs w:val="21"/>
                <w:highlight w:val="none"/>
                <w:u w:val="single"/>
              </w:rPr>
              <w:t>注：光盘中的“开标信封”需包含的内容：填妥并签字盖章的《投标书》（格式见附录6），联合体同时附填妥并签字盖章的《联合体共同投标协议》（格式见附录7）。</w:t>
            </w:r>
          </w:p>
        </w:tc>
      </w:tr>
      <w:tr w14:paraId="37D8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B9C5AD5">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872B5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3.9.1</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top"/>
          </w:tcPr>
          <w:p w14:paraId="1E02C3C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tc>
        <w:tc>
          <w:tcPr>
            <w:tcW w:w="4075" w:type="dxa"/>
            <w:tcBorders>
              <w:top w:val="single" w:color="auto" w:sz="4" w:space="0"/>
              <w:left w:val="single" w:color="auto" w:sz="4" w:space="0"/>
              <w:bottom w:val="single" w:color="auto" w:sz="4" w:space="0"/>
              <w:right w:val="single" w:color="auto" w:sz="4" w:space="0"/>
            </w:tcBorders>
            <w:shd w:val="clear" w:color="auto" w:fill="auto"/>
            <w:vAlign w:val="center"/>
          </w:tcPr>
          <w:p w14:paraId="7E200D46">
            <w:pPr>
              <w:rPr>
                <w:rFonts w:hint="eastAsia" w:ascii="宋体" w:hAnsi="宋体" w:eastAsia="宋体" w:cs="宋体"/>
                <w:color w:val="auto"/>
                <w:kern w:val="2"/>
                <w:sz w:val="21"/>
                <w:szCs w:val="21"/>
                <w:highlight w:val="none"/>
                <w:lang w:val="en-US" w:eastAsia="zh-CN" w:bidi="ar-SA"/>
              </w:rPr>
            </w:pPr>
            <w:r>
              <w:rPr>
                <w:rFonts w:hint="eastAsia" w:ascii="宋体" w:hAnsi="宋体" w:cs="宋体"/>
                <w:b/>
                <w:color w:val="auto"/>
                <w:szCs w:val="21"/>
                <w:highlight w:val="none"/>
              </w:rPr>
              <w:t>修改：</w:t>
            </w:r>
            <w:r>
              <w:rPr>
                <w:rFonts w:hint="eastAsia" w:ascii="宋体" w:hAnsi="宋体" w:cs="宋体"/>
                <w:color w:val="auto"/>
                <w:highlight w:val="none"/>
              </w:rPr>
              <w:t>3.9.1  在</w:t>
            </w:r>
            <w:r>
              <w:rPr>
                <w:rFonts w:hint="eastAsia" w:ascii="宋体" w:hAnsi="宋体" w:cs="宋体"/>
                <w:color w:val="auto"/>
                <w:highlight w:val="none"/>
                <w:u w:val="single"/>
              </w:rPr>
              <w:t>投标截止时间后一小时内</w:t>
            </w:r>
            <w:r>
              <w:rPr>
                <w:rFonts w:hint="eastAsia" w:ascii="宋体" w:hAnsi="宋体" w:cs="宋体"/>
                <w:color w:val="auto"/>
                <w:highlight w:val="none"/>
              </w:rPr>
              <w:t>，投标人通过递交投标文件的交易平台对已递交的电子投标文件进行解密。投标人完成解密后，再由招标人进行解密。解密完成后，公布招标项目名称、投标人名称</w:t>
            </w:r>
            <w:r>
              <w:rPr>
                <w:rFonts w:hint="eastAsia" w:ascii="宋体" w:hAnsi="宋体" w:cs="宋体"/>
                <w:color w:val="auto"/>
                <w:highlight w:val="none"/>
                <w:u w:val="single"/>
              </w:rPr>
              <w:t>、投标保证金的递交情况、投标报价及其他内容</w:t>
            </w:r>
            <w:r>
              <w:rPr>
                <w:rFonts w:hint="eastAsia" w:ascii="宋体" w:hAnsi="宋体" w:cs="宋体"/>
                <w:color w:val="auto"/>
                <w:highlight w:val="none"/>
              </w:rPr>
              <w:t>。未在规定时间内解密的投标文件不参与开标、评标。</w:t>
            </w:r>
            <w:r>
              <w:rPr>
                <w:rFonts w:hint="eastAsia" w:ascii="宋体" w:hAnsi="宋体" w:cs="宋体"/>
                <w:b/>
                <w:bCs/>
                <w:color w:val="auto"/>
                <w:kern w:val="0"/>
                <w:szCs w:val="21"/>
                <w:highlight w:val="none"/>
                <w:u w:val="single"/>
              </w:rPr>
              <w:t>投标人也可选择参加在线开标，具体按照交易平台相关指南进行操作。</w:t>
            </w:r>
          </w:p>
        </w:tc>
      </w:tr>
      <w:tr w14:paraId="2A91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B00863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2031B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3.9.6</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14:paraId="0B3D4662">
            <w:pPr>
              <w:spacing w:line="32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参加现场开标的投标人对开标结果有异议的，应当在开标现场提出，招标人应当当场作出答复，并制作记录。</w:t>
            </w:r>
          </w:p>
        </w:tc>
        <w:tc>
          <w:tcPr>
            <w:tcW w:w="4075" w:type="dxa"/>
            <w:tcBorders>
              <w:top w:val="single" w:color="auto" w:sz="4" w:space="0"/>
              <w:left w:val="single" w:color="auto" w:sz="4" w:space="0"/>
              <w:bottom w:val="single" w:color="auto" w:sz="4" w:space="0"/>
              <w:right w:val="single" w:color="auto" w:sz="4" w:space="0"/>
            </w:tcBorders>
            <w:shd w:val="clear" w:color="auto" w:fill="auto"/>
            <w:vAlign w:val="center"/>
          </w:tcPr>
          <w:p w14:paraId="6B5BC8CB">
            <w:pPr>
              <w:spacing w:line="320" w:lineRule="exact"/>
              <w:jc w:val="left"/>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b/>
                <w:bCs/>
                <w:color w:val="auto"/>
                <w:szCs w:val="22"/>
                <w:highlight w:val="none"/>
              </w:rPr>
              <w:t>修改：</w:t>
            </w:r>
            <w:r>
              <w:rPr>
                <w:rFonts w:hint="eastAsia" w:ascii="宋体" w:hAnsi="宋体" w:eastAsia="宋体" w:cs="宋体"/>
                <w:color w:val="auto"/>
                <w:kern w:val="2"/>
                <w:highlight w:val="none"/>
              </w:rPr>
              <w:t>参加现场开标的投标人对开标结果有异议的，应当在开标现场提出，招标人</w:t>
            </w:r>
            <w:r>
              <w:rPr>
                <w:rFonts w:hint="eastAsia" w:ascii="宋体" w:hAnsi="宋体" w:eastAsia="宋体" w:cs="宋体"/>
                <w:color w:val="auto"/>
                <w:kern w:val="2"/>
                <w:highlight w:val="none"/>
                <w:u w:val="none"/>
              </w:rPr>
              <w:t>（或招标代理机构）</w:t>
            </w:r>
            <w:r>
              <w:rPr>
                <w:rFonts w:hint="eastAsia" w:ascii="宋体" w:hAnsi="宋体" w:eastAsia="宋体" w:cs="宋体"/>
                <w:color w:val="auto"/>
                <w:kern w:val="2"/>
                <w:highlight w:val="none"/>
              </w:rPr>
              <w:t>应当当场作出答复，并制作记录。</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247BFD7">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FBD9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3.10.1</w:t>
            </w:r>
          </w:p>
        </w:tc>
        <w:tc>
          <w:tcPr>
            <w:tcW w:w="3733" w:type="dxa"/>
            <w:tcBorders>
              <w:top w:val="single" w:color="auto" w:sz="4" w:space="0"/>
              <w:left w:val="single" w:color="auto" w:sz="4" w:space="0"/>
              <w:bottom w:val="single" w:color="auto" w:sz="4" w:space="0"/>
              <w:right w:val="single" w:color="auto" w:sz="4" w:space="0"/>
            </w:tcBorders>
            <w:vAlign w:val="center"/>
          </w:tcPr>
          <w:p w14:paraId="03AE921A">
            <w:pPr>
              <w:rPr>
                <w:rFonts w:hint="eastAsia" w:ascii="宋体" w:hAnsi="宋体" w:cs="宋体"/>
                <w:color w:val="auto"/>
                <w:szCs w:val="21"/>
                <w:highlight w:val="none"/>
              </w:rPr>
            </w:pPr>
            <w:r>
              <w:rPr>
                <w:rFonts w:hint="eastAsia" w:ascii="宋体" w:hAnsi="宋体" w:cs="宋体"/>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4075" w:type="dxa"/>
            <w:tcBorders>
              <w:top w:val="single" w:color="auto" w:sz="4" w:space="0"/>
              <w:left w:val="single" w:color="auto" w:sz="4" w:space="0"/>
              <w:bottom w:val="single" w:color="auto" w:sz="4" w:space="0"/>
              <w:right w:val="single" w:color="auto" w:sz="4" w:space="0"/>
            </w:tcBorders>
            <w:vAlign w:val="center"/>
          </w:tcPr>
          <w:p w14:paraId="13C3B6E4">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u w:val="single"/>
              </w:rPr>
              <w:t>：投标人需要提交投标保证金。本项目投标保证金的金额：</w:t>
            </w:r>
            <w:r>
              <w:rPr>
                <w:rFonts w:hint="eastAsia" w:ascii="宋体" w:hAnsi="宋体" w:cs="宋体"/>
                <w:b/>
                <w:bCs/>
                <w:color w:val="auto"/>
                <w:szCs w:val="21"/>
                <w:highlight w:val="none"/>
                <w:u w:val="single"/>
              </w:rPr>
              <w:t>5万元</w:t>
            </w:r>
            <w:r>
              <w:rPr>
                <w:rFonts w:hint="eastAsia" w:ascii="宋体" w:hAnsi="宋体" w:cs="宋体"/>
                <w:color w:val="auto"/>
                <w:szCs w:val="21"/>
                <w:highlight w:val="none"/>
                <w:u w:val="single"/>
              </w:rPr>
              <w:t>人民币，缴纳时间在投标截止时间之前。</w:t>
            </w:r>
          </w:p>
          <w:p w14:paraId="17022451">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注：投标保证金有效期应当与投标文件有效期一致。</w:t>
            </w:r>
          </w:p>
          <w:p w14:paraId="7E0714C9">
            <w:pPr>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eastAsia" w:ascii="宋体" w:hAnsi="宋体" w:cs="宋体"/>
                <w:color w:val="auto"/>
                <w:szCs w:val="21"/>
                <w:highlight w:val="none"/>
                <w:u w:val="single"/>
              </w:rPr>
            </w:pPr>
            <w:r>
              <w:rPr>
                <w:rFonts w:hint="eastAsia" w:ascii="宋体" w:hAnsi="宋体" w:cs="宋体"/>
                <w:color w:val="auto"/>
                <w:szCs w:val="21"/>
                <w:highlight w:val="none"/>
                <w:u w:val="single"/>
              </w:rPr>
              <w:t>收取方式：</w:t>
            </w:r>
          </w:p>
          <w:p w14:paraId="1EF6853D">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（1）如采用现金、支票或者银行汇票、银行本票、银行电汇、银行转账形式提交的，由广州交易集团有限公司代收，投标保证金须从投标人基本账户递交；</w:t>
            </w:r>
          </w:p>
          <w:p w14:paraId="6FAA07A5">
            <w:pPr>
              <w:rPr>
                <w:rFonts w:hint="eastAsia" w:ascii="宋体" w:hAnsi="宋体" w:cs="宋体"/>
                <w:color w:val="auto"/>
                <w:szCs w:val="21"/>
                <w:highlight w:val="none"/>
                <w:u w:val="single"/>
              </w:rPr>
            </w:pPr>
            <w:r>
              <w:rPr>
                <w:rFonts w:hint="eastAsia" w:ascii="宋体" w:hAnsi="宋体" w:cs="宋体"/>
                <w:color w:val="auto"/>
                <w:szCs w:val="21"/>
                <w:highlight w:val="none"/>
                <w:u w:val="single"/>
              </w:rPr>
              <w:t>收款单位：广州交易集团有限公司</w:t>
            </w:r>
          </w:p>
          <w:p w14:paraId="58B80D4E">
            <w:pPr>
              <w:rPr>
                <w:rFonts w:hint="eastAsia" w:ascii="宋体" w:hAnsi="宋体" w:cs="宋体"/>
                <w:color w:val="auto"/>
                <w:szCs w:val="21"/>
                <w:highlight w:val="none"/>
                <w:u w:val="single"/>
              </w:rPr>
            </w:pPr>
            <w:r>
              <w:rPr>
                <w:rFonts w:hint="eastAsia" w:ascii="宋体" w:hAnsi="宋体" w:cs="宋体"/>
                <w:color w:val="auto"/>
                <w:szCs w:val="21"/>
                <w:highlight w:val="none"/>
                <w:u w:val="single"/>
              </w:rPr>
              <w:t>银行账号：44001583404059333333</w:t>
            </w:r>
          </w:p>
          <w:p w14:paraId="6883FD8C">
            <w:pPr>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开户银行：中国建设银行天润路支行</w:t>
            </w:r>
          </w:p>
          <w:p w14:paraId="45B5AC08">
            <w:pPr>
              <w:rPr>
                <w:rFonts w:hint="eastAsia" w:ascii="宋体" w:hAnsi="宋体" w:cs="宋体"/>
                <w:color w:val="auto"/>
                <w:szCs w:val="21"/>
                <w:highlight w:val="none"/>
                <w:u w:val="single"/>
              </w:rPr>
            </w:pPr>
            <w:r>
              <w:rPr>
                <w:rFonts w:hint="eastAsia" w:ascii="宋体" w:hAnsi="宋体" w:cs="宋体"/>
                <w:color w:val="auto"/>
                <w:szCs w:val="21"/>
                <w:highlight w:val="none"/>
                <w:u w:val="singl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eastAsia" w:ascii="宋体" w:hAnsi="宋体" w:cs="宋体"/>
                <w:color w:val="auto"/>
                <w:szCs w:val="21"/>
                <w:highlight w:val="none"/>
                <w:u w:val="single"/>
              </w:rPr>
            </w:pPr>
            <w:r>
              <w:rPr>
                <w:rFonts w:hint="eastAsia" w:ascii="宋体" w:hAnsi="宋体" w:cs="宋体"/>
                <w:color w:val="auto"/>
                <w:szCs w:val="21"/>
                <w:highlight w:val="none"/>
                <w:u w:val="single"/>
              </w:rPr>
              <w:t>（3）采用电子形式的保函、担保或保证保险提交投标保证金的，开具及递交以广州交易集团有限公司（广州公共资源交易中心）的相关操作指引为准。</w:t>
            </w:r>
          </w:p>
          <w:p w14:paraId="3AFC1AA6">
            <w:pPr>
              <w:rPr>
                <w:rFonts w:hint="eastAsia" w:ascii="宋体" w:hAnsi="宋体" w:cs="宋体"/>
                <w:color w:val="auto"/>
                <w:szCs w:val="21"/>
                <w:highlight w:val="none"/>
                <w:u w:val="single"/>
              </w:rPr>
            </w:pPr>
            <w:r>
              <w:rPr>
                <w:rFonts w:hint="eastAsia" w:ascii="宋体" w:hAnsi="宋体" w:cs="宋体"/>
                <w:color w:val="auto"/>
                <w:szCs w:val="21"/>
                <w:highlight w:val="none"/>
                <w:u w:val="single"/>
              </w:rPr>
              <w:t>（4）如联合体投标，投标保证金由联合体牵头方缴纳。</w:t>
            </w:r>
          </w:p>
          <w:p w14:paraId="14BEA3E0">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注：①对于未能按要求交纳投标保证金的投标人，招标人将视为不响应招标文件而予以拒绝，责任由投标人自负。</w:t>
            </w:r>
          </w:p>
          <w:p w14:paraId="01ADBCC3">
            <w:pPr>
              <w:rPr>
                <w:rFonts w:hint="eastAsia" w:ascii="宋体" w:hAnsi="宋体" w:cs="宋体"/>
                <w:color w:val="auto"/>
                <w:szCs w:val="21"/>
                <w:highlight w:val="none"/>
                <w:u w:val="single"/>
              </w:rPr>
            </w:pPr>
            <w:r>
              <w:rPr>
                <w:rFonts w:hint="eastAsia" w:ascii="宋体" w:hAnsi="宋体" w:cs="宋体"/>
                <w:color w:val="auto"/>
                <w:szCs w:val="21"/>
                <w:highlight w:val="none"/>
                <w:u w:val="single"/>
              </w:rPr>
              <w:t>②投标保证金有效期应长于或等于投标有效期，若投标有效期延长的，投标保证金有效期应相应延长，且延长后的有效期应满足前述要求。</w:t>
            </w:r>
          </w:p>
          <w:p w14:paraId="6A7ACAF4">
            <w:pPr>
              <w:rPr>
                <w:rFonts w:hint="eastAsia" w:ascii="宋体" w:hAnsi="宋体" w:cs="宋体"/>
                <w:color w:val="auto"/>
                <w:szCs w:val="21"/>
                <w:highlight w:val="none"/>
              </w:rPr>
            </w:pPr>
            <w:r>
              <w:rPr>
                <w:rFonts w:hint="eastAsia" w:ascii="宋体" w:hAnsi="宋体" w:cs="宋体"/>
                <w:color w:val="auto"/>
                <w:szCs w:val="21"/>
                <w:highlight w:val="none"/>
                <w:u w:val="singl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D733466">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728A59">
            <w:pPr>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3.10.2</w:t>
            </w:r>
          </w:p>
        </w:tc>
        <w:tc>
          <w:tcPr>
            <w:tcW w:w="3733" w:type="dxa"/>
            <w:tcBorders>
              <w:top w:val="single" w:color="auto" w:sz="4" w:space="0"/>
              <w:left w:val="single" w:color="auto" w:sz="4" w:space="0"/>
              <w:bottom w:val="single" w:color="auto" w:sz="4" w:space="0"/>
              <w:right w:val="single" w:color="auto" w:sz="4" w:space="0"/>
            </w:tcBorders>
            <w:vAlign w:val="center"/>
          </w:tcPr>
          <w:p w14:paraId="6843AE4F">
            <w:pPr>
              <w:snapToGrid w:val="0"/>
              <w:rPr>
                <w:rFonts w:hint="eastAsia" w:ascii="宋体" w:hAnsi="宋体" w:cs="宋体"/>
                <w:color w:val="auto"/>
                <w:szCs w:val="21"/>
                <w:highlight w:val="none"/>
              </w:rPr>
            </w:pPr>
            <w:r>
              <w:rPr>
                <w:rFonts w:hint="eastAsia" w:ascii="宋体" w:hAnsi="宋体" w:cs="宋体"/>
                <w:color w:val="auto"/>
                <w:kern w:val="0"/>
                <w:szCs w:val="21"/>
                <w:highlight w:val="none"/>
              </w:rPr>
              <w:t>投标有效期90天，</w:t>
            </w:r>
            <w:r>
              <w:rPr>
                <w:rFonts w:hint="eastAsia" w:ascii="宋体" w:hAnsi="宋体" w:cs="宋体"/>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4075" w:type="dxa"/>
            <w:tcBorders>
              <w:top w:val="single" w:color="auto" w:sz="4" w:space="0"/>
              <w:left w:val="single" w:color="auto" w:sz="4" w:space="0"/>
              <w:bottom w:val="single" w:color="auto" w:sz="4" w:space="0"/>
              <w:right w:val="single" w:color="auto" w:sz="4" w:space="0"/>
            </w:tcBorders>
            <w:vAlign w:val="center"/>
          </w:tcPr>
          <w:p w14:paraId="76EEE5A4">
            <w:pPr>
              <w:snapToGrid w:val="0"/>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：投标有效期90日历天，从提交投标文件截止日起计算</w:t>
            </w:r>
            <w:r>
              <w:rPr>
                <w:rFonts w:hint="eastAsia" w:ascii="宋体" w:hAnsi="宋体" w:cs="宋体"/>
                <w:color w:val="auto"/>
                <w:szCs w:val="21"/>
                <w:highlight w:val="none"/>
                <w:u w:val="single"/>
              </w:rPr>
              <w:t>，如出现异议或投诉，则投标有效期自动延长至异议或投诉处理结束。</w:t>
            </w:r>
            <w:r>
              <w:rPr>
                <w:rFonts w:hint="eastAsia" w:ascii="宋体" w:hAnsi="宋体" w:cs="宋体"/>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29326B">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EA07AD">
            <w:pPr>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3.11</w:t>
            </w:r>
          </w:p>
        </w:tc>
        <w:tc>
          <w:tcPr>
            <w:tcW w:w="3733" w:type="dxa"/>
            <w:tcBorders>
              <w:top w:val="single" w:color="auto" w:sz="4" w:space="0"/>
              <w:left w:val="nil"/>
              <w:bottom w:val="single" w:color="auto" w:sz="4" w:space="0"/>
              <w:right w:val="single" w:color="auto" w:sz="4" w:space="0"/>
            </w:tcBorders>
            <w:vAlign w:val="center"/>
          </w:tcPr>
          <w:p w14:paraId="592D6157">
            <w:pPr>
              <w:rPr>
                <w:rFonts w:hint="eastAsia" w:ascii="宋体" w:hAnsi="宋体" w:cs="宋体"/>
                <w:color w:val="auto"/>
                <w:szCs w:val="21"/>
                <w:highlight w:val="none"/>
              </w:rPr>
            </w:pPr>
            <w:r>
              <w:rPr>
                <w:rFonts w:hint="eastAsia" w:ascii="宋体" w:hAnsi="宋体" w:cs="宋体"/>
                <w:color w:val="auto"/>
                <w:szCs w:val="21"/>
                <w:highlight w:val="none"/>
              </w:rPr>
              <w:t>3.11</w:t>
            </w:r>
            <w:r>
              <w:rPr>
                <w:rFonts w:hint="eastAsia" w:ascii="宋体" w:hAnsi="宋体" w:cs="宋体"/>
                <w:b/>
                <w:color w:val="auto"/>
                <w:szCs w:val="21"/>
                <w:highlight w:val="none"/>
              </w:rPr>
              <w:t>投标人不得存在下列情形之一：</w:t>
            </w:r>
          </w:p>
          <w:p w14:paraId="29D08500">
            <w:pPr>
              <w:rPr>
                <w:rFonts w:hint="eastAsia" w:ascii="宋体" w:hAnsi="宋体" w:cs="宋体"/>
                <w:color w:val="auto"/>
                <w:szCs w:val="21"/>
                <w:highlight w:val="none"/>
              </w:rPr>
            </w:pPr>
            <w:r>
              <w:rPr>
                <w:rFonts w:hint="eastAsia" w:ascii="宋体" w:hAnsi="宋体" w:cs="宋体"/>
                <w:color w:val="auto"/>
                <w:szCs w:val="21"/>
                <w:highlight w:val="none"/>
              </w:rPr>
              <w:t xml:space="preserve"> （1）为招标人不具有独立法人资格的附属机构（单位）；</w:t>
            </w:r>
          </w:p>
          <w:p w14:paraId="5B5B97C1">
            <w:pPr>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37D33213">
            <w:pPr>
              <w:rPr>
                <w:rFonts w:hint="eastAsia"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267F9B9C">
            <w:pPr>
              <w:rPr>
                <w:rFonts w:hint="eastAsia"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68B06891">
            <w:pPr>
              <w:rPr>
                <w:rFonts w:hint="eastAsia" w:ascii="宋体" w:hAnsi="宋体" w:cs="宋体"/>
                <w:color w:val="auto"/>
                <w:szCs w:val="21"/>
                <w:highlight w:val="none"/>
              </w:rPr>
            </w:pPr>
            <w:r>
              <w:rPr>
                <w:rFonts w:hint="eastAsia" w:ascii="宋体" w:hAnsi="宋体" w:cs="宋体"/>
                <w:color w:val="auto"/>
                <w:szCs w:val="21"/>
                <w:highlight w:val="none"/>
              </w:rPr>
              <w:t>（5）为本招标项目的代建人；</w:t>
            </w:r>
          </w:p>
          <w:p w14:paraId="569ABE8B">
            <w:pPr>
              <w:rPr>
                <w:rFonts w:hint="eastAsia" w:ascii="宋体" w:hAnsi="宋体" w:cs="宋体"/>
                <w:color w:val="auto"/>
                <w:szCs w:val="21"/>
                <w:highlight w:val="none"/>
              </w:rPr>
            </w:pPr>
            <w:r>
              <w:rPr>
                <w:rFonts w:hint="eastAsia" w:ascii="宋体" w:hAnsi="宋体" w:cs="宋体"/>
                <w:color w:val="auto"/>
                <w:szCs w:val="21"/>
                <w:highlight w:val="none"/>
              </w:rPr>
              <w:t>（6）为本招标项目的招标代理机构；</w:t>
            </w:r>
          </w:p>
          <w:p w14:paraId="11A62EAB">
            <w:pPr>
              <w:rPr>
                <w:rFonts w:hint="eastAsia"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6FAD59F0">
            <w:pPr>
              <w:rPr>
                <w:rFonts w:hint="eastAsia"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3CFFD2B8">
            <w:pPr>
              <w:rPr>
                <w:rFonts w:hint="eastAsia" w:ascii="宋体" w:hAnsi="宋体" w:cs="宋体"/>
                <w:color w:val="auto"/>
                <w:szCs w:val="21"/>
                <w:highlight w:val="none"/>
              </w:rPr>
            </w:pPr>
            <w:r>
              <w:rPr>
                <w:rFonts w:hint="eastAsia" w:ascii="宋体" w:hAnsi="宋体" w:cs="宋体"/>
                <w:color w:val="auto"/>
                <w:szCs w:val="21"/>
                <w:highlight w:val="none"/>
              </w:rPr>
              <w:t>（9）被依法暂停或者取消投标资格；</w:t>
            </w:r>
          </w:p>
          <w:p w14:paraId="6B40DDDE">
            <w:pPr>
              <w:rPr>
                <w:rFonts w:hint="eastAsia"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p>
          <w:p w14:paraId="577ECD94">
            <w:pPr>
              <w:rPr>
                <w:rFonts w:hint="eastAsia"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0DA8F86E">
            <w:pPr>
              <w:rPr>
                <w:rFonts w:hint="eastAsia" w:ascii="宋体" w:hAnsi="宋体" w:cs="宋体"/>
                <w:color w:val="auto"/>
                <w:szCs w:val="21"/>
                <w:highlight w:val="none"/>
              </w:rPr>
            </w:pPr>
            <w:r>
              <w:rPr>
                <w:rFonts w:hint="eastAsia" w:ascii="宋体" w:hAnsi="宋体" w:cs="宋体"/>
                <w:color w:val="auto"/>
                <w:szCs w:val="21"/>
                <w:highlight w:val="none"/>
              </w:rPr>
              <w:t>（12）在最近三年内发生重大设计质量问题（以相关行业主管部门的行政处罚决定或司法机关出具的有关法律文书为准）；</w:t>
            </w:r>
          </w:p>
          <w:p w14:paraId="380A0BE9">
            <w:pPr>
              <w:rPr>
                <w:rFonts w:hint="eastAsia" w:ascii="宋体" w:hAnsi="宋体" w:cs="宋体"/>
                <w:color w:val="auto"/>
                <w:szCs w:val="21"/>
                <w:highlight w:val="none"/>
              </w:rPr>
            </w:pPr>
            <w:r>
              <w:rPr>
                <w:rFonts w:hint="eastAsia" w:ascii="宋体" w:hAnsi="宋体" w:cs="宋体"/>
                <w:color w:val="auto"/>
                <w:szCs w:val="21"/>
                <w:highlight w:val="none"/>
              </w:rPr>
              <w:t>（13）被工商行政管理机关在全国企业信用信息公示系统中列入严重违法失信企业名单；</w:t>
            </w:r>
          </w:p>
          <w:p w14:paraId="025D7C74">
            <w:pPr>
              <w:rPr>
                <w:rFonts w:hint="eastAsia" w:ascii="宋体" w:hAnsi="宋体" w:cs="宋体"/>
                <w:color w:val="auto"/>
                <w:szCs w:val="21"/>
                <w:highlight w:val="none"/>
              </w:rPr>
            </w:pPr>
            <w:r>
              <w:rPr>
                <w:rFonts w:hint="eastAsia" w:ascii="宋体" w:hAnsi="宋体" w:cs="宋体"/>
                <w:color w:val="auto"/>
                <w:szCs w:val="21"/>
                <w:highlight w:val="none"/>
              </w:rPr>
              <w:t>（14）被最高人民法院在“信用中国”网站（www.creditchina.gov.cn）或各级信用信息共享平台中列入失信被执行人名单；</w:t>
            </w:r>
          </w:p>
          <w:p w14:paraId="59F2917B">
            <w:pPr>
              <w:snapToGrid w:val="0"/>
              <w:rPr>
                <w:rFonts w:hint="eastAsia" w:ascii="宋体" w:hAnsi="宋体" w:cs="宋体"/>
                <w:color w:val="auto"/>
                <w:kern w:val="0"/>
                <w:szCs w:val="21"/>
                <w:highlight w:val="none"/>
              </w:rPr>
            </w:pPr>
            <w:r>
              <w:rPr>
                <w:rFonts w:hint="eastAsia" w:ascii="宋体" w:hAnsi="宋体" w:cs="宋体"/>
                <w:color w:val="auto"/>
                <w:szCs w:val="21"/>
                <w:highlight w:val="none"/>
              </w:rPr>
              <w:t>（15）在近三年内投标人或其法定代表人、拟委任的项目负责人有行贿犯罪行为的。</w:t>
            </w:r>
          </w:p>
        </w:tc>
        <w:tc>
          <w:tcPr>
            <w:tcW w:w="4075" w:type="dxa"/>
            <w:tcBorders>
              <w:top w:val="single" w:color="auto" w:sz="4" w:space="0"/>
              <w:left w:val="nil"/>
              <w:bottom w:val="single" w:color="auto" w:sz="4" w:space="0"/>
              <w:right w:val="single" w:color="auto" w:sz="4" w:space="0"/>
            </w:tcBorders>
            <w:vAlign w:val="center"/>
          </w:tcPr>
          <w:p w14:paraId="3F6ED306">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3.11</w:t>
            </w:r>
            <w:r>
              <w:rPr>
                <w:rFonts w:hint="eastAsia" w:ascii="宋体" w:hAnsi="宋体" w:cs="宋体"/>
                <w:b/>
                <w:color w:val="auto"/>
                <w:szCs w:val="21"/>
                <w:highlight w:val="none"/>
              </w:rPr>
              <w:t>投标人不得存在下列情形之一：</w:t>
            </w:r>
          </w:p>
          <w:p w14:paraId="4E11CE59">
            <w:pPr>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7F06B97D">
            <w:pPr>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1D86988">
            <w:pPr>
              <w:rPr>
                <w:rFonts w:hint="eastAsia"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67BC18E8">
            <w:pPr>
              <w:rPr>
                <w:rFonts w:hint="eastAsia"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35BA636B">
            <w:pPr>
              <w:rPr>
                <w:rFonts w:hint="eastAsia" w:ascii="宋体" w:hAnsi="宋体" w:cs="宋体"/>
                <w:color w:val="auto"/>
                <w:szCs w:val="21"/>
                <w:highlight w:val="none"/>
              </w:rPr>
            </w:pPr>
            <w:r>
              <w:rPr>
                <w:rFonts w:hint="eastAsia" w:ascii="宋体" w:hAnsi="宋体" w:cs="宋体"/>
                <w:color w:val="auto"/>
                <w:szCs w:val="21"/>
                <w:highlight w:val="none"/>
              </w:rPr>
              <w:t>（5）为本招标项目的代建人；</w:t>
            </w:r>
          </w:p>
          <w:p w14:paraId="7499EA46">
            <w:pPr>
              <w:rPr>
                <w:rFonts w:hint="eastAsia" w:ascii="宋体" w:hAnsi="宋体" w:cs="宋体"/>
                <w:color w:val="auto"/>
                <w:szCs w:val="21"/>
                <w:highlight w:val="none"/>
              </w:rPr>
            </w:pPr>
            <w:r>
              <w:rPr>
                <w:rFonts w:hint="eastAsia" w:ascii="宋体" w:hAnsi="宋体" w:cs="宋体"/>
                <w:color w:val="auto"/>
                <w:szCs w:val="21"/>
                <w:highlight w:val="none"/>
              </w:rPr>
              <w:t>（6）为本招标项目的招标代理机构；</w:t>
            </w:r>
          </w:p>
          <w:p w14:paraId="387CA023">
            <w:pPr>
              <w:rPr>
                <w:rFonts w:hint="eastAsia"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09F23E21">
            <w:pPr>
              <w:rPr>
                <w:rFonts w:hint="eastAsia"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68D6A767">
            <w:pPr>
              <w:rPr>
                <w:rFonts w:hint="eastAsia" w:ascii="宋体" w:hAnsi="宋体" w:cs="宋体"/>
                <w:color w:val="auto"/>
                <w:szCs w:val="21"/>
                <w:highlight w:val="none"/>
                <w:u w:val="single"/>
              </w:rPr>
            </w:pPr>
            <w:r>
              <w:rPr>
                <w:rFonts w:hint="eastAsia" w:ascii="宋体" w:hAnsi="宋体" w:cs="宋体"/>
                <w:color w:val="auto"/>
                <w:szCs w:val="21"/>
                <w:highlight w:val="none"/>
              </w:rPr>
              <w:t>（9）被依法暂停或者取消投标资格；</w:t>
            </w:r>
            <w:r>
              <w:rPr>
                <w:rFonts w:hint="eastAsia" w:ascii="宋体" w:hAnsi="宋体" w:cs="宋体"/>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hint="eastAsia"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r>
              <w:rPr>
                <w:rFonts w:hint="eastAsia" w:ascii="宋体" w:hAnsi="宋体" w:cs="宋体"/>
                <w:color w:val="auto"/>
                <w:szCs w:val="21"/>
                <w:highlight w:val="none"/>
                <w:u w:val="single"/>
              </w:rPr>
              <w:t>（本项事实应当以根据《中华人民共和国行政处罚法》依法作出并已经生效的行政处罚决定为认定依据。）</w:t>
            </w:r>
            <w:r>
              <w:rPr>
                <w:rFonts w:hint="eastAsia" w:ascii="宋体" w:hAnsi="宋体" w:cs="宋体"/>
                <w:color w:val="auto"/>
                <w:szCs w:val="21"/>
                <w:highlight w:val="none"/>
              </w:rPr>
              <w:t>；</w:t>
            </w:r>
          </w:p>
          <w:p w14:paraId="79A49CF0">
            <w:pPr>
              <w:rPr>
                <w:rFonts w:hint="eastAsia"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16409A27">
            <w:pPr>
              <w:snapToGrid w:val="0"/>
              <w:rPr>
                <w:rFonts w:hint="eastAsia" w:ascii="宋体" w:hAnsi="宋体" w:cs="宋体"/>
                <w:color w:val="auto"/>
                <w:szCs w:val="21"/>
                <w:highlight w:val="none"/>
              </w:rPr>
            </w:pPr>
            <w:r>
              <w:rPr>
                <w:rFonts w:hint="eastAsia" w:ascii="宋体" w:hAnsi="宋体" w:cs="宋体"/>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62AEC8B">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6FD908">
            <w:pPr>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4.1.2</w:t>
            </w:r>
          </w:p>
        </w:tc>
        <w:tc>
          <w:tcPr>
            <w:tcW w:w="3733" w:type="dxa"/>
            <w:tcBorders>
              <w:top w:val="single" w:color="auto" w:sz="4" w:space="0"/>
              <w:left w:val="nil"/>
              <w:bottom w:val="single" w:color="auto" w:sz="4" w:space="0"/>
              <w:right w:val="single" w:color="auto" w:sz="4" w:space="0"/>
            </w:tcBorders>
            <w:vAlign w:val="center"/>
          </w:tcPr>
          <w:p w14:paraId="16AC6AAC">
            <w:pPr>
              <w:snapToGrid w:val="0"/>
              <w:rPr>
                <w:rFonts w:hint="eastAsia" w:ascii="宋体" w:hAnsi="宋体" w:cs="宋体"/>
                <w:color w:val="auto"/>
                <w:szCs w:val="21"/>
                <w:highlight w:val="none"/>
              </w:rPr>
            </w:pPr>
            <w:r>
              <w:rPr>
                <w:rFonts w:hint="eastAsia" w:ascii="宋体" w:hAnsi="宋体" w:cs="宋体"/>
                <w:color w:val="auto"/>
                <w:szCs w:val="21"/>
                <w:highlight w:val="none"/>
              </w:rPr>
              <w:t>4.1.2  有下列情况之一的，评标委员会应当否决其投标：</w:t>
            </w:r>
          </w:p>
          <w:p w14:paraId="2AF3DACB">
            <w:pPr>
              <w:snapToGrid w:val="0"/>
              <w:rPr>
                <w:rFonts w:hint="eastAsia" w:ascii="宋体" w:hAnsi="宋体" w:cs="宋体"/>
                <w:color w:val="auto"/>
                <w:szCs w:val="21"/>
                <w:highlight w:val="none"/>
              </w:rPr>
            </w:pPr>
            <w:r>
              <w:rPr>
                <w:rFonts w:hint="eastAsia" w:ascii="宋体" w:hAnsi="宋体" w:cs="宋体"/>
                <w:color w:val="auto"/>
                <w:szCs w:val="21"/>
                <w:highlight w:val="none"/>
              </w:rPr>
              <w:t>(a)《投标书》未加盖投标人公章，也未经法定代表人或者其授权代表签字；</w:t>
            </w:r>
          </w:p>
          <w:p w14:paraId="3C18D1D3">
            <w:pPr>
              <w:snapToGrid w:val="0"/>
              <w:rPr>
                <w:rFonts w:hint="eastAsia" w:ascii="宋体" w:hAnsi="宋体" w:cs="宋体"/>
                <w:color w:val="auto"/>
                <w:szCs w:val="21"/>
                <w:highlight w:val="none"/>
              </w:rPr>
            </w:pPr>
            <w:r>
              <w:rPr>
                <w:rFonts w:hint="eastAsia" w:ascii="宋体" w:hAnsi="宋体" w:cs="宋体"/>
                <w:color w:val="auto"/>
                <w:szCs w:val="21"/>
                <w:highlight w:val="none"/>
              </w:rPr>
              <w:t>(b)《投标书》包含有招标人不能接受的偏差，并且投标人拒绝书面撤回偏差；</w:t>
            </w:r>
            <w:r>
              <w:rPr>
                <w:rFonts w:hint="eastAsia" w:ascii="宋体" w:hAnsi="宋体" w:cs="宋体"/>
                <w:color w:val="auto"/>
                <w:szCs w:val="21"/>
                <w:highlight w:val="none"/>
              </w:rPr>
              <w:br w:type="textWrapping"/>
            </w:r>
            <w:r>
              <w:rPr>
                <w:rFonts w:hint="eastAsia" w:ascii="宋体" w:hAnsi="宋体" w:cs="宋体"/>
                <w:color w:val="auto"/>
                <w:szCs w:val="21"/>
                <w:highlight w:val="none"/>
              </w:rPr>
              <w:t>(c) 《投标人声明》未按规定格式填写或未加盖投标人公章（适用于未设资格审查环节的项目）；</w:t>
            </w:r>
          </w:p>
        </w:tc>
        <w:tc>
          <w:tcPr>
            <w:tcW w:w="4075" w:type="dxa"/>
            <w:tcBorders>
              <w:top w:val="single" w:color="auto" w:sz="4" w:space="0"/>
              <w:left w:val="nil"/>
              <w:bottom w:val="single" w:color="auto" w:sz="4" w:space="0"/>
              <w:right w:val="single" w:color="auto" w:sz="4" w:space="0"/>
            </w:tcBorders>
            <w:vAlign w:val="center"/>
          </w:tcPr>
          <w:p w14:paraId="42ED27A4">
            <w:pPr>
              <w:ind w:left="373" w:hanging="373" w:hangingChars="177"/>
              <w:rPr>
                <w:rFonts w:hint="eastAsia" w:ascii="宋体" w:hAnsi="宋体" w:cs="宋体"/>
                <w:b/>
                <w:color w:val="auto"/>
                <w:szCs w:val="21"/>
                <w:highlight w:val="none"/>
              </w:rPr>
            </w:pPr>
            <w:r>
              <w:rPr>
                <w:rFonts w:hint="eastAsia" w:ascii="宋体" w:hAnsi="宋体" w:cs="宋体"/>
                <w:b/>
                <w:color w:val="auto"/>
                <w:szCs w:val="21"/>
                <w:highlight w:val="none"/>
              </w:rPr>
              <w:t>修改：</w:t>
            </w:r>
          </w:p>
          <w:p w14:paraId="742AB384">
            <w:pPr>
              <w:snapToGrid w:val="0"/>
              <w:rPr>
                <w:rFonts w:hint="eastAsia" w:ascii="宋体" w:hAnsi="宋体" w:cs="宋体"/>
                <w:color w:val="auto"/>
                <w:szCs w:val="21"/>
                <w:highlight w:val="none"/>
              </w:rPr>
            </w:pPr>
            <w:r>
              <w:rPr>
                <w:rFonts w:hint="eastAsia" w:ascii="宋体" w:hAnsi="宋体" w:cs="宋体"/>
                <w:color w:val="auto"/>
                <w:szCs w:val="21"/>
                <w:highlight w:val="none"/>
              </w:rPr>
              <w:t>4.1.2  有下列情况之一的，评标委员会应当否决其投标：</w:t>
            </w:r>
          </w:p>
          <w:p w14:paraId="057EBDDB">
            <w:pPr>
              <w:snapToGrid w:val="0"/>
              <w:rPr>
                <w:rFonts w:hint="eastAsia" w:ascii="宋体" w:hAnsi="宋体" w:cs="宋体"/>
                <w:color w:val="auto"/>
                <w:szCs w:val="21"/>
                <w:highlight w:val="none"/>
              </w:rPr>
            </w:pPr>
            <w:r>
              <w:rPr>
                <w:rFonts w:hint="eastAsia" w:ascii="宋体" w:hAnsi="宋体" w:cs="宋体"/>
                <w:color w:val="auto"/>
                <w:szCs w:val="21"/>
                <w:highlight w:val="none"/>
              </w:rPr>
              <w:t>(a) 《投标书》未加盖</w:t>
            </w:r>
            <w:r>
              <w:rPr>
                <w:rFonts w:hint="eastAsia" w:ascii="宋体" w:hAnsi="宋体" w:cs="宋体"/>
                <w:color w:val="auto"/>
                <w:szCs w:val="21"/>
                <w:highlight w:val="none"/>
                <w:u w:val="single"/>
              </w:rPr>
              <w:t>投标人电子印章</w:t>
            </w:r>
            <w:r>
              <w:rPr>
                <w:rFonts w:hint="eastAsia" w:ascii="宋体" w:hAnsi="宋体" w:cs="宋体"/>
                <w:color w:val="auto"/>
                <w:szCs w:val="21"/>
                <w:highlight w:val="none"/>
              </w:rPr>
              <w:t>，也未经法定代表人</w:t>
            </w:r>
            <w:r>
              <w:rPr>
                <w:rFonts w:hint="eastAsia" w:ascii="宋体" w:hAnsi="宋体" w:cs="宋体"/>
                <w:color w:val="auto"/>
                <w:szCs w:val="21"/>
                <w:highlight w:val="none"/>
                <w:u w:val="single"/>
              </w:rPr>
              <w:t>、委托代理人及项目负责人签字（或盖章）</w:t>
            </w:r>
            <w:r>
              <w:rPr>
                <w:rFonts w:hint="eastAsia" w:ascii="宋体" w:hAnsi="宋体" w:cs="宋体"/>
                <w:color w:val="auto"/>
                <w:szCs w:val="21"/>
                <w:highlight w:val="none"/>
              </w:rPr>
              <w:t>；</w:t>
            </w:r>
          </w:p>
          <w:p w14:paraId="0F3B4335">
            <w:pPr>
              <w:snapToGrid w:val="0"/>
              <w:rPr>
                <w:rFonts w:hint="eastAsia" w:ascii="宋体" w:hAnsi="宋体" w:cs="宋体"/>
                <w:color w:val="auto"/>
                <w:szCs w:val="21"/>
                <w:highlight w:val="none"/>
              </w:rPr>
            </w:pPr>
            <w:r>
              <w:rPr>
                <w:rFonts w:hint="eastAsia" w:ascii="宋体" w:hAnsi="宋体" w:cs="宋体"/>
                <w:color w:val="auto"/>
                <w:szCs w:val="21"/>
                <w:highlight w:val="none"/>
              </w:rPr>
              <w:t>(b) 《投标书》包含有招标人不能接受的偏差，并且投标人拒绝书面撤回偏差；</w:t>
            </w:r>
            <w:r>
              <w:rPr>
                <w:rFonts w:hint="eastAsia" w:ascii="宋体" w:hAnsi="宋体" w:cs="宋体"/>
                <w:color w:val="auto"/>
                <w:szCs w:val="21"/>
                <w:highlight w:val="none"/>
              </w:rPr>
              <w:br w:type="textWrapping"/>
            </w:r>
            <w:r>
              <w:rPr>
                <w:rFonts w:hint="eastAsia" w:ascii="宋体" w:hAnsi="宋体" w:cs="宋体"/>
                <w:color w:val="auto"/>
                <w:szCs w:val="21"/>
                <w:highlight w:val="none"/>
              </w:rPr>
              <w:t>(c) 《投标人声明》未按规定格式填写或未加盖投标人</w:t>
            </w:r>
            <w:r>
              <w:rPr>
                <w:rFonts w:hint="eastAsia" w:ascii="宋体" w:hAnsi="宋体" w:cs="宋体"/>
                <w:color w:val="auto"/>
                <w:highlight w:val="none"/>
              </w:rPr>
              <w:t>电子印章</w:t>
            </w:r>
            <w:r>
              <w:rPr>
                <w:rFonts w:hint="eastAsia" w:ascii="宋体" w:hAnsi="宋体" w:cs="宋体"/>
                <w:color w:val="auto"/>
                <w:szCs w:val="21"/>
                <w:highlight w:val="none"/>
              </w:rPr>
              <w:t>；</w:t>
            </w:r>
          </w:p>
          <w:p w14:paraId="58746FC2">
            <w:pPr>
              <w:snapToGrid w:val="0"/>
              <w:rPr>
                <w:rFonts w:hint="eastAsia" w:ascii="宋体" w:hAnsi="宋体" w:cs="宋体"/>
                <w:color w:val="auto"/>
                <w:szCs w:val="21"/>
                <w:highlight w:val="none"/>
              </w:rPr>
            </w:pPr>
            <w:r>
              <w:rPr>
                <w:rFonts w:hint="eastAsia" w:ascii="宋体" w:hAnsi="宋体" w:cs="宋体"/>
                <w:color w:val="auto"/>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ADA684">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527FB03">
            <w:pPr>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4.1.3</w:t>
            </w:r>
          </w:p>
        </w:tc>
        <w:tc>
          <w:tcPr>
            <w:tcW w:w="3733" w:type="dxa"/>
            <w:tcBorders>
              <w:top w:val="single" w:color="auto" w:sz="4" w:space="0"/>
              <w:left w:val="nil"/>
              <w:bottom w:val="single" w:color="auto" w:sz="4" w:space="0"/>
              <w:right w:val="single" w:color="auto" w:sz="4" w:space="0"/>
            </w:tcBorders>
            <w:vAlign w:val="center"/>
          </w:tcPr>
          <w:p w14:paraId="0F85BEC0">
            <w:pPr>
              <w:rPr>
                <w:rFonts w:hint="eastAsia" w:ascii="宋体" w:hAnsi="宋体" w:cs="宋体"/>
                <w:color w:val="auto"/>
                <w:szCs w:val="21"/>
                <w:highlight w:val="none"/>
              </w:rPr>
            </w:pPr>
            <w:r>
              <w:rPr>
                <w:rFonts w:hint="eastAsia" w:ascii="宋体" w:hAnsi="宋体" w:cs="宋体"/>
                <w:color w:val="auto"/>
                <w:szCs w:val="21"/>
                <w:highlight w:val="none"/>
              </w:rPr>
              <w:t>4.1.3  投标文件有下列情况之一的，评标委员会应当否决其投标：</w:t>
            </w:r>
          </w:p>
          <w:p w14:paraId="6E4EF5E0">
            <w:pPr>
              <w:jc w:val="left"/>
              <w:rPr>
                <w:rFonts w:hint="eastAsia" w:ascii="宋体" w:hAnsi="宋体" w:cs="宋体"/>
                <w:color w:val="auto"/>
                <w:szCs w:val="21"/>
                <w:highlight w:val="none"/>
              </w:rPr>
            </w:pPr>
            <w:r>
              <w:rPr>
                <w:rFonts w:hint="eastAsia" w:ascii="宋体" w:hAnsi="宋体" w:cs="宋体"/>
                <w:color w:val="auto"/>
                <w:szCs w:val="21"/>
                <w:highlight w:val="none"/>
              </w:rPr>
              <w:t>(a) 投标人与其他投标人加密打包投标文件电脑机器特征码一致的；</w:t>
            </w:r>
          </w:p>
          <w:p w14:paraId="7C39907D">
            <w:pPr>
              <w:rPr>
                <w:rFonts w:hint="eastAsia" w:ascii="宋体" w:hAnsi="宋体" w:cs="宋体"/>
                <w:color w:val="auto"/>
                <w:szCs w:val="21"/>
                <w:highlight w:val="none"/>
              </w:rPr>
            </w:pPr>
            <w:r>
              <w:rPr>
                <w:rFonts w:hint="eastAsia" w:ascii="宋体" w:hAnsi="宋体" w:cs="宋体"/>
                <w:color w:val="auto"/>
                <w:szCs w:val="21"/>
                <w:highlight w:val="none"/>
              </w:rPr>
              <w:t>(b) 投标人在设计方案内标注名称、印章、商标、图形等记认符号，使人辨认出投标人或其专业技术人员的身份；</w:t>
            </w:r>
          </w:p>
          <w:p w14:paraId="4B2896B3">
            <w:pPr>
              <w:rPr>
                <w:rFonts w:hint="eastAsia" w:ascii="宋体" w:hAnsi="宋体" w:cs="宋体"/>
                <w:color w:val="auto"/>
                <w:szCs w:val="21"/>
                <w:highlight w:val="none"/>
              </w:rPr>
            </w:pPr>
            <w:r>
              <w:rPr>
                <w:rFonts w:hint="eastAsia" w:ascii="宋体" w:hAnsi="宋体" w:cs="宋体"/>
                <w:color w:val="auto"/>
                <w:szCs w:val="21"/>
                <w:highlight w:val="none"/>
              </w:rPr>
              <w:t>(c)投标人之间存在《广东省实施&lt;中华人民共和国招标投标法&gt;》第十六条所禁止的情形的；</w:t>
            </w:r>
          </w:p>
          <w:p w14:paraId="5DA4A9F1">
            <w:pPr>
              <w:rPr>
                <w:rFonts w:hint="eastAsia" w:ascii="宋体" w:hAnsi="宋体" w:cs="宋体"/>
                <w:color w:val="auto"/>
                <w:szCs w:val="21"/>
                <w:highlight w:val="none"/>
              </w:rPr>
            </w:pPr>
            <w:r>
              <w:rPr>
                <w:rFonts w:hint="eastAsia" w:ascii="宋体" w:hAnsi="宋体" w:cs="宋体"/>
                <w:color w:val="auto"/>
                <w:szCs w:val="21"/>
                <w:highlight w:val="none"/>
              </w:rPr>
              <w:t>（d）投标报价高于最高投标限价的。</w:t>
            </w:r>
          </w:p>
        </w:tc>
        <w:tc>
          <w:tcPr>
            <w:tcW w:w="4075" w:type="dxa"/>
            <w:tcBorders>
              <w:top w:val="single" w:color="auto" w:sz="4" w:space="0"/>
              <w:left w:val="nil"/>
              <w:bottom w:val="single" w:color="auto" w:sz="4" w:space="0"/>
              <w:right w:val="single" w:color="auto" w:sz="4" w:space="0"/>
            </w:tcBorders>
            <w:vAlign w:val="center"/>
          </w:tcPr>
          <w:p w14:paraId="4A19085E">
            <w:pPr>
              <w:rPr>
                <w:rFonts w:hint="eastAsia" w:ascii="宋体" w:hAnsi="宋体" w:cs="宋体"/>
                <w:b/>
                <w:color w:val="auto"/>
                <w:szCs w:val="21"/>
                <w:highlight w:val="none"/>
              </w:rPr>
            </w:pPr>
            <w:r>
              <w:rPr>
                <w:rFonts w:hint="eastAsia" w:ascii="宋体" w:hAnsi="宋体" w:cs="宋体"/>
                <w:b/>
                <w:color w:val="auto"/>
                <w:szCs w:val="21"/>
                <w:highlight w:val="none"/>
              </w:rPr>
              <w:t>修改：</w:t>
            </w:r>
          </w:p>
          <w:p w14:paraId="1F1440BF">
            <w:pPr>
              <w:rPr>
                <w:rFonts w:hint="eastAsia" w:ascii="宋体" w:hAnsi="宋体" w:cs="宋体"/>
                <w:color w:val="auto"/>
                <w:szCs w:val="21"/>
                <w:highlight w:val="none"/>
              </w:rPr>
            </w:pPr>
            <w:r>
              <w:rPr>
                <w:rFonts w:hint="eastAsia" w:ascii="宋体" w:hAnsi="宋体" w:cs="宋体"/>
                <w:color w:val="auto"/>
                <w:szCs w:val="21"/>
                <w:highlight w:val="none"/>
              </w:rPr>
              <w:t>4.1.3  投标文件有下列情况之一的，评标委员会应当否决其投标：</w:t>
            </w:r>
          </w:p>
          <w:p w14:paraId="1EE49BBC">
            <w:pPr>
              <w:jc w:val="left"/>
              <w:rPr>
                <w:rFonts w:hint="eastAsia" w:ascii="宋体" w:hAnsi="宋体" w:cs="宋体"/>
                <w:color w:val="auto"/>
                <w:szCs w:val="21"/>
                <w:highlight w:val="none"/>
              </w:rPr>
            </w:pPr>
            <w:r>
              <w:rPr>
                <w:rFonts w:hint="eastAsia" w:ascii="宋体" w:hAnsi="宋体" w:cs="宋体"/>
                <w:color w:val="auto"/>
                <w:szCs w:val="21"/>
                <w:highlight w:val="none"/>
              </w:rPr>
              <w:t>(a) 投标人与</w:t>
            </w:r>
            <w:r>
              <w:rPr>
                <w:rFonts w:hint="eastAsia" w:ascii="宋体" w:hAnsi="宋体" w:cs="宋体"/>
                <w:b/>
                <w:bCs/>
                <w:color w:val="auto"/>
                <w:szCs w:val="21"/>
                <w:highlight w:val="none"/>
                <w:u w:val="single"/>
              </w:rPr>
              <w:t>本项目</w:t>
            </w:r>
            <w:r>
              <w:rPr>
                <w:rFonts w:hint="eastAsia" w:ascii="宋体" w:hAnsi="宋体" w:cs="宋体"/>
                <w:color w:val="auto"/>
                <w:szCs w:val="21"/>
                <w:highlight w:val="none"/>
              </w:rPr>
              <w:t>其他投标人加密打包投标文件电脑机器特征码一致的；</w:t>
            </w:r>
          </w:p>
          <w:p w14:paraId="58DC4094">
            <w:pPr>
              <w:rPr>
                <w:rFonts w:hint="eastAsia" w:ascii="宋体" w:hAnsi="宋体" w:cs="宋体"/>
                <w:color w:val="auto"/>
                <w:szCs w:val="21"/>
                <w:highlight w:val="none"/>
              </w:rPr>
            </w:pPr>
            <w:r>
              <w:rPr>
                <w:rFonts w:hint="eastAsia" w:ascii="宋体" w:hAnsi="宋体" w:cs="宋体"/>
                <w:color w:val="auto"/>
                <w:szCs w:val="21"/>
                <w:highlight w:val="none"/>
              </w:rPr>
              <w:t>((b)投标人在勘察设计方案内标注名称、印章、商标、图形等记认符号，使人辩认出投标人或其专业技术人员的身份；</w:t>
            </w:r>
          </w:p>
          <w:p w14:paraId="40C39EF1">
            <w:pPr>
              <w:rPr>
                <w:rFonts w:hint="eastAsia" w:ascii="宋体" w:hAnsi="宋体" w:cs="宋体"/>
                <w:color w:val="auto"/>
                <w:szCs w:val="21"/>
                <w:highlight w:val="none"/>
              </w:rPr>
            </w:pPr>
            <w:r>
              <w:rPr>
                <w:rFonts w:hint="eastAsia" w:ascii="宋体" w:hAnsi="宋体" w:cs="宋体"/>
                <w:color w:val="auto"/>
                <w:szCs w:val="21"/>
                <w:highlight w:val="none"/>
              </w:rPr>
              <w:t>(c)投标人之间存在《广东省实施&lt;中华人民共和国招标投标法&gt;》第十六条所禁止的情形的；</w:t>
            </w:r>
          </w:p>
          <w:p w14:paraId="1A9F4989">
            <w:pPr>
              <w:rPr>
                <w:rFonts w:hint="eastAsia" w:ascii="宋体" w:hAnsi="宋体" w:cs="宋体"/>
                <w:color w:val="auto"/>
                <w:szCs w:val="21"/>
                <w:highlight w:val="none"/>
                <w:u w:val="single"/>
              </w:rPr>
            </w:pPr>
            <w:r>
              <w:rPr>
                <w:rFonts w:hint="eastAsia" w:ascii="宋体" w:hAnsi="宋体" w:cs="宋体"/>
                <w:color w:val="auto"/>
                <w:szCs w:val="21"/>
                <w:highlight w:val="none"/>
                <w:u w:val="single"/>
              </w:rPr>
              <w:t>(d)投标总报价高于最高投标限价总价的或各分项投标报价高于各分项最高投标限价的。</w:t>
            </w:r>
          </w:p>
          <w:p w14:paraId="02E815E1">
            <w:pPr>
              <w:rPr>
                <w:rFonts w:hint="eastAsia" w:ascii="宋体" w:hAnsi="宋体" w:cs="宋体"/>
                <w:color w:val="auto"/>
                <w:szCs w:val="21"/>
                <w:highlight w:val="none"/>
                <w:u w:val="single"/>
              </w:rPr>
            </w:pPr>
            <w:r>
              <w:rPr>
                <w:rFonts w:hint="eastAsia" w:ascii="宋体" w:hAnsi="宋体" w:cs="宋体"/>
                <w:color w:val="auto"/>
                <w:szCs w:val="21"/>
                <w:highlight w:val="none"/>
                <w:u w:val="single"/>
              </w:rPr>
              <w:t>(e)未按照招标文件要求进行投标报价，未按招标文件附件3、附件3-1、附件3-2填报报价；</w:t>
            </w:r>
          </w:p>
          <w:p w14:paraId="4051B53C">
            <w:pPr>
              <w:rPr>
                <w:rFonts w:hint="eastAsia" w:ascii="宋体" w:hAnsi="宋体" w:cs="宋体"/>
                <w:color w:val="auto"/>
                <w:szCs w:val="21"/>
                <w:highlight w:val="none"/>
                <w:u w:val="single"/>
              </w:rPr>
            </w:pPr>
            <w:r>
              <w:rPr>
                <w:rFonts w:hint="eastAsia" w:ascii="宋体" w:hAnsi="宋体" w:cs="宋体"/>
                <w:color w:val="auto"/>
                <w:szCs w:val="21"/>
                <w:highlight w:val="none"/>
                <w:u w:val="single"/>
              </w:rPr>
              <w:t>(f)勘察初步设计方案发现互相雷同和串通投标（串通投标情形以《中华人民共和国招标投标法实施条例》的规定为准），或者发现明显抄袭行为，或者发现侵犯他人著作权和特许权；</w:t>
            </w:r>
          </w:p>
          <w:p w14:paraId="481CF5B1">
            <w:pPr>
              <w:rPr>
                <w:rFonts w:hint="eastAsia" w:ascii="宋体" w:hAnsi="宋体" w:cs="宋体"/>
                <w:color w:val="auto"/>
                <w:szCs w:val="21"/>
                <w:highlight w:val="none"/>
                <w:u w:val="single"/>
              </w:rPr>
            </w:pPr>
            <w:r>
              <w:rPr>
                <w:rFonts w:hint="eastAsia" w:ascii="宋体" w:hAnsi="宋体" w:cs="宋体"/>
                <w:color w:val="auto"/>
                <w:szCs w:val="21"/>
                <w:highlight w:val="none"/>
                <w:u w:val="single"/>
              </w:rPr>
              <w:t>（g）未按照要求（必要时）对投标文件进行澄清、说明或者补正。</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B26E732">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0234A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3733" w:type="dxa"/>
            <w:tcBorders>
              <w:top w:val="single" w:color="auto" w:sz="4" w:space="0"/>
              <w:left w:val="single" w:color="auto" w:sz="4" w:space="0"/>
              <w:bottom w:val="single" w:color="auto" w:sz="4" w:space="0"/>
              <w:right w:val="single" w:color="auto" w:sz="4" w:space="0"/>
            </w:tcBorders>
            <w:vAlign w:val="center"/>
          </w:tcPr>
          <w:p w14:paraId="036855AE">
            <w:pPr>
              <w:rPr>
                <w:rFonts w:hint="eastAsia" w:ascii="宋体" w:hAnsi="宋体" w:cs="宋体"/>
                <w:color w:val="auto"/>
                <w:kern w:val="0"/>
                <w:szCs w:val="21"/>
                <w:highlight w:val="none"/>
              </w:rPr>
            </w:pPr>
            <w:r>
              <w:rPr>
                <w:rFonts w:hint="eastAsia" w:ascii="宋体" w:hAnsi="宋体" w:cs="宋体"/>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4075" w:type="dxa"/>
            <w:tcBorders>
              <w:top w:val="single" w:color="auto" w:sz="4" w:space="0"/>
              <w:left w:val="single" w:color="auto" w:sz="4" w:space="0"/>
              <w:bottom w:val="single" w:color="auto" w:sz="4" w:space="0"/>
              <w:right w:val="single" w:color="auto" w:sz="4" w:space="0"/>
            </w:tcBorders>
            <w:vAlign w:val="center"/>
          </w:tcPr>
          <w:p w14:paraId="33C35DDE">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w:t>
            </w:r>
            <w:r>
              <w:rPr>
                <w:rFonts w:hint="eastAsia" w:ascii="宋体" w:hAnsi="宋体" w:cs="宋体"/>
                <w:color w:val="auto"/>
                <w:szCs w:val="21"/>
                <w:highlight w:val="none"/>
                <w:u w:val="singl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0D371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CD53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4.4.4</w:t>
            </w:r>
          </w:p>
        </w:tc>
        <w:tc>
          <w:tcPr>
            <w:tcW w:w="3733" w:type="dxa"/>
            <w:tcBorders>
              <w:top w:val="single" w:color="auto" w:sz="4" w:space="0"/>
              <w:left w:val="single" w:color="auto" w:sz="4" w:space="0"/>
              <w:bottom w:val="single" w:color="auto" w:sz="4" w:space="0"/>
              <w:right w:val="single" w:color="auto" w:sz="4" w:space="0"/>
            </w:tcBorders>
            <w:vAlign w:val="center"/>
          </w:tcPr>
          <w:p w14:paraId="702D19FC">
            <w:pPr>
              <w:rPr>
                <w:rFonts w:hint="eastAsia" w:ascii="宋体" w:hAnsi="宋体" w:cs="宋体"/>
                <w:color w:val="auto"/>
                <w:szCs w:val="21"/>
                <w:highlight w:val="none"/>
              </w:rPr>
            </w:pPr>
            <w:r>
              <w:rPr>
                <w:rFonts w:hint="eastAsia" w:ascii="宋体" w:hAnsi="宋体" w:cs="宋体"/>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4075" w:type="dxa"/>
            <w:tcBorders>
              <w:top w:val="single" w:color="auto" w:sz="4" w:space="0"/>
              <w:left w:val="single" w:color="auto" w:sz="4" w:space="0"/>
              <w:bottom w:val="single" w:color="auto" w:sz="4" w:space="0"/>
              <w:right w:val="single" w:color="auto" w:sz="4" w:space="0"/>
            </w:tcBorders>
            <w:vAlign w:val="center"/>
          </w:tcPr>
          <w:p w14:paraId="10C982A5">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若在评标期间</w:t>
            </w:r>
            <w:r>
              <w:rPr>
                <w:rFonts w:hint="eastAsia" w:ascii="宋体" w:hAnsi="宋体" w:cs="宋体"/>
                <w:b/>
                <w:color w:val="auto"/>
                <w:szCs w:val="21"/>
                <w:highlight w:val="none"/>
                <w:u w:val="single"/>
              </w:rPr>
              <w:t>（勘察初步设计方案评审阶段除外）</w:t>
            </w:r>
            <w:r>
              <w:rPr>
                <w:rFonts w:hint="eastAsia" w:ascii="宋体" w:hAnsi="宋体" w:cs="宋体"/>
                <w:color w:val="auto"/>
                <w:szCs w:val="21"/>
                <w:highlight w:val="none"/>
                <w:u w:val="single"/>
              </w:rPr>
              <w:t>，经评标委员会两人以上（含两人）以书面形式提出动议，评标委员会应当书面发出澄清通知，要求投标人对投标文件含义不明确的内容作出澄清。</w:t>
            </w:r>
          </w:p>
          <w:p w14:paraId="43EA1AF8">
            <w:pPr>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singl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444D5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C1A1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4.4.7</w:t>
            </w:r>
          </w:p>
        </w:tc>
        <w:tc>
          <w:tcPr>
            <w:tcW w:w="3733" w:type="dxa"/>
            <w:tcBorders>
              <w:top w:val="single" w:color="auto" w:sz="4" w:space="0"/>
              <w:left w:val="single" w:color="auto" w:sz="4" w:space="0"/>
              <w:bottom w:val="single" w:color="auto" w:sz="4" w:space="0"/>
              <w:right w:val="single" w:color="auto" w:sz="4" w:space="0"/>
            </w:tcBorders>
            <w:vAlign w:val="center"/>
          </w:tcPr>
          <w:p w14:paraId="285CD749">
            <w:pPr>
              <w:rPr>
                <w:rFonts w:hint="eastAsia" w:ascii="宋体" w:hAnsi="宋体" w:cs="宋体"/>
                <w:color w:val="auto"/>
                <w:szCs w:val="21"/>
                <w:highlight w:val="none"/>
              </w:rPr>
            </w:pPr>
            <w:r>
              <w:rPr>
                <w:rFonts w:hint="eastAsia" w:ascii="宋体" w:hAnsi="宋体" w:cs="宋体"/>
                <w:b/>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726FC6CC">
            <w:pPr>
              <w:rPr>
                <w:rFonts w:hint="eastAsia" w:ascii="宋体" w:hAnsi="宋体" w:cs="宋体"/>
                <w:b/>
                <w:color w:val="auto"/>
                <w:szCs w:val="21"/>
                <w:highlight w:val="none"/>
              </w:rPr>
            </w:pPr>
            <w:r>
              <w:rPr>
                <w:rFonts w:hint="eastAsia" w:ascii="宋体" w:hAnsi="宋体" w:cs="宋体"/>
                <w:b/>
                <w:color w:val="auto"/>
                <w:szCs w:val="21"/>
                <w:highlight w:val="none"/>
              </w:rPr>
              <w:t>增加：</w:t>
            </w:r>
          </w:p>
          <w:p w14:paraId="1EE108F4">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评标委员会在开始评标前，应了解评标专家的职责及守则，认真阅读附录17《评标委员会成员声明》的内容并签名，签字后方可进行评标；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9942497">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F5ACE">
            <w:pPr>
              <w:jc w:val="center"/>
              <w:rPr>
                <w:rFonts w:hint="eastAsia" w:ascii="宋体" w:hAnsi="宋体" w:cs="宋体"/>
                <w:color w:val="auto"/>
                <w:szCs w:val="21"/>
                <w:highlight w:val="none"/>
              </w:rPr>
            </w:pPr>
            <w:r>
              <w:rPr>
                <w:rFonts w:hint="eastAsia" w:ascii="宋体" w:hAnsi="宋体" w:cs="宋体"/>
                <w:color w:val="auto"/>
                <w:szCs w:val="21"/>
                <w:highlight w:val="none"/>
              </w:rPr>
              <w:t>4.5.1</w:t>
            </w:r>
          </w:p>
        </w:tc>
        <w:tc>
          <w:tcPr>
            <w:tcW w:w="3733" w:type="dxa"/>
            <w:tcBorders>
              <w:top w:val="single" w:color="auto" w:sz="4" w:space="0"/>
              <w:left w:val="single" w:color="auto" w:sz="4" w:space="0"/>
              <w:bottom w:val="single" w:color="auto" w:sz="4" w:space="0"/>
              <w:right w:val="single" w:color="auto" w:sz="4" w:space="0"/>
            </w:tcBorders>
            <w:vAlign w:val="center"/>
          </w:tcPr>
          <w:p w14:paraId="40572610">
            <w:pPr>
              <w:spacing w:line="273" w:lineRule="auto"/>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4.5.1  是否采用评定分离：</w:t>
            </w:r>
          </w:p>
          <w:p w14:paraId="15EF4DC0">
            <w:pPr>
              <w:spacing w:line="273" w:lineRule="auto"/>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□是，入围定标环节的投标人家数：</w:t>
            </w:r>
          </w:p>
          <w:p w14:paraId="3C55DD49">
            <w:pPr>
              <w:spacing w:line="273" w:lineRule="auto"/>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名；</w:t>
            </w:r>
          </w:p>
          <w:p w14:paraId="3F01FA61">
            <w:pPr>
              <w:spacing w:line="273" w:lineRule="auto"/>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□否。</w:t>
            </w:r>
          </w:p>
        </w:tc>
        <w:tc>
          <w:tcPr>
            <w:tcW w:w="4075" w:type="dxa"/>
            <w:tcBorders>
              <w:top w:val="single" w:color="auto" w:sz="4" w:space="0"/>
              <w:left w:val="single" w:color="auto" w:sz="4" w:space="0"/>
              <w:bottom w:val="single" w:color="auto" w:sz="4" w:space="0"/>
              <w:right w:val="single" w:color="auto" w:sz="4" w:space="0"/>
            </w:tcBorders>
            <w:vAlign w:val="center"/>
          </w:tcPr>
          <w:p w14:paraId="0C2CC800">
            <w:pPr>
              <w:spacing w:line="273" w:lineRule="auto"/>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4.5.1  是否采用评定分离：</w:t>
            </w:r>
          </w:p>
          <w:p w14:paraId="659A7973">
            <w:pPr>
              <w:spacing w:line="273" w:lineRule="auto"/>
              <w:ind w:left="743" w:hanging="743" w:hangingChars="354"/>
              <w:jc w:val="left"/>
              <w:rPr>
                <w:rFonts w:hint="eastAsia" w:ascii="宋体" w:hAnsi="宋体" w:cs="宋体"/>
                <w:color w:val="auto"/>
                <w:szCs w:val="21"/>
                <w:highlight w:val="none"/>
              </w:rPr>
            </w:pPr>
            <w:r>
              <w:rPr>
                <w:rFonts w:hint="eastAsia" w:ascii="宋体" w:hAnsi="宋体" w:cs="宋体"/>
                <w:color w:val="auto"/>
                <w:szCs w:val="21"/>
                <w:highlight w:val="none"/>
              </w:rPr>
              <w:t>☑是，入围定标环节的投标人家数：</w:t>
            </w:r>
          </w:p>
          <w:p w14:paraId="4BD88388">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3名；</w:t>
            </w:r>
            <w:r>
              <w:rPr>
                <w:rFonts w:hint="eastAsia" w:ascii="宋体" w:hAnsi="宋体" w:cs="宋体"/>
                <w:bCs/>
                <w:color w:val="auto"/>
                <w:szCs w:val="21"/>
                <w:highlight w:val="none"/>
                <w:u w:val="single"/>
                <w:lang w:bidi="ar"/>
              </w:rPr>
              <w:t>评标采用“有限</w:t>
            </w:r>
            <w:r>
              <w:rPr>
                <w:rFonts w:hint="eastAsia" w:ascii="宋体" w:hAnsi="宋体" w:cs="宋体"/>
                <w:color w:val="auto"/>
                <w:szCs w:val="21"/>
                <w:highlight w:val="none"/>
                <w:u w:val="single"/>
              </w:rPr>
              <w:t>数量</w:t>
            </w:r>
            <w:r>
              <w:rPr>
                <w:rFonts w:hint="eastAsia" w:ascii="宋体" w:hAnsi="宋体" w:cs="宋体"/>
                <w:bCs/>
                <w:color w:val="auto"/>
                <w:szCs w:val="21"/>
                <w:highlight w:val="none"/>
                <w:u w:val="single"/>
                <w:lang w:bidi="ar"/>
              </w:rPr>
              <w:t>制”推荐合格中标候选人。评标委员会应按照招标文件规定，推荐综合得分前3名的单位为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2E7B1C">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BCAB92">
            <w:pPr>
              <w:jc w:val="center"/>
              <w:rPr>
                <w:rFonts w:hint="eastAsia" w:ascii="宋体" w:hAnsi="宋体" w:cs="宋体"/>
                <w:color w:val="auto"/>
                <w:szCs w:val="21"/>
                <w:highlight w:val="none"/>
              </w:rPr>
            </w:pPr>
            <w:r>
              <w:rPr>
                <w:rFonts w:hint="eastAsia" w:ascii="宋体" w:hAnsi="宋体" w:cs="宋体"/>
                <w:color w:val="auto"/>
                <w:szCs w:val="21"/>
                <w:highlight w:val="none"/>
              </w:rPr>
              <w:t>4.5.2</w:t>
            </w:r>
          </w:p>
        </w:tc>
        <w:tc>
          <w:tcPr>
            <w:tcW w:w="3733" w:type="dxa"/>
            <w:tcBorders>
              <w:top w:val="single" w:color="auto" w:sz="4" w:space="0"/>
              <w:left w:val="single" w:color="auto" w:sz="4" w:space="0"/>
              <w:bottom w:val="single" w:color="auto" w:sz="4" w:space="0"/>
              <w:right w:val="single" w:color="auto" w:sz="4" w:space="0"/>
            </w:tcBorders>
            <w:vAlign w:val="center"/>
          </w:tcPr>
          <w:p w14:paraId="5C4BE42D">
            <w:pPr>
              <w:rPr>
                <w:rFonts w:hint="eastAsia" w:ascii="宋体" w:hAnsi="宋体" w:cs="宋体"/>
                <w:color w:val="auto"/>
                <w:szCs w:val="21"/>
                <w:highlight w:val="none"/>
              </w:rPr>
            </w:pPr>
            <w:r>
              <w:rPr>
                <w:rFonts w:hint="eastAsia" w:ascii="宋体" w:hAnsi="宋体" w:cs="宋体"/>
                <w:color w:val="auto"/>
                <w:szCs w:val="21"/>
                <w:highlight w:val="none"/>
              </w:rPr>
              <w:t>4.5.2  不采用评定分离项目的评标办法</w:t>
            </w:r>
          </w:p>
          <w:p w14:paraId="1FECA4CC">
            <w:pPr>
              <w:rPr>
                <w:rFonts w:hint="eastAsia" w:ascii="宋体" w:hAnsi="宋体" w:cs="宋体"/>
                <w:color w:val="auto"/>
                <w:szCs w:val="21"/>
                <w:highlight w:val="none"/>
              </w:rPr>
            </w:pPr>
            <w:r>
              <w:rPr>
                <w:rFonts w:hint="eastAsia" w:ascii="宋体" w:hAnsi="宋体" w:cs="宋体"/>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hint="eastAsia" w:ascii="宋体" w:hAnsi="宋体" w:cs="宋体"/>
                <w:color w:val="auto"/>
                <w:szCs w:val="21"/>
                <w:highlight w:val="none"/>
              </w:rPr>
            </w:pPr>
            <w:r>
              <w:rPr>
                <w:rFonts w:hint="eastAsia" w:ascii="宋体" w:hAnsi="宋体" w:cs="宋体"/>
                <w:color w:val="auto"/>
                <w:szCs w:val="21"/>
                <w:highlight w:val="none"/>
              </w:rPr>
              <w:t>4.5.2.2如果评标委员会成员在交易服务机构评标，将按方法    规定的步骤进行：</w:t>
            </w:r>
          </w:p>
          <w:p w14:paraId="7D04BD42">
            <w:pPr>
              <w:rPr>
                <w:rFonts w:hint="eastAsia" w:ascii="宋体" w:hAnsi="宋体" w:cs="宋体"/>
                <w:color w:val="auto"/>
                <w:szCs w:val="21"/>
                <w:highlight w:val="none"/>
              </w:rPr>
            </w:pPr>
            <w:r>
              <w:rPr>
                <w:rFonts w:hint="eastAsia" w:ascii="宋体" w:hAnsi="宋体" w:cs="宋体"/>
                <w:color w:val="auto"/>
                <w:szCs w:val="21"/>
                <w:highlight w:val="none"/>
              </w:rPr>
              <w:t>方法一（设有资格审查环节的一阶段评标法）：a、b、c、d、e、f、h、i、j</w:t>
            </w:r>
          </w:p>
          <w:p w14:paraId="4DD9EBD2">
            <w:pPr>
              <w:rPr>
                <w:rFonts w:hint="eastAsia" w:ascii="宋体" w:hAnsi="宋体" w:cs="宋体"/>
                <w:color w:val="auto"/>
                <w:szCs w:val="21"/>
                <w:highlight w:val="none"/>
              </w:rPr>
            </w:pPr>
            <w:r>
              <w:rPr>
                <w:rFonts w:hint="eastAsia" w:ascii="宋体" w:hAnsi="宋体" w:cs="宋体"/>
                <w:color w:val="auto"/>
                <w:szCs w:val="21"/>
                <w:highlight w:val="none"/>
              </w:rPr>
              <w:t>方法二（设有资格审查环节的二阶段评标法）：a、b、c、d、e、f、g、h、i、j</w:t>
            </w:r>
          </w:p>
          <w:p w14:paraId="712B6E92">
            <w:pPr>
              <w:rPr>
                <w:rFonts w:hint="eastAsia" w:ascii="宋体" w:hAnsi="宋体" w:cs="宋体"/>
                <w:color w:val="auto"/>
                <w:szCs w:val="21"/>
                <w:highlight w:val="none"/>
              </w:rPr>
            </w:pPr>
            <w:r>
              <w:rPr>
                <w:rFonts w:hint="eastAsia" w:ascii="宋体" w:hAnsi="宋体" w:cs="宋体"/>
                <w:color w:val="auto"/>
                <w:szCs w:val="21"/>
                <w:highlight w:val="none"/>
              </w:rPr>
              <w:t>方法三（未设资格审查环节的一阶段评标法）：a、d、e、f、h、i、j</w:t>
            </w:r>
          </w:p>
          <w:p w14:paraId="211B1016">
            <w:pPr>
              <w:rPr>
                <w:rFonts w:hint="eastAsia" w:ascii="宋体" w:hAnsi="宋体" w:cs="宋体"/>
                <w:color w:val="auto"/>
                <w:szCs w:val="21"/>
                <w:highlight w:val="none"/>
              </w:rPr>
            </w:pPr>
            <w:r>
              <w:rPr>
                <w:rFonts w:hint="eastAsia" w:ascii="宋体" w:hAnsi="宋体" w:cs="宋体"/>
                <w:color w:val="auto"/>
                <w:szCs w:val="21"/>
                <w:highlight w:val="none"/>
              </w:rPr>
              <w:t>方法四（未设资格审查环节的二阶段评标法）：a、d、e、f、g、h、i、j</w:t>
            </w:r>
          </w:p>
          <w:p w14:paraId="3839FCFE">
            <w:pPr>
              <w:rPr>
                <w:rFonts w:hint="eastAsia" w:ascii="宋体" w:hAnsi="宋体" w:cs="宋体"/>
                <w:color w:val="auto"/>
                <w:szCs w:val="21"/>
                <w:highlight w:val="none"/>
              </w:rPr>
            </w:pPr>
            <w:r>
              <w:rPr>
                <w:rFonts w:hint="eastAsia" w:ascii="宋体" w:hAnsi="宋体" w:cs="宋体"/>
                <w:color w:val="auto"/>
                <w:szCs w:val="21"/>
                <w:highlight w:val="none"/>
              </w:rPr>
              <w:t>(a) 评标委员会成员依据招标文件规定，否决两个（含两个）以上的加密打包投标文件电脑机器特征码一致的投标人，不参与下一阶段评审。</w:t>
            </w:r>
          </w:p>
          <w:p w14:paraId="055F6C60">
            <w:pPr>
              <w:rPr>
                <w:rFonts w:hint="eastAsia" w:ascii="宋体" w:hAnsi="宋体" w:cs="宋体"/>
                <w:color w:val="auto"/>
                <w:szCs w:val="21"/>
                <w:highlight w:val="none"/>
              </w:rPr>
            </w:pPr>
            <w:r>
              <w:rPr>
                <w:rFonts w:hint="eastAsia" w:ascii="宋体" w:hAnsi="宋体" w:cs="宋体"/>
                <w:color w:val="auto"/>
                <w:szCs w:val="21"/>
                <w:highlight w:val="none"/>
              </w:rPr>
              <w:t>(b) 评标委员会成员依据招标文件规定，按附录12《资格审查表》对各投标人递交的投标文件进行资格审查。</w:t>
            </w:r>
          </w:p>
          <w:p w14:paraId="56E55FB0">
            <w:pPr>
              <w:rPr>
                <w:rFonts w:hint="eastAsia"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14:paraId="45552896">
            <w:pPr>
              <w:rPr>
                <w:rFonts w:hint="eastAsia" w:ascii="宋体" w:hAnsi="宋体" w:cs="宋体"/>
                <w:color w:val="auto"/>
                <w:szCs w:val="21"/>
                <w:highlight w:val="none"/>
              </w:rPr>
            </w:pPr>
            <w:r>
              <w:rPr>
                <w:rFonts w:hint="eastAsia" w:ascii="宋体" w:hAnsi="宋体" w:cs="宋体"/>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hint="eastAsia" w:ascii="宋体" w:hAnsi="宋体" w:cs="宋体"/>
                <w:color w:val="auto"/>
                <w:szCs w:val="21"/>
                <w:highlight w:val="none"/>
              </w:rPr>
            </w:pPr>
            <w:r>
              <w:rPr>
                <w:rFonts w:hint="eastAsia" w:ascii="宋体" w:hAnsi="宋体" w:cs="宋体"/>
                <w:color w:val="auto"/>
                <w:szCs w:val="21"/>
                <w:highlight w:val="none"/>
              </w:rPr>
              <w:t>(e) 以差额选举逐轮淘汰的记名投票方式选出所有投标方案的排序。（方案补偿费按(h)步骤确定的最终排序进行补偿）。</w:t>
            </w:r>
          </w:p>
          <w:p w14:paraId="44B5F722">
            <w:pPr>
              <w:rPr>
                <w:rFonts w:hint="eastAsia" w:ascii="宋体" w:hAnsi="宋体" w:cs="宋体"/>
                <w:color w:val="auto"/>
                <w:szCs w:val="21"/>
                <w:highlight w:val="none"/>
              </w:rPr>
            </w:pPr>
            <w:r>
              <w:rPr>
                <w:rFonts w:hint="eastAsia" w:ascii="宋体" w:hAnsi="宋体" w:cs="宋体"/>
                <w:color w:val="auto"/>
                <w:szCs w:val="21"/>
                <w:highlight w:val="none"/>
              </w:rPr>
              <w:t>(f) 评标委员会揭晓投标人身份。</w:t>
            </w:r>
          </w:p>
          <w:p w14:paraId="34D7B457">
            <w:pPr>
              <w:rPr>
                <w:rFonts w:hint="eastAsia" w:ascii="宋体" w:hAnsi="宋体" w:cs="宋体"/>
                <w:color w:val="auto"/>
                <w:szCs w:val="21"/>
                <w:highlight w:val="none"/>
              </w:rPr>
            </w:pPr>
            <w:r>
              <w:rPr>
                <w:rFonts w:hint="eastAsia" w:ascii="宋体" w:hAnsi="宋体" w:cs="宋体"/>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hint="eastAsia" w:ascii="宋体" w:hAnsi="宋体" w:cs="宋体"/>
                <w:color w:val="auto"/>
                <w:szCs w:val="21"/>
                <w:highlight w:val="none"/>
              </w:rPr>
            </w:pPr>
            <w:r>
              <w:rPr>
                <w:rFonts w:hint="eastAsia" w:ascii="宋体" w:hAnsi="宋体" w:cs="宋体"/>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hint="eastAsia" w:ascii="宋体" w:hAnsi="宋体" w:cs="宋体"/>
                <w:color w:val="auto"/>
                <w:szCs w:val="21"/>
                <w:highlight w:val="none"/>
              </w:rPr>
            </w:pPr>
            <w:r>
              <w:rPr>
                <w:rFonts w:hint="eastAsia" w:ascii="宋体" w:hAnsi="宋体" w:cs="宋体"/>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hint="eastAsia" w:ascii="宋体" w:hAnsi="宋体" w:cs="宋体"/>
                <w:color w:val="auto"/>
                <w:szCs w:val="21"/>
                <w:highlight w:val="none"/>
              </w:rPr>
            </w:pPr>
            <w:r>
              <w:rPr>
                <w:rFonts w:hint="eastAsia" w:ascii="宋体" w:hAnsi="宋体" w:cs="宋体"/>
                <w:color w:val="auto"/>
                <w:szCs w:val="21"/>
                <w:highlight w:val="none"/>
              </w:rPr>
              <w:t>(j) 评标委员会向招标人提交书面评标报告后即告解散，评标过程中使用的文件、表格以及其他资料应当即时归还招标人（招标代理机构）。</w:t>
            </w:r>
          </w:p>
        </w:tc>
        <w:tc>
          <w:tcPr>
            <w:tcW w:w="4075" w:type="dxa"/>
            <w:tcBorders>
              <w:top w:val="single" w:color="auto" w:sz="4" w:space="0"/>
              <w:left w:val="single" w:color="auto" w:sz="4" w:space="0"/>
              <w:bottom w:val="single" w:color="auto" w:sz="4" w:space="0"/>
              <w:right w:val="single" w:color="auto" w:sz="4" w:space="0"/>
            </w:tcBorders>
            <w:vAlign w:val="center"/>
          </w:tcPr>
          <w:p w14:paraId="739A93AF">
            <w:pPr>
              <w:jc w:val="center"/>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8BA400F">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427DDD">
            <w:pPr>
              <w:jc w:val="center"/>
              <w:rPr>
                <w:rFonts w:hint="eastAsia" w:ascii="宋体" w:hAnsi="宋体" w:cs="宋体"/>
                <w:color w:val="auto"/>
                <w:szCs w:val="21"/>
                <w:highlight w:val="none"/>
              </w:rPr>
            </w:pPr>
            <w:r>
              <w:rPr>
                <w:rFonts w:hint="eastAsia" w:ascii="宋体" w:hAnsi="宋体" w:cs="宋体"/>
                <w:color w:val="auto"/>
                <w:szCs w:val="21"/>
                <w:highlight w:val="none"/>
              </w:rPr>
              <w:t>4.5.3</w:t>
            </w:r>
          </w:p>
        </w:tc>
        <w:tc>
          <w:tcPr>
            <w:tcW w:w="3733" w:type="dxa"/>
            <w:tcBorders>
              <w:top w:val="single" w:color="auto" w:sz="4" w:space="0"/>
              <w:left w:val="single" w:color="auto" w:sz="4" w:space="0"/>
              <w:bottom w:val="single" w:color="auto" w:sz="4" w:space="0"/>
              <w:right w:val="single" w:color="auto" w:sz="4" w:space="0"/>
            </w:tcBorders>
            <w:vAlign w:val="center"/>
          </w:tcPr>
          <w:p w14:paraId="72F3E14B">
            <w:pPr>
              <w:rPr>
                <w:rFonts w:hint="eastAsia" w:ascii="宋体" w:hAnsi="宋体" w:cs="宋体"/>
                <w:color w:val="auto"/>
                <w:szCs w:val="21"/>
                <w:highlight w:val="none"/>
              </w:rPr>
            </w:pPr>
            <w:r>
              <w:rPr>
                <w:rFonts w:hint="eastAsia" w:ascii="宋体" w:hAnsi="宋体" w:cs="宋体"/>
                <w:color w:val="auto"/>
                <w:szCs w:val="21"/>
                <w:highlight w:val="none"/>
              </w:rPr>
              <w:t>4.5.3  采用评定分离项目的评标及定标办法</w:t>
            </w:r>
          </w:p>
          <w:p w14:paraId="22F7E527">
            <w:pPr>
              <w:rPr>
                <w:rFonts w:hint="eastAsia" w:ascii="宋体" w:hAnsi="宋体" w:cs="宋体"/>
                <w:color w:val="auto"/>
                <w:szCs w:val="21"/>
                <w:highlight w:val="none"/>
              </w:rPr>
            </w:pPr>
            <w:r>
              <w:rPr>
                <w:rFonts w:hint="eastAsia" w:ascii="宋体" w:hAnsi="宋体" w:cs="宋体"/>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hint="eastAsia" w:ascii="宋体" w:hAnsi="宋体" w:cs="宋体"/>
                <w:color w:val="auto"/>
                <w:szCs w:val="21"/>
                <w:highlight w:val="none"/>
              </w:rPr>
            </w:pPr>
            <w:r>
              <w:rPr>
                <w:rFonts w:hint="eastAsia" w:ascii="宋体" w:hAnsi="宋体" w:cs="宋体"/>
                <w:color w:val="auto"/>
                <w:szCs w:val="21"/>
                <w:highlight w:val="none"/>
              </w:rPr>
              <w:t>4.5.3.2如果评标委员会成员在交易服务机构评标，将按方法    规定的步骤进行：</w:t>
            </w:r>
          </w:p>
          <w:p w14:paraId="09F7FF33">
            <w:pPr>
              <w:rPr>
                <w:rFonts w:hint="eastAsia"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方法一（设有资格审查环节的一阶段评标法）：a、b、c、d、e、f、g、h、i、j</w:t>
            </w:r>
          </w:p>
          <w:p w14:paraId="7C9A7466">
            <w:pPr>
              <w:rPr>
                <w:rFonts w:hint="eastAsia" w:ascii="宋体" w:hAnsi="宋体" w:cs="宋体"/>
                <w:color w:val="auto"/>
                <w:szCs w:val="21"/>
                <w:highlight w:val="none"/>
              </w:rPr>
            </w:pPr>
            <w:r>
              <w:rPr>
                <w:rFonts w:hint="eastAsia" w:ascii="宋体" w:hAnsi="宋体" w:cs="宋体"/>
                <w:color w:val="auto"/>
                <w:szCs w:val="21"/>
                <w:highlight w:val="none"/>
              </w:rPr>
              <w:t xml:space="preserve">       方法二（未设资格审查环节的一阶段评标法）：a、d、e、f、g、h、i、j</w:t>
            </w:r>
          </w:p>
          <w:p w14:paraId="0E2BB920">
            <w:pPr>
              <w:rPr>
                <w:rFonts w:hint="eastAsia" w:ascii="宋体" w:hAnsi="宋体" w:cs="宋体"/>
                <w:color w:val="auto"/>
                <w:szCs w:val="21"/>
                <w:highlight w:val="none"/>
              </w:rPr>
            </w:pPr>
            <w:r>
              <w:rPr>
                <w:rFonts w:hint="eastAsia" w:ascii="宋体" w:hAnsi="宋体" w:cs="宋体"/>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hint="eastAsia" w:ascii="宋体" w:hAnsi="宋体" w:cs="宋体"/>
                <w:color w:val="auto"/>
                <w:szCs w:val="21"/>
                <w:highlight w:val="none"/>
              </w:rPr>
            </w:pPr>
            <w:r>
              <w:rPr>
                <w:rFonts w:hint="eastAsia" w:ascii="宋体" w:hAnsi="宋体" w:cs="宋体"/>
                <w:color w:val="auto"/>
                <w:szCs w:val="21"/>
                <w:highlight w:val="none"/>
              </w:rPr>
              <w:t>(b)评标委员会成员业主代表及专家依据招标文件规定，按附录12《资格审查表》对各投标人递交的投标文件进行资格审查。</w:t>
            </w:r>
          </w:p>
          <w:p w14:paraId="42C4D36C">
            <w:pPr>
              <w:rPr>
                <w:rFonts w:hint="eastAsia"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14:paraId="76D81582">
            <w:pPr>
              <w:rPr>
                <w:rFonts w:hint="eastAsia" w:ascii="宋体" w:hAnsi="宋体" w:cs="宋体"/>
                <w:color w:val="auto"/>
                <w:szCs w:val="21"/>
                <w:highlight w:val="none"/>
              </w:rPr>
            </w:pPr>
            <w:r>
              <w:rPr>
                <w:rFonts w:hint="eastAsia" w:ascii="宋体" w:hAnsi="宋体" w:cs="宋体"/>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hint="eastAsia" w:ascii="宋体" w:hAnsi="宋体" w:cs="宋体"/>
                <w:color w:val="auto"/>
                <w:szCs w:val="21"/>
                <w:highlight w:val="none"/>
              </w:rPr>
            </w:pPr>
            <w:r>
              <w:rPr>
                <w:rFonts w:hint="eastAsia" w:ascii="宋体" w:hAnsi="宋体" w:cs="宋体"/>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hint="eastAsia" w:ascii="宋体" w:hAnsi="宋体" w:cs="宋体"/>
                <w:color w:val="auto"/>
                <w:szCs w:val="21"/>
                <w:highlight w:val="none"/>
              </w:rPr>
            </w:pPr>
            <w:r>
              <w:rPr>
                <w:rFonts w:hint="eastAsia" w:ascii="宋体" w:hAnsi="宋体" w:cs="宋体"/>
                <w:color w:val="auto"/>
                <w:szCs w:val="21"/>
                <w:highlight w:val="none"/>
              </w:rPr>
              <w:t xml:space="preserve">(f) 评标委员会揭晓投标人身份。 </w:t>
            </w:r>
          </w:p>
          <w:p w14:paraId="6D601819">
            <w:pPr>
              <w:rPr>
                <w:rFonts w:hint="eastAsia" w:ascii="宋体" w:hAnsi="宋体" w:cs="宋体"/>
                <w:color w:val="auto"/>
                <w:szCs w:val="21"/>
                <w:highlight w:val="none"/>
              </w:rPr>
            </w:pPr>
            <w:r>
              <w:rPr>
                <w:rFonts w:hint="eastAsia" w:ascii="宋体" w:hAnsi="宋体" w:cs="宋体"/>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hint="eastAsia" w:ascii="宋体" w:hAnsi="宋体" w:cs="宋体"/>
                <w:color w:val="auto"/>
                <w:szCs w:val="21"/>
                <w:highlight w:val="none"/>
              </w:rPr>
            </w:pPr>
            <w:r>
              <w:rPr>
                <w:rFonts w:hint="eastAsia" w:ascii="宋体" w:hAnsi="宋体" w:cs="宋体"/>
                <w:color w:val="auto"/>
                <w:szCs w:val="21"/>
                <w:highlight w:val="none"/>
              </w:rPr>
              <w:t>(h) 编写、签署评标报告，评标报告由评标委员会全体成员签字，对评标结论持有异议的评标委员会成员可以书面方式阐述其不同意见和理由。</w:t>
            </w:r>
          </w:p>
          <w:p w14:paraId="265565DC">
            <w:pPr>
              <w:rPr>
                <w:rFonts w:hint="eastAsia" w:ascii="宋体" w:hAnsi="宋体" w:cs="宋体"/>
                <w:color w:val="auto"/>
                <w:szCs w:val="21"/>
                <w:highlight w:val="none"/>
              </w:rPr>
            </w:pPr>
            <w:r>
              <w:rPr>
                <w:rFonts w:hint="eastAsia" w:ascii="宋体" w:hAnsi="宋体" w:cs="宋体"/>
                <w:color w:val="auto"/>
                <w:szCs w:val="21"/>
                <w:highlight w:val="none"/>
              </w:rPr>
              <w:t>(i) 评标委员会向招标人提交书面评标报告后即告解散，评标过程中使用的文件、表格以及其他资料应当即时归还招标人（招标代理机构）。</w:t>
            </w:r>
          </w:p>
          <w:p w14:paraId="00C2D744">
            <w:pPr>
              <w:rPr>
                <w:rFonts w:hint="eastAsia" w:ascii="宋体" w:hAnsi="宋体" w:cs="宋体"/>
                <w:color w:val="auto"/>
                <w:szCs w:val="21"/>
                <w:highlight w:val="none"/>
              </w:rPr>
            </w:pPr>
            <w:r>
              <w:rPr>
                <w:rFonts w:hint="eastAsia" w:ascii="宋体" w:hAnsi="宋体" w:cs="宋体"/>
                <w:color w:val="auto"/>
                <w:szCs w:val="21"/>
                <w:highlight w:val="none"/>
              </w:rPr>
              <w:t>（j）定标委员会定标。定标委员会按附录16《定标原则》确定    名（不多于3名）中标候选人（排序），也可直接确定中标人。</w:t>
            </w:r>
          </w:p>
        </w:tc>
        <w:tc>
          <w:tcPr>
            <w:tcW w:w="4075" w:type="dxa"/>
            <w:tcBorders>
              <w:top w:val="single" w:color="auto" w:sz="4" w:space="0"/>
              <w:left w:val="single" w:color="auto" w:sz="4" w:space="0"/>
              <w:bottom w:val="single" w:color="auto" w:sz="4" w:space="0"/>
              <w:right w:val="single" w:color="auto" w:sz="4" w:space="0"/>
            </w:tcBorders>
          </w:tcPr>
          <w:p w14:paraId="74871FEF">
            <w:pPr>
              <w:rPr>
                <w:rFonts w:hint="eastAsia" w:ascii="宋体" w:hAnsi="宋体" w:cs="宋体"/>
                <w:color w:val="auto"/>
                <w:szCs w:val="21"/>
                <w:highlight w:val="none"/>
              </w:rPr>
            </w:pPr>
            <w:r>
              <w:rPr>
                <w:rFonts w:hint="eastAsia" w:ascii="宋体" w:hAnsi="宋体" w:cs="宋体"/>
                <w:color w:val="auto"/>
                <w:szCs w:val="21"/>
                <w:highlight w:val="none"/>
              </w:rPr>
              <w:t>4.5.3  采用评定分离项目的评标及定标办法</w:t>
            </w:r>
          </w:p>
          <w:p w14:paraId="3774E85E">
            <w:pPr>
              <w:rPr>
                <w:rFonts w:hint="eastAsia" w:ascii="宋体" w:hAnsi="宋体" w:cs="宋体"/>
                <w:color w:val="auto"/>
                <w:szCs w:val="21"/>
                <w:highlight w:val="none"/>
              </w:rPr>
            </w:pPr>
            <w:r>
              <w:rPr>
                <w:rFonts w:hint="eastAsia" w:ascii="宋体" w:hAnsi="宋体" w:cs="宋体"/>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hint="eastAsia" w:ascii="宋体" w:hAnsi="宋体" w:cs="宋体"/>
                <w:color w:val="auto"/>
                <w:szCs w:val="21"/>
                <w:highlight w:val="none"/>
              </w:rPr>
            </w:pPr>
            <w:r>
              <w:rPr>
                <w:rFonts w:hint="eastAsia" w:ascii="宋体" w:hAnsi="宋体" w:cs="宋体"/>
                <w:color w:val="auto"/>
                <w:szCs w:val="21"/>
                <w:highlight w:val="none"/>
              </w:rPr>
              <w:t>4.5.3.2如果评标委员会成员在交易服务机构评标，将按方法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规定的步骤进行：</w:t>
            </w:r>
          </w:p>
          <w:p w14:paraId="6C9D4BFC">
            <w:pPr>
              <w:rPr>
                <w:rFonts w:hint="eastAsia" w:ascii="宋体" w:hAnsi="宋体" w:cs="宋体"/>
                <w:color w:val="auto"/>
                <w:szCs w:val="21"/>
                <w:highlight w:val="none"/>
              </w:rPr>
            </w:pPr>
            <w:r>
              <w:rPr>
                <w:rFonts w:hint="eastAsia" w:ascii="宋体" w:hAnsi="宋体" w:cs="宋体"/>
                <w:color w:val="auto"/>
                <w:szCs w:val="21"/>
                <w:highlight w:val="none"/>
              </w:rPr>
              <w:t>方法一（设有资格审查环节的一阶段评标法）：a、b、c、d、e、f、g、h、i、j</w:t>
            </w:r>
          </w:p>
          <w:p w14:paraId="6A2BAEAA">
            <w:pPr>
              <w:rPr>
                <w:rFonts w:hint="eastAsia" w:ascii="宋体" w:hAnsi="宋体" w:cs="宋体"/>
                <w:color w:val="auto"/>
                <w:szCs w:val="21"/>
                <w:highlight w:val="none"/>
              </w:rPr>
            </w:pPr>
            <w:r>
              <w:rPr>
                <w:rFonts w:hint="eastAsia" w:ascii="宋体" w:hAnsi="宋体" w:cs="宋体"/>
                <w:color w:val="auto"/>
                <w:szCs w:val="21"/>
                <w:highlight w:val="none"/>
              </w:rPr>
              <w:t>(a)评标委员会成员依据招标文件规定，否决两个（含两个）以上的加密打包投标文件电脑机器特征码一致的投标人，不参与下一阶段评审。</w:t>
            </w:r>
          </w:p>
          <w:p w14:paraId="43851EB7">
            <w:pPr>
              <w:rPr>
                <w:rFonts w:hint="eastAsia" w:ascii="宋体" w:hAnsi="宋体" w:cs="宋体"/>
                <w:color w:val="auto"/>
                <w:szCs w:val="21"/>
                <w:highlight w:val="none"/>
              </w:rPr>
            </w:pPr>
            <w:r>
              <w:rPr>
                <w:rFonts w:hint="eastAsia" w:ascii="宋体" w:hAnsi="宋体" w:cs="宋体"/>
                <w:color w:val="auto"/>
                <w:szCs w:val="21"/>
                <w:highlight w:val="none"/>
              </w:rPr>
              <w:t>(b)评标委员会成员业主代表及专家依据招标文件规定，按</w:t>
            </w:r>
            <w:r>
              <w:rPr>
                <w:rFonts w:hint="eastAsia" w:ascii="宋体" w:hAnsi="宋体" w:cs="宋体"/>
                <w:color w:val="auto"/>
                <w:szCs w:val="21"/>
                <w:highlight w:val="none"/>
                <w:u w:val="single"/>
              </w:rPr>
              <w:t>附录9《资格审查表》</w:t>
            </w:r>
            <w:r>
              <w:rPr>
                <w:rFonts w:hint="eastAsia" w:ascii="宋体" w:hAnsi="宋体" w:cs="宋体"/>
                <w:color w:val="auto"/>
                <w:szCs w:val="21"/>
                <w:highlight w:val="none"/>
              </w:rPr>
              <w:t>对各投标人递交的投标文件进行资格审查。</w:t>
            </w:r>
          </w:p>
          <w:p w14:paraId="302E70CD">
            <w:pPr>
              <w:rPr>
                <w:rFonts w:hint="eastAsia" w:ascii="宋体" w:hAnsi="宋体" w:cs="宋体"/>
                <w:color w:val="auto"/>
                <w:szCs w:val="21"/>
                <w:highlight w:val="none"/>
              </w:rPr>
            </w:pPr>
            <w:r>
              <w:rPr>
                <w:rFonts w:hint="eastAsia" w:ascii="宋体" w:hAnsi="宋体" w:cs="宋体"/>
                <w:color w:val="auto"/>
                <w:szCs w:val="21"/>
                <w:highlight w:val="none"/>
              </w:rPr>
              <w:t>(c)评标委员会成员汇总资格审查结果，编写资格审查报告。</w:t>
            </w:r>
            <w:r>
              <w:rPr>
                <w:rFonts w:hint="eastAsia" w:ascii="宋体" w:hAnsi="宋体" w:cs="宋体"/>
                <w:color w:val="auto"/>
                <w:szCs w:val="21"/>
                <w:highlight w:val="none"/>
                <w:u w:val="single"/>
              </w:rPr>
              <w:t>如果有否决投标提议，则评标委员会成员共同表决，按照少数服从多数的原则决定是否否决。</w:t>
            </w:r>
          </w:p>
          <w:p w14:paraId="4640D288">
            <w:pPr>
              <w:rPr>
                <w:rFonts w:hint="eastAsia" w:ascii="宋体" w:hAnsi="宋体" w:cs="宋体"/>
                <w:color w:val="auto"/>
                <w:szCs w:val="21"/>
                <w:highlight w:val="none"/>
              </w:rPr>
            </w:pPr>
            <w:r>
              <w:rPr>
                <w:rFonts w:hint="eastAsia" w:ascii="宋体" w:hAnsi="宋体" w:cs="宋体"/>
                <w:color w:val="auto"/>
                <w:szCs w:val="21"/>
                <w:highlight w:val="none"/>
              </w:rPr>
              <w:t>(d)评标委员会专家依据招标文件规定，</w:t>
            </w:r>
            <w:r>
              <w:rPr>
                <w:rFonts w:hint="eastAsia" w:ascii="宋体" w:hAnsi="宋体" w:cs="宋体"/>
                <w:color w:val="auto"/>
                <w:szCs w:val="21"/>
                <w:highlight w:val="none"/>
                <w:u w:val="single"/>
              </w:rPr>
              <w:t>按附录12《有效性审查表》、附录12-1《投标报价算术复核表》、附录13《勘察初步设计方案部分评分表》、附录13-1《勘察初步设计商务部分评分表》，对各投标人递交的投标文件进行评审。</w:t>
            </w:r>
            <w:r>
              <w:rPr>
                <w:rFonts w:hint="eastAsia" w:ascii="宋体" w:hAnsi="宋体" w:cs="宋体"/>
                <w:color w:val="auto"/>
                <w:highlight w:val="none"/>
                <w:u w:val="single"/>
              </w:rPr>
              <w:t>投标人的综合得分（满分100分）＝商务部分得分×30％+勘察初步设计方案得分×70％，</w:t>
            </w:r>
            <w:r>
              <w:rPr>
                <w:rFonts w:hint="eastAsia" w:ascii="宋体" w:hAnsi="宋体" w:cs="宋体"/>
                <w:color w:val="auto"/>
                <w:szCs w:val="21"/>
                <w:highlight w:val="none"/>
                <w:u w:val="single"/>
              </w:rPr>
              <w:t>商务部分得分和勘察初步设计方案部分得分为各评委评分的算术平均分，得出每个投标人商务部分和勘察初步设计方案部分的得分，分数出现小数点，保留小数点后二位，第三位小数四舍五入。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eastAsia" w:ascii="宋体" w:hAnsi="宋体" w:cs="宋体"/>
                <w:color w:val="auto"/>
                <w:szCs w:val="21"/>
                <w:highlight w:val="none"/>
              </w:rPr>
              <w:t>如果有否决投标提议，则评标委员会成员共同表决，按照少数服从多数的原则决定是否否决。</w:t>
            </w:r>
          </w:p>
          <w:p w14:paraId="037BE4F7">
            <w:pPr>
              <w:rPr>
                <w:rFonts w:hint="eastAsia" w:ascii="宋体" w:hAnsi="宋体" w:cs="宋体"/>
                <w:color w:val="auto"/>
                <w:szCs w:val="21"/>
                <w:highlight w:val="none"/>
                <w:u w:val="single"/>
              </w:rPr>
            </w:pPr>
            <w:r>
              <w:rPr>
                <w:rFonts w:hint="eastAsia" w:ascii="宋体" w:hAnsi="宋体" w:cs="宋体"/>
                <w:color w:val="auto"/>
                <w:szCs w:val="21"/>
                <w:highlight w:val="none"/>
              </w:rPr>
              <w:t>(e)</w:t>
            </w:r>
            <w:r>
              <w:rPr>
                <w:rFonts w:hint="eastAsia" w:ascii="宋体" w:hAnsi="宋体" w:cs="宋体"/>
                <w:color w:val="auto"/>
                <w:szCs w:val="21"/>
                <w:highlight w:val="none"/>
                <w:u w:val="single"/>
              </w:rPr>
              <w:t>按照4.5.1约定推荐入围定标阶段中标候选人。</w:t>
            </w:r>
          </w:p>
          <w:p w14:paraId="564687AD">
            <w:pPr>
              <w:pStyle w:val="16"/>
              <w:widowControl w:val="0"/>
              <w:spacing w:beforeAutospacing="0" w:afterAutospacing="0"/>
              <w:jc w:val="both"/>
              <w:rPr>
                <w:rFonts w:cs="宋体"/>
                <w:color w:val="auto"/>
                <w:kern w:val="2"/>
                <w:sz w:val="21"/>
                <w:szCs w:val="21"/>
                <w:highlight w:val="none"/>
              </w:rPr>
            </w:pPr>
            <w:r>
              <w:rPr>
                <w:rFonts w:cs="宋体"/>
                <w:color w:val="auto"/>
                <w:kern w:val="2"/>
                <w:sz w:val="21"/>
                <w:szCs w:val="21"/>
                <w:highlight w:val="none"/>
              </w:rPr>
              <w:t>(f)评标委员会揭晓投标人身份。</w:t>
            </w:r>
          </w:p>
          <w:p w14:paraId="05948FAF">
            <w:pPr>
              <w:rPr>
                <w:rFonts w:hint="eastAsia" w:ascii="宋体" w:hAnsi="宋体" w:cs="宋体"/>
                <w:color w:val="auto"/>
                <w:szCs w:val="21"/>
                <w:highlight w:val="none"/>
              </w:rPr>
            </w:pPr>
            <w:r>
              <w:rPr>
                <w:rFonts w:hint="eastAsia" w:ascii="宋体" w:hAnsi="宋体" w:cs="宋体"/>
                <w:color w:val="auto"/>
                <w:szCs w:val="21"/>
                <w:highlight w:val="none"/>
              </w:rPr>
              <w:t>(g)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cs="宋体"/>
                <w:color w:val="auto"/>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hint="eastAsia" w:ascii="宋体" w:hAnsi="宋体" w:cs="宋体"/>
                <w:color w:val="auto"/>
                <w:szCs w:val="21"/>
                <w:highlight w:val="none"/>
              </w:rPr>
            </w:pPr>
            <w:r>
              <w:rPr>
                <w:rFonts w:hint="eastAsia" w:ascii="宋体" w:hAnsi="宋体" w:cs="宋体"/>
                <w:color w:val="auto"/>
                <w:szCs w:val="21"/>
                <w:highlight w:val="none"/>
              </w:rPr>
              <w:t>（h）编写、签署评标报告，评标报告由评标委员会全体成员签字，对评标结论持有异议的评标委员会成员可以书面方式阐述其不同意见和理由。</w:t>
            </w:r>
          </w:p>
          <w:p w14:paraId="4666B96D">
            <w:pPr>
              <w:rPr>
                <w:rFonts w:hint="eastAsia" w:ascii="宋体" w:hAnsi="宋体" w:cs="宋体"/>
                <w:color w:val="auto"/>
                <w:szCs w:val="21"/>
                <w:highlight w:val="none"/>
              </w:rPr>
            </w:pPr>
            <w:r>
              <w:rPr>
                <w:rFonts w:hint="eastAsia" w:ascii="宋体" w:hAnsi="宋体" w:cs="宋体"/>
                <w:color w:val="auto"/>
                <w:szCs w:val="21"/>
                <w:highlight w:val="none"/>
              </w:rPr>
              <w:t>(i)评标委员会向招标人提交书面评标报告后即告解散，评标过程中使用的文件、表格以及其他资料应当即时归还招标人（招标代理机构）。</w:t>
            </w:r>
          </w:p>
          <w:p w14:paraId="781C78FC">
            <w:pPr>
              <w:rPr>
                <w:rFonts w:hint="eastAsia" w:ascii="宋体" w:hAnsi="宋体" w:cs="宋体"/>
                <w:color w:val="auto"/>
                <w:szCs w:val="21"/>
                <w:highlight w:val="none"/>
                <w:u w:val="single"/>
              </w:rPr>
            </w:pPr>
            <w:r>
              <w:rPr>
                <w:rFonts w:hint="eastAsia" w:ascii="宋体" w:hAnsi="宋体" w:cs="宋体"/>
                <w:color w:val="auto"/>
                <w:szCs w:val="21"/>
                <w:highlight w:val="none"/>
              </w:rPr>
              <w:t>（j）定标委员会定标。</w:t>
            </w:r>
            <w:r>
              <w:rPr>
                <w:rFonts w:hint="eastAsia" w:ascii="宋体" w:hAnsi="宋体" w:cs="宋体"/>
                <w:color w:val="auto"/>
                <w:szCs w:val="21"/>
                <w:highlight w:val="none"/>
                <w:u w:val="singl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EB418BD">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DBDB7D9">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3733" w:type="dxa"/>
            <w:tcBorders>
              <w:top w:val="single" w:color="auto" w:sz="4" w:space="0"/>
              <w:left w:val="single" w:color="auto" w:sz="4" w:space="0"/>
              <w:bottom w:val="single" w:color="auto" w:sz="4" w:space="0"/>
              <w:right w:val="single" w:color="auto" w:sz="4" w:space="0"/>
            </w:tcBorders>
            <w:vAlign w:val="center"/>
          </w:tcPr>
          <w:p w14:paraId="76111E02">
            <w:pPr>
              <w:spacing w:line="273" w:lineRule="auto"/>
              <w:jc w:val="left"/>
              <w:rPr>
                <w:rFonts w:hint="eastAsia" w:ascii="宋体" w:hAnsi="宋体" w:cs="宋体"/>
                <w:b/>
                <w:color w:val="auto"/>
                <w:szCs w:val="21"/>
                <w:highlight w:val="none"/>
              </w:rPr>
            </w:pPr>
            <w:r>
              <w:rPr>
                <w:rFonts w:hint="eastAsia" w:ascii="宋体" w:hAnsi="宋体" w:cs="宋体"/>
                <w:b/>
                <w:color w:val="auto"/>
                <w:szCs w:val="21"/>
                <w:highlight w:val="none"/>
              </w:rPr>
              <w:t>5.1    确定中标人</w:t>
            </w:r>
          </w:p>
          <w:p w14:paraId="03E935E0">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采用方式确定中标人：</w:t>
            </w:r>
          </w:p>
          <w:p w14:paraId="63BE4312">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方式一（适用于设置资格审查环节的项目）：</w:t>
            </w:r>
          </w:p>
          <w:p w14:paraId="7EC9A04E">
            <w:pPr>
              <w:rPr>
                <w:rFonts w:hint="eastAsia" w:ascii="宋体" w:hAnsi="宋体" w:cs="宋体"/>
                <w:color w:val="auto"/>
                <w:szCs w:val="21"/>
                <w:highlight w:val="none"/>
              </w:rPr>
            </w:pPr>
            <w:r>
              <w:rPr>
                <w:rFonts w:hint="eastAsia" w:ascii="宋体" w:hAnsi="宋体" w:cs="宋体"/>
                <w:color w:val="auto"/>
                <w:szCs w:val="21"/>
                <w:highlight w:val="none"/>
              </w:rPr>
              <w:t>5.1.1  招标人在评标委员会或定标委员会推荐的中标候选人中确定中标人。</w:t>
            </w:r>
          </w:p>
          <w:p w14:paraId="0FFB31C2">
            <w:pPr>
              <w:rPr>
                <w:rFonts w:hint="eastAsia" w:ascii="宋体" w:hAnsi="宋体" w:cs="宋体"/>
                <w:color w:val="auto"/>
                <w:szCs w:val="21"/>
                <w:highlight w:val="none"/>
              </w:rPr>
            </w:pPr>
            <w:r>
              <w:rPr>
                <w:rFonts w:hint="eastAsia" w:ascii="宋体" w:hAnsi="宋体" w:cs="宋体"/>
                <w:color w:val="auto"/>
                <w:szCs w:val="21"/>
                <w:highlight w:val="none"/>
              </w:rPr>
              <w:t>5.1.2  招标人确定中标人：</w:t>
            </w:r>
          </w:p>
          <w:p w14:paraId="44298300">
            <w:pPr>
              <w:rPr>
                <w:rFonts w:hint="eastAsia" w:ascii="宋体" w:hAnsi="宋体" w:cs="宋体"/>
                <w:color w:val="auto"/>
                <w:szCs w:val="21"/>
                <w:highlight w:val="none"/>
              </w:rPr>
            </w:pPr>
            <w:r>
              <w:rPr>
                <w:rFonts w:hint="eastAsia" w:ascii="宋体" w:hAnsi="宋体" w:cs="宋体"/>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6"/>
              <w:widowControl w:val="0"/>
              <w:spacing w:beforeAutospacing="0" w:afterAutospacing="0"/>
              <w:jc w:val="both"/>
              <w:rPr>
                <w:rFonts w:cs="宋体"/>
                <w:color w:val="auto"/>
                <w:sz w:val="21"/>
                <w:szCs w:val="21"/>
                <w:highlight w:val="none"/>
              </w:rPr>
            </w:pPr>
            <w:r>
              <w:rPr>
                <w:rFonts w:cs="宋体"/>
                <w:color w:val="auto"/>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方式二（适用于未设资格审查环节的项目）：</w:t>
            </w:r>
          </w:p>
          <w:p w14:paraId="6DEA0B4F">
            <w:pPr>
              <w:rPr>
                <w:rFonts w:hint="eastAsia" w:ascii="宋体" w:hAnsi="宋体" w:cs="宋体"/>
                <w:color w:val="auto"/>
                <w:szCs w:val="21"/>
                <w:highlight w:val="none"/>
              </w:rPr>
            </w:pPr>
            <w:r>
              <w:rPr>
                <w:rFonts w:hint="eastAsia" w:ascii="宋体" w:hAnsi="宋体" w:cs="宋体"/>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hint="eastAsia" w:ascii="宋体" w:hAnsi="宋体" w:cs="宋体"/>
                <w:color w:val="auto"/>
                <w:szCs w:val="21"/>
                <w:highlight w:val="none"/>
              </w:rPr>
            </w:pPr>
            <w:r>
              <w:rPr>
                <w:rFonts w:hint="eastAsia" w:ascii="宋体" w:hAnsi="宋体" w:cs="宋体"/>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hint="eastAsia" w:ascii="宋体" w:hAnsi="宋体" w:cs="宋体"/>
                <w:color w:val="auto"/>
                <w:szCs w:val="21"/>
                <w:highlight w:val="none"/>
              </w:rPr>
            </w:pPr>
            <w:r>
              <w:rPr>
                <w:rFonts w:hint="eastAsia" w:ascii="宋体" w:hAnsi="宋体" w:cs="宋体"/>
                <w:color w:val="auto"/>
                <w:szCs w:val="21"/>
                <w:highlight w:val="none"/>
              </w:rPr>
              <w:t>5.1.3  定标委员会直接确定中标人，中标人未能通过资格复核的，招标失败。招标人应重新组织招标。</w:t>
            </w:r>
          </w:p>
          <w:p w14:paraId="23F9D9DA">
            <w:pPr>
              <w:pStyle w:val="16"/>
              <w:widowControl w:val="0"/>
              <w:spacing w:beforeAutospacing="0" w:afterAutospacing="0"/>
              <w:ind w:firstLine="400" w:firstLineChars="200"/>
              <w:jc w:val="both"/>
              <w:rPr>
                <w:rFonts w:cs="宋体"/>
                <w:color w:val="auto"/>
                <w:sz w:val="20"/>
                <w:szCs w:val="20"/>
                <w:highlight w:val="none"/>
              </w:rPr>
            </w:pPr>
            <w:r>
              <w:rPr>
                <w:rFonts w:cs="宋体"/>
                <w:color w:val="auto"/>
                <w:sz w:val="20"/>
                <w:szCs w:val="20"/>
                <w:highlight w:val="none"/>
              </w:rPr>
              <w:t>5.1.4  在产生中标候选人后，招标人将中标候选人的投标文件商务部分（包括报价清单、人员、业绩、奖项等资料）在交易平台和广东省招标投标监管网公开。</w:t>
            </w:r>
          </w:p>
        </w:tc>
        <w:tc>
          <w:tcPr>
            <w:tcW w:w="4075" w:type="dxa"/>
            <w:tcBorders>
              <w:top w:val="single" w:color="auto" w:sz="4" w:space="0"/>
              <w:left w:val="single" w:color="auto" w:sz="4" w:space="0"/>
              <w:bottom w:val="single" w:color="auto" w:sz="4" w:space="0"/>
              <w:right w:val="single" w:color="auto" w:sz="4" w:space="0"/>
            </w:tcBorders>
            <w:vAlign w:val="center"/>
          </w:tcPr>
          <w:p w14:paraId="6A160089">
            <w:pPr>
              <w:spacing w:line="273" w:lineRule="auto"/>
              <w:jc w:val="left"/>
              <w:rPr>
                <w:rFonts w:hint="eastAsia" w:ascii="宋体" w:hAnsi="宋体" w:cs="宋体"/>
                <w:b/>
                <w:color w:val="auto"/>
                <w:szCs w:val="21"/>
                <w:highlight w:val="none"/>
              </w:rPr>
            </w:pPr>
            <w:r>
              <w:rPr>
                <w:rFonts w:hint="eastAsia" w:ascii="宋体" w:hAnsi="宋体" w:cs="宋体"/>
                <w:b/>
                <w:color w:val="auto"/>
                <w:szCs w:val="21"/>
                <w:highlight w:val="none"/>
              </w:rPr>
              <w:t>5.1    确定中标人</w:t>
            </w:r>
          </w:p>
          <w:p w14:paraId="55DFC44A">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采用方式</w:t>
            </w:r>
            <w:r>
              <w:rPr>
                <w:rFonts w:hint="eastAsia" w:ascii="宋体" w:hAnsi="宋体" w:cs="宋体"/>
                <w:color w:val="auto"/>
                <w:szCs w:val="21"/>
                <w:highlight w:val="none"/>
                <w:u w:val="single"/>
              </w:rPr>
              <w:t>一</w:t>
            </w:r>
            <w:r>
              <w:rPr>
                <w:rFonts w:hint="eastAsia" w:ascii="宋体" w:hAnsi="宋体" w:cs="宋体"/>
                <w:color w:val="auto"/>
                <w:szCs w:val="21"/>
                <w:highlight w:val="none"/>
              </w:rPr>
              <w:t>确定中标人：</w:t>
            </w:r>
          </w:p>
          <w:p w14:paraId="4C1F12D3">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方式一（适用于设置资格审查环节的项目）：</w:t>
            </w:r>
          </w:p>
          <w:p w14:paraId="18F777A0">
            <w:pPr>
              <w:pStyle w:val="16"/>
              <w:widowControl w:val="0"/>
              <w:spacing w:beforeAutospacing="0" w:afterAutospacing="0"/>
              <w:ind w:firstLine="21" w:firstLineChars="10"/>
              <w:jc w:val="both"/>
              <w:rPr>
                <w:rFonts w:cs="宋体"/>
                <w:color w:val="auto"/>
                <w:sz w:val="21"/>
                <w:szCs w:val="21"/>
                <w:highlight w:val="none"/>
                <w:u w:val="single"/>
              </w:rPr>
            </w:pPr>
            <w:r>
              <w:rPr>
                <w:rFonts w:cs="宋体"/>
                <w:color w:val="auto"/>
                <w:sz w:val="21"/>
                <w:szCs w:val="21"/>
                <w:highlight w:val="none"/>
              </w:rPr>
              <w:t xml:space="preserve">5.1.1  </w:t>
            </w:r>
            <w:r>
              <w:rPr>
                <w:rFonts w:cs="宋体"/>
                <w:color w:val="auto"/>
                <w:sz w:val="21"/>
                <w:szCs w:val="21"/>
                <w:highlight w:val="none"/>
                <w:u w:val="single"/>
              </w:rPr>
              <w:t>评标委员会按照4.5.1约定推荐入围定标阶段中标候选人；定标委员会对合格中标候选人进行评审打分并计算综合得分，定标委员会按得分由高到低顺序，确定中标候选人</w:t>
            </w:r>
            <w:r>
              <w:rPr>
                <w:rFonts w:hint="eastAsia" w:ascii="Times New Roman" w:hAnsi="Times New Roman" w:cs="Times New Roman"/>
                <w:color w:val="auto"/>
                <w:sz w:val="21"/>
                <w:szCs w:val="21"/>
                <w:highlight w:val="none"/>
                <w:lang w:eastAsia="zh-CN"/>
              </w:rPr>
              <w:t>在</w:t>
            </w:r>
            <w:r>
              <w:rPr>
                <w:rFonts w:hint="eastAsia" w:ascii="Times New Roman" w:hAnsi="Times New Roman" w:cs="Times New Roman"/>
                <w:color w:val="auto"/>
                <w:sz w:val="21"/>
                <w:szCs w:val="21"/>
                <w:highlight w:val="none"/>
                <w:lang w:val="en-US" w:eastAsia="zh-CN"/>
              </w:rPr>
              <w:t>定标阶段</w:t>
            </w:r>
            <w:r>
              <w:rPr>
                <w:rFonts w:cs="宋体"/>
                <w:color w:val="auto"/>
                <w:sz w:val="21"/>
                <w:szCs w:val="21"/>
                <w:highlight w:val="none"/>
                <w:u w:val="single"/>
              </w:rPr>
              <w:t>的名次，若定标综合得分相同时，以定标阶段方案因素部分得分高的排前；如仍存在相同情况，由定标委员会成员记名投票决定排序。</w:t>
            </w:r>
          </w:p>
          <w:p w14:paraId="4BA6D3CA">
            <w:pPr>
              <w:rPr>
                <w:rFonts w:hint="eastAsia" w:ascii="宋体" w:hAnsi="宋体" w:cs="宋体"/>
                <w:color w:val="auto"/>
                <w:szCs w:val="21"/>
                <w:highlight w:val="none"/>
              </w:rPr>
            </w:pPr>
            <w:r>
              <w:rPr>
                <w:rFonts w:hint="eastAsia" w:ascii="宋体" w:hAnsi="宋体" w:cs="宋体"/>
                <w:color w:val="auto"/>
                <w:kern w:val="0"/>
                <w:szCs w:val="21"/>
                <w:highlight w:val="none"/>
              </w:rPr>
              <w:t>5.1.2 招</w:t>
            </w:r>
            <w:r>
              <w:rPr>
                <w:rFonts w:hint="eastAsia" w:ascii="宋体" w:hAnsi="宋体" w:cs="宋体"/>
                <w:color w:val="auto"/>
                <w:szCs w:val="21"/>
                <w:highlight w:val="none"/>
              </w:rPr>
              <w:t>标人确定中标人：</w:t>
            </w:r>
          </w:p>
          <w:p w14:paraId="624625B5">
            <w:pPr>
              <w:pStyle w:val="16"/>
              <w:widowControl w:val="0"/>
              <w:spacing w:beforeAutospacing="0" w:afterAutospacing="0"/>
              <w:ind w:firstLine="21" w:firstLineChars="10"/>
              <w:jc w:val="both"/>
              <w:rPr>
                <w:rFonts w:cs="宋体"/>
                <w:color w:val="auto"/>
                <w:sz w:val="21"/>
                <w:szCs w:val="21"/>
                <w:highlight w:val="none"/>
              </w:rPr>
            </w:pPr>
            <w:r>
              <w:rPr>
                <w:rFonts w:cs="宋体"/>
                <w:color w:val="auto"/>
                <w:sz w:val="21"/>
                <w:szCs w:val="21"/>
                <w:highlight w:val="none"/>
              </w:rPr>
              <w:t>应当确定定标阶段排名第一的</w:t>
            </w:r>
            <w:r>
              <w:rPr>
                <w:rFonts w:hint="eastAsia" w:cs="宋体"/>
                <w:color w:val="auto"/>
                <w:sz w:val="21"/>
                <w:szCs w:val="21"/>
                <w:highlight w:val="none"/>
                <w:lang w:val="en-US" w:eastAsia="zh-CN"/>
              </w:rPr>
              <w:t>合格</w:t>
            </w:r>
            <w:r>
              <w:rPr>
                <w:rFonts w:cs="宋体"/>
                <w:color w:val="auto"/>
                <w:sz w:val="21"/>
                <w:szCs w:val="21"/>
                <w:highlight w:val="none"/>
              </w:rPr>
              <w:t>中标候选人为中标人。排名第一的</w:t>
            </w:r>
            <w:r>
              <w:rPr>
                <w:rFonts w:hint="eastAsia" w:cs="宋体"/>
                <w:color w:val="auto"/>
                <w:sz w:val="21"/>
                <w:szCs w:val="21"/>
                <w:highlight w:val="none"/>
                <w:lang w:val="en-US" w:eastAsia="zh-CN"/>
              </w:rPr>
              <w:t>合格</w:t>
            </w:r>
            <w:r>
              <w:rPr>
                <w:rFonts w:cs="宋体"/>
                <w:color w:val="auto"/>
                <w:sz w:val="21"/>
                <w:szCs w:val="21"/>
                <w:highlight w:val="none"/>
              </w:rPr>
              <w:t>中标候选人放弃中标、因不可抗力不能履行合同、不按照招标文件要求提交履约保证金，或者被查实存在影响中标结果的违法行为等情形，不符合中标条件的，招标人可以按照定标委员会提出的</w:t>
            </w:r>
            <w:r>
              <w:rPr>
                <w:rFonts w:hint="eastAsia" w:cs="宋体"/>
                <w:color w:val="auto"/>
                <w:sz w:val="21"/>
                <w:szCs w:val="21"/>
                <w:highlight w:val="none"/>
                <w:lang w:val="en-US" w:eastAsia="zh-CN"/>
              </w:rPr>
              <w:t>合格</w:t>
            </w:r>
            <w:r>
              <w:rPr>
                <w:rFonts w:cs="宋体"/>
                <w:color w:val="auto"/>
                <w:sz w:val="21"/>
                <w:szCs w:val="21"/>
                <w:highlight w:val="none"/>
              </w:rPr>
              <w:t>中标候选人名单排序</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定标阶段</w:t>
            </w:r>
            <w:r>
              <w:rPr>
                <w:rFonts w:hint="eastAsia" w:ascii="Times New Roman" w:hAnsi="Times New Roman" w:cs="Times New Roman"/>
                <w:color w:val="auto"/>
                <w:sz w:val="21"/>
                <w:szCs w:val="21"/>
                <w:highlight w:val="none"/>
                <w:lang w:eastAsia="zh-CN"/>
              </w:rPr>
              <w:t>）</w:t>
            </w:r>
            <w:r>
              <w:rPr>
                <w:rFonts w:cs="宋体"/>
                <w:color w:val="auto"/>
                <w:sz w:val="21"/>
                <w:szCs w:val="21"/>
                <w:highlight w:val="none"/>
              </w:rPr>
              <w:t>依次确定其他</w:t>
            </w:r>
            <w:r>
              <w:rPr>
                <w:rFonts w:hint="eastAsia" w:cs="宋体"/>
                <w:color w:val="auto"/>
                <w:sz w:val="21"/>
                <w:szCs w:val="21"/>
                <w:highlight w:val="none"/>
                <w:lang w:val="en-US" w:eastAsia="zh-CN"/>
              </w:rPr>
              <w:t>合格</w:t>
            </w:r>
            <w:r>
              <w:rPr>
                <w:rFonts w:cs="宋体"/>
                <w:color w:val="auto"/>
                <w:sz w:val="21"/>
                <w:szCs w:val="21"/>
                <w:highlight w:val="none"/>
              </w:rPr>
              <w:t>中标候选人为中标人，也可以重新招标。</w:t>
            </w:r>
          </w:p>
          <w:p w14:paraId="01397A0E">
            <w:pPr>
              <w:pStyle w:val="16"/>
              <w:widowControl w:val="0"/>
              <w:spacing w:beforeAutospacing="0" w:afterAutospacing="0"/>
              <w:jc w:val="both"/>
              <w:rPr>
                <w:rFonts w:cs="宋体"/>
                <w:color w:val="auto"/>
                <w:sz w:val="21"/>
                <w:szCs w:val="21"/>
                <w:highlight w:val="none"/>
              </w:rPr>
            </w:pPr>
            <w:r>
              <w:rPr>
                <w:rFonts w:cs="宋体"/>
                <w:color w:val="auto"/>
                <w:sz w:val="21"/>
                <w:szCs w:val="21"/>
                <w:highlight w:val="none"/>
              </w:rPr>
              <w:t>5.1.3 在产生</w:t>
            </w:r>
            <w:r>
              <w:rPr>
                <w:rFonts w:hint="eastAsia" w:cs="宋体"/>
                <w:color w:val="auto"/>
                <w:sz w:val="21"/>
                <w:szCs w:val="21"/>
                <w:highlight w:val="none"/>
                <w:lang w:val="en-US" w:eastAsia="zh-CN"/>
              </w:rPr>
              <w:t>合格</w:t>
            </w:r>
            <w:r>
              <w:rPr>
                <w:rFonts w:cs="宋体"/>
                <w:color w:val="auto"/>
                <w:sz w:val="21"/>
                <w:szCs w:val="21"/>
                <w:highlight w:val="none"/>
              </w:rPr>
              <w:t>中标</w:t>
            </w:r>
            <w:r>
              <w:rPr>
                <w:rFonts w:cs="宋体"/>
                <w:color w:val="auto"/>
                <w:kern w:val="2"/>
                <w:sz w:val="21"/>
                <w:szCs w:val="21"/>
                <w:highlight w:val="none"/>
              </w:rPr>
              <w:t>候选人</w:t>
            </w:r>
            <w:r>
              <w:rPr>
                <w:rFonts w:cs="宋体"/>
                <w:color w:val="auto"/>
                <w:sz w:val="21"/>
                <w:szCs w:val="21"/>
                <w:highlight w:val="none"/>
              </w:rPr>
              <w:t>后，招标人将</w:t>
            </w:r>
            <w:r>
              <w:rPr>
                <w:rFonts w:hint="eastAsia" w:cs="宋体"/>
                <w:color w:val="auto"/>
                <w:sz w:val="21"/>
                <w:szCs w:val="21"/>
                <w:highlight w:val="none"/>
                <w:lang w:val="en-US" w:eastAsia="zh-CN"/>
              </w:rPr>
              <w:t>合格</w:t>
            </w:r>
            <w:r>
              <w:rPr>
                <w:rFonts w:cs="宋体"/>
                <w:color w:val="auto"/>
                <w:sz w:val="21"/>
                <w:szCs w:val="21"/>
                <w:highlight w:val="none"/>
              </w:rPr>
              <w:t>中标候选人的投标文件的商务部分（包括人员、业绩、奖项等资料）在广州交易集团有限公司（广州公共资源交易中心）网站和广东省招标投标监管网公开。</w:t>
            </w:r>
          </w:p>
          <w:p w14:paraId="73EF8AA6">
            <w:pPr>
              <w:pStyle w:val="16"/>
              <w:widowControl w:val="0"/>
              <w:spacing w:beforeAutospacing="0" w:afterAutospacing="0"/>
              <w:jc w:val="both"/>
              <w:rPr>
                <w:rFonts w:cs="宋体"/>
                <w:b/>
                <w:bCs/>
                <w:color w:val="auto"/>
                <w:sz w:val="21"/>
                <w:szCs w:val="21"/>
                <w:highlight w:val="none"/>
                <w:u w:val="single"/>
              </w:rPr>
            </w:pPr>
            <w:r>
              <w:rPr>
                <w:rFonts w:cs="宋体"/>
                <w:color w:val="auto"/>
                <w:sz w:val="21"/>
                <w:szCs w:val="21"/>
                <w:highlight w:val="none"/>
                <w:u w:val="single"/>
              </w:rPr>
              <w:t>5.1.4招标人将在广州交易集团有限公司（广州公共资源交易中心）网站、广东省招标投标监管网和中国招标投标公共服务平台公示中标候选人，公示期为三天，公示期间的最后1天应当为工作日，否则将公示期的最后1天顺延至下一个工作日。</w:t>
            </w:r>
            <w:r>
              <w:rPr>
                <w:rFonts w:cs="宋体"/>
                <w:b/>
                <w:bCs/>
                <w:color w:val="auto"/>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6"/>
              <w:widowControl w:val="0"/>
              <w:spacing w:beforeAutospacing="0" w:afterAutospacing="0"/>
              <w:jc w:val="both"/>
              <w:rPr>
                <w:rFonts w:cs="宋体"/>
                <w:b/>
                <w:bCs/>
                <w:color w:val="auto"/>
                <w:sz w:val="21"/>
                <w:szCs w:val="21"/>
                <w:highlight w:val="none"/>
                <w:u w:val="single"/>
              </w:rPr>
            </w:pP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74F491">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7E7651A">
            <w:pPr>
              <w:jc w:val="center"/>
              <w:rPr>
                <w:rFonts w:hint="eastAsia" w:ascii="宋体" w:hAnsi="宋体" w:cs="宋体"/>
                <w:color w:val="auto"/>
                <w:szCs w:val="21"/>
                <w:highlight w:val="none"/>
              </w:rPr>
            </w:pPr>
            <w:r>
              <w:rPr>
                <w:rFonts w:hint="eastAsia" w:ascii="宋体" w:hAnsi="宋体" w:cs="宋体"/>
                <w:color w:val="auto"/>
                <w:szCs w:val="21"/>
                <w:highlight w:val="none"/>
              </w:rPr>
              <w:t>5.2.2.1</w:t>
            </w:r>
          </w:p>
        </w:tc>
        <w:tc>
          <w:tcPr>
            <w:tcW w:w="3733" w:type="dxa"/>
            <w:tcBorders>
              <w:top w:val="single" w:color="auto" w:sz="4" w:space="0"/>
              <w:left w:val="single" w:color="auto" w:sz="4" w:space="0"/>
              <w:bottom w:val="single" w:color="auto" w:sz="4" w:space="0"/>
              <w:right w:val="single" w:color="auto" w:sz="4" w:space="0"/>
            </w:tcBorders>
            <w:vAlign w:val="center"/>
          </w:tcPr>
          <w:p w14:paraId="23D18956">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3EB8FD4A">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8B7389">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4180AF4">
            <w:pPr>
              <w:jc w:val="center"/>
              <w:rPr>
                <w:rFonts w:hint="eastAsia" w:ascii="宋体" w:hAnsi="宋体" w:cs="宋体"/>
                <w:color w:val="auto"/>
                <w:szCs w:val="21"/>
                <w:highlight w:val="none"/>
              </w:rPr>
            </w:pPr>
            <w:r>
              <w:rPr>
                <w:rFonts w:hint="eastAsia" w:ascii="宋体" w:hAnsi="宋体" w:cs="宋体"/>
                <w:color w:val="auto"/>
                <w:szCs w:val="21"/>
                <w:highlight w:val="none"/>
              </w:rPr>
              <w:t>5.2.6</w:t>
            </w:r>
          </w:p>
        </w:tc>
        <w:tc>
          <w:tcPr>
            <w:tcW w:w="3733" w:type="dxa"/>
            <w:tcBorders>
              <w:top w:val="single" w:color="auto" w:sz="4" w:space="0"/>
              <w:left w:val="single" w:color="auto" w:sz="4" w:space="0"/>
              <w:bottom w:val="single" w:color="auto" w:sz="4" w:space="0"/>
              <w:right w:val="single" w:color="auto" w:sz="4" w:space="0"/>
            </w:tcBorders>
            <w:vAlign w:val="center"/>
          </w:tcPr>
          <w:p w14:paraId="34BF77EE">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72BA2F70">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5.2.6</w:t>
            </w:r>
            <w:r>
              <w:rPr>
                <w:rFonts w:hint="eastAsia" w:ascii="宋体" w:hAnsi="宋体" w:cs="宋体"/>
                <w:color w:val="auto"/>
                <w:szCs w:val="21"/>
                <w:highlight w:val="none"/>
                <w:u w:val="single"/>
              </w:rPr>
              <w:t>中标人在中标</w:t>
            </w:r>
            <w:r>
              <w:rPr>
                <w:rFonts w:hint="eastAsia" w:ascii="宋体" w:hAnsi="宋体" w:cs="宋体"/>
                <w:color w:val="auto"/>
                <w:szCs w:val="21"/>
                <w:highlight w:val="none"/>
                <w:u w:val="single"/>
                <w:lang w:val="en-US" w:eastAsia="zh-CN"/>
              </w:rPr>
              <w:t>结果</w:t>
            </w:r>
            <w:r>
              <w:rPr>
                <w:rFonts w:hint="eastAsia" w:ascii="宋体" w:hAnsi="宋体" w:cs="宋体"/>
                <w:color w:val="auto"/>
                <w:szCs w:val="21"/>
                <w:highlight w:val="none"/>
                <w:u w:val="single"/>
              </w:rPr>
              <w:t>公示后，签订合同前，须提供与所递交投标电子标书内容一致且加盖单位公章的纸质文件二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eastAsia" w:ascii="宋体" w:hAnsi="宋体" w:cs="宋体"/>
                <w:color w:val="auto"/>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80FFFC">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20EFD7">
            <w:pPr>
              <w:jc w:val="center"/>
              <w:rPr>
                <w:rFonts w:hint="eastAsia" w:ascii="宋体" w:hAnsi="宋体" w:cs="宋体"/>
                <w:color w:val="auto"/>
                <w:szCs w:val="21"/>
                <w:highlight w:val="none"/>
              </w:rPr>
            </w:pPr>
            <w:r>
              <w:rPr>
                <w:rFonts w:hint="eastAsia" w:ascii="宋体" w:hAnsi="宋体" w:cs="宋体"/>
                <w:color w:val="auto"/>
                <w:szCs w:val="21"/>
                <w:highlight w:val="none"/>
              </w:rPr>
              <w:t>5.3.5</w:t>
            </w:r>
          </w:p>
        </w:tc>
        <w:tc>
          <w:tcPr>
            <w:tcW w:w="3733" w:type="dxa"/>
            <w:tcBorders>
              <w:top w:val="single" w:color="auto" w:sz="4" w:space="0"/>
              <w:left w:val="single" w:color="auto" w:sz="4" w:space="0"/>
              <w:bottom w:val="single" w:color="auto" w:sz="4" w:space="0"/>
              <w:right w:val="single" w:color="auto" w:sz="4" w:space="0"/>
            </w:tcBorders>
            <w:vAlign w:val="center"/>
          </w:tcPr>
          <w:p w14:paraId="6D4745F0">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7175B8D1">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5.3.5 </w:t>
            </w:r>
            <w:r>
              <w:rPr>
                <w:rFonts w:hint="eastAsia" w:ascii="宋体" w:hAnsi="宋体" w:cs="宋体"/>
                <w:color w:val="auto"/>
                <w:szCs w:val="21"/>
                <w:highlight w:val="none"/>
                <w:u w:val="single"/>
              </w:rPr>
              <w:t>中标人应按合同规定提交中标价款（人民币）10 %的履约</w:t>
            </w:r>
            <w:r>
              <w:rPr>
                <w:rFonts w:hint="eastAsia" w:ascii="宋体" w:hAnsi="宋体" w:cs="宋体"/>
                <w:color w:val="auto"/>
                <w:szCs w:val="21"/>
                <w:highlight w:val="none"/>
                <w:u w:val="single"/>
                <w:lang w:val="en-US" w:eastAsia="zh-CN"/>
              </w:rPr>
              <w:t>保证金</w:t>
            </w:r>
            <w:r>
              <w:rPr>
                <w:rFonts w:hint="eastAsia" w:ascii="宋体" w:hAnsi="宋体" w:cs="宋体"/>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CF6570B">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AF4626">
            <w:pPr>
              <w:jc w:val="center"/>
              <w:rPr>
                <w:rFonts w:hint="eastAsia" w:ascii="宋体" w:hAnsi="宋体" w:cs="宋体"/>
                <w:color w:val="auto"/>
                <w:szCs w:val="21"/>
                <w:highlight w:val="none"/>
              </w:rPr>
            </w:pPr>
            <w:r>
              <w:rPr>
                <w:rFonts w:hint="eastAsia" w:ascii="宋体" w:hAnsi="宋体" w:cs="宋体"/>
                <w:color w:val="auto"/>
                <w:szCs w:val="21"/>
                <w:highlight w:val="none"/>
              </w:rPr>
              <w:t>5.3.6</w:t>
            </w:r>
          </w:p>
        </w:tc>
        <w:tc>
          <w:tcPr>
            <w:tcW w:w="3733" w:type="dxa"/>
            <w:tcBorders>
              <w:top w:val="single" w:color="auto" w:sz="4" w:space="0"/>
              <w:left w:val="single" w:color="auto" w:sz="4" w:space="0"/>
              <w:bottom w:val="single" w:color="auto" w:sz="4" w:space="0"/>
              <w:right w:val="single" w:color="auto" w:sz="4" w:space="0"/>
            </w:tcBorders>
            <w:vAlign w:val="center"/>
          </w:tcPr>
          <w:p w14:paraId="46C838A8">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139219D4">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5.3.6</w:t>
            </w:r>
            <w:r>
              <w:rPr>
                <w:rFonts w:hint="eastAsia" w:ascii="宋体" w:hAnsi="宋体" w:cs="宋体"/>
                <w:color w:val="auto"/>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524F79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29684D">
            <w:pPr>
              <w:jc w:val="center"/>
              <w:rPr>
                <w:rFonts w:hint="eastAsia" w:ascii="宋体" w:hAnsi="宋体" w:cs="宋体"/>
                <w:color w:val="auto"/>
                <w:szCs w:val="21"/>
                <w:highlight w:val="none"/>
              </w:rPr>
            </w:pPr>
            <w:r>
              <w:rPr>
                <w:rFonts w:hint="eastAsia" w:ascii="宋体" w:hAnsi="宋体" w:cs="宋体"/>
                <w:color w:val="auto"/>
                <w:szCs w:val="21"/>
                <w:highlight w:val="none"/>
              </w:rPr>
              <w:t>5.3.6</w:t>
            </w:r>
          </w:p>
        </w:tc>
        <w:tc>
          <w:tcPr>
            <w:tcW w:w="3733" w:type="dxa"/>
            <w:tcBorders>
              <w:top w:val="single" w:color="auto" w:sz="4" w:space="0"/>
              <w:left w:val="single" w:color="auto" w:sz="4" w:space="0"/>
              <w:bottom w:val="single" w:color="auto" w:sz="4" w:space="0"/>
              <w:right w:val="single" w:color="auto" w:sz="4" w:space="0"/>
            </w:tcBorders>
            <w:vAlign w:val="center"/>
          </w:tcPr>
          <w:p w14:paraId="0C1D5EFA">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03E6E6B8">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5.3.7</w:t>
            </w:r>
            <w:r>
              <w:rPr>
                <w:rFonts w:hint="eastAsia" w:ascii="宋体" w:hAnsi="宋体" w:cs="宋体"/>
                <w:color w:val="auto"/>
                <w:szCs w:val="21"/>
                <w:highlight w:val="none"/>
                <w:u w:val="singl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2DB3F0">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063E2A">
            <w:pPr>
              <w:jc w:val="center"/>
              <w:rPr>
                <w:rFonts w:hint="eastAsia" w:ascii="宋体" w:hAnsi="宋体" w:cs="宋体"/>
                <w:color w:val="auto"/>
                <w:szCs w:val="21"/>
                <w:highlight w:val="none"/>
              </w:rPr>
            </w:pPr>
            <w:r>
              <w:rPr>
                <w:rFonts w:hint="eastAsia" w:ascii="宋体" w:hAnsi="宋体" w:cs="宋体"/>
                <w:color w:val="auto"/>
                <w:szCs w:val="21"/>
                <w:highlight w:val="none"/>
              </w:rPr>
              <w:t>6.1.6</w:t>
            </w:r>
          </w:p>
        </w:tc>
        <w:tc>
          <w:tcPr>
            <w:tcW w:w="3733" w:type="dxa"/>
            <w:tcBorders>
              <w:top w:val="single" w:color="auto" w:sz="4" w:space="0"/>
              <w:left w:val="single" w:color="auto" w:sz="4" w:space="0"/>
              <w:bottom w:val="single" w:color="auto" w:sz="4" w:space="0"/>
              <w:right w:val="single" w:color="auto" w:sz="4" w:space="0"/>
            </w:tcBorders>
            <w:vAlign w:val="center"/>
          </w:tcPr>
          <w:p w14:paraId="3C8B5965">
            <w:pPr>
              <w:spacing w:line="273" w:lineRule="auto"/>
              <w:rPr>
                <w:rFonts w:hint="eastAsia" w:ascii="宋体" w:hAnsi="宋体" w:cs="宋体"/>
                <w:b/>
                <w:color w:val="auto"/>
                <w:szCs w:val="21"/>
                <w:highlight w:val="none"/>
              </w:rPr>
            </w:pPr>
            <w:r>
              <w:rPr>
                <w:rFonts w:hint="eastAsia" w:ascii="宋体" w:hAnsi="宋体" w:cs="宋体"/>
                <w:b/>
                <w:color w:val="auto"/>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03EF0051">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6.1.6</w:t>
            </w:r>
            <w:r>
              <w:rPr>
                <w:rFonts w:hint="eastAsia" w:ascii="宋体" w:hAnsi="宋体" w:cs="宋体"/>
                <w:color w:val="auto"/>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77E0472">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B94A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7.2.1</w:t>
            </w:r>
          </w:p>
        </w:tc>
        <w:tc>
          <w:tcPr>
            <w:tcW w:w="3733" w:type="dxa"/>
            <w:tcBorders>
              <w:top w:val="single" w:color="auto" w:sz="4" w:space="0"/>
              <w:left w:val="single" w:color="auto" w:sz="4" w:space="0"/>
              <w:bottom w:val="single" w:color="auto" w:sz="4" w:space="0"/>
              <w:right w:val="single" w:color="auto" w:sz="4" w:space="0"/>
            </w:tcBorders>
            <w:vAlign w:val="center"/>
          </w:tcPr>
          <w:p w14:paraId="3EFFF0D2">
            <w:pPr>
              <w:rPr>
                <w:rFonts w:hint="eastAsia" w:ascii="宋体" w:hAnsi="宋体" w:cs="宋体"/>
                <w:color w:val="auto"/>
                <w:szCs w:val="21"/>
                <w:highlight w:val="none"/>
              </w:rPr>
            </w:pPr>
            <w:r>
              <w:rPr>
                <w:rFonts w:hint="eastAsia" w:ascii="宋体" w:hAnsi="宋体" w:cs="宋体"/>
                <w:color w:val="auto"/>
                <w:szCs w:val="21"/>
                <w:highlight w:val="none"/>
              </w:rPr>
              <w:t>7.2.1  授予合同并支付定金后，中标方案的发表权、展览权、使用权归招标人和中标人共有。</w:t>
            </w:r>
          </w:p>
        </w:tc>
        <w:tc>
          <w:tcPr>
            <w:tcW w:w="4075" w:type="dxa"/>
            <w:tcBorders>
              <w:top w:val="single" w:color="auto" w:sz="4" w:space="0"/>
              <w:left w:val="single" w:color="auto" w:sz="4" w:space="0"/>
              <w:bottom w:val="single" w:color="auto" w:sz="4" w:space="0"/>
              <w:right w:val="single" w:color="auto" w:sz="4" w:space="0"/>
            </w:tcBorders>
            <w:vAlign w:val="center"/>
          </w:tcPr>
          <w:p w14:paraId="346E8C04">
            <w:pPr>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7.2.1  授予合同并支付</w:t>
            </w:r>
            <w:r>
              <w:rPr>
                <w:rFonts w:hint="eastAsia" w:ascii="宋体" w:hAnsi="宋体" w:cs="宋体"/>
                <w:color w:val="auto"/>
                <w:szCs w:val="21"/>
                <w:highlight w:val="none"/>
                <w:u w:val="single"/>
              </w:rPr>
              <w:t>预付款</w:t>
            </w:r>
            <w:r>
              <w:rPr>
                <w:rFonts w:hint="eastAsia" w:ascii="宋体" w:hAnsi="宋体" w:cs="宋体"/>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08B44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AE86A7">
            <w:pPr>
              <w:spacing w:line="360" w:lineRule="auto"/>
              <w:ind w:left="2"/>
              <w:jc w:val="center"/>
              <w:rPr>
                <w:rFonts w:hint="eastAsia" w:ascii="宋体" w:hAnsi="宋体" w:cs="宋体"/>
                <w:color w:val="auto"/>
                <w:szCs w:val="21"/>
                <w:highlight w:val="none"/>
              </w:rPr>
            </w:pPr>
            <w:r>
              <w:rPr>
                <w:rFonts w:hint="eastAsia" w:ascii="宋体" w:hAnsi="宋体" w:cs="宋体"/>
                <w:color w:val="auto"/>
                <w:szCs w:val="21"/>
                <w:highlight w:val="none"/>
              </w:rPr>
              <w:t>第八章</w:t>
            </w:r>
          </w:p>
        </w:tc>
        <w:tc>
          <w:tcPr>
            <w:tcW w:w="3733" w:type="dxa"/>
            <w:tcBorders>
              <w:top w:val="single" w:color="auto" w:sz="4" w:space="0"/>
              <w:left w:val="single" w:color="auto" w:sz="4" w:space="0"/>
              <w:bottom w:val="single" w:color="auto" w:sz="4" w:space="0"/>
              <w:right w:val="single" w:color="auto" w:sz="4" w:space="0"/>
            </w:tcBorders>
            <w:vAlign w:val="center"/>
          </w:tcPr>
          <w:p w14:paraId="01677A06">
            <w:pPr>
              <w:spacing w:line="360" w:lineRule="auto"/>
              <w:ind w:left="2"/>
              <w:jc w:val="left"/>
              <w:rPr>
                <w:rFonts w:hint="eastAsia" w:ascii="宋体" w:hAnsi="宋体" w:cs="宋体"/>
                <w:color w:val="auto"/>
                <w:szCs w:val="21"/>
                <w:highlight w:val="none"/>
              </w:rPr>
            </w:pPr>
            <w:r>
              <w:rPr>
                <w:rFonts w:hint="eastAsia" w:ascii="宋体" w:hAnsi="宋体" w:cs="宋体"/>
                <w:color w:val="auto"/>
                <w:szCs w:val="21"/>
                <w:highlight w:val="none"/>
              </w:rPr>
              <w:t>合同条款</w:t>
            </w:r>
          </w:p>
        </w:tc>
        <w:tc>
          <w:tcPr>
            <w:tcW w:w="4075" w:type="dxa"/>
            <w:tcBorders>
              <w:top w:val="single" w:color="auto" w:sz="4" w:space="0"/>
              <w:left w:val="single" w:color="auto" w:sz="4" w:space="0"/>
              <w:bottom w:val="single" w:color="auto" w:sz="4" w:space="0"/>
              <w:right w:val="single" w:color="auto" w:sz="4" w:space="0"/>
            </w:tcBorders>
            <w:vAlign w:val="center"/>
          </w:tcPr>
          <w:p w14:paraId="0B941F38">
            <w:pPr>
              <w:spacing w:line="360" w:lineRule="auto"/>
              <w:ind w:left="2"/>
              <w:jc w:val="left"/>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4D1F8E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8A2590A">
            <w:pPr>
              <w:jc w:val="center"/>
              <w:rPr>
                <w:rFonts w:hint="eastAsia" w:ascii="宋体" w:hAnsi="宋体" w:cs="宋体"/>
                <w:color w:val="auto"/>
                <w:szCs w:val="21"/>
                <w:highlight w:val="none"/>
              </w:rPr>
            </w:pPr>
            <w:r>
              <w:rPr>
                <w:rFonts w:hint="eastAsia" w:ascii="宋体" w:hAnsi="宋体" w:cs="宋体"/>
                <w:bCs/>
                <w:color w:val="auto"/>
                <w:szCs w:val="21"/>
                <w:highlight w:val="none"/>
              </w:rPr>
              <w:t>附录1</w:t>
            </w:r>
          </w:p>
        </w:tc>
        <w:tc>
          <w:tcPr>
            <w:tcW w:w="3733" w:type="dxa"/>
            <w:tcBorders>
              <w:top w:val="single" w:color="auto" w:sz="4" w:space="0"/>
              <w:left w:val="single" w:color="auto" w:sz="4" w:space="0"/>
              <w:bottom w:val="single" w:color="auto" w:sz="4" w:space="0"/>
              <w:right w:val="single" w:color="auto" w:sz="4" w:space="0"/>
            </w:tcBorders>
            <w:vAlign w:val="center"/>
          </w:tcPr>
          <w:p w14:paraId="62549965">
            <w:pPr>
              <w:jc w:val="left"/>
              <w:rPr>
                <w:rFonts w:hint="eastAsia" w:ascii="宋体" w:hAnsi="宋体" w:cs="宋体"/>
                <w:color w:val="auto"/>
                <w:szCs w:val="21"/>
                <w:highlight w:val="none"/>
              </w:rPr>
            </w:pPr>
            <w:r>
              <w:rPr>
                <w:rFonts w:hint="eastAsia" w:ascii="宋体" w:hAnsi="宋体" w:cs="宋体"/>
                <w:color w:val="auto"/>
                <w:szCs w:val="21"/>
                <w:highlight w:val="none"/>
              </w:rPr>
              <w:t>投标申请表（投入人员承诺）</w:t>
            </w:r>
          </w:p>
        </w:tc>
        <w:tc>
          <w:tcPr>
            <w:tcW w:w="4075" w:type="dxa"/>
            <w:tcBorders>
              <w:top w:val="single" w:color="auto" w:sz="4" w:space="0"/>
              <w:left w:val="single" w:color="auto" w:sz="4" w:space="0"/>
              <w:bottom w:val="single" w:color="auto" w:sz="4" w:space="0"/>
              <w:right w:val="single" w:color="auto" w:sz="4" w:space="0"/>
            </w:tcBorders>
            <w:vAlign w:val="center"/>
          </w:tcPr>
          <w:p w14:paraId="75520ADC">
            <w:pPr>
              <w:jc w:val="left"/>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073EAE">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9C31982">
            <w:pPr>
              <w:jc w:val="center"/>
              <w:rPr>
                <w:rFonts w:hint="eastAsia" w:ascii="宋体" w:hAnsi="宋体" w:cs="宋体"/>
                <w:color w:val="auto"/>
                <w:szCs w:val="21"/>
                <w:highlight w:val="none"/>
              </w:rPr>
            </w:pPr>
            <w:r>
              <w:rPr>
                <w:rFonts w:hint="eastAsia" w:ascii="宋体" w:hAnsi="宋体" w:cs="宋体"/>
                <w:color w:val="auto"/>
                <w:szCs w:val="21"/>
                <w:highlight w:val="none"/>
              </w:rPr>
              <w:t>附件2</w:t>
            </w:r>
          </w:p>
        </w:tc>
        <w:tc>
          <w:tcPr>
            <w:tcW w:w="3733" w:type="dxa"/>
            <w:tcBorders>
              <w:top w:val="single" w:color="auto" w:sz="4" w:space="0"/>
              <w:left w:val="single" w:color="auto" w:sz="4" w:space="0"/>
              <w:bottom w:val="single" w:color="auto" w:sz="4" w:space="0"/>
              <w:right w:val="single" w:color="auto" w:sz="4" w:space="0"/>
            </w:tcBorders>
            <w:vAlign w:val="center"/>
          </w:tcPr>
          <w:p w14:paraId="1C49D030">
            <w:pPr>
              <w:jc w:val="left"/>
              <w:rPr>
                <w:rFonts w:hint="eastAsia" w:ascii="宋体" w:hAnsi="宋体" w:cs="宋体"/>
                <w:color w:val="auto"/>
                <w:szCs w:val="21"/>
                <w:highlight w:val="none"/>
              </w:rPr>
            </w:pPr>
            <w:r>
              <w:rPr>
                <w:rFonts w:hint="eastAsia" w:ascii="宋体" w:hAnsi="宋体" w:cs="宋体"/>
                <w:color w:val="auto"/>
                <w:szCs w:val="21"/>
                <w:highlight w:val="none"/>
              </w:rPr>
              <w:t>设计投标文件编制要求（见范本）</w:t>
            </w:r>
          </w:p>
        </w:tc>
        <w:tc>
          <w:tcPr>
            <w:tcW w:w="4075" w:type="dxa"/>
            <w:tcBorders>
              <w:top w:val="single" w:color="auto" w:sz="4" w:space="0"/>
              <w:left w:val="single" w:color="auto" w:sz="4" w:space="0"/>
              <w:bottom w:val="single" w:color="auto" w:sz="4" w:space="0"/>
              <w:right w:val="single" w:color="auto" w:sz="4" w:space="0"/>
            </w:tcBorders>
            <w:vAlign w:val="center"/>
          </w:tcPr>
          <w:p w14:paraId="780267D3">
            <w:pPr>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设计投标文件编制要求</w:t>
            </w:r>
            <w:r>
              <w:rPr>
                <w:rFonts w:hint="eastAsia" w:ascii="宋体" w:hAnsi="宋体" w:cs="宋体"/>
                <w:color w:val="auto"/>
                <w:szCs w:val="21"/>
                <w:highlight w:val="none"/>
                <w:u w:val="singl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9318C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C96727">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附件3</w:t>
            </w:r>
          </w:p>
        </w:tc>
        <w:tc>
          <w:tcPr>
            <w:tcW w:w="3733" w:type="dxa"/>
            <w:tcBorders>
              <w:top w:val="single" w:color="auto" w:sz="4" w:space="0"/>
              <w:left w:val="single" w:color="auto" w:sz="4" w:space="0"/>
              <w:bottom w:val="single" w:color="auto" w:sz="4" w:space="0"/>
              <w:right w:val="single" w:color="auto" w:sz="4" w:space="0"/>
            </w:tcBorders>
            <w:vAlign w:val="center"/>
          </w:tcPr>
          <w:p w14:paraId="6B0CEA29">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勘察初步设计费报价表</w:t>
            </w:r>
          </w:p>
        </w:tc>
        <w:tc>
          <w:tcPr>
            <w:tcW w:w="4075" w:type="dxa"/>
            <w:tcBorders>
              <w:top w:val="single" w:color="auto" w:sz="4" w:space="0"/>
              <w:left w:val="single" w:color="auto" w:sz="4" w:space="0"/>
              <w:bottom w:val="single" w:color="auto" w:sz="4" w:space="0"/>
              <w:right w:val="single" w:color="auto" w:sz="4" w:space="0"/>
            </w:tcBorders>
            <w:vAlign w:val="center"/>
          </w:tcPr>
          <w:p w14:paraId="56BF42E1">
            <w:pPr>
              <w:spacing w:line="240" w:lineRule="auto"/>
              <w:jc w:val="left"/>
              <w:rPr>
                <w:rFonts w:hint="eastAsia" w:ascii="宋体" w:hAnsi="宋体" w:cs="宋体"/>
                <w:color w:val="auto"/>
                <w:szCs w:val="21"/>
                <w:highlight w:val="none"/>
              </w:rPr>
            </w:pPr>
            <w:r>
              <w:rPr>
                <w:rFonts w:hint="eastAsia" w:ascii="宋体" w:hAnsi="宋体" w:cs="宋体"/>
                <w:b/>
                <w:color w:val="auto"/>
                <w:szCs w:val="21"/>
                <w:highlight w:val="none"/>
                <w:lang w:val="en-US" w:eastAsia="zh-CN"/>
              </w:rPr>
              <w:t>修改：</w:t>
            </w:r>
            <w:r>
              <w:rPr>
                <w:rFonts w:hint="eastAsia" w:ascii="宋体" w:hAnsi="宋体" w:cs="宋体"/>
                <w:color w:val="auto"/>
                <w:szCs w:val="21"/>
                <w:highlight w:val="none"/>
                <w:u w:val="single"/>
              </w:rPr>
              <w:t>工程勘察初步设计费报价汇总表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详见附件3</w:t>
            </w:r>
            <w:r>
              <w:rPr>
                <w:rFonts w:hint="eastAsia" w:ascii="宋体" w:hAnsi="宋体" w:cs="宋体"/>
                <w:color w:val="auto"/>
                <w:szCs w:val="21"/>
                <w:highlight w:val="none"/>
                <w:u w:val="single"/>
                <w:lang w:eastAsia="zh-CN"/>
              </w:rPr>
              <w:t>）</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AFF5424">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1CDB83A">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3-1</w:t>
            </w:r>
          </w:p>
        </w:tc>
        <w:tc>
          <w:tcPr>
            <w:tcW w:w="3733" w:type="dxa"/>
            <w:tcBorders>
              <w:top w:val="single" w:color="auto" w:sz="4" w:space="0"/>
              <w:left w:val="single" w:color="auto" w:sz="4" w:space="0"/>
              <w:bottom w:val="single" w:color="auto" w:sz="4" w:space="0"/>
              <w:right w:val="single" w:color="auto" w:sz="4" w:space="0"/>
            </w:tcBorders>
            <w:vAlign w:val="center"/>
          </w:tcPr>
          <w:p w14:paraId="6925B6ED">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4A99D2B6">
            <w:pPr>
              <w:spacing w:line="240" w:lineRule="auto"/>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附件3－1：建筑信息模型（BIM）技术应用费计算表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045068">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CD9BDB0">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3-2</w:t>
            </w:r>
          </w:p>
        </w:tc>
        <w:tc>
          <w:tcPr>
            <w:tcW w:w="3733" w:type="dxa"/>
            <w:tcBorders>
              <w:top w:val="single" w:color="auto" w:sz="4" w:space="0"/>
              <w:left w:val="single" w:color="auto" w:sz="4" w:space="0"/>
              <w:bottom w:val="single" w:color="auto" w:sz="4" w:space="0"/>
              <w:right w:val="single" w:color="auto" w:sz="4" w:space="0"/>
            </w:tcBorders>
            <w:vAlign w:val="center"/>
          </w:tcPr>
          <w:p w14:paraId="2F9CF8F4">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791913E5">
            <w:pPr>
              <w:spacing w:line="240" w:lineRule="auto"/>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94C032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16B10D">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附录4</w:t>
            </w:r>
          </w:p>
        </w:tc>
        <w:tc>
          <w:tcPr>
            <w:tcW w:w="3733" w:type="dxa"/>
            <w:tcBorders>
              <w:top w:val="single" w:color="auto" w:sz="4" w:space="0"/>
              <w:left w:val="single" w:color="auto" w:sz="4" w:space="0"/>
              <w:bottom w:val="single" w:color="auto" w:sz="4" w:space="0"/>
              <w:right w:val="single" w:color="auto" w:sz="4" w:space="0"/>
            </w:tcBorders>
            <w:vAlign w:val="center"/>
          </w:tcPr>
          <w:p w14:paraId="46D67800">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建筑工程设计方案测试记录表</w:t>
            </w:r>
          </w:p>
        </w:tc>
        <w:tc>
          <w:tcPr>
            <w:tcW w:w="4075" w:type="dxa"/>
            <w:tcBorders>
              <w:top w:val="single" w:color="auto" w:sz="4" w:space="0"/>
              <w:left w:val="single" w:color="auto" w:sz="4" w:space="0"/>
              <w:bottom w:val="single" w:color="auto" w:sz="4" w:space="0"/>
              <w:right w:val="single" w:color="auto" w:sz="4" w:space="0"/>
            </w:tcBorders>
            <w:vAlign w:val="center"/>
          </w:tcPr>
          <w:p w14:paraId="30916AF8">
            <w:pPr>
              <w:spacing w:line="240" w:lineRule="auto"/>
              <w:jc w:val="left"/>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AA9D5C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E13288">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附件5</w:t>
            </w:r>
          </w:p>
        </w:tc>
        <w:tc>
          <w:tcPr>
            <w:tcW w:w="3733" w:type="dxa"/>
            <w:tcBorders>
              <w:top w:val="single" w:color="auto" w:sz="4" w:space="0"/>
              <w:left w:val="single" w:color="auto" w:sz="4" w:space="0"/>
              <w:bottom w:val="single" w:color="auto" w:sz="4" w:space="0"/>
              <w:right w:val="single" w:color="auto" w:sz="4" w:space="0"/>
            </w:tcBorders>
            <w:vAlign w:val="center"/>
          </w:tcPr>
          <w:p w14:paraId="196A6592">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勘察投标文件编制要求（见范本）</w:t>
            </w:r>
          </w:p>
        </w:tc>
        <w:tc>
          <w:tcPr>
            <w:tcW w:w="4075" w:type="dxa"/>
            <w:tcBorders>
              <w:top w:val="single" w:color="auto" w:sz="4" w:space="0"/>
              <w:left w:val="single" w:color="auto" w:sz="4" w:space="0"/>
              <w:bottom w:val="single" w:color="auto" w:sz="4" w:space="0"/>
              <w:right w:val="single" w:color="auto" w:sz="4" w:space="0"/>
            </w:tcBorders>
            <w:vAlign w:val="center"/>
          </w:tcPr>
          <w:p w14:paraId="0ED3D922">
            <w:pPr>
              <w:spacing w:line="240" w:lineRule="auto"/>
              <w:jc w:val="left"/>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07B3540">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8D25AA">
            <w:pPr>
              <w:jc w:val="center"/>
              <w:rPr>
                <w:rFonts w:hint="eastAsia" w:ascii="宋体" w:hAnsi="宋体" w:cs="宋体"/>
                <w:color w:val="auto"/>
                <w:szCs w:val="21"/>
                <w:highlight w:val="none"/>
              </w:rPr>
            </w:pPr>
            <w:r>
              <w:rPr>
                <w:rFonts w:hint="eastAsia" w:ascii="宋体" w:hAnsi="宋体" w:cs="宋体"/>
                <w:color w:val="auto"/>
                <w:szCs w:val="21"/>
                <w:highlight w:val="none"/>
              </w:rPr>
              <w:t>附录6</w:t>
            </w:r>
          </w:p>
        </w:tc>
        <w:tc>
          <w:tcPr>
            <w:tcW w:w="3733" w:type="dxa"/>
            <w:tcBorders>
              <w:top w:val="single" w:color="auto" w:sz="4" w:space="0"/>
              <w:left w:val="single" w:color="auto" w:sz="4" w:space="0"/>
              <w:bottom w:val="single" w:color="auto" w:sz="4" w:space="0"/>
              <w:right w:val="single" w:color="auto" w:sz="4" w:space="0"/>
            </w:tcBorders>
            <w:vAlign w:val="center"/>
          </w:tcPr>
          <w:p w14:paraId="422DCD56">
            <w:pPr>
              <w:jc w:val="left"/>
              <w:rPr>
                <w:rFonts w:hint="eastAsia" w:ascii="宋体" w:hAnsi="宋体" w:cs="宋体"/>
                <w:color w:val="auto"/>
                <w:szCs w:val="21"/>
                <w:highlight w:val="none"/>
              </w:rPr>
            </w:pPr>
            <w:r>
              <w:rPr>
                <w:rFonts w:hint="eastAsia" w:ascii="宋体" w:hAnsi="宋体" w:cs="宋体"/>
                <w:color w:val="auto"/>
                <w:szCs w:val="21"/>
                <w:highlight w:val="none"/>
              </w:rPr>
              <w:t>投标书（见范本）</w:t>
            </w:r>
          </w:p>
        </w:tc>
        <w:tc>
          <w:tcPr>
            <w:tcW w:w="4075" w:type="dxa"/>
            <w:tcBorders>
              <w:top w:val="single" w:color="auto" w:sz="4" w:space="0"/>
              <w:left w:val="single" w:color="auto" w:sz="4" w:space="0"/>
              <w:bottom w:val="single" w:color="auto" w:sz="4" w:space="0"/>
              <w:right w:val="single" w:color="auto" w:sz="4" w:space="0"/>
            </w:tcBorders>
            <w:vAlign w:val="center"/>
          </w:tcPr>
          <w:p w14:paraId="3F0CF6D1">
            <w:pPr>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附录6 投标书</w:t>
            </w:r>
            <w:r>
              <w:rPr>
                <w:rFonts w:hint="eastAsia" w:ascii="宋体" w:hAnsi="宋体" w:cs="宋体"/>
                <w:color w:val="auto"/>
                <w:szCs w:val="21"/>
                <w:highlight w:val="none"/>
                <w:u w:val="singl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EA69C94">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3D95CC">
            <w:pPr>
              <w:jc w:val="center"/>
              <w:rPr>
                <w:rFonts w:hint="eastAsia" w:ascii="宋体" w:hAnsi="宋体" w:cs="宋体"/>
                <w:color w:val="auto"/>
                <w:szCs w:val="21"/>
                <w:highlight w:val="none"/>
              </w:rPr>
            </w:pPr>
            <w:r>
              <w:rPr>
                <w:rFonts w:hint="eastAsia" w:ascii="宋体" w:hAnsi="宋体" w:cs="宋体"/>
                <w:color w:val="auto"/>
                <w:szCs w:val="21"/>
                <w:highlight w:val="none"/>
              </w:rPr>
              <w:t>附录7</w:t>
            </w:r>
          </w:p>
        </w:tc>
        <w:tc>
          <w:tcPr>
            <w:tcW w:w="3733" w:type="dxa"/>
            <w:tcBorders>
              <w:top w:val="single" w:color="auto" w:sz="4" w:space="0"/>
              <w:left w:val="single" w:color="auto" w:sz="4" w:space="0"/>
              <w:bottom w:val="single" w:color="auto" w:sz="4" w:space="0"/>
              <w:right w:val="single" w:color="auto" w:sz="4" w:space="0"/>
            </w:tcBorders>
            <w:vAlign w:val="center"/>
          </w:tcPr>
          <w:p w14:paraId="24C0446C">
            <w:pPr>
              <w:jc w:val="left"/>
              <w:rPr>
                <w:rFonts w:hint="eastAsia" w:ascii="宋体" w:hAnsi="宋体" w:cs="宋体"/>
                <w:color w:val="auto"/>
                <w:szCs w:val="21"/>
                <w:highlight w:val="none"/>
              </w:rPr>
            </w:pPr>
            <w:r>
              <w:rPr>
                <w:rFonts w:hint="eastAsia" w:ascii="宋体" w:hAnsi="宋体" w:cs="宋体"/>
                <w:color w:val="auto"/>
                <w:szCs w:val="21"/>
                <w:highlight w:val="none"/>
              </w:rPr>
              <w:t>联合体共同投标协议（见范本）</w:t>
            </w:r>
          </w:p>
        </w:tc>
        <w:tc>
          <w:tcPr>
            <w:tcW w:w="4075" w:type="dxa"/>
            <w:tcBorders>
              <w:top w:val="single" w:color="auto" w:sz="4" w:space="0"/>
              <w:left w:val="single" w:color="auto" w:sz="4" w:space="0"/>
              <w:bottom w:val="single" w:color="auto" w:sz="4" w:space="0"/>
              <w:right w:val="single" w:color="auto" w:sz="4" w:space="0"/>
            </w:tcBorders>
            <w:vAlign w:val="center"/>
          </w:tcPr>
          <w:p w14:paraId="1B91D9EE">
            <w:pPr>
              <w:jc w:val="left"/>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附录7联合体共同投标协议</w:t>
            </w:r>
            <w:r>
              <w:rPr>
                <w:rFonts w:hint="eastAsia" w:ascii="宋体" w:hAnsi="宋体" w:cs="宋体"/>
                <w:color w:val="auto"/>
                <w:szCs w:val="21"/>
                <w:highlight w:val="none"/>
                <w:u w:val="singl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20B3E49">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DEAFD21">
            <w:pPr>
              <w:jc w:val="center"/>
              <w:rPr>
                <w:rFonts w:hint="eastAsia" w:ascii="宋体" w:hAnsi="宋体" w:cs="宋体"/>
                <w:color w:val="auto"/>
                <w:szCs w:val="21"/>
                <w:highlight w:val="none"/>
              </w:rPr>
            </w:pPr>
            <w:r>
              <w:rPr>
                <w:rFonts w:hint="eastAsia" w:ascii="宋体" w:hAnsi="宋体" w:cs="宋体"/>
                <w:color w:val="auto"/>
                <w:szCs w:val="21"/>
                <w:highlight w:val="none"/>
              </w:rPr>
              <w:t>附录7-1</w:t>
            </w:r>
          </w:p>
        </w:tc>
        <w:tc>
          <w:tcPr>
            <w:tcW w:w="3733" w:type="dxa"/>
            <w:tcBorders>
              <w:top w:val="single" w:color="auto" w:sz="4" w:space="0"/>
              <w:left w:val="single" w:color="auto" w:sz="4" w:space="0"/>
              <w:bottom w:val="single" w:color="auto" w:sz="4" w:space="0"/>
              <w:right w:val="single" w:color="auto" w:sz="4" w:space="0"/>
            </w:tcBorders>
            <w:vAlign w:val="center"/>
          </w:tcPr>
          <w:p w14:paraId="3E3644E3">
            <w:pPr>
              <w:jc w:val="left"/>
              <w:rPr>
                <w:rFonts w:hint="eastAsia" w:ascii="宋体" w:hAnsi="宋体" w:cs="宋体"/>
                <w:color w:val="auto"/>
                <w:szCs w:val="21"/>
                <w:highlight w:val="none"/>
              </w:rPr>
            </w:pPr>
            <w:r>
              <w:rPr>
                <w:rFonts w:hint="eastAsia" w:ascii="宋体" w:hAnsi="宋体" w:cs="宋体"/>
                <w:color w:val="auto"/>
                <w:szCs w:val="21"/>
                <w:highlight w:val="none"/>
              </w:rPr>
              <w:t>合作设计协议</w:t>
            </w:r>
          </w:p>
        </w:tc>
        <w:tc>
          <w:tcPr>
            <w:tcW w:w="4075" w:type="dxa"/>
            <w:tcBorders>
              <w:top w:val="single" w:color="auto" w:sz="4" w:space="0"/>
              <w:left w:val="single" w:color="auto" w:sz="4" w:space="0"/>
              <w:bottom w:val="single" w:color="auto" w:sz="4" w:space="0"/>
              <w:right w:val="single" w:color="auto" w:sz="4" w:space="0"/>
            </w:tcBorders>
            <w:vAlign w:val="center"/>
          </w:tcPr>
          <w:p w14:paraId="5433B50A">
            <w:pPr>
              <w:jc w:val="left"/>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u w:val="singl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891ABFC">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5B6A29">
            <w:pPr>
              <w:jc w:val="center"/>
              <w:rPr>
                <w:rFonts w:hint="eastAsia" w:ascii="宋体" w:hAnsi="宋体" w:cs="宋体"/>
                <w:color w:val="auto"/>
                <w:szCs w:val="21"/>
                <w:highlight w:val="none"/>
              </w:rPr>
            </w:pPr>
            <w:r>
              <w:rPr>
                <w:rFonts w:hint="eastAsia" w:ascii="宋体" w:hAnsi="宋体" w:cs="宋体"/>
                <w:color w:val="auto"/>
                <w:szCs w:val="21"/>
                <w:highlight w:val="none"/>
              </w:rPr>
              <w:t>附录8</w:t>
            </w:r>
          </w:p>
        </w:tc>
        <w:tc>
          <w:tcPr>
            <w:tcW w:w="3733" w:type="dxa"/>
            <w:tcBorders>
              <w:top w:val="single" w:color="auto" w:sz="4" w:space="0"/>
              <w:left w:val="single" w:color="auto" w:sz="4" w:space="0"/>
              <w:bottom w:val="single" w:color="auto" w:sz="4" w:space="0"/>
              <w:right w:val="single" w:color="auto" w:sz="4" w:space="0"/>
            </w:tcBorders>
            <w:vAlign w:val="center"/>
          </w:tcPr>
          <w:p w14:paraId="13B28D2A">
            <w:pPr>
              <w:jc w:val="left"/>
              <w:rPr>
                <w:rFonts w:hint="eastAsia" w:ascii="宋体" w:hAnsi="宋体" w:cs="宋体"/>
                <w:color w:val="auto"/>
                <w:szCs w:val="21"/>
                <w:highlight w:val="none"/>
              </w:rPr>
            </w:pPr>
            <w:r>
              <w:rPr>
                <w:rFonts w:hint="eastAsia" w:ascii="宋体" w:hAnsi="宋体" w:cs="宋体"/>
                <w:color w:val="auto"/>
                <w:szCs w:val="21"/>
                <w:highlight w:val="none"/>
              </w:rPr>
              <w:t>投标人声明（见范本）</w:t>
            </w:r>
          </w:p>
        </w:tc>
        <w:tc>
          <w:tcPr>
            <w:tcW w:w="4075" w:type="dxa"/>
            <w:tcBorders>
              <w:top w:val="single" w:color="auto" w:sz="4" w:space="0"/>
              <w:left w:val="single" w:color="auto" w:sz="4" w:space="0"/>
              <w:bottom w:val="single" w:color="auto" w:sz="4" w:space="0"/>
              <w:right w:val="single" w:color="auto" w:sz="4" w:space="0"/>
            </w:tcBorders>
            <w:vAlign w:val="center"/>
          </w:tcPr>
          <w:p w14:paraId="7297F910">
            <w:pPr>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附录8 投标人声明</w:t>
            </w:r>
            <w:r>
              <w:rPr>
                <w:rFonts w:hint="eastAsia" w:ascii="宋体" w:hAnsi="宋体" w:cs="宋体"/>
                <w:color w:val="auto"/>
                <w:szCs w:val="21"/>
                <w:highlight w:val="none"/>
                <w:u w:val="singl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C34FA3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550C92">
            <w:pPr>
              <w:jc w:val="center"/>
              <w:rPr>
                <w:rFonts w:hint="eastAsia" w:ascii="宋体" w:hAnsi="宋体" w:cs="宋体"/>
                <w:color w:val="auto"/>
                <w:szCs w:val="21"/>
                <w:highlight w:val="none"/>
              </w:rPr>
            </w:pPr>
            <w:r>
              <w:rPr>
                <w:rFonts w:hint="eastAsia" w:ascii="宋体" w:hAnsi="宋体" w:cs="宋体"/>
                <w:color w:val="auto"/>
                <w:szCs w:val="21"/>
                <w:highlight w:val="none"/>
              </w:rPr>
              <w:t>附录9</w:t>
            </w:r>
          </w:p>
        </w:tc>
        <w:tc>
          <w:tcPr>
            <w:tcW w:w="3733" w:type="dxa"/>
            <w:tcBorders>
              <w:top w:val="single" w:color="auto" w:sz="4" w:space="0"/>
              <w:left w:val="single" w:color="auto" w:sz="4" w:space="0"/>
              <w:bottom w:val="single" w:color="auto" w:sz="4" w:space="0"/>
              <w:right w:val="single" w:color="auto" w:sz="4" w:space="0"/>
            </w:tcBorders>
            <w:vAlign w:val="center"/>
          </w:tcPr>
          <w:p w14:paraId="07ECA5BB">
            <w:pPr>
              <w:jc w:val="left"/>
              <w:rPr>
                <w:rFonts w:hint="eastAsia" w:ascii="宋体" w:hAnsi="宋体" w:cs="宋体"/>
                <w:color w:val="auto"/>
                <w:szCs w:val="21"/>
                <w:highlight w:val="none"/>
              </w:rPr>
            </w:pPr>
            <w:r>
              <w:rPr>
                <w:rFonts w:hint="eastAsia" w:ascii="宋体" w:hAnsi="宋体" w:cs="宋体"/>
                <w:color w:val="auto"/>
                <w:szCs w:val="21"/>
                <w:highlight w:val="none"/>
              </w:rPr>
              <w:t>资格审查表（见范本）</w:t>
            </w:r>
          </w:p>
        </w:tc>
        <w:tc>
          <w:tcPr>
            <w:tcW w:w="4075" w:type="dxa"/>
            <w:tcBorders>
              <w:top w:val="single" w:color="auto" w:sz="4" w:space="0"/>
              <w:left w:val="single" w:color="auto" w:sz="4" w:space="0"/>
              <w:bottom w:val="single" w:color="auto" w:sz="4" w:space="0"/>
              <w:right w:val="single" w:color="auto" w:sz="4" w:space="0"/>
            </w:tcBorders>
            <w:vAlign w:val="center"/>
          </w:tcPr>
          <w:p w14:paraId="25E8D6C3">
            <w:pPr>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附录9 资格审查表</w:t>
            </w:r>
            <w:r>
              <w:rPr>
                <w:rFonts w:hint="eastAsia" w:ascii="宋体" w:hAnsi="宋体" w:cs="宋体"/>
                <w:color w:val="auto"/>
                <w:szCs w:val="21"/>
                <w:highlight w:val="none"/>
                <w:u w:val="singl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BDF929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177083">
            <w:pPr>
              <w:jc w:val="center"/>
              <w:rPr>
                <w:rFonts w:hint="eastAsia" w:ascii="宋体" w:hAnsi="宋体" w:cs="宋体"/>
                <w:color w:val="auto"/>
                <w:szCs w:val="21"/>
                <w:highlight w:val="none"/>
              </w:rPr>
            </w:pPr>
            <w:r>
              <w:rPr>
                <w:rFonts w:hint="eastAsia" w:ascii="宋体" w:hAnsi="宋体" w:cs="宋体"/>
                <w:color w:val="auto"/>
                <w:szCs w:val="21"/>
                <w:highlight w:val="none"/>
              </w:rPr>
              <w:t>附件10</w:t>
            </w:r>
          </w:p>
        </w:tc>
        <w:tc>
          <w:tcPr>
            <w:tcW w:w="3733" w:type="dxa"/>
            <w:tcBorders>
              <w:top w:val="single" w:color="auto" w:sz="4" w:space="0"/>
              <w:left w:val="single" w:color="auto" w:sz="4" w:space="0"/>
              <w:bottom w:val="single" w:color="auto" w:sz="4" w:space="0"/>
              <w:right w:val="single" w:color="auto" w:sz="4" w:space="0"/>
            </w:tcBorders>
            <w:vAlign w:val="center"/>
          </w:tcPr>
          <w:p w14:paraId="72C9A746">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附件10 投票表格</w:t>
            </w:r>
          </w:p>
        </w:tc>
        <w:tc>
          <w:tcPr>
            <w:tcW w:w="4075" w:type="dxa"/>
            <w:tcBorders>
              <w:top w:val="single" w:color="auto" w:sz="4" w:space="0"/>
              <w:left w:val="single" w:color="auto" w:sz="4" w:space="0"/>
              <w:bottom w:val="single" w:color="auto" w:sz="4" w:space="0"/>
              <w:right w:val="single" w:color="auto" w:sz="4" w:space="0"/>
            </w:tcBorders>
            <w:vAlign w:val="center"/>
          </w:tcPr>
          <w:p w14:paraId="288BAEA0">
            <w:pPr>
              <w:spacing w:line="273" w:lineRule="auto"/>
              <w:jc w:val="left"/>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231674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0282A3">
            <w:pPr>
              <w:jc w:val="center"/>
              <w:rPr>
                <w:rFonts w:hint="eastAsia" w:ascii="宋体" w:hAnsi="宋体" w:cs="宋体"/>
                <w:color w:val="auto"/>
                <w:szCs w:val="21"/>
                <w:highlight w:val="none"/>
              </w:rPr>
            </w:pPr>
            <w:r>
              <w:rPr>
                <w:rFonts w:hint="eastAsia" w:ascii="宋体" w:hAnsi="宋体" w:cs="宋体"/>
                <w:color w:val="auto"/>
                <w:szCs w:val="21"/>
                <w:highlight w:val="none"/>
              </w:rPr>
              <w:t>附录11</w:t>
            </w:r>
          </w:p>
        </w:tc>
        <w:tc>
          <w:tcPr>
            <w:tcW w:w="3733" w:type="dxa"/>
            <w:tcBorders>
              <w:top w:val="single" w:color="auto" w:sz="4" w:space="0"/>
              <w:left w:val="single" w:color="auto" w:sz="4" w:space="0"/>
              <w:bottom w:val="single" w:color="auto" w:sz="4" w:space="0"/>
              <w:right w:val="single" w:color="auto" w:sz="4" w:space="0"/>
            </w:tcBorders>
            <w:vAlign w:val="center"/>
          </w:tcPr>
          <w:p w14:paraId="5C989BD3">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附录11投标汇总表格</w:t>
            </w:r>
          </w:p>
        </w:tc>
        <w:tc>
          <w:tcPr>
            <w:tcW w:w="4075" w:type="dxa"/>
            <w:tcBorders>
              <w:top w:val="single" w:color="auto" w:sz="4" w:space="0"/>
              <w:left w:val="single" w:color="auto" w:sz="4" w:space="0"/>
              <w:bottom w:val="single" w:color="auto" w:sz="4" w:space="0"/>
              <w:right w:val="single" w:color="auto" w:sz="4" w:space="0"/>
            </w:tcBorders>
            <w:vAlign w:val="center"/>
          </w:tcPr>
          <w:p w14:paraId="3925A30D">
            <w:pPr>
              <w:spacing w:line="273" w:lineRule="auto"/>
              <w:jc w:val="left"/>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B574128">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04070F">
            <w:pPr>
              <w:jc w:val="center"/>
              <w:rPr>
                <w:rFonts w:hint="eastAsia" w:ascii="宋体" w:hAnsi="宋体" w:cs="宋体"/>
                <w:color w:val="auto"/>
                <w:szCs w:val="21"/>
                <w:highlight w:val="none"/>
              </w:rPr>
            </w:pPr>
            <w:r>
              <w:rPr>
                <w:rFonts w:hint="eastAsia" w:ascii="宋体" w:hAnsi="宋体" w:cs="宋体"/>
                <w:b/>
                <w:color w:val="auto"/>
                <w:szCs w:val="21"/>
                <w:highlight w:val="none"/>
              </w:rPr>
              <w:t>附录12</w:t>
            </w:r>
          </w:p>
        </w:tc>
        <w:tc>
          <w:tcPr>
            <w:tcW w:w="3733" w:type="dxa"/>
            <w:tcBorders>
              <w:top w:val="single" w:color="auto" w:sz="4" w:space="0"/>
              <w:left w:val="single" w:color="auto" w:sz="4" w:space="0"/>
              <w:bottom w:val="single" w:color="auto" w:sz="4" w:space="0"/>
              <w:right w:val="single" w:color="auto" w:sz="4" w:space="0"/>
            </w:tcBorders>
            <w:vAlign w:val="center"/>
          </w:tcPr>
          <w:p w14:paraId="7D429149">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2181CD25">
            <w:pPr>
              <w:spacing w:line="273" w:lineRule="auto"/>
              <w:jc w:val="left"/>
              <w:rPr>
                <w:rFonts w:hint="eastAsia" w:ascii="宋体" w:hAnsi="宋体" w:cs="宋体"/>
                <w:color w:val="auto"/>
                <w:szCs w:val="21"/>
                <w:highlight w:val="none"/>
              </w:rPr>
            </w:pPr>
            <w:r>
              <w:rPr>
                <w:rFonts w:hint="eastAsia" w:ascii="宋体" w:hAnsi="宋体" w:cs="宋体"/>
                <w:b/>
                <w:color w:val="auto"/>
                <w:szCs w:val="21"/>
                <w:highlight w:val="none"/>
              </w:rPr>
              <w:t>附录12</w:t>
            </w:r>
            <w:r>
              <w:rPr>
                <w:rFonts w:hint="eastAsia" w:ascii="宋体" w:hAnsi="宋体" w:cs="宋体"/>
                <w:b/>
                <w:color w:val="auto"/>
                <w:szCs w:val="21"/>
                <w:highlight w:val="none"/>
                <w:u w:val="singl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7F41CD">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CD1857">
            <w:pPr>
              <w:jc w:val="center"/>
              <w:rPr>
                <w:rFonts w:hint="eastAsia" w:ascii="宋体" w:hAnsi="宋体" w:cs="宋体"/>
                <w:b/>
                <w:color w:val="auto"/>
                <w:szCs w:val="21"/>
                <w:highlight w:val="none"/>
              </w:rPr>
            </w:pPr>
            <w:r>
              <w:rPr>
                <w:rFonts w:hint="eastAsia" w:ascii="宋体" w:hAnsi="宋体" w:cs="宋体"/>
                <w:b/>
                <w:color w:val="auto"/>
                <w:szCs w:val="21"/>
                <w:highlight w:val="none"/>
              </w:rPr>
              <w:t>附录12-1</w:t>
            </w:r>
          </w:p>
        </w:tc>
        <w:tc>
          <w:tcPr>
            <w:tcW w:w="3733" w:type="dxa"/>
            <w:tcBorders>
              <w:top w:val="single" w:color="auto" w:sz="4" w:space="0"/>
              <w:left w:val="single" w:color="auto" w:sz="4" w:space="0"/>
              <w:bottom w:val="single" w:color="auto" w:sz="4" w:space="0"/>
              <w:right w:val="single" w:color="auto" w:sz="4" w:space="0"/>
            </w:tcBorders>
            <w:vAlign w:val="center"/>
          </w:tcPr>
          <w:p w14:paraId="0D553B2E">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76E32013">
            <w:pPr>
              <w:spacing w:line="273" w:lineRule="auto"/>
              <w:jc w:val="left"/>
              <w:rPr>
                <w:rFonts w:hint="eastAsia" w:ascii="宋体" w:hAnsi="宋体" w:cs="宋体"/>
                <w:b/>
                <w:color w:val="auto"/>
                <w:szCs w:val="21"/>
                <w:highlight w:val="none"/>
              </w:rPr>
            </w:pPr>
            <w:r>
              <w:rPr>
                <w:rFonts w:hint="eastAsia" w:ascii="宋体" w:hAnsi="宋体" w:cs="宋体"/>
                <w:color w:val="auto"/>
                <w:szCs w:val="21"/>
                <w:highlight w:val="none"/>
                <w:u w:val="singl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149B3B">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32A2D2">
            <w:pPr>
              <w:jc w:val="center"/>
              <w:rPr>
                <w:rFonts w:hint="eastAsia" w:ascii="宋体" w:hAnsi="宋体" w:cs="宋体"/>
                <w:color w:val="auto"/>
                <w:szCs w:val="21"/>
                <w:highlight w:val="none"/>
              </w:rPr>
            </w:pPr>
            <w:r>
              <w:rPr>
                <w:rFonts w:hint="eastAsia" w:ascii="宋体" w:hAnsi="宋体" w:cs="宋体"/>
                <w:color w:val="auto"/>
                <w:szCs w:val="21"/>
                <w:highlight w:val="none"/>
              </w:rPr>
              <w:t>附录13</w:t>
            </w:r>
          </w:p>
        </w:tc>
        <w:tc>
          <w:tcPr>
            <w:tcW w:w="3733" w:type="dxa"/>
            <w:tcBorders>
              <w:top w:val="single" w:color="auto" w:sz="4" w:space="0"/>
              <w:left w:val="single" w:color="auto" w:sz="4" w:space="0"/>
              <w:bottom w:val="single" w:color="auto" w:sz="4" w:space="0"/>
              <w:right w:val="single" w:color="auto" w:sz="4" w:space="0"/>
            </w:tcBorders>
            <w:vAlign w:val="center"/>
          </w:tcPr>
          <w:p w14:paraId="10416BC6">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投标方案评语</w:t>
            </w:r>
          </w:p>
        </w:tc>
        <w:tc>
          <w:tcPr>
            <w:tcW w:w="4075" w:type="dxa"/>
            <w:tcBorders>
              <w:top w:val="single" w:color="auto" w:sz="4" w:space="0"/>
              <w:left w:val="single" w:color="auto" w:sz="4" w:space="0"/>
              <w:bottom w:val="single" w:color="auto" w:sz="4" w:space="0"/>
              <w:right w:val="single" w:color="auto" w:sz="4" w:space="0"/>
            </w:tcBorders>
            <w:vAlign w:val="center"/>
          </w:tcPr>
          <w:p w14:paraId="0B9EA24D">
            <w:pPr>
              <w:spacing w:line="273" w:lineRule="auto"/>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附录13勘察初步设计方案部分评分表</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详见</w:t>
            </w:r>
            <w:r>
              <w:rPr>
                <w:rFonts w:hint="eastAsia" w:ascii="宋体" w:hAnsi="宋体" w:cs="宋体"/>
                <w:color w:val="auto"/>
                <w:szCs w:val="21"/>
                <w:highlight w:val="none"/>
                <w:u w:val="single"/>
              </w:rPr>
              <w:t>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2014D0">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28C019">
            <w:pPr>
              <w:jc w:val="center"/>
              <w:rPr>
                <w:rFonts w:hint="eastAsia" w:ascii="宋体" w:hAnsi="宋体" w:cs="宋体"/>
                <w:color w:val="auto"/>
                <w:szCs w:val="21"/>
                <w:highlight w:val="none"/>
              </w:rPr>
            </w:pPr>
            <w:r>
              <w:rPr>
                <w:rFonts w:hint="eastAsia" w:ascii="宋体" w:hAnsi="宋体" w:cs="宋体"/>
                <w:color w:val="auto"/>
                <w:szCs w:val="21"/>
                <w:highlight w:val="none"/>
                <w:u w:val="single"/>
              </w:rPr>
              <w:t>附录13-1</w:t>
            </w:r>
          </w:p>
        </w:tc>
        <w:tc>
          <w:tcPr>
            <w:tcW w:w="3733" w:type="dxa"/>
            <w:tcBorders>
              <w:top w:val="single" w:color="auto" w:sz="4" w:space="0"/>
              <w:left w:val="single" w:color="auto" w:sz="4" w:space="0"/>
              <w:bottom w:val="single" w:color="auto" w:sz="4" w:space="0"/>
              <w:right w:val="single" w:color="auto" w:sz="4" w:space="0"/>
            </w:tcBorders>
            <w:vAlign w:val="center"/>
          </w:tcPr>
          <w:p w14:paraId="55F10D06">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55D864D0">
            <w:pPr>
              <w:spacing w:line="273" w:lineRule="auto"/>
              <w:jc w:val="left"/>
              <w:rPr>
                <w:rFonts w:hint="eastAsia" w:ascii="宋体" w:hAnsi="宋体" w:cs="宋体"/>
                <w:b/>
                <w:color w:val="auto"/>
                <w:szCs w:val="21"/>
                <w:highlight w:val="none"/>
                <w:u w:val="single"/>
              </w:rPr>
            </w:pPr>
            <w:r>
              <w:rPr>
                <w:rFonts w:hint="eastAsia" w:ascii="宋体" w:hAnsi="宋体" w:cs="宋体"/>
                <w:color w:val="auto"/>
                <w:szCs w:val="21"/>
                <w:highlight w:val="none"/>
                <w:u w:val="single"/>
              </w:rPr>
              <w:t>附录13-1勘察初步设计商务部分评分表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2383441">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B5E47F">
            <w:pPr>
              <w:spacing w:line="360" w:lineRule="auto"/>
              <w:ind w:left="2"/>
              <w:jc w:val="center"/>
              <w:rPr>
                <w:rFonts w:hint="eastAsia" w:ascii="宋体" w:hAnsi="宋体" w:cs="宋体"/>
                <w:color w:val="auto"/>
                <w:szCs w:val="21"/>
                <w:highlight w:val="none"/>
              </w:rPr>
            </w:pPr>
            <w:r>
              <w:rPr>
                <w:rFonts w:hint="eastAsia" w:ascii="宋体" w:hAnsi="宋体" w:cs="宋体"/>
                <w:color w:val="auto"/>
                <w:szCs w:val="21"/>
                <w:highlight w:val="none"/>
              </w:rPr>
              <w:t>附录14</w:t>
            </w:r>
          </w:p>
        </w:tc>
        <w:tc>
          <w:tcPr>
            <w:tcW w:w="3733" w:type="dxa"/>
            <w:tcBorders>
              <w:top w:val="single" w:color="auto" w:sz="4" w:space="0"/>
              <w:left w:val="single" w:color="auto" w:sz="4" w:space="0"/>
              <w:bottom w:val="single" w:color="auto" w:sz="4" w:space="0"/>
              <w:right w:val="single" w:color="auto" w:sz="4" w:space="0"/>
            </w:tcBorders>
            <w:vAlign w:val="center"/>
          </w:tcPr>
          <w:p w14:paraId="3106B713">
            <w:pPr>
              <w:spacing w:line="360" w:lineRule="auto"/>
              <w:ind w:left="2"/>
              <w:jc w:val="left"/>
              <w:rPr>
                <w:rFonts w:hint="eastAsia" w:ascii="宋体" w:hAnsi="宋体" w:cs="宋体"/>
                <w:color w:val="auto"/>
                <w:szCs w:val="21"/>
                <w:highlight w:val="none"/>
              </w:rPr>
            </w:pPr>
            <w:r>
              <w:rPr>
                <w:rFonts w:hint="eastAsia" w:ascii="宋体" w:hAnsi="宋体" w:cs="宋体"/>
                <w:color w:val="auto"/>
                <w:szCs w:val="21"/>
                <w:highlight w:val="none"/>
              </w:rPr>
              <w:t>基础资料和勘察初步设计任务书</w:t>
            </w:r>
          </w:p>
        </w:tc>
        <w:tc>
          <w:tcPr>
            <w:tcW w:w="4075" w:type="dxa"/>
            <w:tcBorders>
              <w:top w:val="single" w:color="auto" w:sz="4" w:space="0"/>
              <w:left w:val="single" w:color="auto" w:sz="4" w:space="0"/>
              <w:bottom w:val="single" w:color="auto" w:sz="4" w:space="0"/>
              <w:right w:val="single" w:color="auto" w:sz="4" w:space="0"/>
            </w:tcBorders>
            <w:vAlign w:val="center"/>
          </w:tcPr>
          <w:p w14:paraId="2C9BE2D9">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D0A8B2E">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A54F55">
            <w:pPr>
              <w:jc w:val="center"/>
              <w:rPr>
                <w:rFonts w:hint="eastAsia" w:ascii="宋体" w:hAnsi="宋体" w:cs="宋体"/>
                <w:color w:val="auto"/>
                <w:szCs w:val="21"/>
                <w:highlight w:val="none"/>
              </w:rPr>
            </w:pPr>
            <w:r>
              <w:rPr>
                <w:rFonts w:hint="eastAsia" w:ascii="宋体" w:hAnsi="宋体" w:cs="宋体"/>
                <w:color w:val="auto"/>
                <w:szCs w:val="21"/>
                <w:highlight w:val="none"/>
              </w:rPr>
              <w:t>附录15</w:t>
            </w:r>
          </w:p>
        </w:tc>
        <w:tc>
          <w:tcPr>
            <w:tcW w:w="3733" w:type="dxa"/>
            <w:tcBorders>
              <w:top w:val="single" w:color="auto" w:sz="4" w:space="0"/>
              <w:left w:val="single" w:color="auto" w:sz="4" w:space="0"/>
              <w:bottom w:val="single" w:color="auto" w:sz="4" w:space="0"/>
              <w:right w:val="single" w:color="auto" w:sz="4" w:space="0"/>
            </w:tcBorders>
            <w:vAlign w:val="center"/>
          </w:tcPr>
          <w:p w14:paraId="5439D00A">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定标委员会的组成</w:t>
            </w:r>
          </w:p>
        </w:tc>
        <w:tc>
          <w:tcPr>
            <w:tcW w:w="4075" w:type="dxa"/>
            <w:tcBorders>
              <w:top w:val="single" w:color="auto" w:sz="4" w:space="0"/>
              <w:left w:val="single" w:color="auto" w:sz="4" w:space="0"/>
              <w:bottom w:val="single" w:color="auto" w:sz="4" w:space="0"/>
              <w:right w:val="single" w:color="auto" w:sz="4" w:space="0"/>
            </w:tcBorders>
            <w:vAlign w:val="center"/>
          </w:tcPr>
          <w:p w14:paraId="405B28F7">
            <w:pPr>
              <w:spacing w:line="273" w:lineRule="auto"/>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附录15定标委员会的组成</w:t>
            </w:r>
          </w:p>
          <w:p w14:paraId="6F8A1D9D">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详见附录15</w:t>
            </w:r>
            <w:r>
              <w:rPr>
                <w:rFonts w:hint="eastAsia" w:ascii="宋体" w:hAnsi="宋体" w:cs="宋体"/>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54A0AFD">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39D0ED9">
            <w:pPr>
              <w:jc w:val="center"/>
              <w:rPr>
                <w:rFonts w:hint="eastAsia" w:ascii="宋体" w:hAnsi="宋体" w:cs="宋体"/>
                <w:color w:val="auto"/>
                <w:szCs w:val="21"/>
                <w:highlight w:val="none"/>
              </w:rPr>
            </w:pPr>
            <w:r>
              <w:rPr>
                <w:rFonts w:hint="eastAsia" w:ascii="宋体" w:hAnsi="宋体" w:cs="宋体"/>
                <w:color w:val="auto"/>
                <w:szCs w:val="21"/>
                <w:highlight w:val="none"/>
              </w:rPr>
              <w:t>附录16</w:t>
            </w:r>
          </w:p>
        </w:tc>
        <w:tc>
          <w:tcPr>
            <w:tcW w:w="3733" w:type="dxa"/>
            <w:tcBorders>
              <w:top w:val="single" w:color="auto" w:sz="4" w:space="0"/>
              <w:left w:val="single" w:color="auto" w:sz="4" w:space="0"/>
              <w:bottom w:val="single" w:color="auto" w:sz="4" w:space="0"/>
              <w:right w:val="single" w:color="auto" w:sz="4" w:space="0"/>
            </w:tcBorders>
            <w:vAlign w:val="center"/>
          </w:tcPr>
          <w:p w14:paraId="1FF3A39F">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定标原则</w:t>
            </w:r>
          </w:p>
        </w:tc>
        <w:tc>
          <w:tcPr>
            <w:tcW w:w="4075" w:type="dxa"/>
            <w:tcBorders>
              <w:top w:val="single" w:color="auto" w:sz="4" w:space="0"/>
              <w:left w:val="single" w:color="auto" w:sz="4" w:space="0"/>
              <w:bottom w:val="single" w:color="auto" w:sz="4" w:space="0"/>
              <w:right w:val="single" w:color="auto" w:sz="4" w:space="0"/>
            </w:tcBorders>
            <w:vAlign w:val="center"/>
          </w:tcPr>
          <w:p w14:paraId="1FC29C4F">
            <w:pPr>
              <w:spacing w:line="273" w:lineRule="auto"/>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附录16定标原则</w:t>
            </w:r>
            <w:r>
              <w:rPr>
                <w:rFonts w:hint="eastAsia" w:ascii="宋体" w:hAnsi="宋体" w:cs="宋体"/>
                <w:color w:val="auto"/>
                <w:szCs w:val="21"/>
                <w:highlight w:val="none"/>
                <w:u w:val="singl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A0304A">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52DC75">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附录16-1</w:t>
            </w:r>
          </w:p>
        </w:tc>
        <w:tc>
          <w:tcPr>
            <w:tcW w:w="3733" w:type="dxa"/>
            <w:tcBorders>
              <w:top w:val="single" w:color="auto" w:sz="4" w:space="0"/>
              <w:left w:val="single" w:color="auto" w:sz="4" w:space="0"/>
              <w:bottom w:val="single" w:color="auto" w:sz="4" w:space="0"/>
              <w:right w:val="single" w:color="auto" w:sz="4" w:space="0"/>
            </w:tcBorders>
            <w:vAlign w:val="center"/>
          </w:tcPr>
          <w:p w14:paraId="437622E6">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49BE822C">
            <w:pPr>
              <w:spacing w:line="273" w:lineRule="auto"/>
              <w:jc w:val="left"/>
              <w:rPr>
                <w:rFonts w:hint="eastAsia" w:ascii="宋体" w:hAnsi="宋体" w:cs="宋体"/>
                <w:color w:val="auto"/>
                <w:szCs w:val="21"/>
                <w:highlight w:val="none"/>
                <w:u w:val="single"/>
              </w:rPr>
            </w:pPr>
            <w:r>
              <w:rPr>
                <w:rFonts w:hint="eastAsia" w:ascii="宋体" w:hAnsi="宋体" w:cs="宋体"/>
                <w:b/>
                <w:color w:val="auto"/>
                <w:szCs w:val="21"/>
                <w:highlight w:val="none"/>
                <w:u w:val="single"/>
              </w:rPr>
              <w:t>附录16-1定标因素表（定标阶段用表）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F4E913">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DE5B58">
            <w:pPr>
              <w:pStyle w:val="16"/>
              <w:snapToGrid w:val="0"/>
              <w:spacing w:beforeAutospacing="0" w:afterAutospacing="0" w:line="240" w:lineRule="auto"/>
              <w:jc w:val="center"/>
              <w:rPr>
                <w:rFonts w:cs="宋体"/>
                <w:color w:val="auto"/>
                <w:sz w:val="21"/>
                <w:szCs w:val="21"/>
                <w:highlight w:val="none"/>
              </w:rPr>
            </w:pPr>
            <w:r>
              <w:rPr>
                <w:rFonts w:cs="宋体"/>
                <w:b/>
                <w:bCs/>
                <w:color w:val="auto"/>
                <w:sz w:val="21"/>
                <w:szCs w:val="21"/>
                <w:highlight w:val="none"/>
              </w:rPr>
              <w:t>附录17</w:t>
            </w:r>
          </w:p>
        </w:tc>
        <w:tc>
          <w:tcPr>
            <w:tcW w:w="3733" w:type="dxa"/>
            <w:tcBorders>
              <w:top w:val="single" w:color="auto" w:sz="4" w:space="0"/>
              <w:left w:val="single" w:color="auto" w:sz="4" w:space="0"/>
              <w:bottom w:val="single" w:color="auto" w:sz="4" w:space="0"/>
              <w:right w:val="single" w:color="auto" w:sz="4" w:space="0"/>
            </w:tcBorders>
            <w:vAlign w:val="center"/>
          </w:tcPr>
          <w:p w14:paraId="1306A7F8">
            <w:pPr>
              <w:spacing w:line="273" w:lineRule="auto"/>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1F7BFE43">
            <w:pPr>
              <w:spacing w:line="273" w:lineRule="auto"/>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021AB4B">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5885303">
            <w:pPr>
              <w:pStyle w:val="16"/>
              <w:snapToGrid w:val="0"/>
              <w:spacing w:beforeAutospacing="0" w:afterAutospacing="0" w:line="240" w:lineRule="auto"/>
              <w:jc w:val="center"/>
              <w:rPr>
                <w:rFonts w:cs="宋体"/>
                <w:b/>
                <w:bCs/>
                <w:color w:val="auto"/>
                <w:sz w:val="21"/>
                <w:szCs w:val="21"/>
                <w:highlight w:val="none"/>
              </w:rPr>
            </w:pPr>
            <w:r>
              <w:rPr>
                <w:rFonts w:cs="宋体"/>
                <w:b/>
                <w:bCs/>
                <w:color w:val="auto"/>
                <w:sz w:val="21"/>
                <w:szCs w:val="21"/>
                <w:highlight w:val="none"/>
              </w:rPr>
              <w:t>附录18</w:t>
            </w:r>
          </w:p>
        </w:tc>
        <w:tc>
          <w:tcPr>
            <w:tcW w:w="3733" w:type="dxa"/>
            <w:tcBorders>
              <w:top w:val="single" w:color="auto" w:sz="4" w:space="0"/>
              <w:left w:val="single" w:color="auto" w:sz="4" w:space="0"/>
              <w:bottom w:val="single" w:color="auto" w:sz="4" w:space="0"/>
              <w:right w:val="single" w:color="auto" w:sz="4" w:space="0"/>
            </w:tcBorders>
            <w:vAlign w:val="center"/>
          </w:tcPr>
          <w:p w14:paraId="55964DCD">
            <w:pPr>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14277890">
            <w:pPr>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AF6E188">
            <w:pPr>
              <w:numPr>
                <w:ilvl w:val="0"/>
                <w:numId w:val="1"/>
              </w:num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2BCF167">
            <w:pPr>
              <w:pStyle w:val="16"/>
              <w:snapToGrid w:val="0"/>
              <w:spacing w:beforeAutospacing="0" w:afterAutospacing="0" w:line="240" w:lineRule="auto"/>
              <w:jc w:val="center"/>
              <w:rPr>
                <w:rFonts w:cs="宋体"/>
                <w:b/>
                <w:bCs/>
                <w:color w:val="auto"/>
                <w:sz w:val="21"/>
                <w:szCs w:val="21"/>
                <w:highlight w:val="none"/>
              </w:rPr>
            </w:pPr>
            <w:r>
              <w:rPr>
                <w:rFonts w:cs="宋体"/>
                <w:b/>
                <w:bCs/>
                <w:color w:val="auto"/>
                <w:sz w:val="21"/>
                <w:szCs w:val="21"/>
                <w:highlight w:val="none"/>
              </w:rPr>
              <w:t>附录19</w:t>
            </w:r>
          </w:p>
        </w:tc>
        <w:tc>
          <w:tcPr>
            <w:tcW w:w="3733" w:type="dxa"/>
            <w:tcBorders>
              <w:top w:val="single" w:color="auto" w:sz="4" w:space="0"/>
              <w:left w:val="single" w:color="auto" w:sz="4" w:space="0"/>
              <w:bottom w:val="single" w:color="auto" w:sz="4" w:space="0"/>
              <w:right w:val="single" w:color="auto" w:sz="4" w:space="0"/>
            </w:tcBorders>
            <w:vAlign w:val="center"/>
          </w:tcPr>
          <w:p w14:paraId="321B4B78">
            <w:pPr>
              <w:jc w:val="left"/>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7A84B39D">
            <w:pPr>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1481B89">
            <w:pPr>
              <w:numPr>
                <w:ilvl w:val="0"/>
                <w:numId w:val="1"/>
              </w:numPr>
              <w:jc w:val="center"/>
              <w:rPr>
                <w:rFonts w:hint="eastAsia" w:ascii="宋体" w:hAnsi="宋体" w:cs="宋体"/>
                <w:color w:val="auto"/>
                <w:szCs w:val="21"/>
                <w:highlight w:val="none"/>
              </w:rPr>
            </w:pPr>
          </w:p>
        </w:tc>
        <w:tc>
          <w:tcPr>
            <w:tcW w:w="4993" w:type="dxa"/>
            <w:gridSpan w:val="2"/>
            <w:tcBorders>
              <w:top w:val="single" w:color="auto" w:sz="4" w:space="0"/>
              <w:left w:val="single" w:color="auto" w:sz="4" w:space="0"/>
              <w:bottom w:val="single" w:color="auto" w:sz="4" w:space="0"/>
              <w:right w:val="single" w:color="auto" w:sz="4" w:space="0"/>
            </w:tcBorders>
            <w:vAlign w:val="center"/>
          </w:tcPr>
          <w:p w14:paraId="15646FE3">
            <w:pPr>
              <w:pStyle w:val="47"/>
              <w:spacing w:line="240" w:lineRule="exact"/>
              <w:jc w:val="center"/>
              <w:rPr>
                <w:rFonts w:hint="eastAsia" w:ascii="宋体" w:hAnsi="宋体" w:cs="宋体"/>
                <w:b/>
                <w:bCs/>
                <w:color w:val="auto"/>
                <w:szCs w:val="21"/>
                <w:highlight w:val="none"/>
              </w:rPr>
            </w:pPr>
            <w:r>
              <w:rPr>
                <w:rFonts w:hint="eastAsia" w:ascii="宋体" w:hAnsi="宋体" w:cs="宋体"/>
                <w:b/>
                <w:bCs/>
                <w:color w:val="auto"/>
                <w:highlight w:val="none"/>
              </w:rPr>
              <w:t>投标活动的有关人员社保证明</w:t>
            </w:r>
          </w:p>
        </w:tc>
        <w:tc>
          <w:tcPr>
            <w:tcW w:w="4075" w:type="dxa"/>
            <w:tcBorders>
              <w:top w:val="single" w:color="auto" w:sz="4" w:space="0"/>
              <w:left w:val="single" w:color="auto" w:sz="4" w:space="0"/>
              <w:bottom w:val="single" w:color="auto" w:sz="4" w:space="0"/>
              <w:right w:val="single" w:color="auto" w:sz="4" w:space="0"/>
            </w:tcBorders>
            <w:vAlign w:val="center"/>
          </w:tcPr>
          <w:p w14:paraId="71949064">
            <w:pPr>
              <w:pStyle w:val="47"/>
              <w:tabs>
                <w:tab w:val="left" w:pos="2100"/>
              </w:tabs>
              <w:spacing w:line="280" w:lineRule="exact"/>
              <w:ind w:left="63" w:leftChars="30" w:right="92" w:rightChars="44"/>
              <w:jc w:val="left"/>
              <w:rPr>
                <w:rFonts w:hint="eastAsia" w:ascii="宋体" w:hAnsi="宋体" w:cs="宋体"/>
                <w:b/>
                <w:bCs/>
                <w:color w:val="auto"/>
                <w:szCs w:val="21"/>
                <w:highlight w:val="none"/>
                <w:u w:val="single"/>
              </w:rPr>
            </w:pPr>
            <w:r>
              <w:rPr>
                <w:rFonts w:hint="eastAsia" w:ascii="宋体" w:hAnsi="宋体" w:cs="宋体"/>
                <w:b/>
                <w:bCs/>
                <w:color w:val="auto"/>
                <w:highlight w:val="none"/>
                <w:u w:val="single"/>
              </w:rPr>
              <w:t>各投标人中参加投标活动的有关人员(包括且不限于投标文件的编制人员、递交投标文件及递交备用光盘的被授权委托人、答辩人员等)均须提供投标截止时间近1个月（扣除招标公告发布当月前一个月，</w:t>
            </w:r>
            <w:r>
              <w:rPr>
                <w:rFonts w:hint="eastAsia" w:ascii="宋体" w:hAnsi="宋体" w:cs="宋体"/>
                <w:b/>
                <w:bCs/>
                <w:color w:val="auto"/>
                <w:highlight w:val="none"/>
                <w:u w:val="single"/>
                <w:lang w:val="en-US" w:eastAsia="zh-CN"/>
              </w:rPr>
              <w:t>即</w:t>
            </w:r>
            <w:r>
              <w:rPr>
                <w:rFonts w:hint="eastAsia" w:ascii="宋体" w:hAnsi="宋体" w:cs="宋体"/>
                <w:b/>
                <w:bCs/>
                <w:color w:val="auto"/>
                <w:highlight w:val="none"/>
                <w:u w:val="single"/>
              </w:rPr>
              <w:t>2025年10月）的有效社保证明材料。</w:t>
            </w:r>
          </w:p>
        </w:tc>
      </w:tr>
    </w:tbl>
    <w:p w14:paraId="4BE9A9DB">
      <w:pPr>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65B08DF">
      <w:pPr>
        <w:jc w:val="center"/>
        <w:outlineLvl w:val="0"/>
        <w:rPr>
          <w:rFonts w:ascii="Times New Roman" w:hAnsi="Times New Roman"/>
          <w:b/>
          <w:color w:val="auto"/>
          <w:sz w:val="24"/>
          <w:szCs w:val="24"/>
          <w:highlight w:val="none"/>
        </w:rPr>
      </w:pPr>
      <w:bookmarkStart w:id="13" w:name="_Toc18106"/>
      <w:bookmarkStart w:id="14" w:name="_Toc7187"/>
      <w:bookmarkStart w:id="15" w:name="_Toc560"/>
      <w:bookmarkStart w:id="16" w:name="_Toc8461"/>
      <w:bookmarkStart w:id="17" w:name="_Toc14995"/>
      <w:bookmarkStart w:id="18" w:name="_Toc12851"/>
      <w:bookmarkStart w:id="19" w:name="_Toc3590"/>
      <w:r>
        <w:rPr>
          <w:rFonts w:ascii="Times New Roman" w:hAnsi="Times New Roman"/>
          <w:b/>
          <w:color w:val="auto"/>
          <w:sz w:val="24"/>
          <w:szCs w:val="24"/>
          <w:highlight w:val="none"/>
        </w:rPr>
        <w:t>目录</w:t>
      </w:r>
      <w:bookmarkEnd w:id="13"/>
      <w:bookmarkEnd w:id="14"/>
      <w:bookmarkEnd w:id="15"/>
    </w:p>
    <w:sdt>
      <w:sdtPr>
        <w:rPr>
          <w:color w:val="auto"/>
          <w:highlight w:val="none"/>
          <w:lang w:val="en-US" w:eastAsia="zh-CN"/>
        </w:rPr>
        <w:id w:val="147477336"/>
        <w15:color w:val="DBDBDB"/>
        <w:docPartObj>
          <w:docPartGallery w:val="Table of Contents"/>
          <w:docPartUnique/>
        </w:docPartObj>
      </w:sdtPr>
      <w:sdtEndPr>
        <w:rPr>
          <w:rFonts w:ascii="Calibri" w:hAnsi="Calibri" w:eastAsia="宋体" w:cs="Times New Roman"/>
          <w:color w:val="auto"/>
          <w:kern w:val="2"/>
          <w:sz w:val="21"/>
          <w:szCs w:val="22"/>
          <w:highlight w:val="none"/>
          <w:lang w:val="en-US" w:eastAsia="zh-CN" w:bidi="ar-SA"/>
        </w:rPr>
      </w:sdtEndPr>
      <w:sdtContent>
        <w:p w14:paraId="66330FCD">
          <w:pPr>
            <w:rPr>
              <w:color w:val="auto"/>
              <w:highlight w:val="none"/>
            </w:rPr>
          </w:pPr>
        </w:p>
        <w:p w14:paraId="7430A790">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_Toc4957 </w:instrText>
          </w:r>
          <w:r>
            <w:rPr>
              <w:color w:val="auto"/>
              <w:highlight w:val="none"/>
            </w:rPr>
            <w:fldChar w:fldCharType="separate"/>
          </w:r>
          <w:r>
            <w:rPr>
              <w:rFonts w:hint="eastAsia" w:ascii="宋体" w:hAnsi="宋体" w:cs="宋体"/>
              <w:color w:val="auto"/>
              <w:szCs w:val="32"/>
              <w:highlight w:val="none"/>
            </w:rPr>
            <w:t>招标文件修改表</w:t>
          </w:r>
          <w:r>
            <w:rPr>
              <w:color w:val="auto"/>
              <w:highlight w:val="none"/>
            </w:rPr>
            <w:tab/>
          </w:r>
          <w:r>
            <w:rPr>
              <w:color w:val="auto"/>
              <w:highlight w:val="none"/>
            </w:rPr>
            <w:fldChar w:fldCharType="begin"/>
          </w:r>
          <w:r>
            <w:rPr>
              <w:color w:val="auto"/>
              <w:highlight w:val="none"/>
            </w:rPr>
            <w:instrText xml:space="preserve"> PAGEREF _Toc4957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E8FCB2F">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_Toc1475 </w:instrText>
          </w:r>
          <w:r>
            <w:rPr>
              <w:color w:val="auto"/>
              <w:highlight w:val="none"/>
            </w:rPr>
            <w:fldChar w:fldCharType="separate"/>
          </w:r>
          <w:r>
            <w:rPr>
              <w:rFonts w:hint="eastAsia" w:ascii="宋体" w:hAnsi="宋体" w:cs="宋体"/>
              <w:color w:val="auto"/>
              <w:szCs w:val="36"/>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_Toc1475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264F7C7">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_Toc27797 </w:instrText>
          </w:r>
          <w:r>
            <w:rPr>
              <w:color w:val="auto"/>
              <w:highlight w:val="none"/>
            </w:rPr>
            <w:fldChar w:fldCharType="separate"/>
          </w:r>
          <w:r>
            <w:rPr>
              <w:rFonts w:hint="eastAsia" w:ascii="宋体" w:hAnsi="宋体" w:cs="宋体"/>
              <w:color w:val="auto"/>
              <w:kern w:val="44"/>
              <w:szCs w:val="36"/>
              <w:highlight w:val="none"/>
            </w:rPr>
            <w:t>第二章  招标（范本原文）</w:t>
          </w:r>
          <w:r>
            <w:rPr>
              <w:color w:val="auto"/>
              <w:highlight w:val="none"/>
            </w:rPr>
            <w:tab/>
          </w:r>
          <w:r>
            <w:rPr>
              <w:color w:val="auto"/>
              <w:highlight w:val="none"/>
            </w:rPr>
            <w:fldChar w:fldCharType="begin"/>
          </w:r>
          <w:r>
            <w:rPr>
              <w:color w:val="auto"/>
              <w:highlight w:val="none"/>
            </w:rPr>
            <w:instrText xml:space="preserve"> PAGEREF _Toc27797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AF86C25">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_Toc32368 </w:instrText>
          </w:r>
          <w:r>
            <w:rPr>
              <w:color w:val="auto"/>
              <w:highlight w:val="none"/>
            </w:rPr>
            <w:fldChar w:fldCharType="separate"/>
          </w:r>
          <w:r>
            <w:rPr>
              <w:rFonts w:hint="eastAsia" w:ascii="宋体" w:hAnsi="宋体" w:cs="宋体"/>
              <w:color w:val="auto"/>
              <w:kern w:val="44"/>
              <w:szCs w:val="36"/>
              <w:highlight w:val="none"/>
            </w:rPr>
            <w:t>第四章  评标（范本原文）</w:t>
          </w:r>
          <w:r>
            <w:rPr>
              <w:color w:val="auto"/>
              <w:highlight w:val="none"/>
            </w:rPr>
            <w:tab/>
          </w:r>
          <w:r>
            <w:rPr>
              <w:color w:val="auto"/>
              <w:highlight w:val="none"/>
            </w:rPr>
            <w:fldChar w:fldCharType="begin"/>
          </w:r>
          <w:r>
            <w:rPr>
              <w:color w:val="auto"/>
              <w:highlight w:val="none"/>
            </w:rPr>
            <w:instrText xml:space="preserve"> PAGEREF _Toc32368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8B8A709">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_Toc25882 </w:instrText>
          </w:r>
          <w:r>
            <w:rPr>
              <w:color w:val="auto"/>
              <w:highlight w:val="none"/>
            </w:rPr>
            <w:fldChar w:fldCharType="separate"/>
          </w:r>
          <w:r>
            <w:rPr>
              <w:rFonts w:hint="eastAsia" w:ascii="宋体" w:hAnsi="宋体" w:cs="宋体"/>
              <w:color w:val="auto"/>
              <w:kern w:val="44"/>
              <w:szCs w:val="36"/>
              <w:highlight w:val="none"/>
            </w:rPr>
            <w:t>第五章  定标（范本原文）</w:t>
          </w:r>
          <w:r>
            <w:rPr>
              <w:color w:val="auto"/>
              <w:highlight w:val="none"/>
            </w:rPr>
            <w:tab/>
          </w:r>
          <w:r>
            <w:rPr>
              <w:color w:val="auto"/>
              <w:highlight w:val="none"/>
            </w:rPr>
            <w:fldChar w:fldCharType="begin"/>
          </w:r>
          <w:r>
            <w:rPr>
              <w:color w:val="auto"/>
              <w:highlight w:val="none"/>
            </w:rPr>
            <w:instrText xml:space="preserve"> PAGEREF _Toc25882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60DC993">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_Toc20191 </w:instrText>
          </w:r>
          <w:r>
            <w:rPr>
              <w:color w:val="auto"/>
              <w:highlight w:val="none"/>
            </w:rPr>
            <w:fldChar w:fldCharType="separate"/>
          </w:r>
          <w:r>
            <w:rPr>
              <w:rFonts w:hint="eastAsia" w:ascii="宋体" w:hAnsi="宋体" w:cs="宋体"/>
              <w:color w:val="auto"/>
              <w:kern w:val="44"/>
              <w:szCs w:val="36"/>
              <w:highlight w:val="none"/>
            </w:rPr>
            <w:t>第六章  授予合同（范本原文）</w:t>
          </w:r>
          <w:r>
            <w:rPr>
              <w:color w:val="auto"/>
              <w:highlight w:val="none"/>
            </w:rPr>
            <w:tab/>
          </w:r>
          <w:r>
            <w:rPr>
              <w:color w:val="auto"/>
              <w:highlight w:val="none"/>
            </w:rPr>
            <w:fldChar w:fldCharType="begin"/>
          </w:r>
          <w:r>
            <w:rPr>
              <w:color w:val="auto"/>
              <w:highlight w:val="none"/>
            </w:rPr>
            <w:instrText xml:space="preserve"> PAGEREF _Toc20191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F145923">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_Toc8441 </w:instrText>
          </w:r>
          <w:r>
            <w:rPr>
              <w:color w:val="auto"/>
              <w:highlight w:val="none"/>
            </w:rPr>
            <w:fldChar w:fldCharType="separate"/>
          </w:r>
          <w:r>
            <w:rPr>
              <w:rFonts w:hint="eastAsia" w:ascii="宋体" w:hAnsi="宋体" w:cs="宋体"/>
              <w:color w:val="auto"/>
              <w:kern w:val="44"/>
              <w:szCs w:val="36"/>
              <w:highlight w:val="none"/>
            </w:rPr>
            <w:t>第七章  知识产权（范本原文）</w:t>
          </w:r>
          <w:r>
            <w:rPr>
              <w:color w:val="auto"/>
              <w:highlight w:val="none"/>
            </w:rPr>
            <w:tab/>
          </w:r>
          <w:r>
            <w:rPr>
              <w:color w:val="auto"/>
              <w:highlight w:val="none"/>
            </w:rPr>
            <w:fldChar w:fldCharType="begin"/>
          </w:r>
          <w:r>
            <w:rPr>
              <w:color w:val="auto"/>
              <w:highlight w:val="none"/>
            </w:rPr>
            <w:instrText xml:space="preserve"> PAGEREF _Toc8441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D286D1E">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begin"/>
          </w:r>
          <w:r>
            <w:rPr>
              <w:color w:val="auto"/>
              <w:highlight w:val="none"/>
            </w:rPr>
            <w:instrText xml:space="preserve"> HYPERLINK \l _Toc608 </w:instrText>
          </w:r>
          <w:r>
            <w:rPr>
              <w:color w:val="auto"/>
              <w:highlight w:val="none"/>
            </w:rPr>
            <w:fldChar w:fldCharType="separate"/>
          </w:r>
          <w:r>
            <w:rPr>
              <w:rFonts w:hint="eastAsia" w:ascii="宋体" w:hAnsi="宋体" w:cs="宋体"/>
              <w:color w:val="auto"/>
              <w:kern w:val="44"/>
              <w:szCs w:val="36"/>
              <w:highlight w:val="none"/>
            </w:rPr>
            <w:t>第八章  合同条款</w:t>
          </w:r>
          <w:r>
            <w:rPr>
              <w:color w:val="auto"/>
              <w:highlight w:val="none"/>
            </w:rPr>
            <w:tab/>
          </w:r>
          <w:r>
            <w:rPr>
              <w:color w:val="auto"/>
              <w:highlight w:val="none"/>
            </w:rPr>
            <w:fldChar w:fldCharType="begin"/>
          </w:r>
          <w:r>
            <w:rPr>
              <w:color w:val="auto"/>
              <w:highlight w:val="none"/>
            </w:rPr>
            <w:instrText xml:space="preserve"> PAGEREF _Toc608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3704D11">
          <w:pPr>
            <w:pStyle w:val="15"/>
            <w:keepNext w:val="0"/>
            <w:keepLines w:val="0"/>
            <w:pageBreakBefore w:val="0"/>
            <w:widowControl w:val="0"/>
            <w:tabs>
              <w:tab w:val="left" w:pos="840"/>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_Toc1335 </w:instrText>
          </w:r>
          <w:r>
            <w:rPr>
              <w:color w:val="auto"/>
              <w:highlight w:val="none"/>
            </w:rPr>
            <w:fldChar w:fldCharType="separate"/>
          </w:r>
          <w:r>
            <w:rPr>
              <w:rFonts w:hint="eastAsia" w:ascii="宋体" w:hAnsi="宋体" w:cs="宋体"/>
              <w:strike/>
              <w:color w:val="auto"/>
              <w:kern w:val="44"/>
              <w:szCs w:val="21"/>
              <w:highlight w:val="none"/>
            </w:rPr>
            <w:t>附录1 投标申请表（投入人员承诺）</w:t>
          </w:r>
          <w:r>
            <w:rPr>
              <w:color w:val="auto"/>
              <w:highlight w:val="none"/>
            </w:rPr>
            <w:tab/>
          </w:r>
          <w:r>
            <w:rPr>
              <w:color w:val="auto"/>
              <w:highlight w:val="none"/>
            </w:rPr>
            <w:fldChar w:fldCharType="begin"/>
          </w:r>
          <w:r>
            <w:rPr>
              <w:color w:val="auto"/>
              <w:highlight w:val="none"/>
            </w:rPr>
            <w:instrText xml:space="preserve"> PAGEREF _Toc1335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9F0F994">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_Toc15607 </w:instrText>
          </w:r>
          <w:r>
            <w:rPr>
              <w:color w:val="auto"/>
              <w:highlight w:val="none"/>
            </w:rPr>
            <w:fldChar w:fldCharType="separate"/>
          </w:r>
          <w:r>
            <w:rPr>
              <w:rFonts w:hint="eastAsia" w:ascii="宋体" w:hAnsi="宋体" w:cs="宋体"/>
              <w:color w:val="auto"/>
              <w:szCs w:val="21"/>
              <w:highlight w:val="none"/>
            </w:rPr>
            <w:t>附件2 设计投标文件编制要求</w:t>
          </w:r>
          <w:r>
            <w:rPr>
              <w:color w:val="auto"/>
              <w:highlight w:val="none"/>
            </w:rPr>
            <w:tab/>
          </w:r>
          <w:r>
            <w:rPr>
              <w:color w:val="auto"/>
              <w:highlight w:val="none"/>
            </w:rPr>
            <w:fldChar w:fldCharType="begin"/>
          </w:r>
          <w:r>
            <w:rPr>
              <w:color w:val="auto"/>
              <w:highlight w:val="none"/>
            </w:rPr>
            <w:instrText xml:space="preserve"> PAGEREF _Toc15607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350C066">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_Toc29853 </w:instrText>
          </w:r>
          <w:r>
            <w:rPr>
              <w:color w:val="auto"/>
              <w:highlight w:val="none"/>
            </w:rPr>
            <w:fldChar w:fldCharType="separate"/>
          </w:r>
          <w:r>
            <w:rPr>
              <w:rFonts w:hint="eastAsia" w:ascii="宋体" w:hAnsi="宋体" w:cs="宋体"/>
              <w:color w:val="auto"/>
              <w:szCs w:val="21"/>
              <w:highlight w:val="none"/>
            </w:rPr>
            <w:t>附件3 工程勘察初步设计费报价汇总表</w:t>
          </w:r>
          <w:r>
            <w:rPr>
              <w:color w:val="auto"/>
              <w:highlight w:val="none"/>
            </w:rPr>
            <w:tab/>
          </w:r>
          <w:r>
            <w:rPr>
              <w:color w:val="auto"/>
              <w:highlight w:val="none"/>
            </w:rPr>
            <w:fldChar w:fldCharType="begin"/>
          </w:r>
          <w:r>
            <w:rPr>
              <w:color w:val="auto"/>
              <w:highlight w:val="none"/>
            </w:rPr>
            <w:instrText xml:space="preserve"> PAGEREF _Toc29853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8D4FC10">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_Toc4591 </w:instrText>
          </w:r>
          <w:r>
            <w:rPr>
              <w:color w:val="auto"/>
              <w:highlight w:val="none"/>
            </w:rPr>
            <w:fldChar w:fldCharType="separate"/>
          </w:r>
          <w:r>
            <w:rPr>
              <w:rFonts w:hint="eastAsia" w:ascii="宋体" w:hAnsi="宋体" w:cs="宋体"/>
              <w:color w:val="auto"/>
              <w:szCs w:val="21"/>
              <w:highlight w:val="none"/>
            </w:rPr>
            <w:t>附件3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1建筑信息模型（BIM）技术应用费计算表</w:t>
          </w:r>
          <w:r>
            <w:rPr>
              <w:color w:val="auto"/>
              <w:highlight w:val="none"/>
            </w:rPr>
            <w:tab/>
          </w:r>
          <w:r>
            <w:rPr>
              <w:color w:val="auto"/>
              <w:highlight w:val="none"/>
            </w:rPr>
            <w:fldChar w:fldCharType="begin"/>
          </w:r>
          <w:r>
            <w:rPr>
              <w:color w:val="auto"/>
              <w:highlight w:val="none"/>
            </w:rPr>
            <w:instrText xml:space="preserve"> PAGEREF _Toc4591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DC2C101">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_Toc2647 </w:instrText>
          </w:r>
          <w:r>
            <w:rPr>
              <w:color w:val="auto"/>
              <w:highlight w:val="none"/>
            </w:rPr>
            <w:fldChar w:fldCharType="separate"/>
          </w:r>
          <w:r>
            <w:rPr>
              <w:rFonts w:hint="eastAsia" w:ascii="宋体" w:hAnsi="宋体" w:cs="宋体"/>
              <w:color w:val="auto"/>
              <w:szCs w:val="21"/>
              <w:highlight w:val="none"/>
            </w:rPr>
            <w:t>附件3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2工程勘察费计算表</w:t>
          </w:r>
          <w:r>
            <w:rPr>
              <w:color w:val="auto"/>
              <w:highlight w:val="none"/>
            </w:rPr>
            <w:tab/>
          </w:r>
          <w:r>
            <w:rPr>
              <w:color w:val="auto"/>
              <w:highlight w:val="none"/>
            </w:rPr>
            <w:fldChar w:fldCharType="begin"/>
          </w:r>
          <w:r>
            <w:rPr>
              <w:color w:val="auto"/>
              <w:highlight w:val="none"/>
            </w:rPr>
            <w:instrText xml:space="preserve"> PAGEREF _Toc2647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64BDC3F">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_Toc6257 </w:instrText>
          </w:r>
          <w:r>
            <w:rPr>
              <w:color w:val="auto"/>
              <w:highlight w:val="none"/>
            </w:rPr>
            <w:fldChar w:fldCharType="separate"/>
          </w:r>
          <w:r>
            <w:rPr>
              <w:rFonts w:hint="eastAsia" w:ascii="宋体" w:hAnsi="宋体" w:cs="宋体"/>
              <w:strike/>
              <w:color w:val="auto"/>
              <w:szCs w:val="21"/>
              <w:highlight w:val="none"/>
            </w:rPr>
            <w:t>附录4</w:t>
          </w:r>
          <w:r>
            <w:rPr>
              <w:rFonts w:hint="eastAsia" w:ascii="宋体" w:hAnsi="宋体" w:cs="宋体"/>
              <w:strike/>
              <w:color w:val="auto"/>
              <w:szCs w:val="21"/>
              <w:highlight w:val="none"/>
              <w:lang w:val="en-US" w:eastAsia="zh-CN"/>
            </w:rPr>
            <w:t xml:space="preserve"> </w:t>
          </w:r>
          <w:r>
            <w:rPr>
              <w:rFonts w:hint="eastAsia" w:ascii="宋体" w:hAnsi="宋体" w:cs="宋体"/>
              <w:strike/>
              <w:color w:val="auto"/>
              <w:szCs w:val="21"/>
              <w:highlight w:val="none"/>
            </w:rPr>
            <w:t>建筑工程设计方案测试记录表</w:t>
          </w:r>
          <w:r>
            <w:rPr>
              <w:color w:val="auto"/>
              <w:highlight w:val="none"/>
            </w:rPr>
            <w:tab/>
          </w:r>
          <w:r>
            <w:rPr>
              <w:color w:val="auto"/>
              <w:highlight w:val="none"/>
            </w:rPr>
            <w:fldChar w:fldCharType="begin"/>
          </w:r>
          <w:r>
            <w:rPr>
              <w:color w:val="auto"/>
              <w:highlight w:val="none"/>
            </w:rPr>
            <w:instrText xml:space="preserve"> PAGEREF _Toc6257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2169035">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_Toc3805 </w:instrText>
          </w:r>
          <w:r>
            <w:rPr>
              <w:color w:val="auto"/>
              <w:highlight w:val="none"/>
            </w:rPr>
            <w:fldChar w:fldCharType="separate"/>
          </w:r>
          <w:r>
            <w:rPr>
              <w:rFonts w:hint="eastAsia" w:ascii="宋体" w:hAnsi="宋体" w:cs="宋体"/>
              <w:strike/>
              <w:color w:val="auto"/>
              <w:szCs w:val="21"/>
              <w:highlight w:val="none"/>
            </w:rPr>
            <w:t>附件5</w:t>
          </w:r>
          <w:r>
            <w:rPr>
              <w:rFonts w:hint="eastAsia" w:ascii="宋体" w:hAnsi="宋体" w:cs="宋体"/>
              <w:strike/>
              <w:color w:val="auto"/>
              <w:szCs w:val="21"/>
              <w:highlight w:val="none"/>
              <w:lang w:val="en-US" w:eastAsia="zh-CN"/>
            </w:rPr>
            <w:t xml:space="preserve"> </w:t>
          </w:r>
          <w:r>
            <w:rPr>
              <w:rFonts w:hint="eastAsia" w:ascii="宋体" w:hAnsi="宋体" w:cs="宋体"/>
              <w:strike/>
              <w:color w:val="auto"/>
              <w:szCs w:val="21"/>
              <w:highlight w:val="none"/>
            </w:rPr>
            <w:t>勘察投标文件编制要求</w:t>
          </w:r>
          <w:r>
            <w:rPr>
              <w:color w:val="auto"/>
              <w:highlight w:val="none"/>
            </w:rPr>
            <w:tab/>
          </w:r>
          <w:r>
            <w:rPr>
              <w:color w:val="auto"/>
              <w:highlight w:val="none"/>
            </w:rPr>
            <w:fldChar w:fldCharType="begin"/>
          </w:r>
          <w:r>
            <w:rPr>
              <w:color w:val="auto"/>
              <w:highlight w:val="none"/>
            </w:rPr>
            <w:instrText xml:space="preserve"> PAGEREF _Toc3805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3D174F66">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_Toc30043 </w:instrText>
          </w:r>
          <w:r>
            <w:rPr>
              <w:color w:val="auto"/>
              <w:highlight w:val="none"/>
            </w:rPr>
            <w:fldChar w:fldCharType="separate"/>
          </w:r>
          <w:r>
            <w:rPr>
              <w:rFonts w:hint="eastAsia" w:ascii="宋体" w:hAnsi="宋体" w:cs="宋体"/>
              <w:color w:val="auto"/>
              <w:kern w:val="44"/>
              <w:szCs w:val="21"/>
              <w:highlight w:val="none"/>
            </w:rPr>
            <w:t>附录6 投标书</w:t>
          </w:r>
          <w:r>
            <w:rPr>
              <w:color w:val="auto"/>
              <w:highlight w:val="none"/>
            </w:rPr>
            <w:tab/>
          </w:r>
          <w:r>
            <w:rPr>
              <w:color w:val="auto"/>
              <w:highlight w:val="none"/>
            </w:rPr>
            <w:fldChar w:fldCharType="begin"/>
          </w:r>
          <w:r>
            <w:rPr>
              <w:color w:val="auto"/>
              <w:highlight w:val="none"/>
            </w:rPr>
            <w:instrText xml:space="preserve"> PAGEREF _Toc30043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DEFCD4F">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_Toc8399 </w:instrText>
          </w:r>
          <w:r>
            <w:rPr>
              <w:color w:val="auto"/>
              <w:highlight w:val="none"/>
            </w:rPr>
            <w:fldChar w:fldCharType="separate"/>
          </w:r>
          <w:r>
            <w:rPr>
              <w:rFonts w:hint="eastAsia" w:ascii="宋体" w:hAnsi="宋体" w:cs="宋体"/>
              <w:color w:val="auto"/>
              <w:szCs w:val="21"/>
              <w:highlight w:val="none"/>
            </w:rPr>
            <w:t>附录7 联合体共同投标协议</w:t>
          </w:r>
          <w:r>
            <w:rPr>
              <w:color w:val="auto"/>
              <w:highlight w:val="none"/>
            </w:rPr>
            <w:tab/>
          </w:r>
          <w:r>
            <w:rPr>
              <w:color w:val="auto"/>
              <w:highlight w:val="none"/>
            </w:rPr>
            <w:fldChar w:fldCharType="begin"/>
          </w:r>
          <w:r>
            <w:rPr>
              <w:color w:val="auto"/>
              <w:highlight w:val="none"/>
            </w:rPr>
            <w:instrText xml:space="preserve"> PAGEREF _Toc8399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A5FCBDF">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_Toc3357 </w:instrText>
          </w:r>
          <w:r>
            <w:rPr>
              <w:color w:val="auto"/>
              <w:highlight w:val="none"/>
            </w:rPr>
            <w:fldChar w:fldCharType="separate"/>
          </w:r>
          <w:r>
            <w:rPr>
              <w:rFonts w:hint="eastAsia" w:ascii="宋体" w:hAnsi="宋体" w:cs="宋体"/>
              <w:color w:val="auto"/>
              <w:kern w:val="44"/>
              <w:szCs w:val="21"/>
              <w:highlight w:val="none"/>
            </w:rPr>
            <w:t>附录7-1（适用于合作设计）</w:t>
          </w:r>
          <w:r>
            <w:rPr>
              <w:color w:val="auto"/>
              <w:highlight w:val="none"/>
            </w:rPr>
            <w:tab/>
          </w:r>
          <w:r>
            <w:rPr>
              <w:color w:val="auto"/>
              <w:highlight w:val="none"/>
            </w:rPr>
            <w:fldChar w:fldCharType="begin"/>
          </w:r>
          <w:r>
            <w:rPr>
              <w:color w:val="auto"/>
              <w:highlight w:val="none"/>
            </w:rPr>
            <w:instrText xml:space="preserve"> PAGEREF _Toc3357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3680B03">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_Toc6624 </w:instrText>
          </w:r>
          <w:r>
            <w:rPr>
              <w:color w:val="auto"/>
              <w:highlight w:val="none"/>
            </w:rPr>
            <w:fldChar w:fldCharType="separate"/>
          </w:r>
          <w:r>
            <w:rPr>
              <w:rFonts w:hint="eastAsia" w:ascii="宋体" w:hAnsi="宋体" w:cs="宋体"/>
              <w:color w:val="auto"/>
              <w:szCs w:val="21"/>
              <w:highlight w:val="none"/>
            </w:rPr>
            <w:t>附录8 投标人声明</w:t>
          </w:r>
          <w:r>
            <w:rPr>
              <w:color w:val="auto"/>
              <w:highlight w:val="none"/>
            </w:rPr>
            <w:tab/>
          </w:r>
          <w:r>
            <w:rPr>
              <w:color w:val="auto"/>
              <w:highlight w:val="none"/>
            </w:rPr>
            <w:fldChar w:fldCharType="begin"/>
          </w:r>
          <w:r>
            <w:rPr>
              <w:color w:val="auto"/>
              <w:highlight w:val="none"/>
            </w:rPr>
            <w:instrText xml:space="preserve"> PAGEREF _Toc6624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89CC582">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_Toc25985 </w:instrText>
          </w:r>
          <w:r>
            <w:rPr>
              <w:color w:val="auto"/>
              <w:highlight w:val="none"/>
            </w:rPr>
            <w:fldChar w:fldCharType="separate"/>
          </w:r>
          <w:r>
            <w:rPr>
              <w:rFonts w:hint="eastAsia" w:ascii="宋体" w:hAnsi="宋体" w:cs="宋体"/>
              <w:color w:val="auto"/>
              <w:kern w:val="44"/>
              <w:szCs w:val="21"/>
              <w:highlight w:val="none"/>
            </w:rPr>
            <w:t>附录9 资格审查表</w:t>
          </w:r>
          <w:r>
            <w:rPr>
              <w:color w:val="auto"/>
              <w:highlight w:val="none"/>
            </w:rPr>
            <w:tab/>
          </w:r>
          <w:r>
            <w:rPr>
              <w:color w:val="auto"/>
              <w:highlight w:val="none"/>
            </w:rPr>
            <w:fldChar w:fldCharType="begin"/>
          </w:r>
          <w:r>
            <w:rPr>
              <w:color w:val="auto"/>
              <w:highlight w:val="none"/>
            </w:rPr>
            <w:instrText xml:space="preserve"> PAGEREF _Toc25985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6B0F689">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_Toc14353 </w:instrText>
          </w:r>
          <w:r>
            <w:rPr>
              <w:color w:val="auto"/>
              <w:highlight w:val="none"/>
            </w:rPr>
            <w:fldChar w:fldCharType="separate"/>
          </w:r>
          <w:r>
            <w:rPr>
              <w:rFonts w:hint="eastAsia" w:ascii="宋体" w:hAnsi="宋体" w:cs="宋体"/>
              <w:strike/>
              <w:color w:val="auto"/>
              <w:szCs w:val="21"/>
              <w:highlight w:val="none"/>
            </w:rPr>
            <w:t>附件10</w:t>
          </w:r>
          <w:r>
            <w:rPr>
              <w:rFonts w:hint="eastAsia" w:ascii="宋体" w:hAnsi="宋体" w:cs="宋体"/>
              <w:strike/>
              <w:color w:val="auto"/>
              <w:szCs w:val="21"/>
              <w:highlight w:val="none"/>
              <w:lang w:val="en-US" w:eastAsia="zh-CN"/>
            </w:rPr>
            <w:t xml:space="preserve"> </w:t>
          </w:r>
          <w:r>
            <w:rPr>
              <w:rFonts w:hint="eastAsia" w:ascii="宋体" w:hAnsi="宋体" w:cs="宋体"/>
              <w:strike/>
              <w:color w:val="auto"/>
              <w:szCs w:val="21"/>
              <w:highlight w:val="none"/>
            </w:rPr>
            <w:t>投票表格</w:t>
          </w:r>
          <w:r>
            <w:rPr>
              <w:color w:val="auto"/>
              <w:highlight w:val="none"/>
            </w:rPr>
            <w:tab/>
          </w:r>
          <w:r>
            <w:rPr>
              <w:color w:val="auto"/>
              <w:highlight w:val="none"/>
            </w:rPr>
            <w:fldChar w:fldCharType="begin"/>
          </w:r>
          <w:r>
            <w:rPr>
              <w:color w:val="auto"/>
              <w:highlight w:val="none"/>
            </w:rPr>
            <w:instrText xml:space="preserve"> PAGEREF _Toc14353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B85DC40">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_Toc15988 </w:instrText>
          </w:r>
          <w:r>
            <w:rPr>
              <w:color w:val="auto"/>
              <w:highlight w:val="none"/>
            </w:rPr>
            <w:fldChar w:fldCharType="separate"/>
          </w:r>
          <w:r>
            <w:rPr>
              <w:rFonts w:hint="eastAsia" w:ascii="宋体" w:hAnsi="宋体" w:cs="宋体"/>
              <w:strike/>
              <w:color w:val="auto"/>
              <w:szCs w:val="21"/>
              <w:highlight w:val="none"/>
            </w:rPr>
            <w:t>附录11</w:t>
          </w:r>
          <w:r>
            <w:rPr>
              <w:rFonts w:hint="eastAsia" w:ascii="宋体" w:hAnsi="宋体" w:cs="宋体"/>
              <w:strike/>
              <w:color w:val="auto"/>
              <w:szCs w:val="21"/>
              <w:highlight w:val="none"/>
              <w:lang w:val="en-US" w:eastAsia="zh-CN"/>
            </w:rPr>
            <w:t xml:space="preserve"> </w:t>
          </w:r>
          <w:r>
            <w:rPr>
              <w:rFonts w:hint="eastAsia" w:ascii="宋体" w:hAnsi="宋体" w:cs="宋体"/>
              <w:strike/>
              <w:color w:val="auto"/>
              <w:szCs w:val="21"/>
              <w:highlight w:val="none"/>
            </w:rPr>
            <w:t>投标汇总表格</w:t>
          </w:r>
          <w:r>
            <w:rPr>
              <w:color w:val="auto"/>
              <w:highlight w:val="none"/>
            </w:rPr>
            <w:tab/>
          </w:r>
          <w:r>
            <w:rPr>
              <w:color w:val="auto"/>
              <w:highlight w:val="none"/>
            </w:rPr>
            <w:fldChar w:fldCharType="begin"/>
          </w:r>
          <w:r>
            <w:rPr>
              <w:color w:val="auto"/>
              <w:highlight w:val="none"/>
            </w:rPr>
            <w:instrText xml:space="preserve"> PAGEREF _Toc15988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B8105F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_Toc5576 </w:instrText>
          </w:r>
          <w:r>
            <w:rPr>
              <w:color w:val="auto"/>
              <w:highlight w:val="none"/>
            </w:rPr>
            <w:fldChar w:fldCharType="separate"/>
          </w:r>
          <w:r>
            <w:rPr>
              <w:rFonts w:hint="eastAsia" w:ascii="宋体" w:hAnsi="宋体" w:cs="宋体"/>
              <w:color w:val="auto"/>
              <w:szCs w:val="21"/>
              <w:highlight w:val="none"/>
            </w:rPr>
            <w:t>附录12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有效性审查表</w:t>
          </w:r>
          <w:r>
            <w:rPr>
              <w:color w:val="auto"/>
              <w:highlight w:val="none"/>
            </w:rPr>
            <w:tab/>
          </w:r>
          <w:r>
            <w:rPr>
              <w:color w:val="auto"/>
              <w:highlight w:val="none"/>
            </w:rPr>
            <w:fldChar w:fldCharType="begin"/>
          </w:r>
          <w:r>
            <w:rPr>
              <w:color w:val="auto"/>
              <w:highlight w:val="none"/>
            </w:rPr>
            <w:instrText xml:space="preserve"> PAGEREF _Toc5576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52EC36">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_Toc25160 </w:instrText>
          </w:r>
          <w:r>
            <w:rPr>
              <w:color w:val="auto"/>
              <w:highlight w:val="none"/>
            </w:rPr>
            <w:fldChar w:fldCharType="separate"/>
          </w:r>
          <w:r>
            <w:rPr>
              <w:rFonts w:hint="eastAsia" w:ascii="宋体" w:hAnsi="宋体" w:cs="宋体"/>
              <w:color w:val="auto"/>
              <w:szCs w:val="21"/>
              <w:highlight w:val="none"/>
            </w:rPr>
            <w:t>附录12-1投标报价算术复核表</w:t>
          </w:r>
          <w:r>
            <w:rPr>
              <w:color w:val="auto"/>
              <w:highlight w:val="none"/>
            </w:rPr>
            <w:tab/>
          </w:r>
          <w:r>
            <w:rPr>
              <w:color w:val="auto"/>
              <w:highlight w:val="none"/>
            </w:rPr>
            <w:fldChar w:fldCharType="begin"/>
          </w:r>
          <w:r>
            <w:rPr>
              <w:color w:val="auto"/>
              <w:highlight w:val="none"/>
            </w:rPr>
            <w:instrText xml:space="preserve"> PAGEREF _Toc25160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2B184E1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_Toc3968 </w:instrText>
          </w:r>
          <w:r>
            <w:rPr>
              <w:color w:val="auto"/>
              <w:highlight w:val="none"/>
            </w:rPr>
            <w:fldChar w:fldCharType="separate"/>
          </w:r>
          <w:r>
            <w:rPr>
              <w:rFonts w:hint="eastAsia" w:ascii="宋体" w:hAnsi="宋体" w:cs="宋体"/>
              <w:color w:val="auto"/>
              <w:szCs w:val="21"/>
              <w:highlight w:val="none"/>
            </w:rPr>
            <w:t>附录13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勘察初步设计方案部分评分表</w:t>
          </w:r>
          <w:r>
            <w:rPr>
              <w:color w:val="auto"/>
              <w:highlight w:val="none"/>
            </w:rPr>
            <w:tab/>
          </w:r>
          <w:r>
            <w:rPr>
              <w:color w:val="auto"/>
              <w:highlight w:val="none"/>
            </w:rPr>
            <w:fldChar w:fldCharType="begin"/>
          </w:r>
          <w:r>
            <w:rPr>
              <w:color w:val="auto"/>
              <w:highlight w:val="none"/>
            </w:rPr>
            <w:instrText xml:space="preserve"> PAGEREF _Toc3968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72EB9B0B">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_Toc28957 </w:instrText>
          </w:r>
          <w:r>
            <w:rPr>
              <w:color w:val="auto"/>
              <w:highlight w:val="none"/>
            </w:rPr>
            <w:fldChar w:fldCharType="separate"/>
          </w:r>
          <w:r>
            <w:rPr>
              <w:rFonts w:hint="eastAsia" w:ascii="宋体" w:hAnsi="宋体" w:cs="宋体"/>
              <w:color w:val="auto"/>
              <w:szCs w:val="21"/>
              <w:highlight w:val="none"/>
            </w:rPr>
            <w:t>附录13-1勘察初步设计商务部分评分表</w:t>
          </w:r>
          <w:r>
            <w:rPr>
              <w:color w:val="auto"/>
              <w:highlight w:val="none"/>
            </w:rPr>
            <w:tab/>
          </w:r>
          <w:r>
            <w:rPr>
              <w:color w:val="auto"/>
              <w:highlight w:val="none"/>
            </w:rPr>
            <w:fldChar w:fldCharType="begin"/>
          </w:r>
          <w:r>
            <w:rPr>
              <w:color w:val="auto"/>
              <w:highlight w:val="none"/>
            </w:rPr>
            <w:instrText xml:space="preserve"> PAGEREF _Toc28957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27D310CA">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_Toc18493 </w:instrText>
          </w:r>
          <w:r>
            <w:rPr>
              <w:color w:val="auto"/>
              <w:highlight w:val="none"/>
            </w:rPr>
            <w:fldChar w:fldCharType="separate"/>
          </w:r>
          <w:r>
            <w:rPr>
              <w:rFonts w:hint="eastAsia" w:ascii="宋体" w:hAnsi="宋体" w:cs="宋体"/>
              <w:bCs/>
              <w:color w:val="auto"/>
              <w:szCs w:val="21"/>
              <w:highlight w:val="none"/>
            </w:rPr>
            <w:t>附录14 基础资料和勘察初步设计任务书</w:t>
          </w:r>
          <w:r>
            <w:rPr>
              <w:color w:val="auto"/>
              <w:highlight w:val="none"/>
            </w:rPr>
            <w:tab/>
          </w:r>
          <w:r>
            <w:rPr>
              <w:color w:val="auto"/>
              <w:highlight w:val="none"/>
            </w:rPr>
            <w:fldChar w:fldCharType="begin"/>
          </w:r>
          <w:r>
            <w:rPr>
              <w:color w:val="auto"/>
              <w:highlight w:val="none"/>
            </w:rPr>
            <w:instrText xml:space="preserve"> PAGEREF _Toc18493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1DE09C3">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_Toc1410 </w:instrText>
          </w:r>
          <w:r>
            <w:rPr>
              <w:color w:val="auto"/>
              <w:highlight w:val="none"/>
            </w:rPr>
            <w:fldChar w:fldCharType="separate"/>
          </w:r>
          <w:r>
            <w:rPr>
              <w:rFonts w:hint="eastAsia" w:ascii="宋体" w:hAnsi="宋体" w:cs="宋体"/>
              <w:bCs/>
              <w:color w:val="auto"/>
              <w:szCs w:val="21"/>
              <w:highlight w:val="none"/>
            </w:rPr>
            <w:t>附录15 定标委员会的组成</w:t>
          </w:r>
          <w:r>
            <w:rPr>
              <w:color w:val="auto"/>
              <w:highlight w:val="none"/>
            </w:rPr>
            <w:tab/>
          </w:r>
          <w:r>
            <w:rPr>
              <w:color w:val="auto"/>
              <w:highlight w:val="none"/>
            </w:rPr>
            <w:fldChar w:fldCharType="begin"/>
          </w:r>
          <w:r>
            <w:rPr>
              <w:color w:val="auto"/>
              <w:highlight w:val="none"/>
            </w:rPr>
            <w:instrText xml:space="preserve"> PAGEREF _Toc1410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334EE46B">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_Toc28086 </w:instrText>
          </w:r>
          <w:r>
            <w:rPr>
              <w:color w:val="auto"/>
              <w:highlight w:val="none"/>
            </w:rPr>
            <w:fldChar w:fldCharType="separate"/>
          </w:r>
          <w:r>
            <w:rPr>
              <w:rFonts w:hint="eastAsia" w:ascii="宋体" w:hAnsi="宋体" w:cs="宋体"/>
              <w:color w:val="auto"/>
              <w:szCs w:val="21"/>
              <w:highlight w:val="none"/>
            </w:rPr>
            <w:t>附录16 定标原则</w:t>
          </w:r>
          <w:r>
            <w:rPr>
              <w:color w:val="auto"/>
              <w:highlight w:val="none"/>
            </w:rPr>
            <w:tab/>
          </w:r>
          <w:r>
            <w:rPr>
              <w:color w:val="auto"/>
              <w:highlight w:val="none"/>
            </w:rPr>
            <w:fldChar w:fldCharType="begin"/>
          </w:r>
          <w:r>
            <w:rPr>
              <w:color w:val="auto"/>
              <w:highlight w:val="none"/>
            </w:rPr>
            <w:instrText xml:space="preserve"> PAGEREF _Toc28086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2D07B63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_Toc22471 </w:instrText>
          </w:r>
          <w:r>
            <w:rPr>
              <w:color w:val="auto"/>
              <w:highlight w:val="none"/>
            </w:rPr>
            <w:fldChar w:fldCharType="separate"/>
          </w:r>
          <w:r>
            <w:rPr>
              <w:rFonts w:hint="eastAsia" w:ascii="宋体" w:hAnsi="宋体" w:cs="宋体"/>
              <w:color w:val="auto"/>
              <w:szCs w:val="21"/>
              <w:highlight w:val="none"/>
            </w:rPr>
            <w:t xml:space="preserve">附录16-1 </w:t>
          </w:r>
          <w:r>
            <w:rPr>
              <w:rFonts w:hint="eastAsia" w:ascii="宋体" w:hAnsi="宋体" w:cs="宋体"/>
              <w:color w:val="auto"/>
              <w:kern w:val="44"/>
              <w:szCs w:val="21"/>
              <w:highlight w:val="none"/>
            </w:rPr>
            <w:t>定标因素表（定标阶段用表）</w:t>
          </w:r>
          <w:r>
            <w:rPr>
              <w:color w:val="auto"/>
              <w:highlight w:val="none"/>
            </w:rPr>
            <w:tab/>
          </w:r>
          <w:r>
            <w:rPr>
              <w:color w:val="auto"/>
              <w:highlight w:val="none"/>
            </w:rPr>
            <w:fldChar w:fldCharType="begin"/>
          </w:r>
          <w:r>
            <w:rPr>
              <w:color w:val="auto"/>
              <w:highlight w:val="none"/>
            </w:rPr>
            <w:instrText xml:space="preserve"> PAGEREF _Toc22471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19F14FC5">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_Toc27003 </w:instrText>
          </w:r>
          <w:r>
            <w:rPr>
              <w:color w:val="auto"/>
              <w:highlight w:val="none"/>
            </w:rPr>
            <w:fldChar w:fldCharType="separate"/>
          </w:r>
          <w:r>
            <w:rPr>
              <w:rFonts w:hint="eastAsia" w:ascii="宋体" w:hAnsi="宋体" w:cs="宋体"/>
              <w:bCs/>
              <w:color w:val="auto"/>
              <w:szCs w:val="21"/>
              <w:highlight w:val="none"/>
            </w:rPr>
            <w:t>附录17评标委员会成员声明</w:t>
          </w:r>
          <w:r>
            <w:rPr>
              <w:color w:val="auto"/>
              <w:highlight w:val="none"/>
            </w:rPr>
            <w:tab/>
          </w:r>
          <w:r>
            <w:rPr>
              <w:color w:val="auto"/>
              <w:highlight w:val="none"/>
            </w:rPr>
            <w:fldChar w:fldCharType="begin"/>
          </w:r>
          <w:r>
            <w:rPr>
              <w:color w:val="auto"/>
              <w:highlight w:val="none"/>
            </w:rPr>
            <w:instrText xml:space="preserve"> PAGEREF _Toc27003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49431906">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_Toc23766 </w:instrText>
          </w:r>
          <w:r>
            <w:rPr>
              <w:color w:val="auto"/>
              <w:highlight w:val="none"/>
            </w:rPr>
            <w:fldChar w:fldCharType="separate"/>
          </w:r>
          <w:r>
            <w:rPr>
              <w:rFonts w:hint="eastAsia" w:ascii="宋体" w:hAnsi="宋体" w:cs="宋体"/>
              <w:color w:val="auto"/>
              <w:szCs w:val="24"/>
              <w:highlight w:val="none"/>
            </w:rPr>
            <w:t>附录18 本项目拟投入的人员基本情况表</w:t>
          </w:r>
          <w:r>
            <w:rPr>
              <w:color w:val="auto"/>
              <w:highlight w:val="none"/>
            </w:rPr>
            <w:tab/>
          </w:r>
          <w:r>
            <w:rPr>
              <w:color w:val="auto"/>
              <w:highlight w:val="none"/>
            </w:rPr>
            <w:fldChar w:fldCharType="begin"/>
          </w:r>
          <w:r>
            <w:rPr>
              <w:color w:val="auto"/>
              <w:highlight w:val="none"/>
            </w:rPr>
            <w:instrText xml:space="preserve"> PAGEREF _Toc23766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5BD7CC1">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rPr>
              <w:color w:val="auto"/>
              <w:highlight w:val="none"/>
            </w:rPr>
          </w:pPr>
          <w:r>
            <w:rPr>
              <w:color w:val="auto"/>
              <w:highlight w:val="none"/>
            </w:rPr>
            <w:fldChar w:fldCharType="begin"/>
          </w:r>
          <w:r>
            <w:rPr>
              <w:color w:val="auto"/>
              <w:highlight w:val="none"/>
            </w:rPr>
            <w:instrText xml:space="preserve"> HYPERLINK \l _Toc208 </w:instrText>
          </w:r>
          <w:r>
            <w:rPr>
              <w:color w:val="auto"/>
              <w:highlight w:val="none"/>
            </w:rPr>
            <w:fldChar w:fldCharType="separate"/>
          </w:r>
          <w:r>
            <w:rPr>
              <w:rFonts w:hint="eastAsia" w:ascii="宋体" w:hAnsi="宋体" w:cs="宋体"/>
              <w:color w:val="auto"/>
              <w:szCs w:val="24"/>
              <w:highlight w:val="none"/>
            </w:rPr>
            <w:t>附录19企业类似工程业绩</w:t>
          </w:r>
          <w:r>
            <w:rPr>
              <w:color w:val="auto"/>
              <w:highlight w:val="none"/>
            </w:rPr>
            <w:tab/>
          </w:r>
          <w:r>
            <w:rPr>
              <w:color w:val="auto"/>
              <w:highlight w:val="none"/>
            </w:rPr>
            <w:fldChar w:fldCharType="begin"/>
          </w:r>
          <w:r>
            <w:rPr>
              <w:color w:val="auto"/>
              <w:highlight w:val="none"/>
            </w:rPr>
            <w:instrText xml:space="preserve"> PAGEREF _Toc208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FF80312">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color w:val="auto"/>
              <w:highlight w:val="none"/>
            </w:rPr>
            <w:fldChar w:fldCharType="end"/>
          </w:r>
          <w:bookmarkEnd w:id="16"/>
          <w:bookmarkEnd w:id="17"/>
          <w:bookmarkEnd w:id="18"/>
          <w:bookmarkEnd w:id="19"/>
        </w:p>
      </w:sdtContent>
    </w:sdt>
    <w:p w14:paraId="48AC4C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rPr>
        <w:br w:type="page"/>
      </w:r>
    </w:p>
    <w:p w14:paraId="2EF06E9D">
      <w:pPr>
        <w:pStyle w:val="3"/>
        <w:widowControl/>
        <w:jc w:val="center"/>
        <w:rPr>
          <w:rFonts w:hint="eastAsia" w:ascii="宋体" w:hAnsi="宋体" w:cs="宋体"/>
          <w:color w:val="auto"/>
          <w:sz w:val="36"/>
          <w:szCs w:val="36"/>
          <w:highlight w:val="none"/>
        </w:rPr>
      </w:pPr>
      <w:bookmarkStart w:id="20" w:name="_Toc5333"/>
      <w:bookmarkStart w:id="21" w:name="_Toc1475"/>
      <w:bookmarkStart w:id="22" w:name="_Toc30995"/>
      <w:bookmarkStart w:id="23" w:name="_Toc3014"/>
      <w:bookmarkStart w:id="24" w:name="_Toc23068"/>
      <w:bookmarkStart w:id="25" w:name="_Toc14136"/>
      <w:bookmarkStart w:id="26" w:name="_Toc9372"/>
      <w:r>
        <w:rPr>
          <w:rFonts w:hint="eastAsia" w:ascii="宋体" w:hAnsi="宋体" w:cs="宋体"/>
          <w:color w:val="auto"/>
          <w:sz w:val="36"/>
          <w:szCs w:val="36"/>
          <w:highlight w:val="none"/>
        </w:rPr>
        <w:t>第一章  招标公告</w:t>
      </w:r>
      <w:bookmarkEnd w:id="20"/>
      <w:bookmarkEnd w:id="21"/>
      <w:bookmarkEnd w:id="22"/>
      <w:bookmarkEnd w:id="23"/>
      <w:bookmarkEnd w:id="24"/>
      <w:bookmarkEnd w:id="25"/>
      <w:bookmarkEnd w:id="26"/>
    </w:p>
    <w:p w14:paraId="57C5489E">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详见《招标公告》</w:t>
      </w:r>
    </w:p>
    <w:p w14:paraId="17B5B2B3">
      <w:pPr>
        <w:keepNext/>
        <w:keepLines/>
        <w:spacing w:before="340" w:after="330" w:line="576" w:lineRule="auto"/>
        <w:jc w:val="center"/>
        <w:outlineLvl w:val="0"/>
        <w:rPr>
          <w:rFonts w:hint="eastAsia" w:ascii="宋体" w:hAnsi="宋体" w:cs="宋体"/>
          <w:bCs/>
          <w:color w:val="auto"/>
          <w:kern w:val="44"/>
          <w:sz w:val="24"/>
          <w:szCs w:val="24"/>
          <w:highlight w:val="none"/>
        </w:rPr>
      </w:pPr>
      <w:r>
        <w:rPr>
          <w:rFonts w:hint="eastAsia" w:ascii="宋体" w:hAnsi="宋体" w:cs="宋体"/>
          <w:b/>
          <w:color w:val="auto"/>
          <w:sz w:val="36"/>
          <w:szCs w:val="36"/>
          <w:highlight w:val="none"/>
        </w:rPr>
        <w:br w:type="page"/>
      </w:r>
      <w:bookmarkStart w:id="27" w:name="_Toc97803958"/>
      <w:bookmarkEnd w:id="27"/>
      <w:bookmarkStart w:id="28" w:name="_Toc31050"/>
      <w:bookmarkStart w:id="29" w:name="_Toc17163"/>
      <w:bookmarkStart w:id="30" w:name="_Toc5627"/>
      <w:bookmarkStart w:id="31" w:name="_Toc11803"/>
      <w:bookmarkStart w:id="32" w:name="_Toc27797"/>
      <w:bookmarkStart w:id="33" w:name="_Toc30666"/>
      <w:bookmarkStart w:id="34" w:name="_Toc21395"/>
      <w:r>
        <w:rPr>
          <w:rFonts w:hint="eastAsia" w:ascii="宋体" w:hAnsi="宋体" w:cs="宋体"/>
          <w:b/>
          <w:color w:val="auto"/>
          <w:kern w:val="44"/>
          <w:sz w:val="36"/>
          <w:szCs w:val="36"/>
          <w:highlight w:val="none"/>
        </w:rPr>
        <w:t>第二章  招标</w:t>
      </w:r>
      <w:r>
        <w:rPr>
          <w:rFonts w:hint="eastAsia" w:ascii="宋体" w:hAnsi="宋体" w:cs="宋体"/>
          <w:b/>
          <w:color w:val="auto"/>
          <w:kern w:val="44"/>
          <w:sz w:val="36"/>
          <w:szCs w:val="36"/>
          <w:highlight w:val="none"/>
          <w:u w:val="single"/>
        </w:rPr>
        <w:t>（范本原文）</w:t>
      </w:r>
      <w:bookmarkEnd w:id="28"/>
      <w:bookmarkEnd w:id="29"/>
      <w:bookmarkEnd w:id="30"/>
      <w:bookmarkEnd w:id="31"/>
      <w:bookmarkEnd w:id="32"/>
      <w:bookmarkEnd w:id="33"/>
      <w:bookmarkEnd w:id="34"/>
    </w:p>
    <w:p w14:paraId="5CB3CA4F">
      <w:pPr>
        <w:rPr>
          <w:rFonts w:hint="eastAsia" w:ascii="宋体" w:hAnsi="宋体" w:cs="宋体"/>
          <w:color w:val="auto"/>
          <w:sz w:val="24"/>
          <w:szCs w:val="24"/>
          <w:highlight w:val="none"/>
        </w:rPr>
      </w:pPr>
    </w:p>
    <w:p w14:paraId="017504C5">
      <w:pPr>
        <w:spacing w:line="360" w:lineRule="auto"/>
        <w:ind w:left="824" w:hanging="824" w:hangingChars="342"/>
        <w:rPr>
          <w:rFonts w:hint="eastAsia" w:ascii="宋体" w:hAnsi="宋体" w:cs="宋体"/>
          <w:b/>
          <w:color w:val="auto"/>
          <w:sz w:val="24"/>
          <w:szCs w:val="24"/>
          <w:highlight w:val="none"/>
        </w:rPr>
      </w:pPr>
      <w:bookmarkStart w:id="35" w:name="_Toc5748"/>
      <w:bookmarkStart w:id="36" w:name="_Toc22981"/>
      <w:bookmarkStart w:id="37" w:name="_Toc18483"/>
      <w:bookmarkStart w:id="38" w:name="_Toc1243"/>
      <w:r>
        <w:rPr>
          <w:rFonts w:hint="eastAsia" w:ascii="宋体" w:hAnsi="宋体" w:cs="宋体"/>
          <w:b/>
          <w:color w:val="auto"/>
          <w:sz w:val="24"/>
          <w:szCs w:val="24"/>
          <w:highlight w:val="none"/>
        </w:rPr>
        <w:t>2.1    释义</w:t>
      </w:r>
      <w:bookmarkEnd w:id="35"/>
      <w:bookmarkEnd w:id="36"/>
      <w:bookmarkEnd w:id="37"/>
      <w:bookmarkEnd w:id="38"/>
    </w:p>
    <w:p w14:paraId="286A663B">
      <w:pPr>
        <w:spacing w:line="360" w:lineRule="auto"/>
        <w:ind w:left="821" w:hanging="820" w:hangingChars="342"/>
        <w:rPr>
          <w:rFonts w:hint="eastAsia" w:ascii="宋体" w:hAnsi="宋体" w:cs="宋体"/>
          <w:color w:val="auto"/>
          <w:sz w:val="24"/>
          <w:szCs w:val="24"/>
          <w:highlight w:val="none"/>
        </w:rPr>
      </w:pPr>
    </w:p>
    <w:p w14:paraId="563347CB">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2.1.3  “招标”是指发包人通过建设工程的勘察、初步设计等方案招标，将工程相应的任务发包给符合勘察初步设计资质条件的建设工程承包单位的行为。</w:t>
      </w:r>
    </w:p>
    <w:p w14:paraId="4686EC27">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2.1.4  “招标人”是指提出招标项目、进行招标的法人或者其他组织。</w:t>
      </w:r>
    </w:p>
    <w:p w14:paraId="6C41E429">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2.1.6  “投标人”是指响应招标、参加投标竞争的法人或者其他组织。</w:t>
      </w:r>
    </w:p>
    <w:p w14:paraId="7114E122">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2.1.7  “监督机构”是指招标活动的监督机构。</w:t>
      </w:r>
    </w:p>
    <w:p w14:paraId="4670AC95">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2.1.8 “招标管理机构”是指受监督机构委托管理招标活动的机构。</w:t>
      </w:r>
    </w:p>
    <w:p w14:paraId="11C7E8CF">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hint="eastAsia" w:ascii="宋体" w:hAnsi="宋体" w:cs="宋体"/>
          <w:color w:val="auto"/>
          <w:sz w:val="24"/>
          <w:szCs w:val="24"/>
          <w:highlight w:val="none"/>
        </w:rPr>
      </w:pPr>
    </w:p>
    <w:p w14:paraId="272231C8">
      <w:pPr>
        <w:spacing w:line="360" w:lineRule="auto"/>
        <w:jc w:val="left"/>
        <w:rPr>
          <w:rFonts w:hint="eastAsia" w:ascii="宋体" w:hAnsi="宋体" w:cs="宋体"/>
          <w:b/>
          <w:color w:val="auto"/>
          <w:sz w:val="24"/>
          <w:szCs w:val="24"/>
          <w:highlight w:val="none"/>
        </w:rPr>
      </w:pPr>
      <w:bookmarkStart w:id="39" w:name="_Toc20614"/>
      <w:bookmarkStart w:id="40" w:name="_Toc5747"/>
      <w:bookmarkStart w:id="41" w:name="_Toc23164"/>
      <w:bookmarkStart w:id="42" w:name="_Toc25233"/>
      <w:r>
        <w:rPr>
          <w:rFonts w:hint="eastAsia" w:ascii="宋体" w:hAnsi="宋体" w:cs="宋体"/>
          <w:b/>
          <w:color w:val="auto"/>
          <w:sz w:val="24"/>
          <w:szCs w:val="24"/>
          <w:highlight w:val="none"/>
        </w:rPr>
        <w:t>2.2    免责条款</w:t>
      </w:r>
      <w:bookmarkEnd w:id="39"/>
      <w:bookmarkEnd w:id="40"/>
      <w:bookmarkEnd w:id="41"/>
      <w:bookmarkEnd w:id="42"/>
    </w:p>
    <w:p w14:paraId="16F43109">
      <w:pPr>
        <w:spacing w:line="360" w:lineRule="auto"/>
        <w:rPr>
          <w:rFonts w:hint="eastAsia" w:ascii="宋体" w:hAnsi="宋体" w:cs="宋体"/>
          <w:color w:val="auto"/>
          <w:sz w:val="24"/>
          <w:szCs w:val="24"/>
          <w:highlight w:val="none"/>
        </w:rPr>
      </w:pPr>
    </w:p>
    <w:p w14:paraId="640612FD">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hint="eastAsia" w:ascii="宋体" w:hAnsi="宋体" w:cs="宋体"/>
          <w:color w:val="auto"/>
          <w:sz w:val="24"/>
          <w:szCs w:val="24"/>
          <w:highlight w:val="none"/>
        </w:rPr>
      </w:pPr>
    </w:p>
    <w:p w14:paraId="0FCE1476">
      <w:pPr>
        <w:spacing w:line="360" w:lineRule="auto"/>
        <w:rPr>
          <w:rFonts w:hint="eastAsia" w:ascii="宋体" w:hAnsi="宋体" w:cs="宋体"/>
          <w:b/>
          <w:color w:val="auto"/>
          <w:sz w:val="24"/>
          <w:szCs w:val="24"/>
          <w:highlight w:val="none"/>
        </w:rPr>
      </w:pPr>
      <w:bookmarkStart w:id="43" w:name="_Toc693"/>
      <w:bookmarkStart w:id="44" w:name="_Toc3210"/>
      <w:bookmarkStart w:id="45" w:name="_Toc21131"/>
      <w:bookmarkStart w:id="46" w:name="_Toc10380"/>
      <w:r>
        <w:rPr>
          <w:rFonts w:hint="eastAsia" w:ascii="宋体" w:hAnsi="宋体" w:cs="宋体"/>
          <w:b/>
          <w:color w:val="auto"/>
          <w:sz w:val="24"/>
          <w:szCs w:val="24"/>
          <w:highlight w:val="none"/>
        </w:rPr>
        <w:t>2.3    招标文件效力</w:t>
      </w:r>
      <w:bookmarkEnd w:id="43"/>
      <w:bookmarkEnd w:id="44"/>
      <w:bookmarkEnd w:id="45"/>
      <w:bookmarkEnd w:id="46"/>
    </w:p>
    <w:p w14:paraId="54F0DB6C">
      <w:pPr>
        <w:spacing w:line="360" w:lineRule="auto"/>
        <w:rPr>
          <w:rFonts w:hint="eastAsia" w:ascii="宋体" w:hAnsi="宋体" w:cs="宋体"/>
          <w:color w:val="auto"/>
          <w:sz w:val="24"/>
          <w:szCs w:val="24"/>
          <w:highlight w:val="none"/>
        </w:rPr>
      </w:pPr>
    </w:p>
    <w:p w14:paraId="1D0D6FC4">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rPr>
          <w:rFonts w:hint="eastAsia" w:ascii="宋体" w:hAnsi="宋体" w:cs="宋体"/>
          <w:bCs/>
          <w:color w:val="auto"/>
          <w:kern w:val="44"/>
          <w:sz w:val="24"/>
          <w:szCs w:val="24"/>
          <w:highlight w:val="none"/>
        </w:rPr>
      </w:pPr>
      <w:r>
        <w:rPr>
          <w:rFonts w:hint="eastAsia" w:ascii="宋体" w:hAnsi="宋体" w:cs="宋体"/>
          <w:b/>
          <w:color w:val="auto"/>
          <w:kern w:val="44"/>
          <w:sz w:val="24"/>
          <w:szCs w:val="24"/>
          <w:highlight w:val="none"/>
        </w:rPr>
        <w:br w:type="page"/>
      </w:r>
      <w:bookmarkStart w:id="47" w:name="_Toc143817035"/>
      <w:bookmarkStart w:id="48" w:name="_Toc7419"/>
      <w:bookmarkStart w:id="49" w:name="_Toc28986"/>
      <w:r>
        <w:rPr>
          <w:rFonts w:hint="eastAsia" w:ascii="宋体" w:hAnsi="宋体" w:cs="宋体"/>
          <w:b/>
          <w:color w:val="auto"/>
          <w:kern w:val="44"/>
          <w:sz w:val="36"/>
          <w:szCs w:val="36"/>
          <w:highlight w:val="none"/>
        </w:rPr>
        <w:t>第三章</w:t>
      </w:r>
      <w:bookmarkEnd w:id="47"/>
      <w:r>
        <w:rPr>
          <w:rFonts w:hint="eastAsia" w:ascii="宋体" w:hAnsi="宋体" w:cs="宋体"/>
          <w:b/>
          <w:color w:val="auto"/>
          <w:kern w:val="44"/>
          <w:sz w:val="36"/>
          <w:szCs w:val="36"/>
          <w:highlight w:val="none"/>
        </w:rPr>
        <w:t xml:space="preserve">  投标</w:t>
      </w:r>
      <w:r>
        <w:rPr>
          <w:rFonts w:hint="eastAsia" w:ascii="宋体" w:hAnsi="宋体" w:cs="宋体"/>
          <w:b/>
          <w:color w:val="auto"/>
          <w:kern w:val="44"/>
          <w:sz w:val="36"/>
          <w:szCs w:val="36"/>
          <w:highlight w:val="none"/>
          <w:u w:val="single"/>
        </w:rPr>
        <w:t>（范本原文）</w:t>
      </w:r>
      <w:bookmarkEnd w:id="48"/>
      <w:bookmarkEnd w:id="49"/>
    </w:p>
    <w:p w14:paraId="4BD59D28">
      <w:pPr>
        <w:spacing w:line="360" w:lineRule="auto"/>
        <w:ind w:left="850" w:hanging="849" w:hangingChars="354"/>
        <w:rPr>
          <w:rFonts w:hint="eastAsia" w:ascii="宋体" w:hAnsi="宋体" w:cs="宋体"/>
          <w:color w:val="auto"/>
          <w:sz w:val="24"/>
          <w:szCs w:val="24"/>
          <w:highlight w:val="none"/>
        </w:rPr>
      </w:pPr>
    </w:p>
    <w:p w14:paraId="18901517">
      <w:pPr>
        <w:spacing w:line="360" w:lineRule="auto"/>
        <w:ind w:left="853" w:hanging="853" w:hangingChars="354"/>
        <w:jc w:val="left"/>
        <w:rPr>
          <w:rFonts w:hint="eastAsia" w:ascii="宋体" w:hAnsi="宋体" w:cs="宋体"/>
          <w:b/>
          <w:color w:val="auto"/>
          <w:sz w:val="24"/>
          <w:szCs w:val="24"/>
          <w:highlight w:val="none"/>
        </w:rPr>
      </w:pPr>
      <w:bookmarkStart w:id="50" w:name="_Toc27524"/>
      <w:bookmarkStart w:id="51" w:name="_Toc11308"/>
      <w:bookmarkStart w:id="52" w:name="_Toc23703"/>
      <w:bookmarkStart w:id="53" w:name="_Toc32"/>
      <w:r>
        <w:rPr>
          <w:rFonts w:hint="eastAsia" w:ascii="宋体" w:hAnsi="宋体" w:cs="宋体"/>
          <w:b/>
          <w:color w:val="auto"/>
          <w:sz w:val="24"/>
          <w:szCs w:val="24"/>
          <w:highlight w:val="none"/>
        </w:rPr>
        <w:t>3.1    现场考察</w:t>
      </w:r>
      <w:bookmarkEnd w:id="50"/>
      <w:bookmarkEnd w:id="51"/>
      <w:bookmarkEnd w:id="52"/>
      <w:bookmarkEnd w:id="53"/>
    </w:p>
    <w:p w14:paraId="0BCD19AC">
      <w:pPr>
        <w:spacing w:line="360" w:lineRule="auto"/>
        <w:ind w:left="850" w:hanging="849" w:hangingChars="354"/>
        <w:jc w:val="left"/>
        <w:rPr>
          <w:rFonts w:hint="eastAsia" w:ascii="宋体" w:hAnsi="宋体" w:cs="宋体"/>
          <w:color w:val="auto"/>
          <w:sz w:val="24"/>
          <w:szCs w:val="24"/>
          <w:highlight w:val="none"/>
        </w:rPr>
      </w:pPr>
    </w:p>
    <w:p w14:paraId="404A9AA4">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hint="eastAsia" w:ascii="宋体" w:hAnsi="宋体" w:cs="宋体"/>
          <w:color w:val="auto"/>
          <w:sz w:val="24"/>
          <w:szCs w:val="24"/>
          <w:highlight w:val="none"/>
        </w:rPr>
      </w:pPr>
    </w:p>
    <w:p w14:paraId="2AA846D4">
      <w:pPr>
        <w:spacing w:line="360" w:lineRule="auto"/>
        <w:ind w:left="853" w:hanging="853" w:hangingChars="354"/>
        <w:rPr>
          <w:rFonts w:hint="eastAsia" w:ascii="宋体" w:hAnsi="宋体" w:cs="宋体"/>
          <w:color w:val="auto"/>
          <w:sz w:val="24"/>
          <w:szCs w:val="24"/>
          <w:highlight w:val="none"/>
        </w:rPr>
      </w:pPr>
      <w:bookmarkStart w:id="54" w:name="_Toc13532"/>
      <w:bookmarkStart w:id="55" w:name="_Toc30932"/>
      <w:bookmarkStart w:id="56" w:name="_Toc20404"/>
      <w:bookmarkStart w:id="57" w:name="_Toc10719"/>
      <w:r>
        <w:rPr>
          <w:rFonts w:hint="eastAsia" w:ascii="宋体" w:hAnsi="宋体" w:cs="宋体"/>
          <w:b/>
          <w:color w:val="auto"/>
          <w:sz w:val="24"/>
          <w:szCs w:val="24"/>
          <w:highlight w:val="none"/>
        </w:rPr>
        <w:t>3.2    质疑和澄清</w:t>
      </w:r>
      <w:bookmarkEnd w:id="54"/>
      <w:bookmarkEnd w:id="55"/>
      <w:bookmarkEnd w:id="56"/>
      <w:bookmarkEnd w:id="57"/>
    </w:p>
    <w:p w14:paraId="12106CB7">
      <w:pPr>
        <w:spacing w:line="360" w:lineRule="auto"/>
        <w:ind w:left="850" w:hanging="849" w:hangingChars="354"/>
        <w:jc w:val="left"/>
        <w:rPr>
          <w:rFonts w:hint="eastAsia" w:ascii="宋体" w:hAnsi="宋体" w:cs="宋体"/>
          <w:color w:val="auto"/>
          <w:sz w:val="24"/>
          <w:szCs w:val="24"/>
          <w:highlight w:val="none"/>
        </w:rPr>
      </w:pPr>
    </w:p>
    <w:p w14:paraId="69662CCA">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3.2.5  网上答疑的具体操作详见交易平台发布的相关操作指引。</w:t>
      </w:r>
    </w:p>
    <w:p w14:paraId="3AA7BC00">
      <w:pPr>
        <w:spacing w:line="360" w:lineRule="auto"/>
        <w:ind w:left="850" w:hanging="849" w:hangingChars="354"/>
        <w:rPr>
          <w:rFonts w:hint="eastAsia" w:ascii="宋体" w:hAnsi="宋体" w:cs="宋体"/>
          <w:color w:val="auto"/>
          <w:sz w:val="24"/>
          <w:szCs w:val="24"/>
          <w:highlight w:val="none"/>
        </w:rPr>
      </w:pPr>
    </w:p>
    <w:p w14:paraId="278FEEAA">
      <w:pPr>
        <w:spacing w:line="360" w:lineRule="auto"/>
        <w:ind w:left="853" w:hanging="853" w:hangingChars="354"/>
        <w:rPr>
          <w:rFonts w:hint="eastAsia" w:ascii="宋体" w:hAnsi="宋体" w:cs="宋体"/>
          <w:color w:val="auto"/>
          <w:sz w:val="24"/>
          <w:szCs w:val="24"/>
          <w:highlight w:val="none"/>
        </w:rPr>
      </w:pPr>
      <w:bookmarkStart w:id="58" w:name="_Toc10366"/>
      <w:bookmarkStart w:id="59" w:name="_Toc7883"/>
      <w:bookmarkStart w:id="60" w:name="_Toc1659"/>
      <w:bookmarkStart w:id="61" w:name="_Toc24576"/>
      <w:r>
        <w:rPr>
          <w:rFonts w:hint="eastAsia" w:ascii="宋体" w:hAnsi="宋体" w:cs="宋体"/>
          <w:b/>
          <w:color w:val="auto"/>
          <w:sz w:val="24"/>
          <w:szCs w:val="24"/>
          <w:highlight w:val="none"/>
        </w:rPr>
        <w:t>3.3    投标文件编制要求</w:t>
      </w:r>
      <w:bookmarkEnd w:id="58"/>
      <w:bookmarkEnd w:id="59"/>
      <w:bookmarkEnd w:id="60"/>
      <w:bookmarkEnd w:id="61"/>
    </w:p>
    <w:p w14:paraId="042BC8E3">
      <w:pPr>
        <w:spacing w:line="360" w:lineRule="auto"/>
        <w:ind w:left="850" w:hanging="849" w:hangingChars="354"/>
        <w:rPr>
          <w:rFonts w:hint="eastAsia" w:ascii="宋体" w:hAnsi="宋体" w:cs="宋体"/>
          <w:color w:val="auto"/>
          <w:sz w:val="24"/>
          <w:szCs w:val="24"/>
          <w:highlight w:val="none"/>
        </w:rPr>
      </w:pPr>
    </w:p>
    <w:p w14:paraId="2488A5A2">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3.3.4  投标文件加密要求</w:t>
      </w:r>
    </w:p>
    <w:p w14:paraId="09E2BDF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3.3.4.2 未按要求加密的投标文件，交易平台将予以拒收。</w:t>
      </w:r>
    </w:p>
    <w:p w14:paraId="5552500A">
      <w:pPr>
        <w:spacing w:line="360" w:lineRule="auto"/>
        <w:ind w:left="850" w:hanging="849" w:hangingChars="354"/>
        <w:rPr>
          <w:rFonts w:hint="eastAsia" w:ascii="宋体" w:hAnsi="宋体" w:cs="宋体"/>
          <w:color w:val="auto"/>
          <w:sz w:val="24"/>
          <w:szCs w:val="24"/>
          <w:highlight w:val="none"/>
        </w:rPr>
      </w:pPr>
    </w:p>
    <w:p w14:paraId="379BB768">
      <w:pPr>
        <w:spacing w:line="360" w:lineRule="auto"/>
        <w:ind w:left="853" w:hanging="853" w:hangingChars="354"/>
        <w:rPr>
          <w:rFonts w:hint="eastAsia" w:ascii="宋体" w:hAnsi="宋体" w:cs="宋体"/>
          <w:b/>
          <w:color w:val="auto"/>
          <w:kern w:val="0"/>
          <w:sz w:val="24"/>
          <w:szCs w:val="24"/>
          <w:highlight w:val="none"/>
        </w:rPr>
      </w:pPr>
      <w:bookmarkStart w:id="62" w:name="_Toc28600"/>
      <w:bookmarkStart w:id="63" w:name="_Toc32765"/>
      <w:bookmarkStart w:id="64" w:name="_Toc15329"/>
      <w:bookmarkStart w:id="65" w:name="_Toc26285"/>
      <w:r>
        <w:rPr>
          <w:rFonts w:hint="eastAsia" w:ascii="宋体" w:hAnsi="宋体" w:cs="宋体"/>
          <w:b/>
          <w:color w:val="auto"/>
          <w:kern w:val="0"/>
          <w:sz w:val="24"/>
          <w:szCs w:val="24"/>
          <w:highlight w:val="none"/>
        </w:rPr>
        <w:t>3.4    延期</w:t>
      </w:r>
      <w:bookmarkEnd w:id="62"/>
      <w:bookmarkEnd w:id="63"/>
      <w:bookmarkEnd w:id="64"/>
      <w:bookmarkEnd w:id="65"/>
    </w:p>
    <w:p w14:paraId="0B240B70">
      <w:pPr>
        <w:spacing w:line="360" w:lineRule="auto"/>
        <w:ind w:left="850" w:hanging="849" w:hangingChars="354"/>
        <w:rPr>
          <w:rFonts w:hint="eastAsia" w:ascii="宋体" w:hAnsi="宋体" w:cs="宋体"/>
          <w:color w:val="auto"/>
          <w:sz w:val="24"/>
          <w:szCs w:val="24"/>
          <w:highlight w:val="none"/>
        </w:rPr>
      </w:pPr>
    </w:p>
    <w:p w14:paraId="3E069E7D">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3.4.2  为使投标人在编制投标文件时把</w:t>
      </w:r>
      <w:r>
        <w:rPr>
          <w:rFonts w:hint="eastAsia" w:ascii="宋体" w:hAnsi="宋体" w:cs="宋体"/>
          <w:color w:val="auto"/>
          <w:kern w:val="0"/>
          <w:sz w:val="24"/>
          <w:szCs w:val="24"/>
          <w:highlight w:val="none"/>
        </w:rPr>
        <w:t>招标人对招标文件的澄清、修改和</w:t>
      </w:r>
      <w:r>
        <w:rPr>
          <w:rFonts w:hint="eastAsia" w:ascii="宋体" w:hAnsi="宋体" w:cs="宋体"/>
          <w:color w:val="auto"/>
          <w:sz w:val="24"/>
          <w:szCs w:val="24"/>
          <w:highlight w:val="none"/>
        </w:rPr>
        <w:t>补充内容考虑进去，招标人可以酌情延长提交投标文件的截止日期。</w:t>
      </w:r>
    </w:p>
    <w:p w14:paraId="3B9FF55C">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hint="eastAsia" w:ascii="宋体" w:hAnsi="宋体" w:cs="宋体"/>
          <w:color w:val="auto"/>
          <w:sz w:val="24"/>
          <w:szCs w:val="24"/>
          <w:highlight w:val="none"/>
        </w:rPr>
      </w:pPr>
    </w:p>
    <w:p w14:paraId="4732CB05">
      <w:pPr>
        <w:spacing w:line="360" w:lineRule="auto"/>
        <w:ind w:left="853" w:hanging="853" w:hangingChars="354"/>
        <w:rPr>
          <w:rFonts w:hint="eastAsia" w:ascii="宋体" w:hAnsi="宋体" w:cs="宋体"/>
          <w:b/>
          <w:color w:val="auto"/>
          <w:sz w:val="24"/>
          <w:szCs w:val="24"/>
          <w:highlight w:val="none"/>
        </w:rPr>
      </w:pPr>
      <w:bookmarkStart w:id="66" w:name="_Toc1430"/>
      <w:bookmarkStart w:id="67" w:name="_Toc3940"/>
      <w:bookmarkStart w:id="68" w:name="_Toc23146"/>
      <w:bookmarkStart w:id="69" w:name="_Toc3482"/>
      <w:r>
        <w:rPr>
          <w:rFonts w:hint="eastAsia" w:ascii="宋体" w:hAnsi="宋体" w:cs="宋体"/>
          <w:b/>
          <w:color w:val="auto"/>
          <w:sz w:val="24"/>
          <w:szCs w:val="24"/>
          <w:highlight w:val="none"/>
        </w:rPr>
        <w:t>3.5    投标时间</w:t>
      </w:r>
      <w:bookmarkEnd w:id="66"/>
      <w:bookmarkEnd w:id="67"/>
      <w:bookmarkEnd w:id="68"/>
      <w:bookmarkEnd w:id="69"/>
    </w:p>
    <w:p w14:paraId="354882B6">
      <w:pPr>
        <w:spacing w:line="360" w:lineRule="auto"/>
        <w:ind w:left="850" w:hanging="849" w:hangingChars="354"/>
        <w:rPr>
          <w:rFonts w:hint="eastAsia" w:ascii="宋体" w:hAnsi="宋体" w:cs="宋体"/>
          <w:color w:val="auto"/>
          <w:sz w:val="24"/>
          <w:szCs w:val="24"/>
          <w:highlight w:val="none"/>
        </w:rPr>
      </w:pPr>
    </w:p>
    <w:p w14:paraId="08057156">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3.5.1  投标截止时间自本工程招标公告发布之日起计。</w:t>
      </w:r>
    </w:p>
    <w:p w14:paraId="6EE41712">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hint="eastAsia" w:ascii="宋体" w:hAnsi="宋体" w:cs="宋体"/>
          <w:color w:val="auto"/>
          <w:sz w:val="24"/>
          <w:szCs w:val="24"/>
          <w:highlight w:val="none"/>
        </w:rPr>
      </w:pPr>
    </w:p>
    <w:p w14:paraId="528DA4FF">
      <w:pPr>
        <w:spacing w:line="360" w:lineRule="auto"/>
        <w:ind w:left="853" w:hanging="853" w:hangingChars="354"/>
        <w:rPr>
          <w:rFonts w:hint="eastAsia" w:ascii="宋体" w:hAnsi="宋体" w:cs="宋体"/>
          <w:b/>
          <w:color w:val="auto"/>
          <w:sz w:val="24"/>
          <w:szCs w:val="24"/>
          <w:highlight w:val="none"/>
        </w:rPr>
      </w:pPr>
      <w:bookmarkStart w:id="70" w:name="_Toc19353"/>
      <w:bookmarkStart w:id="71" w:name="_Toc23473"/>
      <w:bookmarkStart w:id="72" w:name="_Toc7939"/>
      <w:bookmarkStart w:id="73" w:name="_Toc11547"/>
      <w:r>
        <w:rPr>
          <w:rFonts w:hint="eastAsia" w:ascii="宋体" w:hAnsi="宋体" w:cs="宋体"/>
          <w:b/>
          <w:color w:val="auto"/>
          <w:sz w:val="24"/>
          <w:szCs w:val="24"/>
          <w:highlight w:val="none"/>
        </w:rPr>
        <w:t>3.6    投标文件的递交和接受</w:t>
      </w:r>
      <w:bookmarkEnd w:id="70"/>
      <w:bookmarkEnd w:id="71"/>
      <w:bookmarkEnd w:id="72"/>
      <w:bookmarkEnd w:id="73"/>
    </w:p>
    <w:p w14:paraId="206BB41A">
      <w:pPr>
        <w:spacing w:line="360" w:lineRule="auto"/>
        <w:ind w:left="850" w:hanging="849" w:hangingChars="354"/>
        <w:rPr>
          <w:rFonts w:hint="eastAsia" w:ascii="宋体" w:hAnsi="宋体" w:cs="宋体"/>
          <w:color w:val="auto"/>
          <w:sz w:val="24"/>
          <w:szCs w:val="24"/>
          <w:highlight w:val="none"/>
        </w:rPr>
      </w:pPr>
    </w:p>
    <w:p w14:paraId="54817B49">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3.6.4  逾期送达的投标文件，交易平台将予以拒收。</w:t>
      </w:r>
    </w:p>
    <w:p w14:paraId="48C6FDEA">
      <w:pPr>
        <w:spacing w:line="360" w:lineRule="auto"/>
        <w:ind w:left="850" w:hanging="849" w:hangingChars="354"/>
        <w:jc w:val="left"/>
        <w:rPr>
          <w:rFonts w:hint="eastAsia" w:ascii="宋体" w:hAnsi="宋体" w:cs="宋体"/>
          <w:color w:val="auto"/>
          <w:sz w:val="24"/>
          <w:szCs w:val="24"/>
          <w:highlight w:val="none"/>
        </w:rPr>
      </w:pPr>
    </w:p>
    <w:p w14:paraId="263ABD6C">
      <w:pPr>
        <w:spacing w:line="360" w:lineRule="auto"/>
        <w:ind w:left="853" w:hanging="853" w:hangingChars="354"/>
        <w:jc w:val="left"/>
        <w:rPr>
          <w:rFonts w:hint="eastAsia" w:ascii="宋体" w:hAnsi="宋体" w:cs="宋体"/>
          <w:b/>
          <w:color w:val="auto"/>
          <w:sz w:val="24"/>
          <w:szCs w:val="24"/>
          <w:highlight w:val="none"/>
        </w:rPr>
      </w:pPr>
      <w:bookmarkStart w:id="74" w:name="_Toc11541"/>
      <w:bookmarkStart w:id="75" w:name="_Toc7846"/>
      <w:bookmarkStart w:id="76" w:name="_Toc12731"/>
      <w:bookmarkStart w:id="77" w:name="_Toc28962"/>
      <w:r>
        <w:rPr>
          <w:rFonts w:hint="eastAsia" w:ascii="宋体" w:hAnsi="宋体" w:cs="宋体"/>
          <w:b/>
          <w:color w:val="auto"/>
          <w:sz w:val="24"/>
          <w:szCs w:val="24"/>
          <w:highlight w:val="none"/>
        </w:rPr>
        <w:t>3.7    投标文件的修改与撤回</w:t>
      </w:r>
      <w:bookmarkEnd w:id="74"/>
      <w:bookmarkEnd w:id="75"/>
      <w:bookmarkEnd w:id="76"/>
      <w:bookmarkEnd w:id="77"/>
    </w:p>
    <w:p w14:paraId="5AC3026A">
      <w:pPr>
        <w:spacing w:line="360" w:lineRule="auto"/>
        <w:ind w:left="853" w:hanging="853" w:hangingChars="354"/>
        <w:jc w:val="left"/>
        <w:rPr>
          <w:rFonts w:hint="eastAsia" w:ascii="宋体" w:hAnsi="宋体" w:cs="宋体"/>
          <w:b/>
          <w:color w:val="auto"/>
          <w:sz w:val="24"/>
          <w:szCs w:val="24"/>
          <w:highlight w:val="none"/>
        </w:rPr>
      </w:pPr>
    </w:p>
    <w:p w14:paraId="35AD0E5B">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3.7.3  修改后再次递交的，按3.6的规定执行。</w:t>
      </w:r>
    </w:p>
    <w:p w14:paraId="5C54F0E3">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hint="eastAsia" w:ascii="宋体" w:hAnsi="宋体" w:cs="宋体"/>
          <w:color w:val="auto"/>
          <w:sz w:val="24"/>
          <w:szCs w:val="24"/>
          <w:highlight w:val="none"/>
        </w:rPr>
      </w:pPr>
    </w:p>
    <w:p w14:paraId="02132581">
      <w:pPr>
        <w:spacing w:line="360" w:lineRule="auto"/>
        <w:ind w:left="853" w:hanging="853" w:hangingChars="354"/>
        <w:jc w:val="left"/>
        <w:rPr>
          <w:rFonts w:hint="eastAsia" w:ascii="宋体" w:hAnsi="宋体" w:cs="宋体"/>
          <w:b/>
          <w:color w:val="auto"/>
          <w:sz w:val="24"/>
          <w:szCs w:val="24"/>
          <w:highlight w:val="none"/>
        </w:rPr>
      </w:pPr>
      <w:bookmarkStart w:id="78" w:name="_Toc22588"/>
      <w:bookmarkStart w:id="79" w:name="_Toc17008"/>
      <w:bookmarkStart w:id="80" w:name="_Toc13727"/>
      <w:bookmarkStart w:id="81" w:name="_Toc2740"/>
      <w:r>
        <w:rPr>
          <w:rFonts w:hint="eastAsia" w:ascii="宋体" w:hAnsi="宋体" w:cs="宋体"/>
          <w:b/>
          <w:color w:val="auto"/>
          <w:sz w:val="24"/>
          <w:szCs w:val="24"/>
          <w:highlight w:val="none"/>
        </w:rPr>
        <w:t>3.8    电子招标投标解密失败及突发状况的补救</w:t>
      </w:r>
      <w:bookmarkEnd w:id="78"/>
      <w:bookmarkEnd w:id="79"/>
      <w:bookmarkEnd w:id="80"/>
      <w:bookmarkEnd w:id="81"/>
    </w:p>
    <w:p w14:paraId="09C266C6">
      <w:pPr>
        <w:spacing w:line="360" w:lineRule="auto"/>
        <w:ind w:left="853" w:hanging="853" w:hangingChars="354"/>
        <w:jc w:val="left"/>
        <w:rPr>
          <w:rFonts w:hint="eastAsia" w:ascii="宋体" w:hAnsi="宋体" w:cs="宋体"/>
          <w:b/>
          <w:color w:val="auto"/>
          <w:sz w:val="24"/>
          <w:szCs w:val="24"/>
          <w:highlight w:val="none"/>
        </w:rPr>
      </w:pPr>
    </w:p>
    <w:p w14:paraId="223CEEFD">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3.8.1  提交投标文件光盘备用</w:t>
      </w:r>
    </w:p>
    <w:p w14:paraId="4CE5A6F0">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3.8.2  补救方案</w:t>
      </w:r>
    </w:p>
    <w:p w14:paraId="27420D0C">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hint="eastAsia" w:ascii="宋体" w:hAnsi="宋体" w:cs="宋体"/>
          <w:color w:val="auto"/>
          <w:sz w:val="24"/>
          <w:szCs w:val="24"/>
          <w:highlight w:val="none"/>
        </w:rPr>
      </w:pPr>
    </w:p>
    <w:p w14:paraId="1A367A18">
      <w:pPr>
        <w:spacing w:line="360" w:lineRule="auto"/>
        <w:ind w:left="853" w:hanging="853" w:hangingChars="354"/>
        <w:rPr>
          <w:rFonts w:hint="eastAsia" w:ascii="宋体" w:hAnsi="宋体" w:cs="宋体"/>
          <w:b/>
          <w:color w:val="auto"/>
          <w:sz w:val="24"/>
          <w:szCs w:val="24"/>
          <w:highlight w:val="none"/>
        </w:rPr>
      </w:pPr>
      <w:bookmarkStart w:id="82" w:name="_Toc2093"/>
      <w:bookmarkStart w:id="83" w:name="_Toc22219"/>
      <w:bookmarkStart w:id="84" w:name="_Toc7091"/>
      <w:bookmarkStart w:id="85" w:name="_Toc5497"/>
      <w:r>
        <w:rPr>
          <w:rFonts w:hint="eastAsia" w:ascii="宋体" w:hAnsi="宋体" w:cs="宋体"/>
          <w:b/>
          <w:color w:val="auto"/>
          <w:sz w:val="24"/>
          <w:szCs w:val="24"/>
          <w:highlight w:val="none"/>
        </w:rPr>
        <w:t>3.9    开标及投标文件编号</w:t>
      </w:r>
      <w:bookmarkEnd w:id="82"/>
      <w:bookmarkEnd w:id="83"/>
      <w:bookmarkEnd w:id="84"/>
      <w:bookmarkEnd w:id="85"/>
    </w:p>
    <w:p w14:paraId="677BD57A">
      <w:pPr>
        <w:spacing w:line="360" w:lineRule="auto"/>
        <w:ind w:left="850" w:hanging="849" w:hangingChars="354"/>
        <w:jc w:val="left"/>
        <w:rPr>
          <w:rFonts w:hint="eastAsia" w:ascii="宋体" w:hAnsi="宋体" w:cs="宋体"/>
          <w:color w:val="auto"/>
          <w:sz w:val="24"/>
          <w:szCs w:val="24"/>
          <w:highlight w:val="none"/>
        </w:rPr>
      </w:pPr>
    </w:p>
    <w:p w14:paraId="272279D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3.9.3  备用光盘的读取按3.8.2的规定执行。</w:t>
      </w:r>
    </w:p>
    <w:p w14:paraId="51FC859D">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hint="eastAsia" w:ascii="宋体" w:hAnsi="宋体" w:cs="宋体"/>
          <w:color w:val="auto"/>
          <w:sz w:val="24"/>
          <w:szCs w:val="24"/>
          <w:highlight w:val="none"/>
        </w:rPr>
      </w:pPr>
    </w:p>
    <w:p w14:paraId="0D52A5F7">
      <w:pPr>
        <w:spacing w:line="360" w:lineRule="auto"/>
        <w:ind w:left="853" w:hanging="853" w:hangingChars="354"/>
        <w:rPr>
          <w:rFonts w:hint="eastAsia" w:ascii="宋体" w:hAnsi="宋体" w:cs="宋体"/>
          <w:b/>
          <w:color w:val="auto"/>
          <w:sz w:val="24"/>
          <w:szCs w:val="24"/>
          <w:highlight w:val="none"/>
        </w:rPr>
      </w:pPr>
      <w:bookmarkStart w:id="86" w:name="_Toc4011"/>
      <w:bookmarkStart w:id="87" w:name="_Toc28701"/>
      <w:bookmarkStart w:id="88" w:name="_Toc12218"/>
      <w:bookmarkStart w:id="89" w:name="_Toc5486"/>
      <w:r>
        <w:rPr>
          <w:rFonts w:hint="eastAsia" w:ascii="宋体" w:hAnsi="宋体" w:cs="宋体"/>
          <w:b/>
          <w:color w:val="auto"/>
          <w:sz w:val="24"/>
          <w:szCs w:val="24"/>
          <w:highlight w:val="none"/>
        </w:rPr>
        <w:t>3.10   投标保证</w:t>
      </w:r>
      <w:bookmarkEnd w:id="86"/>
      <w:bookmarkEnd w:id="87"/>
      <w:bookmarkEnd w:id="88"/>
      <w:bookmarkEnd w:id="89"/>
    </w:p>
    <w:p w14:paraId="48F20D10">
      <w:pPr>
        <w:spacing w:line="360" w:lineRule="auto"/>
        <w:ind w:left="850" w:hanging="849" w:hangingChars="354"/>
        <w:rPr>
          <w:rFonts w:hint="eastAsia" w:ascii="宋体" w:hAnsi="宋体" w:cs="宋体"/>
          <w:color w:val="auto"/>
          <w:sz w:val="24"/>
          <w:szCs w:val="24"/>
          <w:highlight w:val="none"/>
        </w:rPr>
      </w:pPr>
    </w:p>
    <w:p w14:paraId="36F084BC">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3.10.2 </w:t>
      </w:r>
      <w:r>
        <w:rPr>
          <w:rFonts w:hint="eastAsia" w:ascii="宋体" w:hAnsi="宋体" w:cs="宋体"/>
          <w:color w:val="auto"/>
          <w:kern w:val="0"/>
          <w:sz w:val="24"/>
          <w:szCs w:val="24"/>
          <w:highlight w:val="none"/>
        </w:rPr>
        <w:t>投标有效期90天，</w:t>
      </w:r>
      <w:r>
        <w:rPr>
          <w:rFonts w:hint="eastAsia" w:ascii="宋体" w:hAnsi="宋体" w:cs="宋体"/>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hint="eastAsia" w:ascii="宋体" w:hAnsi="宋体" w:cs="宋体"/>
          <w:color w:val="auto"/>
          <w:kern w:val="0"/>
          <w:sz w:val="24"/>
          <w:szCs w:val="24"/>
          <w:highlight w:val="none"/>
        </w:rPr>
      </w:pPr>
    </w:p>
    <w:p w14:paraId="7AD29ED8">
      <w:pPr>
        <w:spacing w:line="360" w:lineRule="auto"/>
        <w:ind w:left="853" w:hanging="853" w:hangingChars="354"/>
        <w:rPr>
          <w:rFonts w:hint="eastAsia" w:ascii="宋体" w:hAnsi="宋体" w:cs="宋体"/>
          <w:b/>
          <w:color w:val="auto"/>
          <w:kern w:val="0"/>
          <w:sz w:val="24"/>
          <w:szCs w:val="24"/>
          <w:highlight w:val="none"/>
        </w:rPr>
      </w:pPr>
      <w:bookmarkStart w:id="90" w:name="_Toc183"/>
      <w:bookmarkStart w:id="91" w:name="_Toc2850"/>
      <w:bookmarkStart w:id="92" w:name="_Toc28203"/>
      <w:bookmarkStart w:id="93" w:name="_Toc26140"/>
      <w:r>
        <w:rPr>
          <w:rFonts w:hint="eastAsia" w:ascii="宋体" w:hAnsi="宋体" w:cs="宋体"/>
          <w:b/>
          <w:color w:val="auto"/>
          <w:kern w:val="0"/>
          <w:sz w:val="24"/>
          <w:szCs w:val="24"/>
          <w:highlight w:val="none"/>
        </w:rPr>
        <w:t>3.11    投标人不得存在下列情形之一：</w:t>
      </w:r>
      <w:bookmarkEnd w:id="90"/>
      <w:bookmarkEnd w:id="91"/>
      <w:bookmarkEnd w:id="92"/>
      <w:bookmarkEnd w:id="93"/>
    </w:p>
    <w:p w14:paraId="0250DD34">
      <w:pPr>
        <w:spacing w:line="360" w:lineRule="auto"/>
        <w:ind w:left="850" w:hanging="849" w:hangingChars="354"/>
        <w:rPr>
          <w:rFonts w:hint="eastAsia" w:ascii="宋体" w:hAnsi="宋体" w:cs="宋体"/>
          <w:color w:val="auto"/>
          <w:kern w:val="0"/>
          <w:sz w:val="24"/>
          <w:szCs w:val="24"/>
          <w:highlight w:val="none"/>
        </w:rPr>
      </w:pPr>
    </w:p>
    <w:p w14:paraId="211C5AAA">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（1）为招标人不具有独立法人资格的附属机构（单位）；</w:t>
      </w:r>
    </w:p>
    <w:p w14:paraId="02A86FEE">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（2）与招标人存在利害关系且可能影响招标公正性；</w:t>
      </w:r>
    </w:p>
    <w:p w14:paraId="13C7A4B3">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（3）与本招标项目的其他投标人为同一个单位负责人；</w:t>
      </w:r>
    </w:p>
    <w:p w14:paraId="30DBFCF1">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（4）与本招标项目的其他投标人存在控股、管理关系；</w:t>
      </w:r>
    </w:p>
    <w:p w14:paraId="47EAB7AC">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（5）为本招标项目的代建人；</w:t>
      </w:r>
    </w:p>
    <w:p w14:paraId="1DEBD0FD">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（6）为本招标项目的招标代理机构；</w:t>
      </w:r>
    </w:p>
    <w:p w14:paraId="13A44CBA">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（9）被依法暂停或者取消投标资格；</w:t>
      </w:r>
    </w:p>
    <w:p w14:paraId="2C462429">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（10）被责令停产停业、暂扣或者吊销许可证、暂扣或者吊销执照；</w:t>
      </w:r>
    </w:p>
    <w:p w14:paraId="118F273A">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（11）进入清算程序，或被宣告破产，或其他丧失履约能力的情形；</w:t>
      </w:r>
    </w:p>
    <w:p w14:paraId="3BA5398E">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hint="eastAsia" w:ascii="宋体" w:hAnsi="宋体" w:cs="宋体"/>
          <w:b/>
          <w:color w:val="auto"/>
          <w:kern w:val="44"/>
          <w:sz w:val="24"/>
          <w:szCs w:val="24"/>
          <w:highlight w:val="none"/>
        </w:rPr>
      </w:pPr>
      <w:r>
        <w:rPr>
          <w:rFonts w:hint="eastAsia" w:ascii="宋体" w:hAnsi="宋体" w:cs="宋体"/>
          <w:b/>
          <w:color w:val="auto"/>
          <w:kern w:val="44"/>
          <w:sz w:val="24"/>
          <w:szCs w:val="24"/>
          <w:highlight w:val="none"/>
        </w:rPr>
        <w:br w:type="page"/>
      </w:r>
      <w:bookmarkStart w:id="94" w:name="_Toc143817036"/>
      <w:bookmarkStart w:id="95" w:name="_Toc31817"/>
      <w:bookmarkStart w:id="96" w:name="_Toc21741"/>
      <w:bookmarkStart w:id="97" w:name="_Toc22927"/>
      <w:bookmarkStart w:id="98" w:name="_Toc13315"/>
      <w:bookmarkStart w:id="99" w:name="_Toc30571"/>
      <w:bookmarkStart w:id="100" w:name="_Toc32368"/>
      <w:bookmarkStart w:id="101" w:name="_Toc22331"/>
      <w:r>
        <w:rPr>
          <w:rFonts w:hint="eastAsia" w:ascii="宋体" w:hAnsi="宋体" w:cs="宋体"/>
          <w:b/>
          <w:color w:val="auto"/>
          <w:kern w:val="44"/>
          <w:sz w:val="36"/>
          <w:szCs w:val="36"/>
          <w:highlight w:val="none"/>
        </w:rPr>
        <w:t>第四章</w:t>
      </w:r>
      <w:bookmarkEnd w:id="94"/>
      <w:r>
        <w:rPr>
          <w:rFonts w:hint="eastAsia" w:ascii="宋体" w:hAnsi="宋体" w:cs="宋体"/>
          <w:b/>
          <w:color w:val="auto"/>
          <w:kern w:val="44"/>
          <w:sz w:val="36"/>
          <w:szCs w:val="36"/>
          <w:highlight w:val="none"/>
        </w:rPr>
        <w:t xml:space="preserve">  评标</w:t>
      </w:r>
      <w:r>
        <w:rPr>
          <w:rFonts w:hint="eastAsia" w:ascii="宋体" w:hAnsi="宋体" w:cs="宋体"/>
          <w:b/>
          <w:color w:val="auto"/>
          <w:kern w:val="44"/>
          <w:sz w:val="36"/>
          <w:szCs w:val="36"/>
          <w:highlight w:val="none"/>
          <w:u w:val="single"/>
        </w:rPr>
        <w:t>（范本原文）</w:t>
      </w:r>
      <w:bookmarkEnd w:id="95"/>
      <w:bookmarkEnd w:id="96"/>
      <w:bookmarkEnd w:id="97"/>
      <w:bookmarkEnd w:id="98"/>
      <w:bookmarkEnd w:id="99"/>
      <w:bookmarkEnd w:id="100"/>
      <w:bookmarkEnd w:id="101"/>
    </w:p>
    <w:p w14:paraId="670C358D">
      <w:pPr>
        <w:spacing w:line="360" w:lineRule="auto"/>
        <w:ind w:left="425" w:hanging="424" w:hangingChars="177"/>
        <w:rPr>
          <w:rFonts w:hint="eastAsia" w:ascii="宋体" w:hAnsi="宋体" w:cs="宋体"/>
          <w:color w:val="auto"/>
          <w:kern w:val="0"/>
          <w:sz w:val="24"/>
          <w:szCs w:val="24"/>
          <w:highlight w:val="none"/>
        </w:rPr>
      </w:pPr>
    </w:p>
    <w:p w14:paraId="38CD9187">
      <w:pPr>
        <w:spacing w:line="360" w:lineRule="auto"/>
        <w:ind w:left="426" w:hanging="426" w:hangingChars="177"/>
        <w:rPr>
          <w:rFonts w:hint="eastAsia" w:ascii="宋体" w:hAnsi="宋体" w:cs="宋体"/>
          <w:b/>
          <w:color w:val="auto"/>
          <w:sz w:val="24"/>
          <w:szCs w:val="24"/>
          <w:highlight w:val="none"/>
        </w:rPr>
      </w:pPr>
      <w:bookmarkStart w:id="102" w:name="_Toc10844"/>
      <w:bookmarkStart w:id="103" w:name="_Toc18002"/>
      <w:bookmarkStart w:id="104" w:name="_Toc30315"/>
      <w:bookmarkStart w:id="105" w:name="_Toc4607"/>
      <w:r>
        <w:rPr>
          <w:rFonts w:hint="eastAsia" w:ascii="宋体" w:hAnsi="宋体" w:cs="宋体"/>
          <w:b/>
          <w:color w:val="auto"/>
          <w:sz w:val="24"/>
          <w:szCs w:val="24"/>
          <w:highlight w:val="none"/>
        </w:rPr>
        <w:t>4.1    否决投标</w:t>
      </w:r>
      <w:bookmarkEnd w:id="102"/>
      <w:bookmarkEnd w:id="103"/>
      <w:bookmarkEnd w:id="104"/>
      <w:bookmarkEnd w:id="105"/>
    </w:p>
    <w:p w14:paraId="4125EE4D">
      <w:pPr>
        <w:spacing w:line="360" w:lineRule="auto"/>
        <w:ind w:left="425" w:hanging="424" w:hangingChars="177"/>
        <w:rPr>
          <w:rFonts w:hint="eastAsia" w:ascii="宋体" w:hAnsi="宋体" w:cs="宋体"/>
          <w:color w:val="auto"/>
          <w:sz w:val="24"/>
          <w:szCs w:val="24"/>
          <w:highlight w:val="none"/>
        </w:rPr>
      </w:pPr>
    </w:p>
    <w:p w14:paraId="3315935F">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4.1.1  投标人有下列情况之一的，评标委员会应当否决其投标：</w:t>
      </w:r>
    </w:p>
    <w:p w14:paraId="43208F61">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4.1.2  有下列情况之一的，评标委员会应当否决其投标：</w:t>
      </w:r>
    </w:p>
    <w:p w14:paraId="6610CF09">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（d）投标报价高于最高投标限价的。</w:t>
      </w:r>
    </w:p>
    <w:p w14:paraId="7829849D">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4.1.4  投标人有下列情况之一的，视为串通投标：</w:t>
      </w:r>
    </w:p>
    <w:p w14:paraId="60EB1AAB">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4.1.5  发生下列情形之一的，招标人应当重新组织招标：</w:t>
      </w:r>
    </w:p>
    <w:p w14:paraId="72FE495B">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递交投标文件或通过资格审查的投标人不足三人；</w:t>
      </w:r>
    </w:p>
    <w:p w14:paraId="26E114C2">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4.1.6  否决投标的决定由评标委员会作出，其他投标人无权干涉。</w:t>
      </w:r>
    </w:p>
    <w:p w14:paraId="4A5CD358">
      <w:pPr>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hint="eastAsia" w:ascii="宋体" w:hAnsi="宋体" w:cs="宋体"/>
          <w:color w:val="auto"/>
          <w:sz w:val="24"/>
          <w:szCs w:val="24"/>
          <w:highlight w:val="none"/>
        </w:rPr>
      </w:pPr>
    </w:p>
    <w:p w14:paraId="23ACEC80">
      <w:pPr>
        <w:spacing w:line="360" w:lineRule="auto"/>
        <w:ind w:left="426" w:hanging="426" w:hangingChars="177"/>
        <w:rPr>
          <w:rFonts w:hint="eastAsia" w:ascii="宋体" w:hAnsi="宋体" w:cs="宋体"/>
          <w:b/>
          <w:color w:val="auto"/>
          <w:kern w:val="0"/>
          <w:sz w:val="24"/>
          <w:szCs w:val="24"/>
          <w:highlight w:val="none"/>
        </w:rPr>
      </w:pPr>
      <w:bookmarkStart w:id="106" w:name="_Toc32723"/>
      <w:bookmarkStart w:id="107" w:name="_Toc25514"/>
      <w:bookmarkStart w:id="108" w:name="_Toc8174"/>
      <w:bookmarkStart w:id="109" w:name="_Toc28089"/>
      <w:r>
        <w:rPr>
          <w:rFonts w:hint="eastAsia" w:ascii="宋体" w:hAnsi="宋体" w:cs="宋体"/>
          <w:b/>
          <w:color w:val="auto"/>
          <w:kern w:val="0"/>
          <w:sz w:val="24"/>
          <w:szCs w:val="24"/>
          <w:highlight w:val="none"/>
        </w:rPr>
        <w:t>4.2    评标委员会</w:t>
      </w:r>
      <w:bookmarkEnd w:id="106"/>
      <w:bookmarkEnd w:id="107"/>
      <w:bookmarkEnd w:id="108"/>
      <w:bookmarkEnd w:id="109"/>
    </w:p>
    <w:p w14:paraId="25C656D9">
      <w:pPr>
        <w:spacing w:line="360" w:lineRule="auto"/>
        <w:ind w:left="425" w:hanging="424" w:hangingChars="177"/>
        <w:rPr>
          <w:rFonts w:hint="eastAsia" w:ascii="宋体" w:hAnsi="宋体" w:cs="宋体"/>
          <w:color w:val="auto"/>
          <w:kern w:val="0"/>
          <w:sz w:val="24"/>
          <w:szCs w:val="24"/>
          <w:highlight w:val="none"/>
        </w:rPr>
      </w:pPr>
    </w:p>
    <w:p w14:paraId="76C64AD5">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4.2.4  下列人员不得担任评标委员会成员：</w:t>
      </w:r>
    </w:p>
    <w:p w14:paraId="0F54EE25">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(d) 评标前浏览过本项目的某个投标文件；</w:t>
      </w:r>
    </w:p>
    <w:p w14:paraId="4769F1EB">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(e) 与投标人有利害关系；</w:t>
      </w:r>
    </w:p>
    <w:p w14:paraId="098B0C64">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(f) 招标代理机构的工作人员。</w:t>
      </w:r>
    </w:p>
    <w:p w14:paraId="4700FD76">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4.2.8  评标结果在评标结束后公示，接受公众监督。</w:t>
      </w:r>
    </w:p>
    <w:p w14:paraId="516AADAA">
      <w:pPr>
        <w:spacing w:line="360" w:lineRule="auto"/>
        <w:ind w:left="850" w:hanging="849" w:hangingChars="354"/>
        <w:rPr>
          <w:rFonts w:hint="eastAsia" w:ascii="宋体" w:hAnsi="宋体" w:cs="宋体"/>
          <w:color w:val="auto"/>
          <w:kern w:val="0"/>
          <w:sz w:val="24"/>
          <w:szCs w:val="24"/>
          <w:highlight w:val="none"/>
        </w:rPr>
      </w:pPr>
    </w:p>
    <w:p w14:paraId="55EC6727">
      <w:pPr>
        <w:spacing w:line="360" w:lineRule="auto"/>
        <w:ind w:left="853" w:hanging="853" w:hangingChars="354"/>
        <w:rPr>
          <w:rFonts w:hint="eastAsia" w:ascii="宋体" w:hAnsi="宋体" w:cs="宋体"/>
          <w:b/>
          <w:color w:val="auto"/>
          <w:kern w:val="0"/>
          <w:sz w:val="24"/>
          <w:szCs w:val="24"/>
          <w:highlight w:val="none"/>
        </w:rPr>
      </w:pPr>
      <w:bookmarkStart w:id="110" w:name="_Toc6582"/>
      <w:bookmarkStart w:id="111" w:name="_Toc28207"/>
      <w:bookmarkStart w:id="112" w:name="_Toc15249"/>
      <w:bookmarkStart w:id="113" w:name="_Toc3019"/>
      <w:r>
        <w:rPr>
          <w:rFonts w:hint="eastAsia" w:ascii="宋体" w:hAnsi="宋体" w:cs="宋体"/>
          <w:b/>
          <w:color w:val="auto"/>
          <w:kern w:val="0"/>
          <w:sz w:val="24"/>
          <w:szCs w:val="24"/>
          <w:highlight w:val="none"/>
        </w:rPr>
        <w:t>4.3    定标委员会（如有）</w:t>
      </w:r>
      <w:bookmarkEnd w:id="110"/>
      <w:bookmarkEnd w:id="111"/>
      <w:bookmarkEnd w:id="112"/>
      <w:bookmarkEnd w:id="113"/>
    </w:p>
    <w:p w14:paraId="01096D53">
      <w:pPr>
        <w:spacing w:line="360" w:lineRule="auto"/>
        <w:ind w:left="850" w:hanging="849" w:hangingChars="354"/>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hint="eastAsia" w:ascii="宋体" w:hAnsi="宋体" w:cs="宋体"/>
          <w:color w:val="auto"/>
          <w:kern w:val="0"/>
          <w:sz w:val="24"/>
          <w:szCs w:val="24"/>
          <w:highlight w:val="none"/>
        </w:rPr>
      </w:pPr>
    </w:p>
    <w:p w14:paraId="3D94BC07">
      <w:pPr>
        <w:spacing w:line="360" w:lineRule="auto"/>
        <w:ind w:left="853" w:hanging="853" w:hangingChars="354"/>
        <w:rPr>
          <w:rFonts w:hint="eastAsia" w:ascii="宋体" w:hAnsi="宋体" w:cs="宋体"/>
          <w:b/>
          <w:color w:val="auto"/>
          <w:sz w:val="24"/>
          <w:szCs w:val="24"/>
          <w:highlight w:val="none"/>
        </w:rPr>
      </w:pPr>
      <w:bookmarkStart w:id="114" w:name="_Toc8370"/>
      <w:bookmarkStart w:id="115" w:name="_Toc9115"/>
      <w:bookmarkStart w:id="116" w:name="_Toc4226"/>
      <w:bookmarkStart w:id="117" w:name="_Toc21399"/>
      <w:r>
        <w:rPr>
          <w:rFonts w:hint="eastAsia" w:ascii="宋体" w:hAnsi="宋体" w:cs="宋体"/>
          <w:b/>
          <w:color w:val="auto"/>
          <w:sz w:val="24"/>
          <w:szCs w:val="24"/>
          <w:highlight w:val="none"/>
        </w:rPr>
        <w:t>4.4    评标原则</w:t>
      </w:r>
      <w:bookmarkEnd w:id="114"/>
      <w:bookmarkEnd w:id="115"/>
      <w:bookmarkEnd w:id="116"/>
      <w:bookmarkEnd w:id="117"/>
    </w:p>
    <w:p w14:paraId="65A18257">
      <w:pPr>
        <w:spacing w:line="360" w:lineRule="auto"/>
        <w:ind w:left="850" w:hanging="849" w:hangingChars="354"/>
        <w:rPr>
          <w:rFonts w:hint="eastAsia" w:ascii="宋体" w:hAnsi="宋体" w:cs="宋体"/>
          <w:color w:val="auto"/>
          <w:sz w:val="24"/>
          <w:szCs w:val="24"/>
          <w:highlight w:val="none"/>
        </w:rPr>
      </w:pPr>
    </w:p>
    <w:p w14:paraId="248783E7">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4.4.4  </w:t>
      </w:r>
      <w:r>
        <w:rPr>
          <w:rFonts w:hint="eastAsia" w:ascii="宋体" w:hAnsi="宋体" w:cs="宋体"/>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hint="eastAsia" w:ascii="宋体" w:hAnsi="宋体" w:cs="宋体"/>
          <w:color w:val="auto"/>
          <w:sz w:val="24"/>
          <w:szCs w:val="24"/>
          <w:highlight w:val="none"/>
        </w:rPr>
      </w:pPr>
    </w:p>
    <w:p w14:paraId="34767AB8">
      <w:pPr>
        <w:spacing w:line="360" w:lineRule="auto"/>
        <w:ind w:left="853" w:hanging="853" w:hangingChars="354"/>
        <w:rPr>
          <w:rFonts w:hint="eastAsia" w:ascii="宋体" w:hAnsi="宋体" w:cs="宋体"/>
          <w:b/>
          <w:color w:val="auto"/>
          <w:sz w:val="24"/>
          <w:szCs w:val="24"/>
          <w:highlight w:val="none"/>
        </w:rPr>
      </w:pPr>
      <w:bookmarkStart w:id="118" w:name="_Toc27327"/>
      <w:bookmarkStart w:id="119" w:name="_Toc26069"/>
      <w:bookmarkStart w:id="120" w:name="_Toc20898"/>
      <w:bookmarkStart w:id="121" w:name="_Toc197"/>
      <w:r>
        <w:rPr>
          <w:rFonts w:hint="eastAsia" w:ascii="宋体" w:hAnsi="宋体" w:cs="宋体"/>
          <w:b/>
          <w:color w:val="auto"/>
          <w:sz w:val="24"/>
          <w:szCs w:val="24"/>
          <w:highlight w:val="none"/>
        </w:rPr>
        <w:t>4.5    评标办法</w:t>
      </w:r>
      <w:bookmarkEnd w:id="118"/>
      <w:bookmarkEnd w:id="119"/>
      <w:bookmarkEnd w:id="120"/>
      <w:bookmarkEnd w:id="121"/>
    </w:p>
    <w:p w14:paraId="0FE5EA34">
      <w:pPr>
        <w:spacing w:line="360" w:lineRule="auto"/>
        <w:ind w:left="850" w:hanging="849" w:hangingChars="354"/>
        <w:rPr>
          <w:rFonts w:hint="eastAsia" w:ascii="宋体" w:hAnsi="宋体" w:cs="宋体"/>
          <w:b/>
          <w:color w:val="auto"/>
          <w:sz w:val="24"/>
          <w:szCs w:val="24"/>
          <w:highlight w:val="none"/>
        </w:rPr>
      </w:pPr>
      <w:r>
        <w:rPr>
          <w:rFonts w:hint="eastAsia" w:ascii="宋体" w:hAnsi="宋体" w:cs="宋体"/>
          <w:color w:val="auto"/>
          <w:sz w:val="24"/>
          <w:szCs w:val="24"/>
          <w:highlight w:val="none"/>
        </w:rPr>
        <w:t>[注释] 招标人应在招标文件修改表中明确适用于本项目的评标方法。</w:t>
      </w:r>
    </w:p>
    <w:p w14:paraId="61B61085">
      <w:pPr>
        <w:spacing w:line="360" w:lineRule="auto"/>
        <w:ind w:left="850" w:hanging="849" w:hangingChars="354"/>
        <w:rPr>
          <w:rFonts w:hint="eastAsia" w:ascii="宋体" w:hAnsi="宋体" w:cs="宋体"/>
          <w:color w:val="auto"/>
          <w:sz w:val="24"/>
          <w:szCs w:val="24"/>
          <w:highlight w:val="none"/>
        </w:rPr>
      </w:pPr>
    </w:p>
    <w:p w14:paraId="781E36E0">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□否。</w:t>
      </w:r>
    </w:p>
    <w:p w14:paraId="318B1765">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4.5.2  不采用评定分离项目的评标办法</w:t>
      </w:r>
    </w:p>
    <w:p w14:paraId="1AEC8AEA">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j</w:t>
      </w:r>
    </w:p>
    <w:p w14:paraId="518E0C5E">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(f) 评标委员会揭晓投标人身份。</w:t>
      </w:r>
    </w:p>
    <w:p w14:paraId="0B2A15B1">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hint="eastAsia" w:ascii="宋体" w:hAnsi="宋体" w:cs="宋体"/>
          <w:color w:val="auto"/>
          <w:sz w:val="24"/>
          <w:szCs w:val="24"/>
          <w:highlight w:val="none"/>
        </w:rPr>
      </w:pPr>
    </w:p>
    <w:p w14:paraId="5130F3D9">
      <w:pPr>
        <w:spacing w:line="360" w:lineRule="auto"/>
        <w:ind w:left="850" w:hanging="849" w:hangingChars="354"/>
        <w:rPr>
          <w:rFonts w:hint="eastAsia" w:ascii="宋体" w:hAnsi="宋体" w:cs="宋体"/>
          <w:b/>
          <w:color w:val="auto"/>
          <w:sz w:val="24"/>
          <w:szCs w:val="24"/>
          <w:highlight w:val="none"/>
        </w:rPr>
      </w:pPr>
      <w:r>
        <w:rPr>
          <w:rFonts w:hint="eastAsia" w:ascii="宋体" w:hAnsi="宋体" w:cs="宋体"/>
          <w:bCs/>
          <w:color w:val="auto"/>
          <w:sz w:val="24"/>
          <w:szCs w:val="24"/>
          <w:highlight w:val="none"/>
        </w:rPr>
        <w:t>4.5.3</w:t>
      </w:r>
      <w:r>
        <w:rPr>
          <w:rFonts w:hint="eastAsia" w:ascii="宋体" w:hAnsi="宋体" w:cs="宋体"/>
          <w:color w:val="auto"/>
          <w:sz w:val="24"/>
          <w:szCs w:val="24"/>
          <w:highlight w:val="none"/>
        </w:rPr>
        <w:t>采用评定分离项目的评标及定标办法</w:t>
      </w:r>
    </w:p>
    <w:p w14:paraId="1010B49F">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方法一（设有资格审查环节的一阶段评标法）：a、b、c、d、e、f、g、h、i、</w:t>
      </w:r>
    </w:p>
    <w:p w14:paraId="41ECF3FA">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j</w:t>
      </w:r>
    </w:p>
    <w:p w14:paraId="3AEB0678">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方法二（未设资格审查环节的一阶段评标法）：a、d、e、f、g、h、i、j</w:t>
      </w:r>
    </w:p>
    <w:p w14:paraId="252CE65B">
      <w:pPr>
        <w:spacing w:line="360" w:lineRule="auto"/>
        <w:ind w:left="850" w:hanging="849" w:hangingChars="35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(c) 评标委员会成员汇总资格审查结果，编写资格审查报告。</w:t>
      </w:r>
    </w:p>
    <w:p w14:paraId="7B79380C">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(f) 评标委员会揭晓投标人身份。 </w:t>
      </w:r>
    </w:p>
    <w:p w14:paraId="490BC183">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hint="eastAsia" w:ascii="宋体" w:hAnsi="宋体" w:cs="宋体"/>
          <w:color w:val="auto"/>
          <w:sz w:val="24"/>
          <w:szCs w:val="24"/>
          <w:highlight w:val="none"/>
        </w:rPr>
      </w:pPr>
      <w:r>
        <w:rPr>
          <w:rFonts w:hint="eastAsia" w:ascii="宋体" w:hAnsi="宋体" w:cs="宋体"/>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hint="eastAsia" w:ascii="宋体" w:hAnsi="宋体" w:cs="宋体"/>
          <w:color w:val="auto"/>
          <w:sz w:val="24"/>
          <w:szCs w:val="24"/>
          <w:highlight w:val="none"/>
        </w:rPr>
      </w:pPr>
    </w:p>
    <w:p w14:paraId="3EF844EE">
      <w:pPr>
        <w:keepNext/>
        <w:keepLines/>
        <w:spacing w:before="340" w:after="330" w:line="360" w:lineRule="auto"/>
        <w:ind w:left="844" w:leftChars="200" w:hanging="424" w:hangingChars="176"/>
        <w:jc w:val="center"/>
        <w:outlineLvl w:val="0"/>
        <w:rPr>
          <w:rFonts w:hint="eastAsia" w:ascii="宋体" w:hAnsi="宋体" w:cs="宋体"/>
          <w:b/>
          <w:color w:val="auto"/>
          <w:kern w:val="44"/>
          <w:sz w:val="24"/>
          <w:szCs w:val="24"/>
          <w:highlight w:val="none"/>
        </w:rPr>
      </w:pPr>
      <w:r>
        <w:rPr>
          <w:rFonts w:hint="eastAsia" w:ascii="宋体" w:hAnsi="宋体" w:cs="宋体"/>
          <w:b/>
          <w:color w:val="auto"/>
          <w:kern w:val="44"/>
          <w:sz w:val="24"/>
          <w:szCs w:val="24"/>
          <w:highlight w:val="none"/>
        </w:rPr>
        <w:br w:type="page"/>
      </w:r>
      <w:bookmarkStart w:id="122" w:name="_Toc143817037"/>
      <w:bookmarkEnd w:id="122"/>
      <w:bookmarkStart w:id="123" w:name="_Toc9011"/>
      <w:bookmarkStart w:id="124" w:name="_Toc22987"/>
      <w:bookmarkStart w:id="125" w:name="_Toc3147"/>
      <w:bookmarkStart w:id="126" w:name="_Toc7264"/>
      <w:bookmarkStart w:id="127" w:name="_Toc25882"/>
      <w:bookmarkStart w:id="128" w:name="_Toc718"/>
      <w:bookmarkStart w:id="129" w:name="_Toc12746"/>
      <w:r>
        <w:rPr>
          <w:rFonts w:hint="eastAsia" w:ascii="宋体" w:hAnsi="宋体" w:cs="宋体"/>
          <w:b/>
          <w:color w:val="auto"/>
          <w:kern w:val="44"/>
          <w:sz w:val="36"/>
          <w:szCs w:val="36"/>
          <w:highlight w:val="none"/>
        </w:rPr>
        <w:t>第五章  定标</w:t>
      </w:r>
      <w:r>
        <w:rPr>
          <w:rFonts w:hint="eastAsia" w:ascii="宋体" w:hAnsi="宋体" w:cs="宋体"/>
          <w:b/>
          <w:color w:val="auto"/>
          <w:kern w:val="44"/>
          <w:sz w:val="36"/>
          <w:szCs w:val="36"/>
          <w:highlight w:val="none"/>
          <w:u w:val="single"/>
        </w:rPr>
        <w:t>（范本原文）</w:t>
      </w:r>
      <w:bookmarkEnd w:id="123"/>
      <w:bookmarkEnd w:id="124"/>
      <w:bookmarkEnd w:id="125"/>
      <w:bookmarkEnd w:id="126"/>
      <w:bookmarkEnd w:id="127"/>
      <w:bookmarkEnd w:id="128"/>
      <w:bookmarkEnd w:id="129"/>
    </w:p>
    <w:p w14:paraId="4A5928EE">
      <w:pPr>
        <w:rPr>
          <w:rFonts w:hint="eastAsia" w:ascii="宋体" w:hAnsi="宋体" w:cs="宋体"/>
          <w:color w:val="auto"/>
          <w:sz w:val="24"/>
          <w:szCs w:val="24"/>
          <w:highlight w:val="none"/>
        </w:rPr>
      </w:pPr>
    </w:p>
    <w:p w14:paraId="4764E934">
      <w:pPr>
        <w:spacing w:line="360" w:lineRule="auto"/>
        <w:jc w:val="left"/>
        <w:rPr>
          <w:rFonts w:hint="eastAsia" w:ascii="宋体" w:hAnsi="宋体" w:cs="宋体"/>
          <w:b/>
          <w:color w:val="auto"/>
          <w:sz w:val="24"/>
          <w:szCs w:val="24"/>
          <w:highlight w:val="none"/>
        </w:rPr>
      </w:pPr>
      <w:bookmarkStart w:id="130" w:name="_Toc9357"/>
      <w:bookmarkStart w:id="131" w:name="_Toc13630"/>
      <w:bookmarkStart w:id="132" w:name="_Toc22265"/>
      <w:bookmarkStart w:id="133" w:name="_Toc14346"/>
      <w:r>
        <w:rPr>
          <w:rFonts w:hint="eastAsia" w:ascii="宋体" w:hAnsi="宋体" w:cs="宋体"/>
          <w:b/>
          <w:color w:val="auto"/>
          <w:sz w:val="24"/>
          <w:szCs w:val="24"/>
          <w:highlight w:val="none"/>
        </w:rPr>
        <w:t>5.1    确定中标人</w:t>
      </w:r>
      <w:bookmarkEnd w:id="130"/>
      <w:bookmarkEnd w:id="131"/>
      <w:bookmarkEnd w:id="132"/>
      <w:bookmarkEnd w:id="133"/>
    </w:p>
    <w:p w14:paraId="4D2765D5">
      <w:pPr>
        <w:spacing w:line="360" w:lineRule="auto"/>
        <w:jc w:val="left"/>
        <w:rPr>
          <w:rFonts w:hint="eastAsia" w:ascii="宋体" w:hAnsi="宋体" w:cs="宋体"/>
          <w:color w:val="auto"/>
          <w:sz w:val="24"/>
          <w:szCs w:val="24"/>
          <w:highlight w:val="none"/>
        </w:rPr>
      </w:pPr>
    </w:p>
    <w:p w14:paraId="207282C8">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采用方式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确定中标人：</w:t>
      </w:r>
    </w:p>
    <w:p w14:paraId="32E93AFB">
      <w:pPr>
        <w:spacing w:line="360" w:lineRule="auto"/>
        <w:jc w:val="left"/>
        <w:rPr>
          <w:rFonts w:hint="eastAsia" w:ascii="宋体" w:hAnsi="宋体" w:cs="宋体"/>
          <w:color w:val="auto"/>
          <w:sz w:val="24"/>
          <w:szCs w:val="24"/>
          <w:highlight w:val="none"/>
        </w:rPr>
      </w:pPr>
    </w:p>
    <w:p w14:paraId="789F9091">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方式一（适用于设置资格审查环节的项目）：</w:t>
      </w:r>
    </w:p>
    <w:p w14:paraId="2A4E3B19">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5.1.2  招标人确定中标人：</w:t>
      </w:r>
    </w:p>
    <w:p w14:paraId="61F98183">
      <w:pPr>
        <w:spacing w:line="360" w:lineRule="auto"/>
        <w:ind w:left="735" w:leftChars="3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hint="eastAsia" w:ascii="宋体" w:hAnsi="宋体" w:cs="宋体"/>
          <w:color w:val="auto"/>
          <w:sz w:val="24"/>
          <w:szCs w:val="24"/>
          <w:highlight w:val="none"/>
        </w:rPr>
      </w:pPr>
      <w:r>
        <w:rPr>
          <w:rFonts w:hint="eastAsia" w:ascii="宋体" w:hAnsi="宋体" w:cs="宋体"/>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hint="eastAsia" w:ascii="宋体" w:hAnsi="宋体" w:cs="宋体"/>
          <w:color w:val="auto"/>
          <w:sz w:val="24"/>
          <w:szCs w:val="24"/>
          <w:highlight w:val="none"/>
        </w:rPr>
      </w:pPr>
    </w:p>
    <w:p w14:paraId="2A566502">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方式二（适用于未设资格审查环节的项目）：</w:t>
      </w:r>
    </w:p>
    <w:p w14:paraId="678C4004">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hint="eastAsia" w:ascii="宋体" w:hAnsi="宋体" w:cs="宋体"/>
          <w:color w:val="auto"/>
          <w:sz w:val="24"/>
          <w:szCs w:val="24"/>
          <w:highlight w:val="none"/>
        </w:rPr>
      </w:pPr>
      <w:r>
        <w:rPr>
          <w:rFonts w:hint="eastAsia" w:ascii="宋体" w:hAnsi="宋体" w:cs="宋体"/>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hint="eastAsia" w:ascii="宋体" w:hAnsi="宋体" w:cs="宋体"/>
          <w:color w:val="auto"/>
          <w:sz w:val="24"/>
          <w:szCs w:val="24"/>
          <w:highlight w:val="none"/>
        </w:rPr>
      </w:pPr>
    </w:p>
    <w:p w14:paraId="34645D3E">
      <w:pPr>
        <w:spacing w:line="360" w:lineRule="auto"/>
        <w:jc w:val="left"/>
        <w:rPr>
          <w:rFonts w:hint="eastAsia" w:ascii="宋体" w:hAnsi="宋体" w:cs="宋体"/>
          <w:b/>
          <w:color w:val="auto"/>
          <w:sz w:val="24"/>
          <w:szCs w:val="24"/>
          <w:highlight w:val="none"/>
        </w:rPr>
      </w:pPr>
      <w:bookmarkStart w:id="134" w:name="_Toc8048"/>
      <w:bookmarkStart w:id="135" w:name="_Toc19558"/>
      <w:bookmarkStart w:id="136" w:name="_Toc1840"/>
      <w:bookmarkStart w:id="137" w:name="_Toc3912"/>
      <w:r>
        <w:rPr>
          <w:rFonts w:hint="eastAsia" w:ascii="宋体" w:hAnsi="宋体" w:cs="宋体"/>
          <w:b/>
          <w:color w:val="auto"/>
          <w:sz w:val="24"/>
          <w:szCs w:val="24"/>
          <w:highlight w:val="none"/>
        </w:rPr>
        <w:t>5.2    中标资格审核及中标通知</w:t>
      </w:r>
      <w:bookmarkEnd w:id="134"/>
      <w:bookmarkEnd w:id="135"/>
      <w:bookmarkEnd w:id="136"/>
      <w:bookmarkEnd w:id="137"/>
    </w:p>
    <w:p w14:paraId="3C17DB63">
      <w:pPr>
        <w:spacing w:line="360" w:lineRule="auto"/>
        <w:rPr>
          <w:rFonts w:hint="eastAsia" w:ascii="宋体" w:hAnsi="宋体" w:cs="宋体"/>
          <w:color w:val="auto"/>
          <w:sz w:val="24"/>
          <w:szCs w:val="24"/>
          <w:highlight w:val="none"/>
        </w:rPr>
      </w:pPr>
    </w:p>
    <w:p w14:paraId="7DD15BA0">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5.2.1  招标人发出中标通知书前，与中标人落实以下事项：</w:t>
      </w:r>
    </w:p>
    <w:p w14:paraId="2BE5EAD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投标文件是否有明显抄袭行为；</w:t>
      </w:r>
    </w:p>
    <w:p w14:paraId="5D009AA4">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投标文件是否有侵犯他人著作权和特许权；</w:t>
      </w:r>
    </w:p>
    <w:p w14:paraId="5C5F6661">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hint="eastAsia" w:ascii="宋体" w:hAnsi="宋体" w:cs="宋体"/>
          <w:color w:val="auto"/>
          <w:sz w:val="24"/>
          <w:szCs w:val="24"/>
          <w:highlight w:val="none"/>
        </w:rPr>
      </w:pPr>
      <w:r>
        <w:rPr>
          <w:rFonts w:hint="eastAsia" w:ascii="宋体" w:hAnsi="宋体" w:cs="宋体"/>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5.2.5  招标人自确定中标人之日起十五日内向招标管理机构提交招标投标情况的书面报告。</w:t>
      </w:r>
    </w:p>
    <w:p w14:paraId="48B92C19">
      <w:pPr>
        <w:spacing w:line="360" w:lineRule="auto"/>
        <w:rPr>
          <w:rFonts w:hint="eastAsia" w:ascii="宋体" w:hAnsi="宋体" w:cs="宋体"/>
          <w:color w:val="auto"/>
          <w:sz w:val="24"/>
          <w:szCs w:val="24"/>
          <w:highlight w:val="none"/>
        </w:rPr>
      </w:pPr>
    </w:p>
    <w:p w14:paraId="56D9582A">
      <w:pPr>
        <w:spacing w:line="360" w:lineRule="auto"/>
        <w:rPr>
          <w:rFonts w:hint="eastAsia" w:ascii="宋体" w:hAnsi="宋体" w:cs="宋体"/>
          <w:b/>
          <w:color w:val="auto"/>
          <w:sz w:val="24"/>
          <w:szCs w:val="24"/>
          <w:highlight w:val="none"/>
        </w:rPr>
      </w:pPr>
      <w:bookmarkStart w:id="138" w:name="_Toc28658"/>
      <w:bookmarkStart w:id="139" w:name="_Toc1428"/>
      <w:bookmarkStart w:id="140" w:name="_Toc30211"/>
      <w:bookmarkStart w:id="141" w:name="_Toc21518"/>
      <w:r>
        <w:rPr>
          <w:rFonts w:hint="eastAsia" w:ascii="宋体" w:hAnsi="宋体" w:cs="宋体"/>
          <w:b/>
          <w:color w:val="auto"/>
          <w:sz w:val="24"/>
          <w:szCs w:val="24"/>
          <w:highlight w:val="none"/>
        </w:rPr>
        <w:t>5.3    其他</w:t>
      </w:r>
      <w:bookmarkEnd w:id="138"/>
      <w:bookmarkEnd w:id="139"/>
      <w:bookmarkEnd w:id="140"/>
      <w:bookmarkEnd w:id="141"/>
    </w:p>
    <w:p w14:paraId="3DE72CD0">
      <w:pPr>
        <w:spacing w:line="360" w:lineRule="auto"/>
        <w:rPr>
          <w:rFonts w:hint="eastAsia" w:ascii="宋体" w:hAnsi="宋体" w:cs="宋体"/>
          <w:color w:val="auto"/>
          <w:sz w:val="24"/>
          <w:szCs w:val="24"/>
          <w:highlight w:val="none"/>
        </w:rPr>
      </w:pPr>
    </w:p>
    <w:p w14:paraId="1C80C4B5">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5.3.3  腐败与欺诈行为</w:t>
      </w:r>
    </w:p>
    <w:p w14:paraId="6AC1ECE6">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5.3.3.1对本条款的规定，特定义如下词汇：</w:t>
      </w:r>
    </w:p>
    <w:p w14:paraId="73DC7E92">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hint="eastAsia" w:ascii="宋体" w:hAnsi="宋体" w:cs="宋体"/>
          <w:b/>
          <w:color w:val="auto"/>
          <w:kern w:val="44"/>
          <w:sz w:val="24"/>
          <w:szCs w:val="24"/>
          <w:highlight w:val="none"/>
        </w:rPr>
      </w:pPr>
      <w:r>
        <w:rPr>
          <w:rFonts w:hint="eastAsia" w:ascii="宋体" w:hAnsi="宋体" w:cs="宋体"/>
          <w:b/>
          <w:color w:val="auto"/>
          <w:kern w:val="44"/>
          <w:sz w:val="24"/>
          <w:szCs w:val="24"/>
          <w:highlight w:val="none"/>
        </w:rPr>
        <w:br w:type="page"/>
      </w:r>
      <w:bookmarkStart w:id="142" w:name="_Toc143817038"/>
      <w:bookmarkEnd w:id="142"/>
      <w:bookmarkStart w:id="143" w:name="_Toc25208"/>
      <w:bookmarkStart w:id="144" w:name="_Toc18623"/>
      <w:bookmarkStart w:id="145" w:name="_Toc30397"/>
      <w:bookmarkStart w:id="146" w:name="_Toc4338"/>
      <w:bookmarkStart w:id="147" w:name="_Toc15478"/>
      <w:bookmarkStart w:id="148" w:name="_Toc13268"/>
      <w:bookmarkStart w:id="149" w:name="_Toc20191"/>
      <w:r>
        <w:rPr>
          <w:rFonts w:hint="eastAsia" w:ascii="宋体" w:hAnsi="宋体" w:cs="宋体"/>
          <w:b/>
          <w:color w:val="auto"/>
          <w:kern w:val="44"/>
          <w:sz w:val="36"/>
          <w:szCs w:val="36"/>
          <w:highlight w:val="none"/>
        </w:rPr>
        <w:t>第六章  授予合同</w:t>
      </w:r>
      <w:r>
        <w:rPr>
          <w:rFonts w:hint="eastAsia" w:ascii="宋体" w:hAnsi="宋体" w:cs="宋体"/>
          <w:b/>
          <w:color w:val="auto"/>
          <w:kern w:val="44"/>
          <w:sz w:val="36"/>
          <w:szCs w:val="36"/>
          <w:highlight w:val="none"/>
          <w:u w:val="single"/>
        </w:rPr>
        <w:t>（范本原文）</w:t>
      </w:r>
      <w:bookmarkEnd w:id="143"/>
      <w:bookmarkEnd w:id="144"/>
      <w:bookmarkEnd w:id="145"/>
      <w:bookmarkEnd w:id="146"/>
      <w:bookmarkEnd w:id="147"/>
      <w:bookmarkEnd w:id="148"/>
      <w:bookmarkEnd w:id="149"/>
    </w:p>
    <w:p w14:paraId="288D1EDF">
      <w:pPr>
        <w:spacing w:line="360" w:lineRule="auto"/>
        <w:rPr>
          <w:rFonts w:hint="eastAsia" w:ascii="宋体" w:hAnsi="宋体" w:cs="宋体"/>
          <w:color w:val="auto"/>
          <w:sz w:val="24"/>
          <w:szCs w:val="24"/>
          <w:highlight w:val="none"/>
        </w:rPr>
      </w:pPr>
    </w:p>
    <w:p w14:paraId="7C3ABA30">
      <w:pPr>
        <w:spacing w:line="360" w:lineRule="auto"/>
        <w:rPr>
          <w:rFonts w:hint="eastAsia" w:ascii="宋体" w:hAnsi="宋体" w:cs="宋体"/>
          <w:b/>
          <w:color w:val="auto"/>
          <w:sz w:val="24"/>
          <w:szCs w:val="24"/>
          <w:highlight w:val="none"/>
        </w:rPr>
      </w:pPr>
      <w:bookmarkStart w:id="150" w:name="_Toc21968"/>
      <w:bookmarkStart w:id="151" w:name="_Toc19818"/>
      <w:bookmarkStart w:id="152" w:name="_Toc2224"/>
      <w:bookmarkStart w:id="153" w:name="_Toc25109"/>
      <w:r>
        <w:rPr>
          <w:rFonts w:hint="eastAsia" w:ascii="宋体" w:hAnsi="宋体" w:cs="宋体"/>
          <w:b/>
          <w:color w:val="auto"/>
          <w:sz w:val="24"/>
          <w:szCs w:val="24"/>
          <w:highlight w:val="none"/>
        </w:rPr>
        <w:t>6.1    授予合同</w:t>
      </w:r>
      <w:bookmarkEnd w:id="150"/>
      <w:bookmarkEnd w:id="151"/>
      <w:bookmarkEnd w:id="152"/>
      <w:bookmarkEnd w:id="153"/>
    </w:p>
    <w:p w14:paraId="7E208316">
      <w:pPr>
        <w:spacing w:line="360" w:lineRule="auto"/>
        <w:rPr>
          <w:rFonts w:hint="eastAsia" w:ascii="宋体" w:hAnsi="宋体" w:cs="宋体"/>
          <w:color w:val="auto"/>
          <w:sz w:val="24"/>
          <w:szCs w:val="24"/>
          <w:highlight w:val="none"/>
        </w:rPr>
      </w:pPr>
    </w:p>
    <w:p w14:paraId="4DB72C14">
      <w:pPr>
        <w:spacing w:line="360" w:lineRule="auto"/>
        <w:ind w:left="821" w:hanging="820" w:hangingChars="34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(a) 不能兑现投标承诺；</w:t>
      </w:r>
    </w:p>
    <w:p w14:paraId="78EBA11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 弄虚作假骗取中标；</w:t>
      </w:r>
    </w:p>
    <w:p w14:paraId="5EF07562">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（c）在招标、投标、评标、定标以及授予合同过程中，对招标人、代理机构、其他投标人、评标委员会成员、</w:t>
      </w:r>
      <w:r>
        <w:rPr>
          <w:rFonts w:hint="eastAsia" w:ascii="宋体" w:hAnsi="宋体" w:cs="宋体"/>
          <w:color w:val="auto"/>
          <w:kern w:val="0"/>
          <w:sz w:val="24"/>
          <w:szCs w:val="24"/>
          <w:highlight w:val="none"/>
        </w:rPr>
        <w:t>交易服务机构的</w:t>
      </w:r>
      <w:r>
        <w:rPr>
          <w:rFonts w:hint="eastAsia" w:ascii="宋体" w:hAnsi="宋体" w:cs="宋体"/>
          <w:color w:val="auto"/>
          <w:sz w:val="24"/>
          <w:szCs w:val="24"/>
          <w:highlight w:val="none"/>
        </w:rPr>
        <w:t>工作人员行贿、</w:t>
      </w:r>
      <w:r>
        <w:rPr>
          <w:rFonts w:hint="eastAsia" w:ascii="宋体" w:hAnsi="宋体" w:cs="宋体"/>
          <w:color w:val="auto"/>
          <w:kern w:val="0"/>
          <w:sz w:val="24"/>
          <w:szCs w:val="24"/>
          <w:highlight w:val="none"/>
        </w:rPr>
        <w:t>利诱、</w:t>
      </w:r>
      <w:r>
        <w:rPr>
          <w:rFonts w:hint="eastAsia" w:ascii="宋体" w:hAnsi="宋体" w:cs="宋体"/>
          <w:color w:val="auto"/>
          <w:sz w:val="24"/>
          <w:szCs w:val="24"/>
          <w:highlight w:val="none"/>
        </w:rPr>
        <w:t>欺诈或者施加影响；</w:t>
      </w:r>
    </w:p>
    <w:p w14:paraId="2E45276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(d) 擅自将任务转包其他单位；</w:t>
      </w:r>
    </w:p>
    <w:p w14:paraId="697CB3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(e) 中标人实质上不符合投标资格；</w:t>
      </w:r>
    </w:p>
    <w:p w14:paraId="03F8FE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hint="eastAsia" w:ascii="宋体" w:hAnsi="宋体" w:cs="宋体"/>
          <w:b/>
          <w:color w:val="auto"/>
          <w:kern w:val="44"/>
          <w:sz w:val="24"/>
          <w:szCs w:val="24"/>
          <w:highlight w:val="none"/>
        </w:rPr>
      </w:pPr>
      <w:r>
        <w:rPr>
          <w:rFonts w:hint="eastAsia" w:ascii="宋体" w:hAnsi="宋体" w:cs="宋体"/>
          <w:b/>
          <w:color w:val="auto"/>
          <w:kern w:val="44"/>
          <w:sz w:val="24"/>
          <w:szCs w:val="24"/>
          <w:highlight w:val="none"/>
        </w:rPr>
        <w:br w:type="page"/>
      </w:r>
      <w:bookmarkStart w:id="154" w:name="_Toc143817039"/>
      <w:bookmarkStart w:id="155" w:name="_Toc19390"/>
      <w:bookmarkStart w:id="156" w:name="_Toc8441"/>
      <w:bookmarkStart w:id="157" w:name="_Toc2595"/>
      <w:bookmarkStart w:id="158" w:name="_Toc28612"/>
      <w:bookmarkStart w:id="159" w:name="_Toc14756"/>
      <w:bookmarkStart w:id="160" w:name="_Toc31135"/>
      <w:bookmarkStart w:id="161" w:name="_Toc31888"/>
      <w:r>
        <w:rPr>
          <w:rFonts w:hint="eastAsia" w:ascii="宋体" w:hAnsi="宋体" w:cs="宋体"/>
          <w:b/>
          <w:color w:val="auto"/>
          <w:kern w:val="44"/>
          <w:sz w:val="36"/>
          <w:szCs w:val="36"/>
          <w:highlight w:val="none"/>
        </w:rPr>
        <w:t>第七章</w:t>
      </w:r>
      <w:bookmarkEnd w:id="154"/>
      <w:r>
        <w:rPr>
          <w:rFonts w:hint="eastAsia" w:ascii="宋体" w:hAnsi="宋体" w:cs="宋体"/>
          <w:b/>
          <w:color w:val="auto"/>
          <w:kern w:val="44"/>
          <w:sz w:val="36"/>
          <w:szCs w:val="36"/>
          <w:highlight w:val="none"/>
        </w:rPr>
        <w:t xml:space="preserve">  知识产权</w:t>
      </w:r>
      <w:r>
        <w:rPr>
          <w:rFonts w:hint="eastAsia" w:ascii="宋体" w:hAnsi="宋体" w:cs="宋体"/>
          <w:b/>
          <w:color w:val="auto"/>
          <w:kern w:val="44"/>
          <w:sz w:val="36"/>
          <w:szCs w:val="36"/>
          <w:highlight w:val="none"/>
          <w:u w:val="single"/>
        </w:rPr>
        <w:t>（范本原文）</w:t>
      </w:r>
      <w:bookmarkEnd w:id="155"/>
      <w:bookmarkEnd w:id="156"/>
      <w:bookmarkEnd w:id="157"/>
      <w:bookmarkEnd w:id="158"/>
      <w:bookmarkEnd w:id="159"/>
      <w:bookmarkEnd w:id="160"/>
      <w:bookmarkEnd w:id="161"/>
    </w:p>
    <w:p w14:paraId="35F17983">
      <w:pPr>
        <w:spacing w:line="360" w:lineRule="auto"/>
        <w:rPr>
          <w:rFonts w:hint="eastAsia" w:ascii="宋体" w:hAnsi="宋体" w:cs="宋体"/>
          <w:color w:val="auto"/>
          <w:sz w:val="24"/>
          <w:szCs w:val="24"/>
          <w:highlight w:val="none"/>
        </w:rPr>
      </w:pPr>
    </w:p>
    <w:p w14:paraId="72A957F4">
      <w:pPr>
        <w:spacing w:line="360" w:lineRule="auto"/>
        <w:rPr>
          <w:rFonts w:hint="eastAsia" w:ascii="宋体" w:hAnsi="宋体" w:cs="宋体"/>
          <w:b/>
          <w:color w:val="auto"/>
          <w:sz w:val="24"/>
          <w:szCs w:val="24"/>
          <w:highlight w:val="none"/>
        </w:rPr>
      </w:pPr>
      <w:bookmarkStart w:id="162" w:name="_Toc11606"/>
      <w:bookmarkStart w:id="163" w:name="_Toc30376"/>
      <w:bookmarkStart w:id="164" w:name="_Toc18684"/>
      <w:bookmarkStart w:id="165" w:name="_Toc23271"/>
      <w:r>
        <w:rPr>
          <w:rFonts w:hint="eastAsia" w:ascii="宋体" w:hAnsi="宋体" w:cs="宋体"/>
          <w:b/>
          <w:color w:val="auto"/>
          <w:sz w:val="24"/>
          <w:szCs w:val="24"/>
          <w:highlight w:val="none"/>
        </w:rPr>
        <w:t>7.1    公开展示</w:t>
      </w:r>
      <w:bookmarkEnd w:id="162"/>
      <w:bookmarkEnd w:id="163"/>
      <w:bookmarkEnd w:id="164"/>
      <w:bookmarkEnd w:id="165"/>
    </w:p>
    <w:p w14:paraId="75404BCE">
      <w:pPr>
        <w:spacing w:line="360" w:lineRule="auto"/>
        <w:rPr>
          <w:rFonts w:hint="eastAsia" w:ascii="宋体" w:hAnsi="宋体" w:cs="宋体"/>
          <w:color w:val="auto"/>
          <w:sz w:val="24"/>
          <w:szCs w:val="24"/>
          <w:highlight w:val="none"/>
        </w:rPr>
      </w:pPr>
    </w:p>
    <w:p w14:paraId="10AEC344">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7.1.1  按招标文件规定获得补偿的投标文件，评标后不予退回。</w:t>
      </w:r>
    </w:p>
    <w:p w14:paraId="54211506">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hint="eastAsia" w:ascii="宋体" w:hAnsi="宋体" w:cs="宋体"/>
          <w:color w:val="auto"/>
          <w:sz w:val="24"/>
          <w:szCs w:val="24"/>
          <w:highlight w:val="none"/>
        </w:rPr>
      </w:pPr>
    </w:p>
    <w:p w14:paraId="626B0B11">
      <w:pPr>
        <w:spacing w:line="360" w:lineRule="auto"/>
        <w:rPr>
          <w:rFonts w:hint="eastAsia" w:ascii="宋体" w:hAnsi="宋体" w:cs="宋体"/>
          <w:b/>
          <w:color w:val="auto"/>
          <w:sz w:val="24"/>
          <w:szCs w:val="24"/>
          <w:highlight w:val="none"/>
        </w:rPr>
      </w:pPr>
      <w:bookmarkStart w:id="166" w:name="_Toc5915"/>
      <w:bookmarkStart w:id="167" w:name="_Toc13068"/>
      <w:bookmarkStart w:id="168" w:name="_Toc14400"/>
      <w:bookmarkStart w:id="169" w:name="_Toc10309"/>
      <w:r>
        <w:rPr>
          <w:rFonts w:hint="eastAsia" w:ascii="宋体" w:hAnsi="宋体" w:cs="宋体"/>
          <w:b/>
          <w:color w:val="auto"/>
          <w:sz w:val="24"/>
          <w:szCs w:val="24"/>
          <w:highlight w:val="none"/>
        </w:rPr>
        <w:t>7.2    知识产权转移</w:t>
      </w:r>
      <w:bookmarkEnd w:id="166"/>
      <w:bookmarkEnd w:id="167"/>
      <w:bookmarkEnd w:id="168"/>
      <w:bookmarkEnd w:id="169"/>
    </w:p>
    <w:p w14:paraId="417270BF">
      <w:pPr>
        <w:spacing w:line="360" w:lineRule="auto"/>
        <w:ind w:left="821" w:hanging="820" w:hangingChars="342"/>
        <w:jc w:val="left"/>
        <w:rPr>
          <w:rFonts w:hint="eastAsia" w:ascii="宋体" w:hAnsi="宋体" w:cs="宋体"/>
          <w:color w:val="auto"/>
          <w:sz w:val="24"/>
          <w:szCs w:val="24"/>
          <w:highlight w:val="none"/>
        </w:rPr>
      </w:pPr>
    </w:p>
    <w:p w14:paraId="09ECC249">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hint="eastAsia" w:ascii="宋体" w:hAnsi="宋体" w:cs="宋体"/>
          <w:color w:val="auto"/>
          <w:sz w:val="24"/>
          <w:szCs w:val="24"/>
          <w:highlight w:val="none"/>
        </w:rPr>
      </w:pPr>
    </w:p>
    <w:p w14:paraId="5B4702D6">
      <w:pPr>
        <w:spacing w:line="360" w:lineRule="auto"/>
        <w:rPr>
          <w:rFonts w:hint="eastAsia" w:ascii="宋体" w:hAnsi="宋体" w:cs="宋体"/>
          <w:b/>
          <w:color w:val="auto"/>
          <w:sz w:val="24"/>
          <w:szCs w:val="24"/>
          <w:highlight w:val="none"/>
        </w:rPr>
      </w:pPr>
      <w:bookmarkStart w:id="170" w:name="_Toc17398"/>
      <w:bookmarkStart w:id="171" w:name="_Toc32320"/>
      <w:bookmarkStart w:id="172" w:name="_Toc20494"/>
      <w:bookmarkStart w:id="173" w:name="_Toc1146"/>
      <w:r>
        <w:rPr>
          <w:rFonts w:hint="eastAsia" w:ascii="宋体" w:hAnsi="宋体" w:cs="宋体"/>
          <w:b/>
          <w:color w:val="auto"/>
          <w:sz w:val="24"/>
          <w:szCs w:val="24"/>
          <w:highlight w:val="none"/>
        </w:rPr>
        <w:t>7.3    其他</w:t>
      </w:r>
      <w:bookmarkEnd w:id="170"/>
      <w:bookmarkEnd w:id="171"/>
      <w:bookmarkEnd w:id="172"/>
      <w:bookmarkEnd w:id="173"/>
    </w:p>
    <w:p w14:paraId="752F76AC">
      <w:pPr>
        <w:spacing w:line="360" w:lineRule="auto"/>
        <w:ind w:left="821" w:hanging="820" w:hangingChars="342"/>
        <w:rPr>
          <w:rFonts w:hint="eastAsia" w:ascii="宋体" w:hAnsi="宋体" w:cs="宋体"/>
          <w:color w:val="auto"/>
          <w:sz w:val="24"/>
          <w:szCs w:val="24"/>
          <w:highlight w:val="none"/>
        </w:rPr>
      </w:pPr>
    </w:p>
    <w:p w14:paraId="0BFC8251">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hint="eastAsia" w:ascii="宋体" w:hAnsi="宋体" w:cs="宋体"/>
          <w:color w:val="auto"/>
          <w:sz w:val="24"/>
          <w:szCs w:val="24"/>
          <w:highlight w:val="none"/>
        </w:rPr>
      </w:pPr>
      <w:r>
        <w:rPr>
          <w:rFonts w:hint="eastAsia" w:ascii="宋体" w:hAnsi="宋体" w:cs="宋体"/>
          <w:color w:val="auto"/>
          <w:sz w:val="24"/>
          <w:szCs w:val="24"/>
          <w:highlight w:val="none"/>
        </w:rPr>
        <w:t>7.3.4  招标人有权无须事先征求中标人的同意而披露关于中标人的名称、地址、合同条款。</w:t>
      </w:r>
    </w:p>
    <w:p w14:paraId="52AB5881">
      <w:pPr>
        <w:spacing w:line="360" w:lineRule="auto"/>
        <w:rPr>
          <w:rFonts w:hint="eastAsia" w:ascii="宋体" w:hAnsi="宋体" w:cs="宋体"/>
          <w:color w:val="auto"/>
          <w:sz w:val="24"/>
          <w:szCs w:val="24"/>
          <w:highlight w:val="none"/>
        </w:rPr>
      </w:pPr>
    </w:p>
    <w:p w14:paraId="4032D2C7">
      <w:pPr>
        <w:spacing w:line="360" w:lineRule="auto"/>
        <w:rPr>
          <w:rFonts w:hint="eastAsia" w:ascii="宋体" w:hAnsi="宋体" w:cs="宋体"/>
          <w:color w:val="auto"/>
          <w:sz w:val="24"/>
          <w:szCs w:val="24"/>
          <w:highlight w:val="none"/>
        </w:rPr>
      </w:pPr>
    </w:p>
    <w:p w14:paraId="02B11196">
      <w:pPr>
        <w:rPr>
          <w:rFonts w:hint="eastAsia" w:ascii="宋体" w:hAnsi="宋体" w:cs="宋体"/>
          <w:color w:val="auto"/>
          <w:szCs w:val="21"/>
          <w:highlight w:val="none"/>
        </w:rPr>
      </w:pPr>
    </w:p>
    <w:p w14:paraId="58620E1C">
      <w:pPr>
        <w:keepNext/>
        <w:keepLines/>
        <w:spacing w:line="360" w:lineRule="auto"/>
        <w:jc w:val="center"/>
        <w:outlineLvl w:val="0"/>
        <w:rPr>
          <w:rFonts w:hint="eastAsia" w:ascii="宋体" w:hAnsi="宋体" w:cs="宋体"/>
          <w:b/>
          <w:color w:val="auto"/>
          <w:kern w:val="44"/>
          <w:sz w:val="36"/>
          <w:szCs w:val="36"/>
          <w:highlight w:val="none"/>
        </w:rPr>
      </w:pPr>
      <w:r>
        <w:rPr>
          <w:rFonts w:hint="eastAsia" w:ascii="宋体" w:hAnsi="宋体" w:cs="宋体"/>
          <w:color w:val="auto"/>
          <w:szCs w:val="21"/>
          <w:highlight w:val="none"/>
        </w:rPr>
        <w:br w:type="page"/>
      </w:r>
      <w:bookmarkStart w:id="174" w:name="_Toc143817040"/>
      <w:bookmarkStart w:id="175" w:name="_Toc608"/>
      <w:bookmarkStart w:id="176" w:name="_Toc6618"/>
      <w:bookmarkStart w:id="177" w:name="_Toc23945"/>
      <w:bookmarkStart w:id="178" w:name="_Toc29556"/>
      <w:bookmarkStart w:id="179" w:name="_Toc15745"/>
      <w:bookmarkStart w:id="180" w:name="_Toc8783"/>
      <w:bookmarkStart w:id="181" w:name="_Toc14718"/>
      <w:r>
        <w:rPr>
          <w:rFonts w:hint="eastAsia" w:ascii="宋体" w:hAnsi="宋体" w:cs="宋体"/>
          <w:b/>
          <w:color w:val="auto"/>
          <w:kern w:val="44"/>
          <w:sz w:val="36"/>
          <w:szCs w:val="36"/>
          <w:highlight w:val="none"/>
        </w:rPr>
        <w:t>第八章</w:t>
      </w:r>
      <w:bookmarkEnd w:id="174"/>
      <w:r>
        <w:rPr>
          <w:rFonts w:hint="eastAsia" w:ascii="宋体" w:hAnsi="宋体" w:cs="宋体"/>
          <w:b/>
          <w:color w:val="auto"/>
          <w:kern w:val="44"/>
          <w:sz w:val="36"/>
          <w:szCs w:val="36"/>
          <w:highlight w:val="none"/>
        </w:rPr>
        <w:t xml:space="preserve">  合同条款</w:t>
      </w:r>
      <w:bookmarkEnd w:id="175"/>
      <w:bookmarkEnd w:id="176"/>
      <w:bookmarkEnd w:id="177"/>
      <w:bookmarkEnd w:id="178"/>
      <w:bookmarkEnd w:id="179"/>
      <w:bookmarkEnd w:id="180"/>
      <w:bookmarkEnd w:id="181"/>
    </w:p>
    <w:p w14:paraId="5CA070C4">
      <w:pPr>
        <w:spacing w:line="360" w:lineRule="auto"/>
        <w:jc w:val="center"/>
        <w:rPr>
          <w:rFonts w:hint="eastAsia" w:ascii="宋体" w:hAnsi="宋体" w:cs="宋体"/>
          <w:color w:val="auto"/>
          <w:sz w:val="28"/>
          <w:szCs w:val="32"/>
          <w:highlight w:val="none"/>
        </w:rPr>
      </w:pPr>
      <w:r>
        <w:rPr>
          <w:rFonts w:hint="eastAsia" w:ascii="宋体" w:hAnsi="宋体" w:cs="宋体"/>
          <w:color w:val="auto"/>
          <w:sz w:val="28"/>
          <w:szCs w:val="28"/>
          <w:highlight w:val="none"/>
        </w:rPr>
        <w:t>（另册）</w:t>
      </w:r>
    </w:p>
    <w:p w14:paraId="4751A398">
      <w:pPr>
        <w:spacing w:line="360" w:lineRule="auto"/>
        <w:rPr>
          <w:rFonts w:hint="eastAsia" w:ascii="宋体" w:hAnsi="宋体" w:cs="宋体"/>
          <w:color w:val="auto"/>
          <w:szCs w:val="21"/>
          <w:highlight w:val="none"/>
        </w:rPr>
        <w:sectPr>
          <w:footerReference r:id="rId3" w:type="default"/>
          <w:pgSz w:w="11906" w:h="16838"/>
          <w:pgMar w:top="1440" w:right="1466" w:bottom="1440"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4C29DA6">
      <w:pPr>
        <w:keepNext/>
        <w:keepLines/>
        <w:spacing w:line="360" w:lineRule="auto"/>
        <w:outlineLvl w:val="1"/>
        <w:rPr>
          <w:rFonts w:hint="eastAsia" w:ascii="宋体" w:hAnsi="宋体" w:cs="宋体"/>
          <w:b/>
          <w:strike/>
          <w:color w:val="auto"/>
          <w:kern w:val="44"/>
          <w:szCs w:val="21"/>
          <w:highlight w:val="none"/>
        </w:rPr>
      </w:pPr>
      <w:bookmarkStart w:id="182" w:name="_Toc9307"/>
      <w:bookmarkEnd w:id="182"/>
      <w:bookmarkStart w:id="183" w:name="_Toc5000"/>
      <w:bookmarkStart w:id="184" w:name="_Toc1335"/>
      <w:bookmarkStart w:id="185" w:name="_Toc8971"/>
      <w:bookmarkStart w:id="186" w:name="_Toc11184"/>
      <w:bookmarkStart w:id="187" w:name="_Toc27761"/>
      <w:bookmarkStart w:id="188" w:name="_Toc16027"/>
      <w:bookmarkStart w:id="189" w:name="_Toc13812"/>
      <w:r>
        <w:rPr>
          <w:rFonts w:hint="eastAsia" w:ascii="宋体" w:hAnsi="宋体" w:cs="宋体"/>
          <w:b/>
          <w:strike/>
          <w:color w:val="auto"/>
          <w:kern w:val="44"/>
          <w:szCs w:val="21"/>
          <w:highlight w:val="none"/>
        </w:rPr>
        <w:t>附录1 投标申请表（投入人员承诺）</w:t>
      </w:r>
      <w:bookmarkEnd w:id="183"/>
      <w:bookmarkEnd w:id="184"/>
      <w:bookmarkEnd w:id="185"/>
      <w:bookmarkEnd w:id="186"/>
      <w:bookmarkEnd w:id="187"/>
      <w:bookmarkEnd w:id="188"/>
      <w:bookmarkEnd w:id="189"/>
    </w:p>
    <w:p w14:paraId="00A0A943">
      <w:pPr>
        <w:spacing w:line="240" w:lineRule="auto"/>
        <w:jc w:val="center"/>
        <w:rPr>
          <w:rFonts w:hint="eastAsia" w:ascii="宋体" w:hAnsi="宋体" w:cs="宋体"/>
          <w:b/>
          <w:strike/>
          <w:color w:val="auto"/>
          <w:sz w:val="36"/>
          <w:szCs w:val="36"/>
          <w:highlight w:val="none"/>
        </w:rPr>
      </w:pPr>
      <w:r>
        <w:rPr>
          <w:rFonts w:hint="eastAsia" w:ascii="宋体" w:hAnsi="宋体" w:cs="宋体"/>
          <w:b/>
          <w:strike/>
          <w:color w:val="auto"/>
          <w:sz w:val="36"/>
          <w:szCs w:val="36"/>
          <w:highlight w:val="none"/>
        </w:rPr>
        <w:t>投标申请表（投入人员承诺）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3387"/>
        <w:gridCol w:w="2374"/>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860F8C7">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10651109">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姓名</w:t>
            </w:r>
          </w:p>
        </w:tc>
        <w:tc>
          <w:tcPr>
            <w:tcW w:w="3387" w:type="dxa"/>
            <w:tcBorders>
              <w:top w:val="single" w:color="auto" w:sz="4" w:space="0"/>
              <w:left w:val="single" w:color="auto" w:sz="4" w:space="0"/>
              <w:bottom w:val="single" w:color="auto" w:sz="4" w:space="0"/>
              <w:right w:val="single" w:color="auto" w:sz="4" w:space="0"/>
            </w:tcBorders>
            <w:vAlign w:val="center"/>
          </w:tcPr>
          <w:p w14:paraId="04444139">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专业分工</w:t>
            </w:r>
          </w:p>
        </w:tc>
        <w:tc>
          <w:tcPr>
            <w:tcW w:w="2374" w:type="dxa"/>
            <w:tcBorders>
              <w:top w:val="single" w:color="auto" w:sz="4" w:space="0"/>
              <w:left w:val="single" w:color="auto" w:sz="4" w:space="0"/>
              <w:bottom w:val="single" w:color="auto" w:sz="4" w:space="0"/>
              <w:right w:val="single" w:color="auto" w:sz="4" w:space="0"/>
            </w:tcBorders>
            <w:vAlign w:val="center"/>
          </w:tcPr>
          <w:p w14:paraId="033BD6D1">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vAlign w:val="center"/>
          </w:tcPr>
          <w:p w14:paraId="48249DEA">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vAlign w:val="center"/>
          </w:tcPr>
          <w:p w14:paraId="76BDC0DE">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7718AC2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B4A804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79E5874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Cs w:val="21"/>
                <w:highlight w:val="none"/>
              </w:rPr>
            </w:pPr>
            <w:r>
              <w:rPr>
                <w:rFonts w:hint="eastAsia" w:ascii="宋体" w:hAnsi="宋体" w:cs="宋体"/>
                <w:b/>
                <w:bCs/>
                <w:strike/>
                <w:color w:val="auto"/>
                <w:sz w:val="24"/>
                <w:szCs w:val="24"/>
                <w:highlight w:val="none"/>
              </w:rPr>
              <w:t>勘察人员</w:t>
            </w:r>
          </w:p>
        </w:tc>
        <w:tc>
          <w:tcPr>
            <w:tcW w:w="2374" w:type="dxa"/>
            <w:tcBorders>
              <w:top w:val="single" w:color="auto" w:sz="4" w:space="0"/>
              <w:left w:val="single" w:color="auto" w:sz="4" w:space="0"/>
              <w:bottom w:val="single" w:color="auto" w:sz="4" w:space="0"/>
              <w:right w:val="single" w:color="auto" w:sz="4" w:space="0"/>
            </w:tcBorders>
            <w:vAlign w:val="center"/>
          </w:tcPr>
          <w:p w14:paraId="0E29884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0EE67C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1EAEF4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1F8632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0D192F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 w:val="32"/>
                <w:szCs w:val="32"/>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3F3E6F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Cs w:val="21"/>
                <w:highlight w:val="none"/>
              </w:rPr>
            </w:pPr>
            <w:r>
              <w:rPr>
                <w:rFonts w:hint="eastAsia" w:ascii="宋体" w:hAnsi="宋体" w:cs="宋体"/>
                <w:strike/>
                <w:color w:val="auto"/>
                <w:sz w:val="24"/>
                <w:szCs w:val="24"/>
                <w:highlight w:val="none"/>
              </w:rPr>
              <w:t>勘察专业负责人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296325C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C46651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027B509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3B8F17B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273593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1BA444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Cs w:val="21"/>
                <w:highlight w:val="none"/>
              </w:rPr>
            </w:pPr>
            <w:r>
              <w:rPr>
                <w:rFonts w:hint="eastAsia" w:ascii="宋体" w:hAnsi="宋体" w:cs="宋体"/>
                <w:b/>
                <w:bCs/>
                <w:strike/>
                <w:color w:val="auto"/>
                <w:sz w:val="24"/>
                <w:szCs w:val="24"/>
                <w:highlight w:val="none"/>
              </w:rPr>
              <w:t>设计人员</w:t>
            </w:r>
          </w:p>
        </w:tc>
        <w:tc>
          <w:tcPr>
            <w:tcW w:w="2374" w:type="dxa"/>
            <w:tcBorders>
              <w:top w:val="single" w:color="auto" w:sz="4" w:space="0"/>
              <w:left w:val="single" w:color="auto" w:sz="4" w:space="0"/>
              <w:bottom w:val="single" w:color="auto" w:sz="4" w:space="0"/>
              <w:right w:val="single" w:color="auto" w:sz="4" w:space="0"/>
            </w:tcBorders>
            <w:vAlign w:val="center"/>
          </w:tcPr>
          <w:p w14:paraId="74A6F42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071A15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130EF9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68B8DA6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37D025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24A3267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Cs w:val="21"/>
                <w:highlight w:val="none"/>
              </w:rPr>
            </w:pPr>
            <w:r>
              <w:rPr>
                <w:rFonts w:hint="eastAsia" w:ascii="宋体" w:hAnsi="宋体" w:cs="宋体"/>
                <w:strike/>
                <w:color w:val="auto"/>
                <w:sz w:val="24"/>
                <w:szCs w:val="24"/>
                <w:highlight w:val="none"/>
              </w:rPr>
              <w:t>设计负责人（项目负责人）</w:t>
            </w:r>
          </w:p>
        </w:tc>
        <w:tc>
          <w:tcPr>
            <w:tcW w:w="2374" w:type="dxa"/>
            <w:tcBorders>
              <w:top w:val="single" w:color="auto" w:sz="4" w:space="0"/>
              <w:left w:val="single" w:color="auto" w:sz="4" w:space="0"/>
              <w:bottom w:val="single" w:color="auto" w:sz="4" w:space="0"/>
              <w:right w:val="single" w:color="auto" w:sz="4" w:space="0"/>
            </w:tcBorders>
            <w:vAlign w:val="center"/>
          </w:tcPr>
          <w:p w14:paraId="22F3DF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A7A514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D2FBFB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38B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69F1931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E7B00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1B31AFC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项目协调人</w:t>
            </w:r>
          </w:p>
        </w:tc>
        <w:tc>
          <w:tcPr>
            <w:tcW w:w="2374" w:type="dxa"/>
            <w:tcBorders>
              <w:top w:val="single" w:color="auto" w:sz="4" w:space="0"/>
              <w:left w:val="single" w:color="auto" w:sz="4" w:space="0"/>
              <w:bottom w:val="single" w:color="auto" w:sz="4" w:space="0"/>
              <w:right w:val="single" w:color="auto" w:sz="4" w:space="0"/>
            </w:tcBorders>
            <w:vAlign w:val="center"/>
          </w:tcPr>
          <w:p w14:paraId="7B167C9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060E51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F15BA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9A529E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72A40A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71CC30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Cs w:val="21"/>
                <w:highlight w:val="none"/>
              </w:rPr>
            </w:pPr>
            <w:r>
              <w:rPr>
                <w:rFonts w:hint="eastAsia" w:ascii="宋体" w:hAnsi="宋体" w:cs="宋体"/>
                <w:strike/>
                <w:color w:val="auto"/>
                <w:sz w:val="24"/>
                <w:szCs w:val="24"/>
                <w:highlight w:val="none"/>
              </w:rPr>
              <w:t>建筑专业负责人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100FF3F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58185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B07A8F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65D9424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F23C51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693709A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建筑专业设计人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5081034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B109F3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D9AF2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4D95145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50C29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7FB5293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结构专业负责人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48835E9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2DA51D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3E1A5B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4D26C8F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2ED9A1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310C9C1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结构专业设计人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60523F2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08E85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A2C72A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C14179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F98B5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7BB677B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给排水专业负责人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0642C4B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1CE463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9F72F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51C4E96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69A5C3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2DE7D3B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给排水专业设计人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3E9C5FF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810C1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018561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55F148C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E64705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4705C2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电气专业负责人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3D9DD9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14A18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F607A1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25D717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F977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220A18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电气专业设计人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558D111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3783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196CEC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1F38B2D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27E4F2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3EE9D4D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暖通空调专业负责人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659787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464D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48A672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456DC69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727037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5FB8FD9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暖通空调专业设计人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3D0D0F6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F7284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8E94C2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r w14:paraId="615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1460AE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8F173F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60A982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color w:val="auto"/>
                <w:sz w:val="24"/>
                <w:szCs w:val="24"/>
                <w:highlight w:val="none"/>
              </w:rPr>
            </w:pPr>
            <w:r>
              <w:rPr>
                <w:rFonts w:hint="eastAsia" w:ascii="宋体" w:hAnsi="宋体" w:cs="宋体"/>
                <w:strike/>
                <w:color w:val="auto"/>
                <w:highlight w:val="none"/>
              </w:rPr>
              <w:t>...</w:t>
            </w:r>
          </w:p>
        </w:tc>
        <w:tc>
          <w:tcPr>
            <w:tcW w:w="2374" w:type="dxa"/>
            <w:tcBorders>
              <w:top w:val="single" w:color="auto" w:sz="4" w:space="0"/>
              <w:left w:val="single" w:color="auto" w:sz="4" w:space="0"/>
              <w:bottom w:val="single" w:color="auto" w:sz="4" w:space="0"/>
              <w:right w:val="single" w:color="auto" w:sz="4" w:space="0"/>
            </w:tcBorders>
            <w:vAlign w:val="center"/>
          </w:tcPr>
          <w:p w14:paraId="2CEB1C1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109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DD2509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color w:val="auto"/>
                <w:szCs w:val="21"/>
                <w:highlight w:val="none"/>
              </w:rPr>
            </w:pPr>
          </w:p>
        </w:tc>
      </w:tr>
    </w:tbl>
    <w:p w14:paraId="3DE2440F">
      <w:pPr>
        <w:spacing w:line="240" w:lineRule="auto"/>
        <w:jc w:val="left"/>
        <w:rPr>
          <w:rFonts w:hint="eastAsia" w:ascii="宋体" w:hAnsi="宋体" w:cs="宋体"/>
          <w:strike/>
          <w:color w:val="auto"/>
          <w:highlight w:val="none"/>
        </w:rPr>
      </w:pPr>
      <w:r>
        <w:rPr>
          <w:rFonts w:hint="eastAsia" w:ascii="宋体" w:hAnsi="宋体" w:cs="宋体"/>
          <w:strike/>
          <w:color w:val="auto"/>
          <w:sz w:val="24"/>
          <w:szCs w:val="24"/>
          <w:highlight w:val="none"/>
        </w:rPr>
        <w:t>注：以上投入人员不得兼任。资格审查只审核项目负责人资格，其他投入人员由投标人自行提供。</w:t>
      </w:r>
    </w:p>
    <w:p w14:paraId="305F8E2F">
      <w:pPr>
        <w:spacing w:line="240" w:lineRule="auto"/>
        <w:rPr>
          <w:rFonts w:hint="eastAsia" w:ascii="宋体" w:hAnsi="宋体" w:cs="宋体"/>
          <w:strike/>
          <w:color w:val="auto"/>
          <w:szCs w:val="21"/>
          <w:highlight w:val="none"/>
        </w:rPr>
        <w:sectPr>
          <w:pgSz w:w="16838" w:h="11906" w:orient="landscape"/>
          <w:pgMar w:top="1440" w:right="1440" w:bottom="1466" w:left="1440" w:header="851" w:footer="992" w:gutter="0"/>
          <w:pgBorders>
            <w:top w:val="none" w:sz="0" w:space="0"/>
            <w:left w:val="none" w:sz="0" w:space="0"/>
            <w:bottom w:val="none" w:sz="0" w:space="0"/>
            <w:right w:val="none" w:sz="0" w:space="0"/>
          </w:pgBorders>
          <w:cols w:space="720" w:num="1"/>
          <w:docGrid w:type="lines" w:linePitch="312" w:charSpace="0"/>
        </w:sectPr>
      </w:pPr>
    </w:p>
    <w:p w14:paraId="1E2EB396">
      <w:pPr>
        <w:pStyle w:val="4"/>
        <w:rPr>
          <w:rFonts w:hint="eastAsia" w:ascii="宋体" w:hAnsi="宋体" w:cs="宋体"/>
          <w:color w:val="auto"/>
          <w:highlight w:val="none"/>
        </w:rPr>
      </w:pPr>
      <w:bookmarkStart w:id="190" w:name="_Toc13024"/>
      <w:bookmarkStart w:id="191" w:name="_Toc15607"/>
      <w:bookmarkStart w:id="192" w:name="_Toc271"/>
      <w:bookmarkStart w:id="193" w:name="_Toc23459"/>
      <w:bookmarkStart w:id="194" w:name="_Toc17243"/>
      <w:bookmarkStart w:id="195" w:name="_Toc25101"/>
      <w:bookmarkStart w:id="196" w:name="_Toc18675"/>
      <w:r>
        <w:rPr>
          <w:rFonts w:hint="eastAsia" w:ascii="宋体" w:hAnsi="宋体" w:cs="宋体"/>
          <w:color w:val="auto"/>
          <w:sz w:val="21"/>
          <w:szCs w:val="21"/>
          <w:highlight w:val="none"/>
        </w:rPr>
        <w:t>附件2 设计投标文件编制要求</w:t>
      </w:r>
      <w:bookmarkEnd w:id="190"/>
      <w:bookmarkEnd w:id="191"/>
      <w:bookmarkEnd w:id="192"/>
      <w:bookmarkEnd w:id="193"/>
      <w:bookmarkEnd w:id="194"/>
      <w:bookmarkEnd w:id="195"/>
      <w:bookmarkEnd w:id="196"/>
    </w:p>
    <w:p w14:paraId="05FE24A6">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设计投标文件编制要求</w:t>
      </w:r>
    </w:p>
    <w:p w14:paraId="70839DE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（适用于勘察初步设计投标）</w:t>
      </w:r>
    </w:p>
    <w:p w14:paraId="44003B98">
      <w:pPr>
        <w:spacing w:line="360" w:lineRule="auto"/>
        <w:rPr>
          <w:rFonts w:hint="eastAsia" w:ascii="宋体" w:hAnsi="宋体" w:cs="宋体"/>
          <w:color w:val="auto"/>
          <w:sz w:val="24"/>
          <w:szCs w:val="24"/>
          <w:highlight w:val="none"/>
        </w:rPr>
      </w:pPr>
      <w:bookmarkStart w:id="197" w:name="_Toc22863"/>
      <w:bookmarkStart w:id="198" w:name="_Toc17609"/>
      <w:bookmarkStart w:id="199" w:name="_Toc21994"/>
      <w:r>
        <w:rPr>
          <w:rFonts w:hint="eastAsia" w:ascii="宋体" w:hAnsi="宋体" w:cs="宋体"/>
          <w:b/>
          <w:color w:val="auto"/>
          <w:sz w:val="24"/>
          <w:szCs w:val="24"/>
          <w:highlight w:val="none"/>
        </w:rPr>
        <w:t>1   投标文件</w:t>
      </w:r>
      <w:bookmarkEnd w:id="197"/>
      <w:bookmarkEnd w:id="198"/>
      <w:bookmarkEnd w:id="199"/>
    </w:p>
    <w:p w14:paraId="15E189CB">
      <w:pPr>
        <w:spacing w:line="240" w:lineRule="auto"/>
        <w:ind w:left="410" w:hanging="410" w:hangingChars="171"/>
        <w:rPr>
          <w:rFonts w:hint="eastAsia" w:ascii="宋体" w:hAnsi="宋体" w:cs="宋体"/>
          <w:color w:val="auto"/>
          <w:sz w:val="24"/>
          <w:szCs w:val="24"/>
          <w:highlight w:val="none"/>
        </w:rPr>
      </w:pPr>
    </w:p>
    <w:p w14:paraId="1717B402">
      <w:pPr>
        <w:spacing w:line="360" w:lineRule="auto"/>
        <w:ind w:left="821" w:hanging="820" w:hangingChars="342"/>
        <w:rPr>
          <w:rFonts w:hint="eastAsia" w:ascii="宋体" w:hAnsi="宋体" w:cs="宋体"/>
          <w:color w:val="auto"/>
          <w:sz w:val="24"/>
          <w:szCs w:val="24"/>
          <w:highlight w:val="none"/>
        </w:rPr>
      </w:pPr>
      <w:r>
        <w:rPr>
          <w:rFonts w:hint="eastAsia" w:ascii="宋体" w:hAnsi="宋体" w:cs="宋体"/>
          <w:color w:val="auto"/>
          <w:sz w:val="24"/>
          <w:szCs w:val="24"/>
          <w:highlight w:val="none"/>
        </w:rPr>
        <w:t>1.1    投标文件由下列资料组成。</w:t>
      </w:r>
    </w:p>
    <w:p w14:paraId="38AD122F">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(a) 开标信封。</w:t>
      </w:r>
    </w:p>
    <w:p w14:paraId="79DEE0B1">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(b) </w:t>
      </w:r>
      <w:r>
        <w:rPr>
          <w:rFonts w:hint="eastAsia" w:ascii="宋体" w:hAnsi="宋体" w:cs="宋体"/>
          <w:color w:val="auto"/>
          <w:sz w:val="24"/>
          <w:szCs w:val="24"/>
          <w:highlight w:val="none"/>
          <w:u w:val="single"/>
        </w:rPr>
        <w:t>勘察初步设计</w:t>
      </w:r>
      <w:r>
        <w:rPr>
          <w:rFonts w:hint="eastAsia" w:ascii="宋体" w:hAnsi="宋体" w:cs="宋体"/>
          <w:color w:val="auto"/>
          <w:sz w:val="24"/>
          <w:szCs w:val="24"/>
          <w:highlight w:val="none"/>
        </w:rPr>
        <w:t>方案。</w:t>
      </w:r>
    </w:p>
    <w:p w14:paraId="65D623D7">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(c) 资格</w:t>
      </w:r>
      <w:r>
        <w:rPr>
          <w:rFonts w:hint="eastAsia" w:ascii="宋体" w:hAnsi="宋体" w:cs="宋体"/>
          <w:color w:val="auto"/>
          <w:sz w:val="24"/>
          <w:szCs w:val="24"/>
          <w:highlight w:val="none"/>
          <w:u w:val="single"/>
        </w:rPr>
        <w:t>审查</w:t>
      </w:r>
      <w:r>
        <w:rPr>
          <w:rFonts w:hint="eastAsia" w:ascii="宋体" w:hAnsi="宋体" w:cs="宋体"/>
          <w:color w:val="auto"/>
          <w:sz w:val="24"/>
          <w:szCs w:val="24"/>
          <w:highlight w:val="none"/>
        </w:rPr>
        <w:t>文件</w:t>
      </w:r>
      <w:r>
        <w:rPr>
          <w:rFonts w:hint="eastAsia" w:ascii="宋体" w:hAnsi="宋体" w:cs="宋体"/>
          <w:strike/>
          <w:color w:val="auto"/>
          <w:sz w:val="24"/>
          <w:szCs w:val="24"/>
          <w:highlight w:val="none"/>
        </w:rPr>
        <w:t>（如果招标人要求提供）</w:t>
      </w:r>
      <w:r>
        <w:rPr>
          <w:rFonts w:hint="eastAsia" w:ascii="宋体" w:hAnsi="宋体" w:cs="宋体"/>
          <w:color w:val="auto"/>
          <w:sz w:val="24"/>
          <w:szCs w:val="24"/>
          <w:highlight w:val="none"/>
        </w:rPr>
        <w:t>。</w:t>
      </w:r>
    </w:p>
    <w:p w14:paraId="64D298DA">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(d) </w:t>
      </w:r>
      <w:r>
        <w:rPr>
          <w:rFonts w:hint="eastAsia" w:ascii="宋体" w:hAnsi="宋体" w:cs="宋体"/>
          <w:color w:val="auto"/>
          <w:sz w:val="24"/>
          <w:szCs w:val="24"/>
          <w:highlight w:val="none"/>
          <w:u w:val="single"/>
        </w:rPr>
        <w:t>报价文件</w:t>
      </w:r>
      <w:r>
        <w:rPr>
          <w:rFonts w:hint="eastAsia" w:ascii="宋体" w:hAnsi="宋体" w:cs="宋体"/>
          <w:color w:val="auto"/>
          <w:sz w:val="24"/>
          <w:szCs w:val="24"/>
          <w:highlight w:val="none"/>
        </w:rPr>
        <w:t>。</w:t>
      </w:r>
    </w:p>
    <w:p w14:paraId="02E9311C">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(e) 商务文件。</w:t>
      </w:r>
    </w:p>
    <w:p w14:paraId="7D13CD2D">
      <w:pPr>
        <w:spacing w:line="240" w:lineRule="auto"/>
        <w:ind w:left="410" w:hanging="410" w:hangingChars="171"/>
        <w:rPr>
          <w:rFonts w:hint="eastAsia" w:ascii="宋体" w:hAnsi="宋体" w:cs="宋体"/>
          <w:color w:val="auto"/>
          <w:sz w:val="24"/>
          <w:szCs w:val="24"/>
          <w:highlight w:val="none"/>
        </w:rPr>
      </w:pPr>
      <w:bookmarkStart w:id="200" w:name="_Toc20464"/>
      <w:bookmarkStart w:id="201" w:name="_Toc22794"/>
      <w:bookmarkStart w:id="202" w:name="_Toc13752"/>
    </w:p>
    <w:p w14:paraId="04581FDF">
      <w:pPr>
        <w:spacing w:line="24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2    保密要求</w:t>
      </w:r>
      <w:bookmarkEnd w:id="200"/>
      <w:bookmarkEnd w:id="201"/>
      <w:bookmarkEnd w:id="202"/>
    </w:p>
    <w:p w14:paraId="043EA1C5">
      <w:pPr>
        <w:spacing w:line="240" w:lineRule="auto"/>
        <w:ind w:left="410" w:hanging="410" w:hangingChars="171"/>
        <w:rPr>
          <w:rFonts w:hint="eastAsia" w:ascii="宋体" w:hAnsi="宋体" w:cs="宋体"/>
          <w:color w:val="auto"/>
          <w:sz w:val="24"/>
          <w:szCs w:val="24"/>
          <w:highlight w:val="none"/>
        </w:rPr>
      </w:pPr>
    </w:p>
    <w:p w14:paraId="5E0E4D02">
      <w:pPr>
        <w:spacing w:line="360" w:lineRule="auto"/>
        <w:ind w:left="619" w:leftChars="0" w:hanging="619" w:hangingChars="25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   投标文件必须隐匿投标人及专业技术人员的名称，除了《投标书》（格式见附录6）、</w:t>
      </w:r>
      <w:r>
        <w:rPr>
          <w:rFonts w:hint="eastAsia" w:ascii="宋体" w:hAnsi="宋体" w:cs="宋体"/>
          <w:color w:val="auto"/>
          <w:sz w:val="24"/>
          <w:szCs w:val="24"/>
          <w:highlight w:val="none"/>
          <w:u w:val="single"/>
        </w:rPr>
        <w:t>《联合体共同投标协议》</w:t>
      </w:r>
      <w:r>
        <w:rPr>
          <w:rFonts w:hint="eastAsia" w:ascii="宋体" w:hAnsi="宋体" w:cs="宋体"/>
          <w:color w:val="auto"/>
          <w:sz w:val="24"/>
          <w:szCs w:val="24"/>
          <w:highlight w:val="none"/>
        </w:rPr>
        <w:t>（格式见附录7）、</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合作设计协议书</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格式见附录7-1</w:t>
      </w:r>
      <w:r>
        <w:rPr>
          <w:rFonts w:hint="eastAsia" w:ascii="Times New Roman" w:hAnsi="Times New Roman" w:cs="Times New Roman"/>
          <w:color w:val="auto"/>
          <w:sz w:val="24"/>
          <w:szCs w:val="24"/>
          <w:highlight w:val="none"/>
          <w:lang w:eastAsia="zh-CN"/>
        </w:rPr>
        <w:t>）、</w:t>
      </w:r>
      <w:r>
        <w:rPr>
          <w:rFonts w:hint="eastAsia" w:ascii="宋体" w:hAnsi="宋体" w:cs="宋体"/>
          <w:color w:val="auto"/>
          <w:sz w:val="24"/>
          <w:szCs w:val="24"/>
          <w:highlight w:val="none"/>
        </w:rPr>
        <w:t>《投标人声明》（格式见附录8）和资格审查文件、</w:t>
      </w:r>
      <w:r>
        <w:rPr>
          <w:rFonts w:hint="eastAsia" w:ascii="宋体" w:hAnsi="宋体" w:cs="宋体"/>
          <w:color w:val="auto"/>
          <w:sz w:val="24"/>
          <w:highlight w:val="none"/>
        </w:rPr>
        <w:t>报价文件、商务文件</w:t>
      </w:r>
      <w:r>
        <w:rPr>
          <w:rFonts w:hint="eastAsia" w:ascii="宋体" w:hAnsi="宋体" w:cs="宋体"/>
          <w:color w:val="auto"/>
          <w:sz w:val="24"/>
          <w:szCs w:val="24"/>
          <w:highlight w:val="none"/>
        </w:rPr>
        <w:t>外，投标人不得在</w:t>
      </w:r>
      <w:r>
        <w:rPr>
          <w:rFonts w:hint="eastAsia" w:ascii="宋体" w:hAnsi="宋体" w:cs="宋体"/>
          <w:color w:val="auto"/>
          <w:sz w:val="24"/>
          <w:szCs w:val="24"/>
          <w:highlight w:val="none"/>
          <w:u w:val="single"/>
        </w:rPr>
        <w:t>勘察初步</w:t>
      </w:r>
      <w:r>
        <w:rPr>
          <w:rFonts w:hint="eastAsia" w:ascii="宋体" w:hAnsi="宋体" w:cs="宋体"/>
          <w:color w:val="auto"/>
          <w:sz w:val="24"/>
          <w:szCs w:val="24"/>
          <w:highlight w:val="none"/>
        </w:rPr>
        <w:t>设计方案上标注或做任何可以辨认投标人及专业技术人员身份的名称、印章、商标、图形等。</w:t>
      </w:r>
    </w:p>
    <w:p w14:paraId="57111ACB">
      <w:pPr>
        <w:spacing w:line="240" w:lineRule="auto"/>
        <w:ind w:left="410" w:hanging="410" w:hangingChars="171"/>
        <w:rPr>
          <w:rFonts w:hint="eastAsia" w:ascii="宋体" w:hAnsi="宋体" w:cs="宋体"/>
          <w:color w:val="auto"/>
          <w:sz w:val="24"/>
          <w:szCs w:val="24"/>
          <w:highlight w:val="none"/>
        </w:rPr>
      </w:pPr>
    </w:p>
    <w:p w14:paraId="015AF4E7">
      <w:pPr>
        <w:spacing w:line="360" w:lineRule="auto"/>
        <w:jc w:val="left"/>
        <w:rPr>
          <w:rFonts w:hint="eastAsia" w:ascii="宋体" w:hAnsi="宋体" w:cs="宋体"/>
          <w:b/>
          <w:color w:val="auto"/>
          <w:sz w:val="24"/>
          <w:szCs w:val="24"/>
          <w:highlight w:val="none"/>
        </w:rPr>
      </w:pPr>
      <w:bookmarkStart w:id="203" w:name="_Toc21746"/>
      <w:bookmarkStart w:id="204" w:name="_Toc7666"/>
      <w:bookmarkStart w:id="205" w:name="_Toc31970"/>
      <w:r>
        <w:rPr>
          <w:rFonts w:hint="eastAsia" w:ascii="宋体" w:hAnsi="宋体" w:cs="宋体"/>
          <w:b/>
          <w:strike w:val="0"/>
          <w:dstrike w:val="0"/>
          <w:color w:val="auto"/>
          <w:sz w:val="24"/>
          <w:szCs w:val="24"/>
          <w:highlight w:val="none"/>
        </w:rPr>
        <w:t xml:space="preserve">3 </w:t>
      </w:r>
      <w:r>
        <w:rPr>
          <w:rFonts w:hint="eastAsia" w:ascii="宋体" w:hAnsi="宋体" w:cs="宋体"/>
          <w:b/>
          <w:color w:val="auto"/>
          <w:sz w:val="24"/>
          <w:szCs w:val="24"/>
          <w:highlight w:val="none"/>
        </w:rPr>
        <w:t xml:space="preserve">     开标信封</w:t>
      </w:r>
      <w:bookmarkEnd w:id="203"/>
      <w:bookmarkEnd w:id="204"/>
      <w:bookmarkEnd w:id="205"/>
    </w:p>
    <w:p w14:paraId="1340E4F1">
      <w:pPr>
        <w:spacing w:line="240" w:lineRule="auto"/>
        <w:ind w:left="410" w:hanging="410" w:hangingChars="171"/>
        <w:rPr>
          <w:rFonts w:hint="eastAsia" w:ascii="宋体" w:hAnsi="宋体" w:cs="宋体"/>
          <w:color w:val="auto"/>
          <w:sz w:val="24"/>
          <w:szCs w:val="24"/>
          <w:highlight w:val="none"/>
        </w:rPr>
      </w:pPr>
    </w:p>
    <w:p w14:paraId="085F2AD1">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color w:val="auto"/>
          <w:sz w:val="24"/>
          <w:szCs w:val="24"/>
          <w:highlight w:val="none"/>
        </w:rPr>
        <w:t>3.1    开标信封内附填妥并签字盖章的《投标书》（格式见附录6），联合体同时附填妥并签字盖章的</w:t>
      </w:r>
      <w:r>
        <w:rPr>
          <w:rFonts w:hint="eastAsia" w:ascii="宋体" w:hAnsi="宋体" w:cs="宋体"/>
          <w:color w:val="auto"/>
          <w:sz w:val="24"/>
          <w:szCs w:val="24"/>
          <w:highlight w:val="none"/>
          <w:u w:val="single"/>
        </w:rPr>
        <w:t>《联合体共同投标协议》</w:t>
      </w:r>
      <w:r>
        <w:rPr>
          <w:rFonts w:hint="eastAsia" w:ascii="宋体" w:hAnsi="宋体" w:cs="宋体"/>
          <w:color w:val="auto"/>
          <w:sz w:val="24"/>
          <w:szCs w:val="24"/>
          <w:highlight w:val="none"/>
        </w:rPr>
        <w:t>（格式见附录7）。</w:t>
      </w:r>
      <w:r>
        <w:rPr>
          <w:rFonts w:hint="eastAsia" w:ascii="宋体" w:hAnsi="宋体" w:cs="宋体"/>
          <w:strike/>
          <w:color w:val="auto"/>
          <w:sz w:val="24"/>
          <w:szCs w:val="24"/>
          <w:highlight w:val="none"/>
        </w:rPr>
        <w:t>未设资格审查环节的项目，还应提供填妥并盖章的《投标人声明》（格式见附录8）。</w:t>
      </w:r>
    </w:p>
    <w:p w14:paraId="269AE84F">
      <w:pPr>
        <w:spacing w:line="360" w:lineRule="auto"/>
        <w:rPr>
          <w:rFonts w:hint="eastAsia" w:ascii="宋体" w:hAnsi="宋体" w:cs="宋体"/>
          <w:color w:val="auto"/>
          <w:sz w:val="24"/>
          <w:szCs w:val="24"/>
          <w:highlight w:val="none"/>
        </w:rPr>
      </w:pPr>
    </w:p>
    <w:p w14:paraId="0C774CC6">
      <w:pPr>
        <w:spacing w:line="360" w:lineRule="auto"/>
        <w:ind w:left="744" w:leftChars="0" w:hanging="744" w:hangingChars="309"/>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 xml:space="preserve">4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勘察初步设计方案</w:t>
      </w:r>
      <w:r>
        <w:rPr>
          <w:rFonts w:hint="eastAsia" w:ascii="宋体" w:hAnsi="宋体" w:cs="宋体"/>
          <w:b/>
          <w:color w:val="auto"/>
          <w:sz w:val="24"/>
          <w:szCs w:val="24"/>
          <w:highlight w:val="none"/>
          <w:u w:val="single"/>
        </w:rPr>
        <w:t>（暗标，不得标注或做任何可以辨认投标人及专业技术人员身份的名称、印章、商标、图形等，上传交易平台网站）</w:t>
      </w:r>
    </w:p>
    <w:p w14:paraId="73483753">
      <w:pPr>
        <w:pStyle w:val="16"/>
        <w:widowControl w:val="0"/>
        <w:spacing w:beforeAutospacing="0" w:afterAutospacing="0" w:line="360" w:lineRule="auto"/>
        <w:jc w:val="both"/>
        <w:rPr>
          <w:rFonts w:cs="宋体"/>
          <w:color w:val="auto"/>
          <w:highlight w:val="none"/>
        </w:rPr>
      </w:pPr>
    </w:p>
    <w:p w14:paraId="15CDCE2A">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4.1    </w:t>
      </w:r>
      <w:r>
        <w:rPr>
          <w:rFonts w:hint="eastAsia" w:ascii="宋体" w:hAnsi="宋体" w:cs="宋体"/>
          <w:b/>
          <w:color w:val="auto"/>
          <w:sz w:val="24"/>
          <w:szCs w:val="24"/>
          <w:highlight w:val="none"/>
        </w:rPr>
        <w:t>勘察初步</w:t>
      </w:r>
      <w:r>
        <w:rPr>
          <w:rFonts w:hint="eastAsia" w:ascii="宋体" w:hAnsi="宋体" w:cs="宋体"/>
          <w:b/>
          <w:bCs/>
          <w:color w:val="auto"/>
          <w:sz w:val="24"/>
          <w:szCs w:val="24"/>
          <w:highlight w:val="none"/>
        </w:rPr>
        <w:t>设计方案内容（文件大小不得超过500M）：</w:t>
      </w:r>
    </w:p>
    <w:p w14:paraId="7975A853">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（a）封面：写明项目名称、设计作品主题（不宜超过20个字）、编制年月。</w:t>
      </w:r>
    </w:p>
    <w:p w14:paraId="50E7DBDF">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（b）目录；</w:t>
      </w:r>
    </w:p>
    <w:p w14:paraId="20173AC5">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（c）含设计图纸（需包括表现图、分析示意图、总平面图等）：</w:t>
      </w:r>
    </w:p>
    <w:p w14:paraId="482221B1">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（d）设计说明书；</w:t>
      </w:r>
      <w:bookmarkStart w:id="206" w:name="_Toc14907"/>
      <w:bookmarkStart w:id="207" w:name="_Toc11433"/>
    </w:p>
    <w:p w14:paraId="20515B3B">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（e）《工期计划表》（方案修改、设计的总工时和工期）</w:t>
      </w:r>
      <w:bookmarkEnd w:id="206"/>
      <w:bookmarkEnd w:id="207"/>
    </w:p>
    <w:p w14:paraId="646713BE">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（f）完成本项目的难点，保障工期、质量的主要措施；</w:t>
      </w:r>
    </w:p>
    <w:p w14:paraId="4375AA40">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（h）勘察工作流程和相应的工期进度计划(适用于含勘察内容的项目)；</w:t>
      </w:r>
    </w:p>
    <w:p w14:paraId="630F1F20">
      <w:pPr>
        <w:spacing w:line="360" w:lineRule="auto"/>
        <w:ind w:left="0" w:leftChars="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（i）投标人认为有必要提供的其他资料；</w:t>
      </w:r>
    </w:p>
    <w:p w14:paraId="226BF6D1">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勘察初步设计方案不能有涉及投标报价相关内容文件。</w:t>
      </w:r>
    </w:p>
    <w:p w14:paraId="2A7DA472">
      <w:pPr>
        <w:pStyle w:val="2"/>
        <w:rPr>
          <w:rFonts w:hint="default" w:eastAsia="宋体"/>
          <w:color w:val="auto"/>
          <w:highlight w:val="none"/>
          <w:lang w:val="en-US" w:eastAsia="zh-CN"/>
        </w:rPr>
      </w:pPr>
      <w:r>
        <w:rPr>
          <w:rFonts w:hint="eastAsia" w:ascii="宋体" w:hAnsi="宋体" w:cs="宋体"/>
          <w:b/>
          <w:bCs/>
          <w:color w:val="auto"/>
          <w:sz w:val="24"/>
          <w:szCs w:val="24"/>
          <w:highlight w:val="none"/>
          <w:lang w:val="en-US" w:eastAsia="zh-CN"/>
        </w:rPr>
        <w:t>2.勘察初步设计方案需包含《附录16-1定标因素表》方案因素评审的内容。</w:t>
      </w:r>
    </w:p>
    <w:p w14:paraId="03C47ED9">
      <w:pPr>
        <w:spacing w:line="240" w:lineRule="auto"/>
        <w:rPr>
          <w:rFonts w:hint="eastAsia" w:ascii="宋体" w:hAnsi="宋体" w:cs="宋体"/>
          <w:color w:val="auto"/>
          <w:sz w:val="24"/>
          <w:szCs w:val="24"/>
          <w:highlight w:val="none"/>
        </w:rPr>
      </w:pPr>
    </w:p>
    <w:p w14:paraId="02A07DC7">
      <w:pPr>
        <w:spacing w:line="360" w:lineRule="auto"/>
        <w:rPr>
          <w:rFonts w:hint="eastAsia" w:ascii="宋体" w:hAnsi="宋体" w:cs="宋体"/>
          <w:color w:val="auto"/>
          <w:sz w:val="24"/>
          <w:szCs w:val="24"/>
          <w:highlight w:val="none"/>
        </w:rPr>
      </w:pPr>
      <w:bookmarkStart w:id="208" w:name="_Toc25873"/>
      <w:bookmarkStart w:id="209" w:name="_Toc13926"/>
      <w:bookmarkStart w:id="210" w:name="_Toc32310"/>
      <w:r>
        <w:rPr>
          <w:rFonts w:hint="eastAsia" w:ascii="宋体" w:hAnsi="宋体" w:cs="宋体"/>
          <w:b/>
          <w:color w:val="auto"/>
          <w:sz w:val="24"/>
          <w:szCs w:val="24"/>
          <w:highlight w:val="none"/>
        </w:rPr>
        <w:t>5</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cs="宋体"/>
          <w:b/>
          <w:color w:val="auto"/>
          <w:sz w:val="24"/>
          <w:szCs w:val="24"/>
          <w:highlight w:val="none"/>
        </w:rPr>
        <w:t>深度要求</w:t>
      </w:r>
      <w:bookmarkEnd w:id="208"/>
      <w:bookmarkEnd w:id="209"/>
      <w:bookmarkEnd w:id="210"/>
    </w:p>
    <w:p w14:paraId="65A0390D">
      <w:pPr>
        <w:spacing w:line="240" w:lineRule="auto"/>
        <w:rPr>
          <w:rFonts w:hint="eastAsia" w:ascii="宋体" w:hAnsi="宋体" w:cs="宋体"/>
          <w:b/>
          <w:color w:val="auto"/>
          <w:sz w:val="24"/>
          <w:szCs w:val="24"/>
          <w:highlight w:val="none"/>
        </w:rPr>
      </w:pPr>
    </w:p>
    <w:p w14:paraId="32254234">
      <w:pPr>
        <w:spacing w:line="360" w:lineRule="auto"/>
        <w:ind w:left="821" w:hanging="820" w:hangingChars="34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   投标深度要求：</w:t>
      </w:r>
    </w:p>
    <w:p w14:paraId="43A0A36C">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698" w:leftChars="94" w:hanging="501" w:hangingChars="209"/>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 装饰工程</w:t>
      </w:r>
      <w:r>
        <w:rPr>
          <w:rFonts w:hint="eastAsia" w:ascii="宋体" w:hAnsi="宋体" w:cs="宋体"/>
          <w:color w:val="auto"/>
          <w:sz w:val="24"/>
          <w:szCs w:val="24"/>
          <w:highlight w:val="none"/>
        </w:rPr>
        <w:t>设计</w:t>
      </w:r>
      <w:r>
        <w:rPr>
          <w:rFonts w:hint="eastAsia" w:ascii="宋体" w:hAnsi="宋体" w:cs="宋体"/>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(d) 设计独特</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bidi="ar"/>
        </w:rPr>
        <w:t>独创性的节点位置，应该提供示意图。</w:t>
      </w:r>
    </w:p>
    <w:p w14:paraId="343008E0">
      <w:pPr>
        <w:pStyle w:val="7"/>
        <w:rPr>
          <w:rFonts w:hint="eastAsia"/>
          <w:color w:val="auto"/>
          <w:highlight w:val="none"/>
        </w:rPr>
      </w:pPr>
    </w:p>
    <w:p w14:paraId="53524FA5">
      <w:pPr>
        <w:spacing w:line="360" w:lineRule="auto"/>
        <w:jc w:val="left"/>
        <w:rPr>
          <w:rFonts w:hint="eastAsia" w:ascii="宋体" w:hAnsi="宋体" w:cs="宋体"/>
          <w:b/>
          <w:color w:val="auto"/>
          <w:sz w:val="24"/>
          <w:szCs w:val="24"/>
          <w:highlight w:val="none"/>
        </w:rPr>
      </w:pPr>
      <w:bookmarkStart w:id="211" w:name="_Toc25342"/>
      <w:bookmarkStart w:id="212" w:name="_Toc21717"/>
      <w:bookmarkStart w:id="213" w:name="_Toc3102"/>
      <w:r>
        <w:rPr>
          <w:rFonts w:hint="eastAsia" w:ascii="宋体" w:hAnsi="宋体" w:cs="宋体"/>
          <w:b/>
          <w:color w:val="auto"/>
          <w:sz w:val="24"/>
          <w:szCs w:val="24"/>
          <w:highlight w:val="none"/>
        </w:rPr>
        <w:t xml:space="preserve">6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资格审查文件</w:t>
      </w:r>
      <w:bookmarkEnd w:id="211"/>
      <w:bookmarkEnd w:id="212"/>
      <w:bookmarkEnd w:id="213"/>
    </w:p>
    <w:p w14:paraId="11E157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   资格审查文件内容：</w:t>
      </w:r>
    </w:p>
    <w:p w14:paraId="0E06F872">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(a) 目录；</w:t>
      </w:r>
    </w:p>
    <w:p w14:paraId="4CBCF877">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(b) 填妥并签字盖章的《投标书》（投标人无需提供，评标委员会根据“开标信封”中的《投标书》进行评审。投标人再次提供且不一致的，以“开标信封”中的《投标书》为准）；</w:t>
      </w:r>
    </w:p>
    <w:p w14:paraId="704B80C2">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(c) 填妥并</w:t>
      </w:r>
      <w:r>
        <w:rPr>
          <w:rFonts w:hint="eastAsia" w:ascii="宋体" w:hAnsi="宋体" w:cs="宋体"/>
          <w:color w:val="auto"/>
          <w:sz w:val="24"/>
          <w:szCs w:val="24"/>
          <w:highlight w:val="none"/>
          <w:u w:val="single"/>
          <w:lang w:bidi="ar"/>
        </w:rPr>
        <w:t>签字</w:t>
      </w:r>
      <w:r>
        <w:rPr>
          <w:rFonts w:hint="eastAsia" w:ascii="宋体" w:hAnsi="宋体" w:cs="宋体"/>
          <w:color w:val="auto"/>
          <w:sz w:val="24"/>
          <w:szCs w:val="24"/>
          <w:highlight w:val="none"/>
          <w:lang w:bidi="ar"/>
        </w:rPr>
        <w:t>盖章的《投标人声明》（格式见附录8）；</w:t>
      </w:r>
    </w:p>
    <w:p w14:paraId="6FA39918">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(d) 填妥并签字盖章的《联合体共同投标协议》（联合体投标人提供）（投标人无需提供，评标委员会根据“开标信封”中的《联合体共同投标协议》进行评审。投标人再次提供且不一致的，以“开标信封”中的《联合体共同投标协议》为准） ；</w:t>
      </w:r>
    </w:p>
    <w:p w14:paraId="62007720">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(e) 填妥并签字盖章的《合作设计协议》（外国或香港、澳门、台湾的设计企业提供）（格式见附录 7-1）；</w:t>
      </w:r>
    </w:p>
    <w:p w14:paraId="10328F47">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(f) 投标人资质证书；</w:t>
      </w:r>
    </w:p>
    <w:p w14:paraId="0B3639BC">
      <w:pPr>
        <w:tabs>
          <w:tab w:val="left" w:pos="142"/>
        </w:tabs>
        <w:spacing w:line="360" w:lineRule="auto"/>
        <w:ind w:left="698" w:leftChars="94" w:hanging="501" w:hangingChars="20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(g) 申请人已在广州市住房和城乡建设局建立企业信用档案，拟委派的项目负责人须是本企业信用档案中的在册人员。</w:t>
      </w:r>
    </w:p>
    <w:p w14:paraId="1B3DCCE9">
      <w:pPr>
        <w:tabs>
          <w:tab w:val="left" w:pos="142"/>
        </w:tabs>
        <w:spacing w:line="360" w:lineRule="auto"/>
        <w:ind w:left="698" w:leftChars="94" w:hanging="501" w:hangingChars="209"/>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(h) 投标申请表（附录1）；</w:t>
      </w:r>
    </w:p>
    <w:p w14:paraId="09707669">
      <w:pPr>
        <w:tabs>
          <w:tab w:val="left" w:pos="142"/>
        </w:tabs>
        <w:spacing w:line="360" w:lineRule="auto"/>
        <w:ind w:left="698" w:leftChars="94" w:hanging="501" w:hangingChars="209"/>
        <w:rPr>
          <w:rFonts w:hint="eastAsia" w:ascii="宋体" w:hAnsi="宋体" w:cs="宋体"/>
          <w:color w:val="auto"/>
          <w:sz w:val="24"/>
          <w:szCs w:val="24"/>
          <w:highlight w:val="none"/>
        </w:rPr>
      </w:pPr>
      <w:r>
        <w:rPr>
          <w:rFonts w:hint="eastAsia" w:ascii="宋体" w:hAnsi="宋体" w:cs="宋体"/>
          <w:color w:val="auto"/>
          <w:sz w:val="24"/>
          <w:szCs w:val="24"/>
          <w:highlight w:val="none"/>
        </w:rPr>
        <w:t>(i) 拟派项目负责人注册执业资格证书</w:t>
      </w:r>
      <w:r>
        <w:rPr>
          <w:rFonts w:hint="eastAsia" w:ascii="宋体" w:hAnsi="宋体" w:cs="宋体"/>
          <w:strike/>
          <w:color w:val="auto"/>
          <w:sz w:val="24"/>
          <w:szCs w:val="24"/>
          <w:highlight w:val="none"/>
        </w:rPr>
        <w:t>或职称证书</w:t>
      </w:r>
      <w:r>
        <w:rPr>
          <w:rFonts w:hint="eastAsia" w:ascii="宋体" w:hAnsi="宋体" w:cs="宋体"/>
          <w:color w:val="auto"/>
          <w:sz w:val="24"/>
          <w:szCs w:val="24"/>
          <w:highlight w:val="none"/>
        </w:rPr>
        <w:t>或符合本招标项目对项目负责人要求的香港专业人士的相关证书；</w:t>
      </w:r>
    </w:p>
    <w:p w14:paraId="1C742CB0">
      <w:pPr>
        <w:tabs>
          <w:tab w:val="left" w:pos="142"/>
        </w:tabs>
        <w:spacing w:line="360" w:lineRule="auto"/>
        <w:ind w:left="698" w:leftChars="94" w:hanging="501" w:hangingChars="209"/>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(j) 拟派各专业负责人注册执业资格证书或职称证书及工作简历；</w:t>
      </w:r>
    </w:p>
    <w:p w14:paraId="00C1302E">
      <w:pPr>
        <w:tabs>
          <w:tab w:val="left" w:pos="142"/>
        </w:tabs>
        <w:spacing w:line="360" w:lineRule="auto"/>
        <w:ind w:left="698" w:leftChars="94" w:hanging="501" w:hangingChars="209"/>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(k)投标保证金； </w:t>
      </w:r>
    </w:p>
    <w:p w14:paraId="506BEAB2">
      <w:pPr>
        <w:tabs>
          <w:tab w:val="left" w:pos="142"/>
        </w:tabs>
        <w:spacing w:line="360" w:lineRule="auto"/>
        <w:ind w:left="698" w:leftChars="94" w:hanging="501" w:hangingChars="20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l</w:t>
      </w:r>
      <w:r>
        <w:rPr>
          <w:rFonts w:hint="eastAsia" w:ascii="宋体" w:hAnsi="宋体" w:cs="宋体"/>
          <w:color w:val="auto"/>
          <w:sz w:val="24"/>
          <w:szCs w:val="24"/>
          <w:highlight w:val="none"/>
        </w:rPr>
        <w:t>)投标人认为有必要提供的其他资料。</w:t>
      </w:r>
    </w:p>
    <w:p w14:paraId="09DD13E3">
      <w:pPr>
        <w:spacing w:line="360" w:lineRule="auto"/>
        <w:ind w:left="604" w:leftChars="57" w:hanging="484" w:hangingChars="202"/>
        <w:rPr>
          <w:rFonts w:hint="eastAsia" w:ascii="宋体" w:hAnsi="宋体" w:cs="宋体"/>
          <w:color w:val="auto"/>
          <w:sz w:val="24"/>
          <w:szCs w:val="24"/>
          <w:highlight w:val="none"/>
        </w:rPr>
      </w:pPr>
      <w:r>
        <w:rPr>
          <w:rFonts w:hint="eastAsia" w:ascii="宋体" w:hAnsi="宋体" w:cs="宋体"/>
          <w:color w:val="auto"/>
          <w:sz w:val="24"/>
          <w:szCs w:val="24"/>
          <w:highlight w:val="none"/>
        </w:rPr>
        <w:t>注：资格审查文件中的(f)、(g)取自</w:t>
      </w:r>
      <w:r>
        <w:rPr>
          <w:rFonts w:hint="eastAsia" w:ascii="宋体" w:hAnsi="宋体" w:cs="宋体"/>
          <w:color w:val="auto"/>
          <w:sz w:val="24"/>
          <w:szCs w:val="24"/>
          <w:highlight w:val="none"/>
          <w:u w:val="single"/>
        </w:rPr>
        <w:t>广州市住建行业信用管理平台</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在</w:t>
      </w:r>
      <w:r>
        <w:rPr>
          <w:rFonts w:hint="eastAsia" w:ascii="宋体" w:hAnsi="宋体" w:cs="宋体"/>
          <w:color w:val="auto"/>
          <w:sz w:val="24"/>
          <w:szCs w:val="24"/>
          <w:highlight w:val="none"/>
          <w:u w:val="single"/>
        </w:rPr>
        <w:t>广州市住建行业信用管理平台</w:t>
      </w:r>
      <w:r>
        <w:rPr>
          <w:rFonts w:hint="eastAsia" w:ascii="宋体" w:hAnsi="宋体" w:cs="宋体"/>
          <w:color w:val="auto"/>
          <w:sz w:val="24"/>
          <w:szCs w:val="24"/>
          <w:highlight w:val="none"/>
        </w:rPr>
        <w:t>记录的该部分上传件将被视为投标人递交投标文件的一部分，不需重复提交。评标委员会对该部分资料的审查将以投标截止时间在</w:t>
      </w:r>
      <w:r>
        <w:rPr>
          <w:rFonts w:hint="eastAsia" w:ascii="宋体" w:hAnsi="宋体" w:cs="宋体"/>
          <w:color w:val="auto"/>
          <w:sz w:val="24"/>
          <w:szCs w:val="24"/>
          <w:highlight w:val="none"/>
          <w:u w:val="single"/>
        </w:rPr>
        <w:t>广州市住建行业信用管理平台</w:t>
      </w:r>
      <w:r>
        <w:rPr>
          <w:rFonts w:hint="eastAsia" w:ascii="宋体" w:hAnsi="宋体" w:cs="宋体"/>
          <w:color w:val="auto"/>
          <w:sz w:val="24"/>
          <w:szCs w:val="24"/>
          <w:highlight w:val="none"/>
        </w:rPr>
        <w:t>上传件为依据。若招标人延长投标截止时间的，以上资料的评审时点也相应延长。投标人应及时维护其在</w:t>
      </w:r>
      <w:r>
        <w:rPr>
          <w:rFonts w:hint="eastAsia" w:ascii="宋体" w:hAnsi="宋体" w:cs="宋体"/>
          <w:color w:val="auto"/>
          <w:sz w:val="24"/>
          <w:szCs w:val="24"/>
          <w:highlight w:val="none"/>
          <w:u w:val="single"/>
        </w:rPr>
        <w:t>广州市住建行业信用管理平台</w:t>
      </w:r>
      <w:r>
        <w:rPr>
          <w:rFonts w:hint="eastAsia" w:ascii="宋体" w:hAnsi="宋体" w:cs="宋体"/>
          <w:color w:val="auto"/>
          <w:sz w:val="24"/>
          <w:szCs w:val="24"/>
          <w:highlight w:val="none"/>
        </w:rPr>
        <w:t>登记的信息及上传件，确保各项信息及上传件在有效期内。</w:t>
      </w:r>
    </w:p>
    <w:p w14:paraId="0A5F48DA">
      <w:pPr>
        <w:pStyle w:val="16"/>
        <w:widowControl w:val="0"/>
        <w:spacing w:beforeAutospacing="0" w:afterAutospacing="0"/>
        <w:ind w:firstLine="400" w:firstLineChars="200"/>
        <w:jc w:val="both"/>
        <w:rPr>
          <w:rFonts w:cs="宋体"/>
          <w:color w:val="auto"/>
          <w:sz w:val="20"/>
          <w:szCs w:val="20"/>
          <w:highlight w:val="none"/>
        </w:rPr>
      </w:pPr>
    </w:p>
    <w:p w14:paraId="251C37BD">
      <w:pPr>
        <w:spacing w:line="360" w:lineRule="auto"/>
        <w:ind w:left="361" w:hanging="361" w:hangingChars="150"/>
        <w:rPr>
          <w:rFonts w:hint="eastAsia" w:ascii="宋体" w:hAnsi="宋体" w:cs="宋体"/>
          <w:b/>
          <w:color w:val="auto"/>
          <w:sz w:val="24"/>
          <w:szCs w:val="24"/>
          <w:highlight w:val="none"/>
        </w:rPr>
      </w:pPr>
      <w:bookmarkStart w:id="214" w:name="_Toc10213"/>
      <w:r>
        <w:rPr>
          <w:rFonts w:hint="eastAsia" w:ascii="宋体" w:hAnsi="宋体" w:cs="宋体"/>
          <w:b/>
          <w:color w:val="auto"/>
          <w:sz w:val="24"/>
          <w:szCs w:val="24"/>
          <w:highlight w:val="none"/>
        </w:rPr>
        <w:t xml:space="preserve">7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u w:val="single"/>
        </w:rPr>
        <w:t>报价文件</w:t>
      </w:r>
      <w:bookmarkEnd w:id="214"/>
    </w:p>
    <w:p w14:paraId="59F08AFE">
      <w:pPr>
        <w:tabs>
          <w:tab w:val="left" w:pos="142"/>
        </w:tabs>
        <w:spacing w:line="360" w:lineRule="auto"/>
        <w:ind w:left="698" w:leftChars="94" w:hanging="501" w:hangingChars="20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(a)《工程勘察初步设计费报价汇总表》（见附件3）；</w:t>
      </w:r>
    </w:p>
    <w:p w14:paraId="2DC26237">
      <w:pPr>
        <w:tabs>
          <w:tab w:val="left" w:pos="142"/>
        </w:tabs>
        <w:spacing w:line="360" w:lineRule="auto"/>
        <w:ind w:left="698" w:leftChars="94" w:hanging="501" w:hangingChars="20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(b)《建筑信息模型（BIM）技术应用费计算表》（见附件3</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1）；</w:t>
      </w:r>
    </w:p>
    <w:p w14:paraId="7A5C498D">
      <w:pPr>
        <w:tabs>
          <w:tab w:val="left" w:pos="142"/>
        </w:tabs>
        <w:spacing w:line="360" w:lineRule="auto"/>
        <w:ind w:left="698" w:leftChars="94" w:hanging="501" w:hangingChars="20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(c)《工程勘察费计算表》（见附件3</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hint="eastAsia" w:ascii="宋体" w:hAnsi="宋体" w:cs="宋体"/>
          <w:color w:val="auto"/>
          <w:szCs w:val="21"/>
          <w:highlight w:val="none"/>
        </w:rPr>
      </w:pPr>
    </w:p>
    <w:p w14:paraId="75C7F325">
      <w:pPr>
        <w:spacing w:line="360" w:lineRule="auto"/>
        <w:ind w:left="361" w:hanging="361" w:hangingChars="150"/>
        <w:rPr>
          <w:rFonts w:hint="eastAsia" w:ascii="宋体" w:hAnsi="宋体" w:cs="宋体"/>
          <w:b/>
          <w:color w:val="auto"/>
          <w:sz w:val="24"/>
          <w:szCs w:val="24"/>
          <w:highlight w:val="none"/>
          <w:u w:val="single"/>
        </w:rPr>
      </w:pPr>
      <w:bookmarkStart w:id="215" w:name="_Toc21570"/>
      <w:bookmarkStart w:id="216" w:name="_Toc7046"/>
      <w:r>
        <w:rPr>
          <w:rFonts w:hint="eastAsia" w:ascii="宋体" w:hAnsi="宋体" w:cs="宋体"/>
          <w:b/>
          <w:color w:val="auto"/>
          <w:sz w:val="24"/>
          <w:szCs w:val="24"/>
          <w:highlight w:val="none"/>
          <w:u w:val="none"/>
        </w:rPr>
        <w:t>8</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u w:val="single"/>
        </w:rPr>
        <w:t>商务文件</w:t>
      </w:r>
    </w:p>
    <w:p w14:paraId="2D5742B2">
      <w:pPr>
        <w:tabs>
          <w:tab w:val="left" w:pos="142"/>
          <w:tab w:val="left" w:pos="840"/>
        </w:tabs>
        <w:spacing w:line="360" w:lineRule="auto"/>
        <w:ind w:left="910" w:leftChars="342" w:hanging="192" w:hangingChars="8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商务文件由下列资料组成：</w:t>
      </w:r>
    </w:p>
    <w:p w14:paraId="3D342964">
      <w:pPr>
        <w:tabs>
          <w:tab w:val="left" w:pos="142"/>
        </w:tabs>
        <w:spacing w:line="360" w:lineRule="auto"/>
        <w:ind w:left="678" w:leftChars="59" w:hanging="554" w:hangingChars="231"/>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（1）封面：写明项目名称、商务文件、投标人单位及年月日；加盖投标人公章；</w:t>
      </w:r>
    </w:p>
    <w:p w14:paraId="1C807A1C">
      <w:pPr>
        <w:tabs>
          <w:tab w:val="left" w:pos="142"/>
        </w:tabs>
        <w:spacing w:line="360" w:lineRule="auto"/>
        <w:ind w:left="678" w:leftChars="59" w:hanging="554" w:hangingChars="231"/>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（2）目录；</w:t>
      </w:r>
    </w:p>
    <w:p w14:paraId="6C841DDB">
      <w:pPr>
        <w:tabs>
          <w:tab w:val="left" w:pos="142"/>
        </w:tabs>
        <w:spacing w:line="360" w:lineRule="auto"/>
        <w:ind w:left="678" w:leftChars="59" w:hanging="554" w:hangingChars="231"/>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（3）企业类似工程业绩（格式见附录19）及获奖证明材料扫描件；</w:t>
      </w:r>
    </w:p>
    <w:p w14:paraId="33C9A53A">
      <w:pPr>
        <w:tabs>
          <w:tab w:val="left" w:pos="142"/>
        </w:tabs>
        <w:spacing w:line="360" w:lineRule="auto"/>
        <w:ind w:left="678" w:leftChars="59" w:hanging="554" w:hangingChars="231"/>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（4）为本项目拟投入的技术力量。主要包括项目负责人及各专业负责人的资格、业绩、参加本项目人员配置情况等，对资格和业绩内容必须附上有关的证明材料，并能保证材料的真实性。（格式见附录18）；</w:t>
      </w:r>
    </w:p>
    <w:p w14:paraId="69CDFE16">
      <w:pPr>
        <w:pStyle w:val="2"/>
        <w:ind w:left="0" w:leftChars="0" w:firstLine="98" w:firstLineChars="41"/>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（5）投标人认为有必要提供的其他资料。</w:t>
      </w:r>
    </w:p>
    <w:bookmarkEnd w:id="215"/>
    <w:bookmarkEnd w:id="216"/>
    <w:p w14:paraId="4285F390">
      <w:pPr>
        <w:spacing w:line="360" w:lineRule="auto"/>
        <w:ind w:firstLine="480" w:firstLineChars="200"/>
        <w:rPr>
          <w:rFonts w:hint="eastAsia" w:ascii="宋体" w:hAnsi="宋体" w:cs="宋体"/>
          <w:color w:val="auto"/>
          <w:sz w:val="24"/>
          <w:szCs w:val="24"/>
          <w:highlight w:val="none"/>
          <w:u w:val="single"/>
        </w:rPr>
      </w:pPr>
    </w:p>
    <w:p w14:paraId="525DBA4E">
      <w:pPr>
        <w:pStyle w:val="4"/>
        <w:rPr>
          <w:rFonts w:hint="eastAsia" w:ascii="宋体" w:hAnsi="宋体" w:cs="宋体"/>
          <w:color w:val="auto"/>
          <w:sz w:val="21"/>
          <w:szCs w:val="21"/>
          <w:highlight w:val="none"/>
        </w:rPr>
      </w:pPr>
      <w:r>
        <w:rPr>
          <w:rFonts w:hint="eastAsia" w:ascii="宋体" w:hAnsi="宋体" w:cs="宋体"/>
          <w:color w:val="auto"/>
          <w:sz w:val="24"/>
          <w:szCs w:val="24"/>
          <w:highlight w:val="none"/>
        </w:rPr>
        <w:br w:type="page"/>
      </w:r>
      <w:bookmarkStart w:id="217" w:name="_Toc25832"/>
      <w:bookmarkStart w:id="218" w:name="_Toc29853"/>
      <w:bookmarkStart w:id="219" w:name="_Toc20284"/>
      <w:bookmarkStart w:id="220" w:name="_Toc4898"/>
      <w:bookmarkStart w:id="221" w:name="_Toc19951"/>
      <w:bookmarkStart w:id="222" w:name="_Toc21902"/>
      <w:bookmarkStart w:id="223" w:name="_Toc29624"/>
      <w:r>
        <w:rPr>
          <w:rFonts w:hint="eastAsia" w:ascii="宋体" w:hAnsi="宋体" w:cs="宋体"/>
          <w:color w:val="auto"/>
          <w:sz w:val="21"/>
          <w:szCs w:val="21"/>
          <w:highlight w:val="none"/>
        </w:rPr>
        <w:t>附件3 工程勘察初步设计费报价汇总表</w:t>
      </w:r>
      <w:bookmarkEnd w:id="217"/>
      <w:bookmarkEnd w:id="218"/>
      <w:bookmarkEnd w:id="219"/>
      <w:bookmarkEnd w:id="220"/>
      <w:bookmarkEnd w:id="221"/>
      <w:bookmarkEnd w:id="222"/>
      <w:bookmarkEnd w:id="223"/>
    </w:p>
    <w:p w14:paraId="2B63254D">
      <w:pPr>
        <w:jc w:val="center"/>
        <w:rPr>
          <w:rFonts w:hint="eastAsia" w:ascii="宋体" w:hAnsi="宋体" w:cs="宋体"/>
          <w:b/>
          <w:color w:val="auto"/>
          <w:sz w:val="28"/>
          <w:szCs w:val="28"/>
          <w:highlight w:val="none"/>
        </w:rPr>
      </w:pPr>
      <w:bookmarkStart w:id="224" w:name="_Toc114493758"/>
      <w:bookmarkEnd w:id="224"/>
      <w:r>
        <w:rPr>
          <w:rFonts w:hint="eastAsia" w:ascii="宋体" w:hAnsi="宋体" w:cs="宋体"/>
          <w:b/>
          <w:color w:val="auto"/>
          <w:sz w:val="28"/>
          <w:szCs w:val="28"/>
          <w:highlight w:val="none"/>
        </w:rPr>
        <w:t>工程勘察初步设计费报价汇总表</w:t>
      </w:r>
    </w:p>
    <w:tbl>
      <w:tblPr>
        <w:tblStyle w:val="20"/>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107"/>
        <w:gridCol w:w="3119"/>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D47EE65">
            <w:pPr>
              <w:jc w:val="center"/>
              <w:rPr>
                <w:rFonts w:hint="eastAsia" w:ascii="宋体" w:hAnsi="宋体" w:cs="宋体"/>
                <w:b/>
                <w:color w:val="auto"/>
                <w:szCs w:val="21"/>
                <w:highlight w:val="none"/>
              </w:rPr>
            </w:pPr>
            <w:r>
              <w:rPr>
                <w:rFonts w:hint="eastAsia" w:ascii="宋体" w:hAnsi="宋体" w:cs="宋体"/>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64EAD2BD">
            <w:pPr>
              <w:jc w:val="center"/>
              <w:rPr>
                <w:rFonts w:hint="eastAsia" w:ascii="宋体" w:hAnsi="宋体" w:cs="宋体"/>
                <w:b/>
                <w:color w:val="auto"/>
                <w:szCs w:val="21"/>
                <w:highlight w:val="none"/>
              </w:rPr>
            </w:pPr>
            <w:r>
              <w:rPr>
                <w:rFonts w:hint="eastAsia" w:ascii="宋体" w:hAnsi="宋体" w:cs="宋体"/>
                <w:color w:val="auto"/>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vAlign w:val="center"/>
          </w:tcPr>
          <w:p w14:paraId="6E1F452C">
            <w:pPr>
              <w:jc w:val="center"/>
              <w:rPr>
                <w:rFonts w:hint="eastAsia" w:ascii="宋体" w:hAnsi="宋体" w:cs="宋体"/>
                <w:b/>
                <w:color w:val="auto"/>
                <w:szCs w:val="21"/>
                <w:highlight w:val="none"/>
              </w:rPr>
            </w:pPr>
            <w:r>
              <w:rPr>
                <w:rFonts w:hint="eastAsia" w:ascii="宋体" w:hAnsi="宋体" w:cs="宋体"/>
                <w:color w:val="auto"/>
                <w:sz w:val="24"/>
                <w:highlight w:val="none"/>
              </w:rPr>
              <w:t>万元</w:t>
            </w:r>
          </w:p>
        </w:tc>
        <w:tc>
          <w:tcPr>
            <w:tcW w:w="1107" w:type="dxa"/>
            <w:tcBorders>
              <w:top w:val="single" w:color="auto" w:sz="4" w:space="0"/>
              <w:left w:val="single" w:color="auto" w:sz="4" w:space="0"/>
              <w:bottom w:val="single" w:color="auto" w:sz="4" w:space="0"/>
              <w:right w:val="single" w:color="auto" w:sz="4" w:space="0"/>
            </w:tcBorders>
            <w:vAlign w:val="center"/>
          </w:tcPr>
          <w:p w14:paraId="65AF31E7">
            <w:pPr>
              <w:jc w:val="center"/>
              <w:rPr>
                <w:rFonts w:hint="eastAsia" w:ascii="宋体" w:hAnsi="宋体" w:cs="宋体"/>
                <w:b/>
                <w:color w:val="auto"/>
                <w:szCs w:val="21"/>
                <w:highlight w:val="none"/>
              </w:rPr>
            </w:pPr>
            <w:r>
              <w:rPr>
                <w:rFonts w:hint="eastAsia" w:ascii="宋体" w:hAnsi="宋体" w:cs="宋体"/>
                <w:color w:val="auto"/>
                <w:sz w:val="24"/>
                <w:highlight w:val="none"/>
              </w:rPr>
              <w:t>投标下浮率</w:t>
            </w:r>
          </w:p>
        </w:tc>
        <w:tc>
          <w:tcPr>
            <w:tcW w:w="3119" w:type="dxa"/>
            <w:tcBorders>
              <w:top w:val="single" w:color="auto" w:sz="4" w:space="0"/>
              <w:left w:val="single" w:color="auto" w:sz="4" w:space="0"/>
              <w:bottom w:val="single" w:color="auto" w:sz="4" w:space="0"/>
              <w:right w:val="single" w:color="auto" w:sz="4" w:space="0"/>
            </w:tcBorders>
            <w:vAlign w:val="center"/>
          </w:tcPr>
          <w:p w14:paraId="627FB0CD">
            <w:pPr>
              <w:jc w:val="center"/>
              <w:rPr>
                <w:rFonts w:hint="eastAsia" w:ascii="宋体" w:hAnsi="宋体" w:cs="宋体"/>
                <w:b/>
                <w:color w:val="auto"/>
                <w:szCs w:val="21"/>
                <w:highlight w:val="none"/>
              </w:rPr>
            </w:pPr>
            <w:r>
              <w:rPr>
                <w:rFonts w:hint="eastAsia" w:ascii="宋体" w:hAnsi="宋体" w:cs="宋体"/>
                <w:color w:val="auto"/>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348A773B">
            <w:pPr>
              <w:jc w:val="center"/>
              <w:rPr>
                <w:rFonts w:hint="eastAsia" w:ascii="宋体" w:hAnsi="宋体" w:cs="宋体"/>
                <w:color w:val="auto"/>
                <w:szCs w:val="21"/>
                <w:highlight w:val="none"/>
              </w:rPr>
            </w:pPr>
            <w:r>
              <w:rPr>
                <w:rFonts w:hint="eastAsia" w:ascii="宋体" w:hAnsi="宋体" w:cs="宋体"/>
                <w:color w:val="auto"/>
                <w:sz w:val="24"/>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14:paraId="36263282">
            <w:pPr>
              <w:pStyle w:val="6"/>
              <w:jc w:val="center"/>
              <w:rPr>
                <w:rFonts w:hint="eastAsia" w:ascii="宋体" w:hAnsi="宋体" w:cs="宋体"/>
                <w:color w:val="auto"/>
                <w:szCs w:val="21"/>
                <w:highlight w:val="none"/>
              </w:rPr>
            </w:pP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勘察费报价</w:t>
            </w:r>
          </w:p>
        </w:tc>
        <w:tc>
          <w:tcPr>
            <w:tcW w:w="1823" w:type="dxa"/>
            <w:tcBorders>
              <w:top w:val="single" w:color="auto" w:sz="4" w:space="0"/>
              <w:left w:val="single" w:color="auto" w:sz="4" w:space="0"/>
              <w:bottom w:val="single" w:color="auto" w:sz="4" w:space="0"/>
              <w:right w:val="single" w:color="auto" w:sz="4" w:space="0"/>
            </w:tcBorders>
            <w:vAlign w:val="center"/>
          </w:tcPr>
          <w:p w14:paraId="5DD137CA">
            <w:pPr>
              <w:jc w:val="center"/>
              <w:rPr>
                <w:rFonts w:hint="eastAsia" w:ascii="宋体" w:hAnsi="宋体" w:cs="宋体"/>
                <w:color w:val="auto"/>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794AFBD0">
            <w:pPr>
              <w:pStyle w:val="6"/>
              <w:jc w:val="center"/>
              <w:rPr>
                <w:rFonts w:hint="eastAsia" w:ascii="宋体" w:hAnsi="宋体" w:cs="宋体"/>
                <w:color w:val="auto"/>
                <w:szCs w:val="21"/>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738806E">
            <w:pPr>
              <w:pStyle w:val="6"/>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1064394.87</w:t>
            </w:r>
            <w:r>
              <w:rPr>
                <w:rFonts w:hint="eastAsia" w:ascii="宋体" w:hAnsi="宋体" w:cs="宋体"/>
                <w:color w:val="auto"/>
                <w:sz w:val="24"/>
                <w:szCs w:val="24"/>
                <w:highlight w:val="none"/>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23395D0">
            <w:pPr>
              <w:jc w:val="center"/>
              <w:rPr>
                <w:rFonts w:hint="eastAsia" w:ascii="宋体" w:hAnsi="宋体" w:cs="宋体"/>
                <w:color w:val="auto"/>
                <w:szCs w:val="21"/>
                <w:highlight w:val="none"/>
              </w:rPr>
            </w:pPr>
            <w:r>
              <w:rPr>
                <w:rFonts w:hint="eastAsia" w:ascii="宋体" w:hAnsi="宋体" w:cs="宋体"/>
                <w:color w:val="auto"/>
                <w:sz w:val="24"/>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14:paraId="72155FE6">
            <w:pPr>
              <w:pStyle w:val="6"/>
              <w:jc w:val="center"/>
              <w:rPr>
                <w:rFonts w:hint="eastAsia" w:ascii="宋体" w:hAnsi="宋体" w:cs="宋体"/>
                <w:color w:val="auto"/>
                <w:szCs w:val="21"/>
                <w:highlight w:val="none"/>
              </w:rPr>
            </w:pP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vAlign w:val="center"/>
          </w:tcPr>
          <w:p w14:paraId="103AD6B8">
            <w:pPr>
              <w:jc w:val="center"/>
              <w:rPr>
                <w:rFonts w:hint="eastAsia" w:ascii="宋体" w:hAnsi="宋体" w:cs="宋体"/>
                <w:color w:val="auto"/>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0E3EB291">
            <w:pPr>
              <w:pStyle w:val="6"/>
              <w:jc w:val="center"/>
              <w:rPr>
                <w:rFonts w:hint="eastAsia" w:ascii="宋体" w:hAnsi="宋体" w:cs="宋体"/>
                <w:color w:val="auto"/>
                <w:szCs w:val="21"/>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4555BA93">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7006109.00</w:t>
            </w:r>
            <w:r>
              <w:rPr>
                <w:rFonts w:hint="eastAsia" w:ascii="宋体" w:hAnsi="宋体" w:cs="宋体"/>
                <w:color w:val="auto"/>
                <w:sz w:val="24"/>
                <w:szCs w:val="24"/>
                <w:highlight w:val="none"/>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16C315EE">
            <w:pPr>
              <w:jc w:val="center"/>
              <w:rPr>
                <w:rFonts w:hint="eastAsia" w:ascii="宋体" w:hAnsi="宋体" w:cs="宋体"/>
                <w:color w:val="auto"/>
                <w:szCs w:val="21"/>
                <w:highlight w:val="none"/>
              </w:rPr>
            </w:pPr>
            <w:r>
              <w:rPr>
                <w:rFonts w:hint="eastAsia" w:ascii="宋体" w:hAnsi="宋体" w:cs="宋体"/>
                <w:color w:val="auto"/>
                <w:sz w:val="24"/>
                <w:highlight w:val="none"/>
              </w:rPr>
              <w:t>3</w:t>
            </w:r>
          </w:p>
        </w:tc>
        <w:tc>
          <w:tcPr>
            <w:tcW w:w="2340" w:type="dxa"/>
            <w:tcBorders>
              <w:top w:val="single" w:color="auto" w:sz="4" w:space="0"/>
              <w:left w:val="single" w:color="auto" w:sz="4" w:space="0"/>
              <w:bottom w:val="single" w:color="auto" w:sz="4" w:space="0"/>
              <w:right w:val="single" w:color="auto" w:sz="4" w:space="0"/>
            </w:tcBorders>
            <w:vAlign w:val="center"/>
          </w:tcPr>
          <w:p w14:paraId="01400313">
            <w:pPr>
              <w:pStyle w:val="6"/>
              <w:jc w:val="center"/>
              <w:rPr>
                <w:rFonts w:hint="eastAsia" w:ascii="宋体" w:hAnsi="宋体" w:cs="宋体"/>
                <w:color w:val="auto"/>
                <w:szCs w:val="21"/>
                <w:highlight w:val="none"/>
              </w:rPr>
            </w:pPr>
            <w:r>
              <w:rPr>
                <w:rFonts w:hint="eastAsia" w:ascii="宋体" w:hAnsi="宋体" w:cs="宋体"/>
                <w:color w:val="auto"/>
                <w:sz w:val="24"/>
                <w:highlight w:val="none"/>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vAlign w:val="center"/>
          </w:tcPr>
          <w:p w14:paraId="07290FAB">
            <w:pPr>
              <w:jc w:val="center"/>
              <w:rPr>
                <w:rFonts w:hint="eastAsia" w:ascii="宋体" w:hAnsi="宋体" w:cs="宋体"/>
                <w:color w:val="auto"/>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665EA98F">
            <w:pPr>
              <w:pStyle w:val="6"/>
              <w:jc w:val="center"/>
              <w:rPr>
                <w:rFonts w:hint="eastAsia" w:ascii="宋体" w:hAnsi="宋体" w:cs="宋体"/>
                <w:color w:val="auto"/>
                <w:szCs w:val="21"/>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64CB5554">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330374.10</w:t>
            </w:r>
            <w:r>
              <w:rPr>
                <w:rFonts w:hint="eastAsia" w:ascii="宋体" w:hAnsi="宋体" w:cs="宋体"/>
                <w:color w:val="auto"/>
                <w:sz w:val="24"/>
                <w:szCs w:val="24"/>
                <w:highlight w:val="none"/>
              </w:rPr>
              <w:t>元</w:t>
            </w:r>
          </w:p>
        </w:tc>
      </w:tr>
      <w:tr w14:paraId="4A7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14:paraId="68EBCFFF">
            <w:pPr>
              <w:pStyle w:val="6"/>
              <w:jc w:val="center"/>
              <w:rPr>
                <w:rFonts w:hint="eastAsia" w:ascii="宋体" w:hAnsi="宋体" w:cs="宋体"/>
                <w:color w:val="auto"/>
                <w:sz w:val="24"/>
                <w:highlight w:val="none"/>
              </w:rPr>
            </w:pPr>
            <w:r>
              <w:rPr>
                <w:rFonts w:hint="eastAsia" w:ascii="宋体" w:hAnsi="宋体" w:cs="宋体"/>
                <w:color w:val="auto"/>
                <w:sz w:val="24"/>
                <w:highlight w:val="none"/>
              </w:rPr>
              <w:t>工程勘察初步设计费投标总报价</w:t>
            </w:r>
          </w:p>
        </w:tc>
        <w:tc>
          <w:tcPr>
            <w:tcW w:w="1823" w:type="dxa"/>
            <w:tcBorders>
              <w:top w:val="single" w:color="auto" w:sz="4" w:space="0"/>
              <w:left w:val="single" w:color="auto" w:sz="4" w:space="0"/>
              <w:bottom w:val="single" w:color="auto" w:sz="4" w:space="0"/>
              <w:right w:val="single" w:color="auto" w:sz="4" w:space="0"/>
            </w:tcBorders>
            <w:vAlign w:val="center"/>
          </w:tcPr>
          <w:p w14:paraId="3334F666">
            <w:pPr>
              <w:jc w:val="center"/>
              <w:rPr>
                <w:rFonts w:hint="eastAsia" w:ascii="宋体" w:hAnsi="宋体" w:cs="宋体"/>
                <w:color w:val="auto"/>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293AAF19">
            <w:pPr>
              <w:pStyle w:val="6"/>
              <w:jc w:val="center"/>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88125E0">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8400877.97</w:t>
            </w:r>
            <w:r>
              <w:rPr>
                <w:rFonts w:hint="eastAsia" w:ascii="宋体" w:hAnsi="宋体" w:cs="宋体"/>
                <w:color w:val="auto"/>
                <w:sz w:val="24"/>
                <w:szCs w:val="24"/>
                <w:highlight w:val="none"/>
              </w:rPr>
              <w:t>元</w:t>
            </w:r>
          </w:p>
        </w:tc>
      </w:tr>
    </w:tbl>
    <w:p w14:paraId="214BD9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注释：</w:t>
      </w:r>
    </w:p>
    <w:p w14:paraId="325056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1.投标人根据《工程勘察初步设计费报价汇总表》的要求进行报价。</w:t>
      </w:r>
    </w:p>
    <w:p w14:paraId="6E5E0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2、若</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投标总</w:t>
      </w:r>
      <w:r>
        <w:rPr>
          <w:rFonts w:hint="eastAsia" w:ascii="宋体" w:hAnsi="宋体" w:cs="宋体"/>
          <w:color w:val="auto"/>
          <w:szCs w:val="21"/>
          <w:highlight w:val="none"/>
        </w:rPr>
        <w:t>报价超过</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勘察初步设计费最高投标限价或单项报价超过单项最高投标限价均作无效标书处理。</w:t>
      </w:r>
    </w:p>
    <w:p w14:paraId="234F5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3、投标下浮率=（最高投标限价-投标报价）/最高投标限价×100%。</w:t>
      </w:r>
    </w:p>
    <w:p w14:paraId="4017AAEE">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投标总</w:t>
      </w:r>
      <w:r>
        <w:rPr>
          <w:rFonts w:hint="eastAsia" w:ascii="宋体" w:hAnsi="宋体" w:cs="宋体"/>
          <w:color w:val="auto"/>
          <w:szCs w:val="21"/>
          <w:highlight w:val="none"/>
        </w:rPr>
        <w:t>报价与</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下浮率所算出的价格不一致的，以</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投标总</w:t>
      </w:r>
      <w:r>
        <w:rPr>
          <w:rFonts w:hint="eastAsia" w:ascii="宋体" w:hAnsi="宋体" w:cs="宋体"/>
          <w:color w:val="auto"/>
          <w:szCs w:val="21"/>
          <w:highlight w:val="none"/>
        </w:rPr>
        <w:t>报价为准，修正</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下浮率=1-</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投标总</w:t>
      </w:r>
      <w:r>
        <w:rPr>
          <w:rFonts w:hint="eastAsia" w:ascii="宋体" w:hAnsi="宋体" w:cs="宋体"/>
          <w:color w:val="auto"/>
          <w:szCs w:val="21"/>
          <w:highlight w:val="none"/>
        </w:rPr>
        <w:t>报价/</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勘察初步设计费最高投标限价（以%为单位，精确到小数点后2位）。评标委员会</w:t>
      </w:r>
      <w:r>
        <w:rPr>
          <w:rFonts w:hint="eastAsia" w:ascii="宋体" w:hAnsi="宋体" w:cs="宋体"/>
          <w:color w:val="auto"/>
          <w:highlight w:val="none"/>
        </w:rPr>
        <w:t>按上述修正错误的原则及方法修正投标文件的</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下浮率</w:t>
      </w:r>
      <w:r>
        <w:rPr>
          <w:rFonts w:hint="eastAsia" w:ascii="宋体" w:hAnsi="宋体" w:cs="宋体"/>
          <w:color w:val="auto"/>
          <w:highlight w:val="none"/>
        </w:rPr>
        <w:t>，调整后的</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下浮率</w:t>
      </w:r>
      <w:r>
        <w:rPr>
          <w:rFonts w:hint="eastAsia" w:ascii="宋体" w:hAnsi="宋体" w:cs="宋体"/>
          <w:color w:val="auto"/>
          <w:highlight w:val="none"/>
        </w:rPr>
        <w:t>对投标人起约束作用。如果投标人不接受修正后的</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勘察初步设计费</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下浮率</w:t>
      </w:r>
      <w:r>
        <w:rPr>
          <w:rFonts w:hint="eastAsia" w:ascii="宋体" w:hAnsi="宋体" w:cs="宋体"/>
          <w:color w:val="auto"/>
          <w:highlight w:val="none"/>
        </w:rPr>
        <w:t>，则取消其中标资格。</w:t>
      </w:r>
    </w:p>
    <w:p w14:paraId="31D9ACD8">
      <w:pPr>
        <w:pStyle w:val="7"/>
        <w:kinsoku w:val="0"/>
        <w:overflowPunct w:val="0"/>
        <w:spacing w:line="360" w:lineRule="auto"/>
        <w:ind w:firstLine="2891" w:firstLineChars="1200"/>
        <w:jc w:val="righ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w:t>
      </w:r>
      <w:r>
        <w:rPr>
          <w:rFonts w:hint="eastAsia" w:ascii="宋体" w:hAnsi="宋体" w:cs="宋体"/>
          <w:b/>
          <w:color w:val="auto"/>
          <w:spacing w:val="-2"/>
          <w:sz w:val="24"/>
          <w:szCs w:val="24"/>
          <w:highlight w:val="none"/>
        </w:rPr>
        <w:t>人：</w:t>
      </w:r>
      <w:r>
        <w:rPr>
          <w:rFonts w:hint="eastAsia" w:ascii="宋体" w:hAnsi="宋体" w:cs="宋体"/>
          <w:b/>
          <w:color w:val="auto"/>
          <w:spacing w:val="-2"/>
          <w:sz w:val="24"/>
          <w:szCs w:val="24"/>
          <w:highlight w:val="none"/>
          <w:u w:val="single"/>
        </w:rPr>
        <w:t xml:space="preserve">      </w:t>
      </w:r>
      <w:r>
        <w:rPr>
          <w:rFonts w:hint="eastAsia" w:ascii="宋体" w:hAnsi="宋体" w:cs="宋体"/>
          <w:b/>
          <w:color w:val="auto"/>
          <w:spacing w:val="-1"/>
          <w:sz w:val="24"/>
          <w:szCs w:val="24"/>
          <w:highlight w:val="none"/>
        </w:rPr>
        <w:t>（盖单位章）</w:t>
      </w:r>
    </w:p>
    <w:p w14:paraId="656E3BE7">
      <w:pPr>
        <w:pStyle w:val="7"/>
        <w:kinsoku w:val="0"/>
        <w:overflowPunct w:val="0"/>
        <w:spacing w:line="360" w:lineRule="auto"/>
        <w:ind w:firstLine="2891" w:firstLineChars="1200"/>
        <w:jc w:val="right"/>
        <w:rPr>
          <w:rFonts w:hint="eastAsia" w:ascii="宋体" w:hAnsi="宋体" w:cs="宋体"/>
          <w:b/>
          <w:color w:val="auto"/>
          <w:sz w:val="24"/>
          <w:szCs w:val="24"/>
          <w:highlight w:val="none"/>
        </w:rPr>
      </w:pPr>
      <w:r>
        <w:rPr>
          <w:rFonts w:hint="eastAsia" w:ascii="宋体" w:hAnsi="宋体" w:cs="宋体"/>
          <w:b/>
          <w:bCs/>
          <w:color w:val="auto"/>
          <w:sz w:val="24"/>
          <w:szCs w:val="24"/>
          <w:highlight w:val="none"/>
        </w:rPr>
        <w:t>法定代表人或</w:t>
      </w:r>
      <w:r>
        <w:rPr>
          <w:rFonts w:hint="eastAsia" w:ascii="宋体" w:hAnsi="宋体" w:cs="宋体"/>
          <w:b/>
          <w:color w:val="auto"/>
          <w:sz w:val="24"/>
          <w:szCs w:val="24"/>
          <w:highlight w:val="none"/>
        </w:rPr>
        <w:t>其委托代理人：</w:t>
      </w:r>
      <w:r>
        <w:rPr>
          <w:rFonts w:hint="eastAsia" w:ascii="宋体" w:hAnsi="宋体" w:cs="宋体"/>
          <w:b/>
          <w:color w:val="auto"/>
          <w:spacing w:val="-2"/>
          <w:sz w:val="24"/>
          <w:szCs w:val="24"/>
          <w:highlight w:val="none"/>
          <w:u w:val="single"/>
        </w:rPr>
        <w:t xml:space="preserve">      </w:t>
      </w:r>
      <w:r>
        <w:rPr>
          <w:rFonts w:hint="eastAsia" w:ascii="宋体" w:hAnsi="宋体" w:cs="宋体"/>
          <w:b/>
          <w:color w:val="auto"/>
          <w:sz w:val="24"/>
          <w:szCs w:val="24"/>
          <w:highlight w:val="none"/>
        </w:rPr>
        <w:t>（签字或盖章）</w:t>
      </w:r>
    </w:p>
    <w:p w14:paraId="06D526C1">
      <w:pPr>
        <w:spacing w:line="360" w:lineRule="auto"/>
        <w:jc w:val="right"/>
        <w:rPr>
          <w:rFonts w:hint="eastAsia" w:ascii="宋体" w:hAnsi="宋体" w:cs="宋体"/>
          <w:color w:val="auto"/>
          <w:highlight w:val="none"/>
        </w:rPr>
      </w:pPr>
      <w:r>
        <w:rPr>
          <w:rFonts w:hint="eastAsia" w:ascii="宋体" w:hAnsi="宋体" w:cs="宋体"/>
          <w:b/>
          <w:color w:val="auto"/>
          <w:sz w:val="24"/>
          <w:szCs w:val="24"/>
          <w:highlight w:val="none"/>
        </w:rPr>
        <w:t>年     月</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t xml:space="preserve"> 日</w:t>
      </w:r>
    </w:p>
    <w:p w14:paraId="2A7E3A33">
      <w:pPr>
        <w:widowControl/>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0631FAC4">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cs="宋体"/>
          <w:b/>
          <w:color w:val="auto"/>
          <w:szCs w:val="21"/>
          <w:highlight w:val="none"/>
        </w:rPr>
      </w:pPr>
      <w:bookmarkStart w:id="225" w:name="_Toc4591"/>
      <w:r>
        <w:rPr>
          <w:rFonts w:hint="eastAsia" w:ascii="宋体" w:hAnsi="宋体" w:cs="宋体"/>
          <w:b/>
          <w:color w:val="auto"/>
          <w:szCs w:val="21"/>
          <w:highlight w:val="none"/>
        </w:rPr>
        <w:t>附件3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1建筑信息模型（BIM）技术应用费计算表</w:t>
      </w:r>
      <w:bookmarkEnd w:id="225"/>
    </w:p>
    <w:p w14:paraId="7C2439CA">
      <w:pPr>
        <w:rPr>
          <w:rFonts w:hint="eastAsia" w:ascii="宋体" w:hAnsi="宋体" w:cs="宋体"/>
          <w:b/>
          <w:color w:val="auto"/>
          <w:szCs w:val="21"/>
          <w:highlight w:val="none"/>
        </w:rPr>
      </w:pPr>
    </w:p>
    <w:p w14:paraId="00F9D6BF">
      <w:pPr>
        <w:spacing w:line="400" w:lineRule="exact"/>
        <w:ind w:left="178" w:leftChars="85"/>
        <w:jc w:val="center"/>
        <w:rPr>
          <w:rFonts w:hint="eastAsia" w:ascii="宋体" w:hAnsi="宋体" w:cs="宋体"/>
          <w:b/>
          <w:color w:val="auto"/>
          <w:sz w:val="32"/>
          <w:highlight w:val="none"/>
        </w:rPr>
      </w:pPr>
      <w:bookmarkStart w:id="226" w:name="_Toc28664"/>
      <w:r>
        <w:rPr>
          <w:rFonts w:hint="eastAsia" w:ascii="宋体" w:hAnsi="宋体" w:cs="宋体"/>
          <w:b/>
          <w:color w:val="auto"/>
          <w:sz w:val="32"/>
          <w:highlight w:val="none"/>
        </w:rPr>
        <w:t>建筑信息模型（BIM）技术应用费计算表</w:t>
      </w:r>
    </w:p>
    <w:tbl>
      <w:tblPr>
        <w:tblStyle w:val="2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694"/>
        <w:gridCol w:w="2618"/>
        <w:gridCol w:w="2168"/>
      </w:tblGrid>
      <w:tr w14:paraId="07C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32D3178">
            <w:pPr>
              <w:pStyle w:val="5"/>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707" w:type="dxa"/>
          </w:tcPr>
          <w:p w14:paraId="33A01782">
            <w:pPr>
              <w:pStyle w:val="5"/>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分项</w:t>
            </w:r>
          </w:p>
        </w:tc>
        <w:tc>
          <w:tcPr>
            <w:tcW w:w="2626" w:type="dxa"/>
          </w:tcPr>
          <w:p w14:paraId="62A029BE">
            <w:pPr>
              <w:pStyle w:val="5"/>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投标值</w:t>
            </w:r>
          </w:p>
        </w:tc>
        <w:tc>
          <w:tcPr>
            <w:tcW w:w="2175" w:type="dxa"/>
          </w:tcPr>
          <w:p w14:paraId="6680C97E">
            <w:pPr>
              <w:pStyle w:val="5"/>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1C3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22" w:type="dxa"/>
            <w:vAlign w:val="center"/>
          </w:tcPr>
          <w:p w14:paraId="7E3A945A">
            <w:pPr>
              <w:pStyle w:val="5"/>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3707" w:type="dxa"/>
            <w:vAlign w:val="center"/>
          </w:tcPr>
          <w:p w14:paraId="1FDF7235">
            <w:pPr>
              <w:pStyle w:val="5"/>
              <w:spacing w:line="24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计算基础（建筑面积）（m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w:t>
            </w:r>
          </w:p>
        </w:tc>
        <w:tc>
          <w:tcPr>
            <w:tcW w:w="2626" w:type="dxa"/>
            <w:vAlign w:val="center"/>
          </w:tcPr>
          <w:p w14:paraId="3740D764">
            <w:pPr>
              <w:pStyle w:val="5"/>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157321</w:t>
            </w:r>
          </w:p>
        </w:tc>
        <w:tc>
          <w:tcPr>
            <w:tcW w:w="2175" w:type="dxa"/>
          </w:tcPr>
          <w:p w14:paraId="77F454AA">
            <w:pPr>
              <w:pStyle w:val="5"/>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暂定工程量，投标不得浮动</w:t>
            </w:r>
          </w:p>
        </w:tc>
      </w:tr>
      <w:tr w14:paraId="443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03D59A4">
            <w:pPr>
              <w:pStyle w:val="5"/>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3707" w:type="dxa"/>
          </w:tcPr>
          <w:p w14:paraId="7BC96142">
            <w:pPr>
              <w:pStyle w:val="5"/>
              <w:rPr>
                <w:rFonts w:hint="eastAsia" w:ascii="宋体" w:hAnsi="宋体" w:cs="宋体"/>
                <w:color w:val="auto"/>
                <w:sz w:val="24"/>
                <w:szCs w:val="24"/>
                <w:highlight w:val="none"/>
              </w:rPr>
            </w:pPr>
            <w:r>
              <w:rPr>
                <w:rFonts w:hint="eastAsia" w:ascii="宋体" w:hAnsi="宋体" w:cs="宋体"/>
                <w:color w:val="auto"/>
                <w:sz w:val="24"/>
                <w:szCs w:val="24"/>
                <w:highlight w:val="none"/>
              </w:rPr>
              <w:t>含税综合包干单价（元/m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w:t>
            </w:r>
          </w:p>
        </w:tc>
        <w:tc>
          <w:tcPr>
            <w:tcW w:w="2626" w:type="dxa"/>
          </w:tcPr>
          <w:p w14:paraId="388880C4">
            <w:pPr>
              <w:pStyle w:val="5"/>
              <w:rPr>
                <w:rFonts w:hint="eastAsia" w:ascii="宋体" w:hAnsi="宋体" w:cs="宋体"/>
                <w:color w:val="auto"/>
                <w:sz w:val="24"/>
                <w:szCs w:val="24"/>
                <w:highlight w:val="none"/>
              </w:rPr>
            </w:pPr>
          </w:p>
        </w:tc>
        <w:tc>
          <w:tcPr>
            <w:tcW w:w="2175" w:type="dxa"/>
          </w:tcPr>
          <w:p w14:paraId="0B65DD78">
            <w:pPr>
              <w:pStyle w:val="5"/>
              <w:rPr>
                <w:rFonts w:hint="eastAsia" w:ascii="宋体" w:hAnsi="宋体" w:cs="宋体"/>
                <w:color w:val="auto"/>
                <w:sz w:val="24"/>
                <w:szCs w:val="24"/>
                <w:highlight w:val="none"/>
              </w:rPr>
            </w:pPr>
            <w:r>
              <w:rPr>
                <w:rFonts w:hint="eastAsia" w:ascii="宋体" w:hAnsi="宋体" w:cs="宋体"/>
                <w:color w:val="auto"/>
                <w:sz w:val="24"/>
                <w:szCs w:val="24"/>
                <w:highlight w:val="none"/>
              </w:rPr>
              <w:t>投标单位执行填报</w:t>
            </w:r>
          </w:p>
        </w:tc>
      </w:tr>
      <w:tr w14:paraId="69F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9563CA2">
            <w:pPr>
              <w:pStyle w:val="5"/>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三</w:t>
            </w:r>
          </w:p>
        </w:tc>
        <w:tc>
          <w:tcPr>
            <w:tcW w:w="3707" w:type="dxa"/>
          </w:tcPr>
          <w:p w14:paraId="161B9257">
            <w:pPr>
              <w:pStyle w:val="5"/>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建筑信息模型（BIM）技术应用费（元）</w:t>
            </w:r>
          </w:p>
        </w:tc>
        <w:tc>
          <w:tcPr>
            <w:tcW w:w="2626" w:type="dxa"/>
          </w:tcPr>
          <w:p w14:paraId="2F39CD4B">
            <w:pPr>
              <w:pStyle w:val="5"/>
              <w:rPr>
                <w:rFonts w:hint="eastAsia" w:ascii="宋体" w:hAnsi="宋体" w:cs="宋体"/>
                <w:color w:val="auto"/>
                <w:sz w:val="24"/>
                <w:szCs w:val="24"/>
                <w:highlight w:val="none"/>
              </w:rPr>
            </w:pPr>
          </w:p>
        </w:tc>
        <w:tc>
          <w:tcPr>
            <w:tcW w:w="2175" w:type="dxa"/>
          </w:tcPr>
          <w:p w14:paraId="20890E7D">
            <w:pPr>
              <w:pStyle w:val="5"/>
              <w:rPr>
                <w:rFonts w:hint="eastAsia" w:ascii="宋体" w:hAnsi="宋体" w:cs="宋体"/>
                <w:color w:val="auto"/>
                <w:sz w:val="24"/>
                <w:szCs w:val="24"/>
                <w:highlight w:val="none"/>
              </w:rPr>
            </w:pPr>
          </w:p>
        </w:tc>
      </w:tr>
    </w:tbl>
    <w:p w14:paraId="5CF95F04">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注：1.BIM技术应用费综合包干单价不超过2.10元/m</w:t>
      </w:r>
      <w:r>
        <w:rPr>
          <w:rFonts w:hint="eastAsia" w:ascii="宋体" w:hAnsi="宋体" w:cs="宋体"/>
          <w:b/>
          <w:bCs/>
          <w:color w:val="auto"/>
          <w:sz w:val="24"/>
          <w:szCs w:val="24"/>
          <w:highlight w:val="none"/>
          <w:vertAlign w:val="superscript"/>
        </w:rPr>
        <w:t>2</w:t>
      </w:r>
      <w:r>
        <w:rPr>
          <w:rFonts w:hint="eastAsia" w:ascii="宋体" w:hAnsi="宋体" w:cs="宋体"/>
          <w:b/>
          <w:bCs/>
          <w:color w:val="auto"/>
          <w:sz w:val="24"/>
          <w:szCs w:val="24"/>
          <w:highlight w:val="none"/>
        </w:rPr>
        <w:t>，投标综合包干单价超出最高投标限价由评标委员作废标处理。</w:t>
      </w:r>
      <w:bookmarkEnd w:id="226"/>
    </w:p>
    <w:p w14:paraId="302A2027">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2.建筑信息模型（BIM）技术应用费=计算基础（建筑面积）*含税综合包干单价</w:t>
      </w:r>
    </w:p>
    <w:p w14:paraId="3541F015">
      <w:pPr>
        <w:pStyle w:val="7"/>
        <w:kinsoku w:val="0"/>
        <w:overflowPunct w:val="0"/>
        <w:spacing w:line="360" w:lineRule="auto"/>
        <w:ind w:firstLine="2891" w:firstLineChars="1200"/>
        <w:jc w:val="right"/>
        <w:rPr>
          <w:rFonts w:hint="eastAsia" w:ascii="宋体" w:hAnsi="宋体" w:cs="宋体"/>
          <w:b/>
          <w:bCs/>
          <w:color w:val="auto"/>
          <w:sz w:val="24"/>
          <w:szCs w:val="24"/>
          <w:highlight w:val="none"/>
        </w:rPr>
      </w:pPr>
    </w:p>
    <w:p w14:paraId="6D6AF606">
      <w:pPr>
        <w:pStyle w:val="7"/>
        <w:kinsoku w:val="0"/>
        <w:overflowPunct w:val="0"/>
        <w:spacing w:line="360" w:lineRule="auto"/>
        <w:ind w:firstLine="2891" w:firstLineChars="1200"/>
        <w:jc w:val="righ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w:t>
      </w:r>
      <w:r>
        <w:rPr>
          <w:rFonts w:hint="eastAsia" w:ascii="宋体" w:hAnsi="宋体" w:cs="宋体"/>
          <w:b/>
          <w:bCs/>
          <w:color w:val="auto"/>
          <w:spacing w:val="-2"/>
          <w:sz w:val="24"/>
          <w:szCs w:val="24"/>
          <w:highlight w:val="none"/>
        </w:rPr>
        <w:t>人：</w:t>
      </w:r>
      <w:r>
        <w:rPr>
          <w:rFonts w:hint="eastAsia" w:ascii="宋体" w:hAnsi="宋体" w:cs="宋体"/>
          <w:b/>
          <w:bCs/>
          <w:color w:val="auto"/>
          <w:spacing w:val="-2"/>
          <w:sz w:val="24"/>
          <w:szCs w:val="24"/>
          <w:highlight w:val="none"/>
          <w:u w:val="single"/>
        </w:rPr>
        <w:t xml:space="preserve">      </w:t>
      </w:r>
      <w:r>
        <w:rPr>
          <w:rFonts w:hint="eastAsia" w:ascii="宋体" w:hAnsi="宋体" w:cs="宋体"/>
          <w:b/>
          <w:bCs/>
          <w:color w:val="auto"/>
          <w:spacing w:val="-1"/>
          <w:sz w:val="24"/>
          <w:szCs w:val="24"/>
          <w:highlight w:val="none"/>
        </w:rPr>
        <w:t>（盖单位章）</w:t>
      </w:r>
    </w:p>
    <w:p w14:paraId="779CD883">
      <w:pPr>
        <w:pStyle w:val="7"/>
        <w:kinsoku w:val="0"/>
        <w:overflowPunct w:val="0"/>
        <w:spacing w:line="360" w:lineRule="auto"/>
        <w:ind w:firstLine="2891" w:firstLineChars="1200"/>
        <w:jc w:val="righ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法定代表人或其委托代理人：</w:t>
      </w:r>
      <w:r>
        <w:rPr>
          <w:rFonts w:hint="eastAsia" w:ascii="宋体" w:hAnsi="宋体" w:cs="宋体"/>
          <w:b/>
          <w:bCs/>
          <w:color w:val="auto"/>
          <w:spacing w:val="-2"/>
          <w:sz w:val="24"/>
          <w:szCs w:val="24"/>
          <w:highlight w:val="none"/>
          <w:u w:val="single"/>
        </w:rPr>
        <w:t xml:space="preserve">      </w:t>
      </w:r>
      <w:r>
        <w:rPr>
          <w:rFonts w:hint="eastAsia" w:ascii="宋体" w:hAnsi="宋体" w:cs="宋体"/>
          <w:b/>
          <w:bCs/>
          <w:color w:val="auto"/>
          <w:sz w:val="24"/>
          <w:szCs w:val="24"/>
          <w:highlight w:val="none"/>
        </w:rPr>
        <w:t>（签字或盖章）</w:t>
      </w:r>
    </w:p>
    <w:p w14:paraId="192344A4">
      <w:pPr>
        <w:spacing w:line="360" w:lineRule="auto"/>
        <w:jc w:val="right"/>
        <w:rPr>
          <w:rFonts w:hint="eastAsia" w:ascii="宋体" w:hAnsi="宋体" w:cs="宋体"/>
          <w:color w:val="auto"/>
          <w:szCs w:val="21"/>
          <w:highlight w:val="none"/>
        </w:rPr>
      </w:pPr>
      <w:r>
        <w:rPr>
          <w:rFonts w:hint="eastAsia" w:ascii="宋体" w:hAnsi="宋体" w:cs="宋体"/>
          <w:b/>
          <w:bCs/>
          <w:color w:val="auto"/>
          <w:sz w:val="24"/>
          <w:szCs w:val="24"/>
          <w:highlight w:val="none"/>
        </w:rPr>
        <w:t>年     月</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 xml:space="preserve"> 日</w:t>
      </w:r>
    </w:p>
    <w:p w14:paraId="1444576F">
      <w:pPr>
        <w:spacing w:line="360" w:lineRule="auto"/>
        <w:rPr>
          <w:rFonts w:hint="eastAsia" w:ascii="宋体" w:hAnsi="宋体" w:cs="宋体"/>
          <w:b/>
          <w:color w:val="auto"/>
          <w:szCs w:val="21"/>
          <w:highlight w:val="none"/>
        </w:rPr>
      </w:pPr>
    </w:p>
    <w:p w14:paraId="00DA7A92">
      <w:pPr>
        <w:rPr>
          <w:rFonts w:hint="eastAsia" w:ascii="宋体" w:hAnsi="宋体" w:cs="宋体"/>
          <w:b/>
          <w:color w:val="auto"/>
          <w:szCs w:val="21"/>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6DCB1A13">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cs="宋体"/>
          <w:color w:val="auto"/>
          <w:sz w:val="24"/>
          <w:szCs w:val="24"/>
          <w:highlight w:val="none"/>
        </w:rPr>
      </w:pPr>
      <w:bookmarkStart w:id="227" w:name="_Toc114493761"/>
      <w:bookmarkEnd w:id="227"/>
      <w:bookmarkStart w:id="228" w:name="_Toc2647"/>
      <w:r>
        <w:rPr>
          <w:rFonts w:hint="eastAsia" w:ascii="宋体" w:hAnsi="宋体" w:cs="宋体"/>
          <w:b/>
          <w:color w:val="auto"/>
          <w:szCs w:val="21"/>
          <w:highlight w:val="none"/>
        </w:rPr>
        <w:t>附件3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2工程勘察费计算表</w:t>
      </w:r>
      <w:bookmarkEnd w:id="228"/>
      <w:bookmarkStart w:id="229" w:name="_Toc114493762"/>
      <w:bookmarkEnd w:id="229"/>
      <w:bookmarkStart w:id="230" w:name="_Toc11498"/>
      <w:bookmarkEnd w:id="230"/>
    </w:p>
    <w:p w14:paraId="50361F2C">
      <w:pPr>
        <w:spacing w:line="400" w:lineRule="exact"/>
        <w:ind w:left="178" w:leftChars="85"/>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勘察费计算表</w:t>
      </w:r>
    </w:p>
    <w:tbl>
      <w:tblPr>
        <w:tblStyle w:val="20"/>
        <w:tblW w:w="14732" w:type="dxa"/>
        <w:tblInd w:w="-17" w:type="dxa"/>
        <w:tblLayout w:type="fixed"/>
        <w:tblCellMar>
          <w:top w:w="0" w:type="dxa"/>
          <w:left w:w="108" w:type="dxa"/>
          <w:bottom w:w="0" w:type="dxa"/>
          <w:right w:w="108" w:type="dxa"/>
        </w:tblCellMar>
      </w:tblPr>
      <w:tblGrid>
        <w:gridCol w:w="720"/>
        <w:gridCol w:w="1622"/>
        <w:gridCol w:w="4890"/>
        <w:gridCol w:w="644"/>
        <w:gridCol w:w="1306"/>
        <w:gridCol w:w="1455"/>
        <w:gridCol w:w="1455"/>
        <w:gridCol w:w="2640"/>
      </w:tblGrid>
      <w:tr w14:paraId="08E45BDA">
        <w:tblPrEx>
          <w:tblCellMar>
            <w:top w:w="0" w:type="dxa"/>
            <w:left w:w="108" w:type="dxa"/>
            <w:bottom w:w="0" w:type="dxa"/>
            <w:right w:w="108" w:type="dxa"/>
          </w:tblCellMar>
        </w:tblPrEx>
        <w:trPr>
          <w:trHeight w:val="312" w:hRule="atLeast"/>
          <w:tblHead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63F7EE7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1622" w:type="dxa"/>
            <w:vMerge w:val="restart"/>
            <w:tcBorders>
              <w:top w:val="single" w:color="000000" w:sz="4" w:space="0"/>
              <w:left w:val="single" w:color="000000" w:sz="4" w:space="0"/>
              <w:bottom w:val="single" w:color="000000" w:sz="4" w:space="0"/>
              <w:right w:val="single" w:color="000000" w:sz="4" w:space="0"/>
            </w:tcBorders>
            <w:vAlign w:val="center"/>
          </w:tcPr>
          <w:p w14:paraId="6BAEA4B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费用名称</w:t>
            </w:r>
          </w:p>
        </w:tc>
        <w:tc>
          <w:tcPr>
            <w:tcW w:w="4890" w:type="dxa"/>
            <w:vMerge w:val="restart"/>
            <w:tcBorders>
              <w:top w:val="single" w:color="000000" w:sz="4" w:space="0"/>
              <w:left w:val="single" w:color="000000" w:sz="4" w:space="0"/>
              <w:bottom w:val="single" w:color="000000" w:sz="4" w:space="0"/>
              <w:right w:val="single" w:color="000000" w:sz="4" w:space="0"/>
            </w:tcBorders>
            <w:vAlign w:val="center"/>
          </w:tcPr>
          <w:p w14:paraId="08B1F20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项目特征</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2AF2129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5CD4DD6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暂定工作量</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6FFB61E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含税综合包干单价（元）</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66AA3661">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含税合价（元）</w:t>
            </w:r>
          </w:p>
        </w:tc>
        <w:tc>
          <w:tcPr>
            <w:tcW w:w="2640" w:type="dxa"/>
            <w:vMerge w:val="restart"/>
            <w:tcBorders>
              <w:top w:val="single" w:color="000000" w:sz="4" w:space="0"/>
              <w:left w:val="single" w:color="000000" w:sz="4" w:space="0"/>
              <w:bottom w:val="single" w:color="000000" w:sz="4" w:space="0"/>
              <w:right w:val="single" w:color="000000" w:sz="4" w:space="0"/>
            </w:tcBorders>
            <w:vAlign w:val="center"/>
          </w:tcPr>
          <w:p w14:paraId="02FFA0F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4251957E">
        <w:tblPrEx>
          <w:tblCellMar>
            <w:top w:w="0" w:type="dxa"/>
            <w:left w:w="108" w:type="dxa"/>
            <w:bottom w:w="0" w:type="dxa"/>
            <w:right w:w="108" w:type="dxa"/>
          </w:tblCellMar>
        </w:tblPrEx>
        <w:trPr>
          <w:trHeight w:val="312"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6FBE740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1622" w:type="dxa"/>
            <w:vMerge w:val="continue"/>
            <w:tcBorders>
              <w:top w:val="single" w:color="000000" w:sz="4" w:space="0"/>
              <w:left w:val="single" w:color="000000" w:sz="4" w:space="0"/>
              <w:bottom w:val="single" w:color="000000" w:sz="4" w:space="0"/>
              <w:right w:val="single" w:color="000000" w:sz="4" w:space="0"/>
            </w:tcBorders>
            <w:vAlign w:val="center"/>
          </w:tcPr>
          <w:p w14:paraId="5C20F893">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4890" w:type="dxa"/>
            <w:vMerge w:val="continue"/>
            <w:tcBorders>
              <w:top w:val="single" w:color="000000" w:sz="4" w:space="0"/>
              <w:left w:val="single" w:color="000000" w:sz="4" w:space="0"/>
              <w:bottom w:val="single" w:color="000000" w:sz="4" w:space="0"/>
              <w:right w:val="single" w:color="000000" w:sz="4" w:space="0"/>
            </w:tcBorders>
            <w:vAlign w:val="center"/>
          </w:tcPr>
          <w:p w14:paraId="6A8D07CE">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3364797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79BE7F2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27F5720">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5542563">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2640" w:type="dxa"/>
            <w:vMerge w:val="continue"/>
            <w:tcBorders>
              <w:top w:val="single" w:color="000000" w:sz="4" w:space="0"/>
              <w:left w:val="single" w:color="000000" w:sz="4" w:space="0"/>
              <w:bottom w:val="single" w:color="000000" w:sz="4" w:space="0"/>
              <w:right w:val="single" w:color="000000" w:sz="4" w:space="0"/>
            </w:tcBorders>
            <w:vAlign w:val="center"/>
          </w:tcPr>
          <w:p w14:paraId="5A55A84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4CBDC0DC">
        <w:tblPrEx>
          <w:tblCellMar>
            <w:top w:w="0" w:type="dxa"/>
            <w:left w:w="108" w:type="dxa"/>
            <w:bottom w:w="0" w:type="dxa"/>
            <w:right w:w="108" w:type="dxa"/>
          </w:tblCellMar>
        </w:tblPrEx>
        <w:trPr>
          <w:trHeight w:val="40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3E070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一</w:t>
            </w:r>
          </w:p>
        </w:tc>
        <w:tc>
          <w:tcPr>
            <w:tcW w:w="1622" w:type="dxa"/>
            <w:tcBorders>
              <w:top w:val="single" w:color="000000" w:sz="4" w:space="0"/>
              <w:left w:val="single" w:color="000000" w:sz="4" w:space="0"/>
              <w:bottom w:val="single" w:color="000000" w:sz="4" w:space="0"/>
              <w:right w:val="single" w:color="000000" w:sz="4" w:space="0"/>
            </w:tcBorders>
            <w:vAlign w:val="center"/>
          </w:tcPr>
          <w:p w14:paraId="448B755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详细勘察</w:t>
            </w:r>
          </w:p>
        </w:tc>
        <w:tc>
          <w:tcPr>
            <w:tcW w:w="4890" w:type="dxa"/>
            <w:tcBorders>
              <w:top w:val="single" w:color="000000" w:sz="4" w:space="0"/>
              <w:left w:val="single" w:color="000000" w:sz="4" w:space="0"/>
              <w:bottom w:val="single" w:color="000000" w:sz="4" w:space="0"/>
              <w:right w:val="single" w:color="000000" w:sz="4" w:space="0"/>
            </w:tcBorders>
            <w:vAlign w:val="center"/>
          </w:tcPr>
          <w:p w14:paraId="705D9B2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D79637B">
            <w:pPr>
              <w:keepNext w:val="0"/>
              <w:keepLines w:val="0"/>
              <w:pageBreakBefore w:val="0"/>
              <w:kinsoku/>
              <w:wordWrap/>
              <w:overflowPunct/>
              <w:topLinePunct w:val="0"/>
              <w:autoSpaceDE/>
              <w:autoSpaceDN/>
              <w:bidi w:val="0"/>
              <w:adjustRightInd/>
              <w:snapToGrid/>
              <w:spacing w:line="260" w:lineRule="exact"/>
              <w:rPr>
                <w:rFonts w:hint="eastAsia" w:ascii="宋体" w:hAnsi="宋体" w:cs="宋体"/>
                <w:color w:val="auto"/>
                <w:szCs w:val="21"/>
                <w:highlight w:val="none"/>
              </w:rPr>
            </w:pPr>
          </w:p>
        </w:tc>
        <w:tc>
          <w:tcPr>
            <w:tcW w:w="1306" w:type="dxa"/>
            <w:tcBorders>
              <w:top w:val="single" w:color="000000" w:sz="4" w:space="0"/>
              <w:left w:val="single" w:color="000000" w:sz="4" w:space="0"/>
              <w:bottom w:val="single" w:color="000000" w:sz="4" w:space="0"/>
              <w:right w:val="single" w:color="000000" w:sz="4" w:space="0"/>
            </w:tcBorders>
            <w:vAlign w:val="center"/>
          </w:tcPr>
          <w:p w14:paraId="3EC7924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B7938E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5028A01">
            <w:pPr>
              <w:keepNext w:val="0"/>
              <w:keepLines w:val="0"/>
              <w:pageBreakBefore w:val="0"/>
              <w:kinsoku/>
              <w:wordWrap/>
              <w:overflowPunct/>
              <w:topLinePunct w:val="0"/>
              <w:autoSpaceDE/>
              <w:autoSpaceDN/>
              <w:bidi w:val="0"/>
              <w:adjustRightInd/>
              <w:snapToGrid/>
              <w:spacing w:line="260" w:lineRule="exact"/>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5F48E43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34E63968">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0290A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1.1</w:t>
            </w:r>
          </w:p>
        </w:tc>
        <w:tc>
          <w:tcPr>
            <w:tcW w:w="1622" w:type="dxa"/>
            <w:tcBorders>
              <w:top w:val="single" w:color="000000" w:sz="4" w:space="0"/>
              <w:left w:val="single" w:color="000000" w:sz="4" w:space="0"/>
              <w:bottom w:val="single" w:color="000000" w:sz="4" w:space="0"/>
              <w:right w:val="single" w:color="000000" w:sz="4" w:space="0"/>
            </w:tcBorders>
            <w:vAlign w:val="center"/>
          </w:tcPr>
          <w:p w14:paraId="6B3A693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勘察钻孔</w:t>
            </w:r>
          </w:p>
        </w:tc>
        <w:tc>
          <w:tcPr>
            <w:tcW w:w="4890" w:type="dxa"/>
            <w:tcBorders>
              <w:top w:val="single" w:color="000000" w:sz="4" w:space="0"/>
              <w:left w:val="single" w:color="000000" w:sz="4" w:space="0"/>
              <w:bottom w:val="single" w:color="000000" w:sz="4" w:space="0"/>
              <w:right w:val="single" w:color="000000" w:sz="4" w:space="0"/>
            </w:tcBorders>
            <w:vAlign w:val="center"/>
          </w:tcPr>
          <w:p w14:paraId="05042FDF">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1、土质类别：不分类别，综合考虑</w:t>
            </w:r>
          </w:p>
          <w:p w14:paraId="1951E22E">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2、孔深：不分孔深，综合考虑</w:t>
            </w:r>
          </w:p>
          <w:p w14:paraId="210BD321">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3、综合考虑入岩深度</w:t>
            </w:r>
          </w:p>
        </w:tc>
        <w:tc>
          <w:tcPr>
            <w:tcW w:w="644" w:type="dxa"/>
            <w:tcBorders>
              <w:top w:val="single" w:color="000000" w:sz="4" w:space="0"/>
              <w:left w:val="single" w:color="000000" w:sz="4" w:space="0"/>
              <w:bottom w:val="single" w:color="000000" w:sz="4" w:space="0"/>
              <w:right w:val="single" w:color="000000" w:sz="4" w:space="0"/>
            </w:tcBorders>
            <w:vAlign w:val="center"/>
          </w:tcPr>
          <w:p w14:paraId="1B357C8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米</w:t>
            </w:r>
          </w:p>
        </w:tc>
        <w:tc>
          <w:tcPr>
            <w:tcW w:w="1306" w:type="dxa"/>
            <w:tcBorders>
              <w:top w:val="single" w:color="000000" w:sz="4" w:space="0"/>
              <w:left w:val="single" w:color="000000" w:sz="4" w:space="0"/>
              <w:bottom w:val="single" w:color="000000" w:sz="4" w:space="0"/>
              <w:right w:val="single" w:color="000000" w:sz="4" w:space="0"/>
            </w:tcBorders>
            <w:vAlign w:val="center"/>
          </w:tcPr>
          <w:p w14:paraId="1CFA16B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5705.52</w:t>
            </w:r>
          </w:p>
        </w:tc>
        <w:tc>
          <w:tcPr>
            <w:tcW w:w="1455" w:type="dxa"/>
            <w:tcBorders>
              <w:top w:val="single" w:color="000000" w:sz="4" w:space="0"/>
              <w:left w:val="single" w:color="000000" w:sz="4" w:space="0"/>
              <w:bottom w:val="single" w:color="000000" w:sz="4" w:space="0"/>
              <w:right w:val="single" w:color="000000" w:sz="4" w:space="0"/>
            </w:tcBorders>
            <w:vAlign w:val="center"/>
          </w:tcPr>
          <w:p w14:paraId="09C1C53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501E7E1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5D33ABA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对应单价报价金额不得超过综合包干单价最高投标限价为</w:t>
            </w:r>
            <w:r>
              <w:rPr>
                <w:rFonts w:hint="eastAsia" w:ascii="宋体" w:hAnsi="宋体" w:cs="宋体"/>
                <w:color w:val="auto"/>
                <w:szCs w:val="21"/>
                <w:highlight w:val="none"/>
                <w:u w:val="single"/>
              </w:rPr>
              <w:t>110.00</w:t>
            </w:r>
            <w:r>
              <w:rPr>
                <w:rFonts w:hint="eastAsia" w:ascii="宋体" w:hAnsi="宋体" w:cs="宋体"/>
                <w:color w:val="auto"/>
                <w:szCs w:val="21"/>
                <w:highlight w:val="none"/>
              </w:rPr>
              <w:t>元/米</w:t>
            </w:r>
          </w:p>
        </w:tc>
      </w:tr>
      <w:tr w14:paraId="1BD10700">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69CF00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1.2</w:t>
            </w:r>
          </w:p>
        </w:tc>
        <w:tc>
          <w:tcPr>
            <w:tcW w:w="1622" w:type="dxa"/>
            <w:tcBorders>
              <w:top w:val="single" w:color="000000" w:sz="4" w:space="0"/>
              <w:left w:val="single" w:color="000000" w:sz="4" w:space="0"/>
              <w:bottom w:val="single" w:color="000000" w:sz="4" w:space="0"/>
              <w:right w:val="single" w:color="000000" w:sz="4" w:space="0"/>
            </w:tcBorders>
            <w:vAlign w:val="center"/>
          </w:tcPr>
          <w:p w14:paraId="0E236A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钻孔剪切波速测试</w:t>
            </w:r>
          </w:p>
        </w:tc>
        <w:tc>
          <w:tcPr>
            <w:tcW w:w="4890" w:type="dxa"/>
            <w:tcBorders>
              <w:top w:val="single" w:color="000000" w:sz="4" w:space="0"/>
              <w:left w:val="single" w:color="000000" w:sz="4" w:space="0"/>
              <w:bottom w:val="single" w:color="000000" w:sz="4" w:space="0"/>
              <w:right w:val="single" w:color="000000" w:sz="4" w:space="0"/>
            </w:tcBorders>
            <w:vAlign w:val="center"/>
          </w:tcPr>
          <w:p w14:paraId="5F42C5AE">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1、实测剪切波速</w:t>
            </w:r>
          </w:p>
        </w:tc>
        <w:tc>
          <w:tcPr>
            <w:tcW w:w="644" w:type="dxa"/>
            <w:tcBorders>
              <w:top w:val="single" w:color="000000" w:sz="4" w:space="0"/>
              <w:left w:val="single" w:color="000000" w:sz="4" w:space="0"/>
              <w:bottom w:val="single" w:color="000000" w:sz="4" w:space="0"/>
              <w:right w:val="single" w:color="000000" w:sz="4" w:space="0"/>
            </w:tcBorders>
            <w:vAlign w:val="center"/>
          </w:tcPr>
          <w:p w14:paraId="2A44FD0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孔</w:t>
            </w:r>
          </w:p>
        </w:tc>
        <w:tc>
          <w:tcPr>
            <w:tcW w:w="1306" w:type="dxa"/>
            <w:tcBorders>
              <w:top w:val="single" w:color="000000" w:sz="4" w:space="0"/>
              <w:left w:val="single" w:color="000000" w:sz="4" w:space="0"/>
              <w:bottom w:val="single" w:color="000000" w:sz="4" w:space="0"/>
              <w:right w:val="single" w:color="000000" w:sz="4" w:space="0"/>
            </w:tcBorders>
            <w:vAlign w:val="center"/>
          </w:tcPr>
          <w:p w14:paraId="1BB87ED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40.00</w:t>
            </w:r>
          </w:p>
        </w:tc>
        <w:tc>
          <w:tcPr>
            <w:tcW w:w="1455" w:type="dxa"/>
            <w:tcBorders>
              <w:top w:val="single" w:color="000000" w:sz="4" w:space="0"/>
              <w:left w:val="single" w:color="000000" w:sz="4" w:space="0"/>
              <w:bottom w:val="single" w:color="000000" w:sz="4" w:space="0"/>
              <w:right w:val="single" w:color="000000" w:sz="4" w:space="0"/>
            </w:tcBorders>
            <w:vAlign w:val="center"/>
          </w:tcPr>
          <w:p w14:paraId="6474CF3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7A0E9BD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1420AC59">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对应单价报价金额不得超过综合包干单价最高投标限价为</w:t>
            </w:r>
            <w:r>
              <w:rPr>
                <w:rFonts w:hint="eastAsia" w:ascii="宋体" w:hAnsi="宋体" w:cs="宋体"/>
                <w:color w:val="auto"/>
                <w:szCs w:val="21"/>
                <w:highlight w:val="none"/>
                <w:u w:val="single"/>
              </w:rPr>
              <w:t>2210.00</w:t>
            </w:r>
            <w:r>
              <w:rPr>
                <w:rFonts w:hint="eastAsia" w:ascii="宋体" w:hAnsi="宋体" w:cs="宋体"/>
                <w:color w:val="auto"/>
                <w:szCs w:val="21"/>
                <w:highlight w:val="none"/>
              </w:rPr>
              <w:t>元/孔</w:t>
            </w:r>
          </w:p>
        </w:tc>
      </w:tr>
      <w:tr w14:paraId="50A44134">
        <w:tblPrEx>
          <w:tblCellMar>
            <w:top w:w="0" w:type="dxa"/>
            <w:left w:w="108" w:type="dxa"/>
            <w:bottom w:w="0" w:type="dxa"/>
            <w:right w:w="108" w:type="dxa"/>
          </w:tblCellMar>
        </w:tblPrEx>
        <w:trPr>
          <w:trHeight w:val="424" w:hRule="atLeast"/>
        </w:trPr>
        <w:tc>
          <w:tcPr>
            <w:tcW w:w="2342" w:type="dxa"/>
            <w:gridSpan w:val="2"/>
            <w:tcBorders>
              <w:top w:val="single" w:color="000000" w:sz="4" w:space="0"/>
              <w:left w:val="single" w:color="000000" w:sz="4" w:space="0"/>
              <w:bottom w:val="single" w:color="000000" w:sz="4" w:space="0"/>
              <w:right w:val="single" w:color="000000" w:sz="4" w:space="0"/>
            </w:tcBorders>
            <w:noWrap/>
            <w:vAlign w:val="center"/>
          </w:tcPr>
          <w:p w14:paraId="269AFFC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小计</w:t>
            </w:r>
          </w:p>
        </w:tc>
        <w:tc>
          <w:tcPr>
            <w:tcW w:w="4890" w:type="dxa"/>
            <w:tcBorders>
              <w:top w:val="single" w:color="000000" w:sz="4" w:space="0"/>
              <w:left w:val="single" w:color="000000" w:sz="4" w:space="0"/>
              <w:bottom w:val="single" w:color="000000" w:sz="4" w:space="0"/>
              <w:right w:val="single" w:color="000000" w:sz="4" w:space="0"/>
            </w:tcBorders>
            <w:vAlign w:val="center"/>
          </w:tcPr>
          <w:p w14:paraId="3CCAE0B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Cs w:val="21"/>
                <w:highlight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6C8AEF4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0E531D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val="en-US" w:eastAsia="zh-CN"/>
              </w:rPr>
            </w:pP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60FD28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22AFC5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5B353565">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420E02C4">
        <w:tblPrEx>
          <w:tblCellMar>
            <w:top w:w="0" w:type="dxa"/>
            <w:left w:w="108" w:type="dxa"/>
            <w:bottom w:w="0" w:type="dxa"/>
            <w:right w:w="108" w:type="dxa"/>
          </w:tblCellMar>
        </w:tblPrEx>
        <w:trPr>
          <w:trHeight w:val="406"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8C5F2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二</w:t>
            </w:r>
          </w:p>
        </w:tc>
        <w:tc>
          <w:tcPr>
            <w:tcW w:w="1622" w:type="dxa"/>
            <w:tcBorders>
              <w:top w:val="single" w:color="000000" w:sz="4" w:space="0"/>
              <w:left w:val="single" w:color="000000" w:sz="4" w:space="0"/>
              <w:bottom w:val="single" w:color="000000" w:sz="4" w:space="0"/>
              <w:right w:val="single" w:color="000000" w:sz="4" w:space="0"/>
            </w:tcBorders>
            <w:vAlign w:val="center"/>
          </w:tcPr>
          <w:p w14:paraId="448B0D4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地下管线探测</w:t>
            </w:r>
          </w:p>
        </w:tc>
        <w:tc>
          <w:tcPr>
            <w:tcW w:w="4890" w:type="dxa"/>
            <w:tcBorders>
              <w:top w:val="single" w:color="000000" w:sz="4" w:space="0"/>
              <w:left w:val="single" w:color="000000" w:sz="4" w:space="0"/>
              <w:bottom w:val="single" w:color="000000" w:sz="4" w:space="0"/>
              <w:right w:val="single" w:color="000000" w:sz="4" w:space="0"/>
            </w:tcBorders>
            <w:vAlign w:val="center"/>
          </w:tcPr>
          <w:p w14:paraId="0954ED15">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rPr>
            </w:pP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07F1668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1306" w:type="dxa"/>
            <w:tcBorders>
              <w:top w:val="single" w:color="000000" w:sz="4" w:space="0"/>
              <w:left w:val="single" w:color="000000" w:sz="4" w:space="0"/>
              <w:bottom w:val="single" w:color="000000" w:sz="4" w:space="0"/>
              <w:right w:val="single" w:color="000000" w:sz="4" w:space="0"/>
            </w:tcBorders>
            <w:vAlign w:val="center"/>
          </w:tcPr>
          <w:p w14:paraId="416FA72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CB2E17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12A4A6F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0ACBC8A0">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7C951417">
        <w:tblPrEx>
          <w:tblCellMar>
            <w:top w:w="0" w:type="dxa"/>
            <w:left w:w="108" w:type="dxa"/>
            <w:bottom w:w="0" w:type="dxa"/>
            <w:right w:w="108" w:type="dxa"/>
          </w:tblCellMar>
        </w:tblPrEx>
        <w:trPr>
          <w:trHeight w:val="12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0301391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2.1</w:t>
            </w:r>
          </w:p>
        </w:tc>
        <w:tc>
          <w:tcPr>
            <w:tcW w:w="1622" w:type="dxa"/>
            <w:tcBorders>
              <w:top w:val="single" w:color="000000" w:sz="4" w:space="0"/>
              <w:left w:val="single" w:color="000000" w:sz="4" w:space="0"/>
              <w:bottom w:val="single" w:color="000000" w:sz="4" w:space="0"/>
              <w:right w:val="single" w:color="000000" w:sz="4" w:space="0"/>
            </w:tcBorders>
            <w:vAlign w:val="center"/>
          </w:tcPr>
          <w:p w14:paraId="5F58AF4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地下管线探测</w:t>
            </w:r>
          </w:p>
        </w:tc>
        <w:tc>
          <w:tcPr>
            <w:tcW w:w="4890" w:type="dxa"/>
            <w:tcBorders>
              <w:top w:val="single" w:color="000000" w:sz="4" w:space="0"/>
              <w:left w:val="single" w:color="000000" w:sz="4" w:space="0"/>
              <w:bottom w:val="single" w:color="000000" w:sz="4" w:space="0"/>
              <w:right w:val="single" w:color="000000" w:sz="4" w:space="0"/>
            </w:tcBorders>
            <w:vAlign w:val="center"/>
          </w:tcPr>
          <w:p w14:paraId="770A27F6">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1、含测量放点、场地探测；</w:t>
            </w:r>
          </w:p>
          <w:p w14:paraId="4C546F38">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2、不区分探测深度。</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04D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
              </w:rPr>
              <w:t>平方米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CB7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28347.60</w:t>
            </w:r>
          </w:p>
        </w:tc>
        <w:tc>
          <w:tcPr>
            <w:tcW w:w="1455" w:type="dxa"/>
            <w:tcBorders>
              <w:top w:val="single" w:color="000000" w:sz="4" w:space="0"/>
              <w:left w:val="single" w:color="000000" w:sz="4" w:space="0"/>
              <w:bottom w:val="single" w:color="000000" w:sz="4" w:space="0"/>
              <w:right w:val="single" w:color="000000" w:sz="4" w:space="0"/>
            </w:tcBorders>
            <w:vAlign w:val="center"/>
          </w:tcPr>
          <w:p w14:paraId="699F1B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949229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7F65">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对应单价报价金额不得超过综合包干单价最高投标限价为</w:t>
            </w:r>
            <w:r>
              <w:rPr>
                <w:rFonts w:hint="eastAsia" w:ascii="宋体" w:hAnsi="宋体" w:cs="宋体"/>
                <w:color w:val="auto"/>
                <w:szCs w:val="21"/>
                <w:highlight w:val="none"/>
                <w:u w:val="single"/>
              </w:rPr>
              <w:t>1.22</w:t>
            </w:r>
            <w:r>
              <w:rPr>
                <w:rFonts w:hint="eastAsia" w:ascii="宋体" w:hAnsi="宋体" w:cs="宋体"/>
                <w:color w:val="auto"/>
                <w:szCs w:val="21"/>
                <w:highlight w:val="none"/>
              </w:rPr>
              <w:t>元/平方米</w:t>
            </w:r>
          </w:p>
        </w:tc>
      </w:tr>
      <w:tr w14:paraId="76BB426A">
        <w:tblPrEx>
          <w:tblCellMar>
            <w:top w:w="0" w:type="dxa"/>
            <w:left w:w="108" w:type="dxa"/>
            <w:bottom w:w="0" w:type="dxa"/>
            <w:right w:w="108" w:type="dxa"/>
          </w:tblCellMar>
        </w:tblPrEx>
        <w:trPr>
          <w:trHeight w:val="439" w:hRule="atLeast"/>
        </w:trPr>
        <w:tc>
          <w:tcPr>
            <w:tcW w:w="2342" w:type="dxa"/>
            <w:gridSpan w:val="2"/>
            <w:tcBorders>
              <w:top w:val="single" w:color="000000" w:sz="4" w:space="0"/>
              <w:left w:val="single" w:color="000000" w:sz="4" w:space="0"/>
              <w:bottom w:val="single" w:color="000000" w:sz="4" w:space="0"/>
              <w:right w:val="single" w:color="000000" w:sz="4" w:space="0"/>
            </w:tcBorders>
            <w:noWrap/>
            <w:vAlign w:val="center"/>
          </w:tcPr>
          <w:p w14:paraId="363B594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小计</w:t>
            </w:r>
          </w:p>
        </w:tc>
        <w:tc>
          <w:tcPr>
            <w:tcW w:w="4890" w:type="dxa"/>
            <w:tcBorders>
              <w:top w:val="single" w:color="000000" w:sz="4" w:space="0"/>
              <w:left w:val="single" w:color="000000" w:sz="4" w:space="0"/>
              <w:bottom w:val="single" w:color="000000" w:sz="4" w:space="0"/>
              <w:right w:val="single" w:color="000000" w:sz="4" w:space="0"/>
            </w:tcBorders>
            <w:vAlign w:val="center"/>
          </w:tcPr>
          <w:p w14:paraId="3C514C8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Cs w:val="21"/>
                <w:highlight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7C48E2B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D4573B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val="en-US" w:eastAsia="zh-CN"/>
              </w:rPr>
            </w:pP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E333B4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EF682A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02B59DDB">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72CD73C5">
        <w:tblPrEx>
          <w:tblCellMar>
            <w:top w:w="0" w:type="dxa"/>
            <w:left w:w="108" w:type="dxa"/>
            <w:bottom w:w="0" w:type="dxa"/>
            <w:right w:w="108" w:type="dxa"/>
          </w:tblCellMar>
        </w:tblPrEx>
        <w:trPr>
          <w:trHeight w:val="389"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770F8CF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三</w:t>
            </w:r>
          </w:p>
        </w:tc>
        <w:tc>
          <w:tcPr>
            <w:tcW w:w="1622" w:type="dxa"/>
            <w:tcBorders>
              <w:top w:val="single" w:color="000000" w:sz="4" w:space="0"/>
              <w:left w:val="single" w:color="000000" w:sz="4" w:space="0"/>
              <w:bottom w:val="single" w:color="000000" w:sz="4" w:space="0"/>
              <w:right w:val="single" w:color="000000" w:sz="4" w:space="0"/>
            </w:tcBorders>
            <w:vAlign w:val="center"/>
          </w:tcPr>
          <w:p w14:paraId="40D03D9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桩基超前钻探</w:t>
            </w:r>
          </w:p>
        </w:tc>
        <w:tc>
          <w:tcPr>
            <w:tcW w:w="4890" w:type="dxa"/>
            <w:tcBorders>
              <w:top w:val="single" w:color="000000" w:sz="4" w:space="0"/>
              <w:left w:val="single" w:color="000000" w:sz="4" w:space="0"/>
              <w:bottom w:val="single" w:color="000000" w:sz="4" w:space="0"/>
              <w:right w:val="single" w:color="000000" w:sz="4" w:space="0"/>
            </w:tcBorders>
            <w:vAlign w:val="center"/>
          </w:tcPr>
          <w:p w14:paraId="5BE24AB9">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color w:val="auto"/>
                <w:szCs w:val="21"/>
                <w:highlight w:val="none"/>
                <w:lang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48B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D9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kern w:val="2"/>
                <w:sz w:val="21"/>
                <w:szCs w:val="21"/>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E5A07D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40ED2A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E1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70E3BB65">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9DA211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三</w:t>
            </w:r>
          </w:p>
        </w:tc>
        <w:tc>
          <w:tcPr>
            <w:tcW w:w="1622" w:type="dxa"/>
            <w:tcBorders>
              <w:top w:val="single" w:color="000000" w:sz="4" w:space="0"/>
              <w:left w:val="single" w:color="000000" w:sz="4" w:space="0"/>
              <w:bottom w:val="single" w:color="000000" w:sz="4" w:space="0"/>
              <w:right w:val="single" w:color="000000" w:sz="4" w:space="0"/>
            </w:tcBorders>
            <w:vAlign w:val="center"/>
          </w:tcPr>
          <w:p w14:paraId="32019A9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桩基超前钻探</w:t>
            </w:r>
          </w:p>
        </w:tc>
        <w:tc>
          <w:tcPr>
            <w:tcW w:w="4890" w:type="dxa"/>
            <w:tcBorders>
              <w:top w:val="single" w:color="000000" w:sz="4" w:space="0"/>
              <w:left w:val="single" w:color="000000" w:sz="4" w:space="0"/>
              <w:bottom w:val="single" w:color="000000" w:sz="4" w:space="0"/>
              <w:right w:val="single" w:color="000000" w:sz="4" w:space="0"/>
            </w:tcBorders>
            <w:vAlign w:val="center"/>
          </w:tcPr>
          <w:p w14:paraId="2FDEAB02">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1、超前钻勘察；</w:t>
            </w:r>
          </w:p>
          <w:p w14:paraId="65B8D946">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2、综合考虑不同土层地质；</w:t>
            </w:r>
          </w:p>
          <w:p w14:paraId="37A1C1C2">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3、协助编制勘察方案；</w:t>
            </w:r>
          </w:p>
          <w:p w14:paraId="2EDEAB13">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4、测量放孔、钻机一次进退场、钻孔场地清理平整；</w:t>
            </w:r>
          </w:p>
          <w:p w14:paraId="6BB6A2CE">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5、现场试验及取样送检，编制勘察报告；</w:t>
            </w:r>
          </w:p>
          <w:p w14:paraId="51DA8ED2">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6、贯合考虑作业面及进尺深度；</w:t>
            </w:r>
          </w:p>
          <w:p w14:paraId="3C1FD1ED">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color w:val="auto"/>
                <w:highlight w:val="none"/>
              </w:rPr>
            </w:pPr>
            <w:r>
              <w:rPr>
                <w:rFonts w:hint="eastAsia"/>
                <w:color w:val="auto"/>
                <w:highlight w:val="none"/>
              </w:rPr>
              <w:t>7、钻探过程中遇到的卵石层、夹层、孤石等在综合单价考虑。</w:t>
            </w:r>
          </w:p>
          <w:p w14:paraId="4F2630A2">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ascii="宋体" w:hAnsi="宋体" w:cs="宋体"/>
                <w:color w:val="auto"/>
                <w:highlight w:val="none"/>
              </w:rPr>
            </w:pPr>
            <w:r>
              <w:rPr>
                <w:rFonts w:hint="eastAsia"/>
                <w:color w:val="auto"/>
                <w:highlight w:val="none"/>
              </w:rPr>
              <w:t>8、一般雨水、积水的处理。</w:t>
            </w:r>
          </w:p>
        </w:tc>
        <w:tc>
          <w:tcPr>
            <w:tcW w:w="644" w:type="dxa"/>
            <w:tcBorders>
              <w:top w:val="single" w:color="000000" w:sz="4" w:space="0"/>
              <w:left w:val="single" w:color="000000" w:sz="4" w:space="0"/>
              <w:bottom w:val="single" w:color="000000" w:sz="4" w:space="0"/>
              <w:right w:val="single" w:color="000000" w:sz="4" w:space="0"/>
            </w:tcBorders>
            <w:vAlign w:val="center"/>
          </w:tcPr>
          <w:p w14:paraId="5E8764E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米</w:t>
            </w:r>
          </w:p>
        </w:tc>
        <w:tc>
          <w:tcPr>
            <w:tcW w:w="1306" w:type="dxa"/>
            <w:tcBorders>
              <w:top w:val="single" w:color="000000" w:sz="4" w:space="0"/>
              <w:left w:val="single" w:color="000000" w:sz="4" w:space="0"/>
              <w:bottom w:val="single" w:color="000000" w:sz="4" w:space="0"/>
              <w:right w:val="single" w:color="000000" w:sz="4" w:space="0"/>
            </w:tcBorders>
            <w:vAlign w:val="center"/>
          </w:tcPr>
          <w:p w14:paraId="1BB8B92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2852.76</w:t>
            </w:r>
          </w:p>
        </w:tc>
        <w:tc>
          <w:tcPr>
            <w:tcW w:w="1455" w:type="dxa"/>
            <w:tcBorders>
              <w:top w:val="single" w:color="000000" w:sz="4" w:space="0"/>
              <w:left w:val="single" w:color="000000" w:sz="4" w:space="0"/>
              <w:bottom w:val="single" w:color="000000" w:sz="4" w:space="0"/>
              <w:right w:val="single" w:color="000000" w:sz="4" w:space="0"/>
            </w:tcBorders>
            <w:vAlign w:val="center"/>
          </w:tcPr>
          <w:p w14:paraId="5F7BFFE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1357D7C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13DF30B0">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对应单价报价金额不得超过综合包干单价最高投标限价为</w:t>
            </w:r>
            <w:r>
              <w:rPr>
                <w:rFonts w:hint="eastAsia" w:ascii="宋体" w:hAnsi="宋体" w:cs="宋体"/>
                <w:color w:val="auto"/>
                <w:szCs w:val="21"/>
                <w:highlight w:val="none"/>
                <w:u w:val="single"/>
              </w:rPr>
              <w:t>110.00</w:t>
            </w:r>
            <w:r>
              <w:rPr>
                <w:rFonts w:hint="eastAsia" w:ascii="宋体" w:hAnsi="宋体" w:cs="宋体"/>
                <w:color w:val="auto"/>
                <w:szCs w:val="21"/>
                <w:highlight w:val="none"/>
              </w:rPr>
              <w:t>元/米</w:t>
            </w:r>
          </w:p>
        </w:tc>
      </w:tr>
      <w:tr w14:paraId="11D11D36">
        <w:tblPrEx>
          <w:tblCellMar>
            <w:top w:w="0" w:type="dxa"/>
            <w:left w:w="108" w:type="dxa"/>
            <w:bottom w:w="0" w:type="dxa"/>
            <w:right w:w="108" w:type="dxa"/>
          </w:tblCellMar>
        </w:tblPrEx>
        <w:trPr>
          <w:trHeight w:val="440" w:hRule="atLeast"/>
        </w:trPr>
        <w:tc>
          <w:tcPr>
            <w:tcW w:w="2342" w:type="dxa"/>
            <w:gridSpan w:val="2"/>
            <w:tcBorders>
              <w:top w:val="single" w:color="000000" w:sz="4" w:space="0"/>
              <w:left w:val="single" w:color="000000" w:sz="4" w:space="0"/>
              <w:bottom w:val="single" w:color="000000" w:sz="4" w:space="0"/>
              <w:right w:val="single" w:color="000000" w:sz="4" w:space="0"/>
            </w:tcBorders>
            <w:noWrap/>
            <w:vAlign w:val="center"/>
          </w:tcPr>
          <w:p w14:paraId="77BC00C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小计</w:t>
            </w:r>
          </w:p>
        </w:tc>
        <w:tc>
          <w:tcPr>
            <w:tcW w:w="4890" w:type="dxa"/>
            <w:tcBorders>
              <w:top w:val="single" w:color="000000" w:sz="4" w:space="0"/>
              <w:left w:val="single" w:color="000000" w:sz="4" w:space="0"/>
              <w:bottom w:val="single" w:color="000000" w:sz="4" w:space="0"/>
              <w:right w:val="single" w:color="000000" w:sz="4" w:space="0"/>
            </w:tcBorders>
            <w:vAlign w:val="center"/>
          </w:tcPr>
          <w:p w14:paraId="00FD1D7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Cs w:val="21"/>
                <w:highlight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05FD820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C254D0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val="en-US" w:eastAsia="zh-CN"/>
              </w:rPr>
            </w:pP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9D1151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1D5398B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19306A6E">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zCs w:val="21"/>
                <w:highlight w:val="none"/>
              </w:rPr>
            </w:pPr>
          </w:p>
        </w:tc>
      </w:tr>
      <w:tr w14:paraId="4DF019B2">
        <w:tblPrEx>
          <w:tblCellMar>
            <w:top w:w="0" w:type="dxa"/>
            <w:left w:w="108" w:type="dxa"/>
            <w:bottom w:w="0" w:type="dxa"/>
            <w:right w:w="108" w:type="dxa"/>
          </w:tblCellMar>
        </w:tblPrEx>
        <w:trPr>
          <w:trHeight w:val="449" w:hRule="atLeast"/>
        </w:trPr>
        <w:tc>
          <w:tcPr>
            <w:tcW w:w="9182" w:type="dxa"/>
            <w:gridSpan w:val="5"/>
            <w:tcBorders>
              <w:top w:val="single" w:color="000000" w:sz="4" w:space="0"/>
              <w:left w:val="single" w:color="000000" w:sz="4" w:space="0"/>
              <w:bottom w:val="single" w:color="000000" w:sz="4" w:space="0"/>
              <w:right w:val="single" w:color="000000" w:sz="4" w:space="0"/>
            </w:tcBorders>
            <w:noWrap/>
            <w:vAlign w:val="center"/>
          </w:tcPr>
          <w:p w14:paraId="72A78B0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val="en-US" w:eastAsia="zh-CN"/>
              </w:rPr>
            </w:pPr>
            <w:r>
              <w:rPr>
                <w:rFonts w:hint="eastAsia"/>
                <w:color w:val="auto"/>
                <w:highlight w:val="none"/>
              </w:rPr>
              <w:t>（一～三）项含税总价合计：</w:t>
            </w: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F83217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Cs w:val="21"/>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3AFC3A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A385">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Cs w:val="21"/>
                <w:highlight w:val="none"/>
              </w:rPr>
              <w:t>含增值税6%</w:t>
            </w:r>
            <w:r>
              <w:rPr>
                <w:rFonts w:hint="eastAsia" w:ascii="宋体" w:hAnsi="宋体" w:cs="宋体"/>
                <w:bCs/>
                <w:color w:val="auto"/>
                <w:szCs w:val="21"/>
                <w:highlight w:val="none"/>
                <w:lang w:eastAsia="zh-CN"/>
              </w:rPr>
              <w:t>，</w:t>
            </w:r>
          </w:p>
        </w:tc>
      </w:tr>
      <w:tr w14:paraId="6B6A1F97">
        <w:tblPrEx>
          <w:tblCellMar>
            <w:top w:w="0" w:type="dxa"/>
            <w:left w:w="108" w:type="dxa"/>
            <w:bottom w:w="0" w:type="dxa"/>
            <w:right w:w="108" w:type="dxa"/>
          </w:tblCellMar>
        </w:tblPrEx>
        <w:trPr>
          <w:trHeight w:val="263" w:hRule="atLeast"/>
        </w:trPr>
        <w:tc>
          <w:tcPr>
            <w:tcW w:w="10637" w:type="dxa"/>
            <w:gridSpan w:val="6"/>
            <w:tcBorders>
              <w:top w:val="single" w:color="000000" w:sz="4" w:space="0"/>
              <w:left w:val="single" w:color="000000" w:sz="4" w:space="0"/>
              <w:bottom w:val="single" w:color="000000" w:sz="4" w:space="0"/>
              <w:right w:val="single" w:color="000000" w:sz="4" w:space="0"/>
            </w:tcBorders>
            <w:noWrap/>
            <w:vAlign w:val="center"/>
          </w:tcPr>
          <w:p w14:paraId="7B4BB82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以元为单位,精确至小数点后两位:</w:t>
            </w:r>
          </w:p>
        </w:tc>
        <w:tc>
          <w:tcPr>
            <w:tcW w:w="1455" w:type="dxa"/>
            <w:tcBorders>
              <w:top w:val="single" w:color="000000" w:sz="4" w:space="0"/>
              <w:left w:val="single" w:color="000000" w:sz="4" w:space="0"/>
              <w:bottom w:val="single" w:color="000000" w:sz="4" w:space="0"/>
              <w:right w:val="single" w:color="000000" w:sz="4" w:space="0"/>
            </w:tcBorders>
            <w:vAlign w:val="center"/>
          </w:tcPr>
          <w:p w14:paraId="6E68C0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Cs w:val="21"/>
                <w:highlight w:val="none"/>
                <w:lang w:bidi="ar"/>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64D37F9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对应报价金额不得超过最高投标限价</w:t>
            </w:r>
            <w:r>
              <w:rPr>
                <w:rFonts w:hint="eastAsia" w:ascii="宋体" w:hAnsi="宋体" w:cs="宋体"/>
                <w:color w:val="auto"/>
                <w:szCs w:val="21"/>
                <w:highlight w:val="none"/>
                <w:u w:val="single"/>
                <w:lang w:val="en-US" w:eastAsia="zh-CN"/>
              </w:rPr>
              <w:t>1064394.87</w:t>
            </w:r>
            <w:r>
              <w:rPr>
                <w:rFonts w:hint="eastAsia" w:ascii="宋体" w:hAnsi="宋体" w:cs="宋体"/>
                <w:bCs/>
                <w:color w:val="auto"/>
                <w:szCs w:val="21"/>
                <w:highlight w:val="none"/>
              </w:rPr>
              <w:t>元</w:t>
            </w:r>
          </w:p>
        </w:tc>
      </w:tr>
    </w:tbl>
    <w:p w14:paraId="4AB0DBE9">
      <w:pPr>
        <w:rPr>
          <w:rFonts w:hint="eastAsia" w:ascii="宋体" w:hAnsi="宋体" w:cs="宋体"/>
          <w:color w:val="auto"/>
          <w:szCs w:val="21"/>
          <w:highlight w:val="none"/>
        </w:rPr>
        <w:sectPr>
          <w:pgSz w:w="16838" w:h="11906" w:orient="landscape"/>
          <w:pgMar w:top="1003" w:right="1327" w:bottom="1003" w:left="1327" w:header="851" w:footer="567" w:gutter="0"/>
          <w:pgBorders>
            <w:top w:val="none" w:sz="0" w:space="0"/>
            <w:left w:val="none" w:sz="0" w:space="0"/>
            <w:bottom w:val="none" w:sz="0" w:space="0"/>
            <w:right w:val="none" w:sz="0" w:space="0"/>
          </w:pgBorders>
          <w:cols w:space="720" w:num="1"/>
          <w:docGrid w:type="lines" w:linePitch="312" w:charSpace="0"/>
        </w:sectPr>
      </w:pPr>
    </w:p>
    <w:p w14:paraId="7702D1C1">
      <w:pPr>
        <w:pStyle w:val="4"/>
        <w:rPr>
          <w:rFonts w:hint="eastAsia" w:ascii="宋体" w:hAnsi="宋体" w:cs="宋体"/>
          <w:strike/>
          <w:color w:val="auto"/>
          <w:sz w:val="21"/>
          <w:szCs w:val="21"/>
          <w:highlight w:val="none"/>
        </w:rPr>
      </w:pPr>
      <w:bookmarkStart w:id="231" w:name="_Toc25392"/>
      <w:bookmarkStart w:id="232" w:name="_Toc8424"/>
      <w:bookmarkStart w:id="233" w:name="_Toc20249"/>
      <w:bookmarkStart w:id="234" w:name="_Toc6257"/>
      <w:bookmarkStart w:id="235" w:name="_Toc22111"/>
      <w:bookmarkStart w:id="236" w:name="_Toc717"/>
      <w:bookmarkStart w:id="237" w:name="_Toc19758"/>
      <w:r>
        <w:rPr>
          <w:rFonts w:hint="eastAsia" w:ascii="宋体" w:hAnsi="宋体" w:cs="宋体"/>
          <w:strike/>
          <w:color w:val="auto"/>
          <w:sz w:val="21"/>
          <w:szCs w:val="21"/>
          <w:highlight w:val="none"/>
        </w:rPr>
        <w:t>附录4</w:t>
      </w:r>
      <w:r>
        <w:rPr>
          <w:rFonts w:hint="eastAsia" w:ascii="宋体" w:hAnsi="宋体" w:cs="宋体"/>
          <w:strike/>
          <w:color w:val="auto"/>
          <w:sz w:val="21"/>
          <w:szCs w:val="21"/>
          <w:highlight w:val="none"/>
          <w:lang w:val="en-US" w:eastAsia="zh-CN"/>
        </w:rPr>
        <w:t xml:space="preserve"> </w:t>
      </w:r>
      <w:r>
        <w:rPr>
          <w:rFonts w:hint="eastAsia" w:ascii="宋体" w:hAnsi="宋体" w:cs="宋体"/>
          <w:strike/>
          <w:color w:val="auto"/>
          <w:sz w:val="21"/>
          <w:szCs w:val="21"/>
          <w:highlight w:val="none"/>
        </w:rPr>
        <w:t>建筑工程设计方案测试记录表</w:t>
      </w:r>
      <w:bookmarkEnd w:id="231"/>
      <w:bookmarkEnd w:id="232"/>
      <w:bookmarkEnd w:id="233"/>
      <w:bookmarkEnd w:id="234"/>
      <w:bookmarkEnd w:id="235"/>
      <w:bookmarkEnd w:id="236"/>
      <w:bookmarkEnd w:id="237"/>
    </w:p>
    <w:p w14:paraId="1AD90157">
      <w:pPr>
        <w:jc w:val="center"/>
        <w:rPr>
          <w:rFonts w:hint="eastAsia" w:ascii="宋体" w:hAnsi="宋体" w:cs="宋体"/>
          <w:strike/>
          <w:color w:val="auto"/>
          <w:sz w:val="28"/>
          <w:szCs w:val="32"/>
          <w:highlight w:val="none"/>
        </w:rPr>
      </w:pPr>
      <w:r>
        <w:rPr>
          <w:rFonts w:hint="eastAsia" w:ascii="宋体" w:hAnsi="宋体" w:cs="宋体"/>
          <w:strike/>
          <w:color w:val="auto"/>
          <w:sz w:val="28"/>
          <w:szCs w:val="32"/>
          <w:highlight w:val="none"/>
        </w:rPr>
        <w:t>建筑工程设计方案测试记录表</w:t>
      </w:r>
    </w:p>
    <w:p w14:paraId="52498AC4">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（本表宜装订放在设计投标文本文件的设计说明书前面）</w:t>
      </w:r>
    </w:p>
    <w:p w14:paraId="4C8258CD">
      <w:pPr>
        <w:jc w:val="left"/>
        <w:rPr>
          <w:rFonts w:hint="eastAsia" w:ascii="宋体" w:hAnsi="宋体" w:cs="宋体"/>
          <w:strike/>
          <w:color w:val="auto"/>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889EDD">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tcPr>
          <w:p w14:paraId="656414C4">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tcPr>
          <w:p w14:paraId="5C3FA3A2">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tcPr>
          <w:p w14:paraId="2DBBDE7E">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EF83B72">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B6EB399">
            <w:pPr>
              <w:rPr>
                <w:rFonts w:hint="eastAsia" w:ascii="宋体" w:hAnsi="宋体" w:cs="宋体"/>
                <w:strike/>
                <w:color w:val="auto"/>
                <w:szCs w:val="21"/>
                <w:highlight w:val="none"/>
              </w:rPr>
            </w:pPr>
            <w:r>
              <w:rPr>
                <w:rFonts w:hint="eastAsia" w:ascii="宋体" w:hAnsi="宋体" w:cs="宋体"/>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tcPr>
          <w:p w14:paraId="6FF6388A">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E611146">
            <w:pPr>
              <w:jc w:val="center"/>
              <w:rPr>
                <w:rFonts w:hint="eastAsia" w:ascii="宋体" w:hAnsi="宋体" w:cs="宋体"/>
                <w:strike/>
                <w:color w:val="auto"/>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271C10E">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5ABE54">
            <w:pPr>
              <w:rPr>
                <w:rFonts w:hint="eastAsia" w:ascii="宋体" w:hAnsi="宋体" w:cs="宋体"/>
                <w:strike/>
                <w:color w:val="auto"/>
                <w:szCs w:val="21"/>
                <w:highlight w:val="none"/>
              </w:rPr>
            </w:pPr>
            <w:r>
              <w:rPr>
                <w:rFonts w:hint="eastAsia" w:ascii="宋体" w:hAnsi="宋体" w:cs="宋体"/>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tcPr>
          <w:p w14:paraId="0DF1D8B1">
            <w:pPr>
              <w:jc w:val="center"/>
              <w:rPr>
                <w:rFonts w:hint="eastAsia" w:ascii="宋体" w:hAnsi="宋体" w:cs="宋体"/>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2308FFB2">
            <w:pPr>
              <w:jc w:val="center"/>
              <w:rPr>
                <w:rFonts w:hint="eastAsia" w:ascii="宋体" w:hAnsi="宋体" w:cs="宋体"/>
                <w:strike/>
                <w:color w:val="auto"/>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AC4C461">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4243E79">
            <w:pPr>
              <w:rPr>
                <w:rFonts w:hint="eastAsia" w:ascii="宋体" w:hAnsi="宋体" w:cs="宋体"/>
                <w:strike/>
                <w:color w:val="auto"/>
                <w:szCs w:val="21"/>
                <w:highlight w:val="none"/>
              </w:rPr>
            </w:pPr>
            <w:r>
              <w:rPr>
                <w:rFonts w:hint="eastAsia" w:ascii="宋体" w:hAnsi="宋体" w:cs="宋体"/>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tcPr>
          <w:p w14:paraId="7B4CA88C">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01879E0A">
            <w:pPr>
              <w:jc w:val="center"/>
              <w:rPr>
                <w:rFonts w:hint="eastAsia" w:ascii="宋体" w:hAnsi="宋体" w:cs="宋体"/>
                <w:strike/>
                <w:color w:val="auto"/>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3512E3">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AA183F5">
            <w:pPr>
              <w:rPr>
                <w:rFonts w:hint="eastAsia" w:ascii="宋体" w:hAnsi="宋体" w:cs="宋体"/>
                <w:strike/>
                <w:color w:val="auto"/>
                <w:szCs w:val="21"/>
                <w:highlight w:val="none"/>
              </w:rPr>
            </w:pPr>
            <w:r>
              <w:rPr>
                <w:rFonts w:hint="eastAsia" w:ascii="宋体" w:hAnsi="宋体" w:cs="宋体"/>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tcPr>
          <w:p w14:paraId="099FECA5">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16F59F20">
            <w:pPr>
              <w:jc w:val="center"/>
              <w:rPr>
                <w:rFonts w:hint="eastAsia" w:ascii="宋体" w:hAnsi="宋体" w:cs="宋体"/>
                <w:strike/>
                <w:color w:val="auto"/>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DE41D8">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28E747">
            <w:pPr>
              <w:jc w:val="left"/>
              <w:rPr>
                <w:rFonts w:hint="eastAsia" w:ascii="宋体" w:hAnsi="宋体" w:cs="宋体"/>
                <w:strike/>
                <w:color w:val="auto"/>
                <w:szCs w:val="21"/>
                <w:highlight w:val="none"/>
              </w:rPr>
            </w:pPr>
            <w:r>
              <w:rPr>
                <w:rFonts w:hint="eastAsia" w:ascii="宋体" w:hAnsi="宋体" w:cs="宋体"/>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tcPr>
          <w:p w14:paraId="71322790">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E135B0B">
            <w:pPr>
              <w:jc w:val="left"/>
              <w:rPr>
                <w:rFonts w:hint="eastAsia" w:ascii="宋体" w:hAnsi="宋体" w:cs="宋体"/>
                <w:strike/>
                <w:color w:val="auto"/>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33A00F0">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19F5D5">
            <w:pPr>
              <w:rPr>
                <w:rFonts w:hint="eastAsia" w:ascii="宋体" w:hAnsi="宋体" w:cs="宋体"/>
                <w:strike/>
                <w:color w:val="auto"/>
                <w:szCs w:val="21"/>
                <w:highlight w:val="none"/>
              </w:rPr>
            </w:pPr>
            <w:r>
              <w:rPr>
                <w:rFonts w:hint="eastAsia" w:ascii="宋体" w:hAnsi="宋体" w:cs="宋体"/>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tcPr>
          <w:p w14:paraId="605A0C76">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617856">
            <w:pPr>
              <w:jc w:val="center"/>
              <w:rPr>
                <w:rFonts w:hint="eastAsia" w:ascii="宋体" w:hAnsi="宋体" w:cs="宋体"/>
                <w:strike/>
                <w:color w:val="auto"/>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8ECFDE">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22051E4">
            <w:pPr>
              <w:rPr>
                <w:rFonts w:hint="eastAsia" w:ascii="宋体" w:hAnsi="宋体" w:cs="宋体"/>
                <w:strike/>
                <w:color w:val="auto"/>
                <w:szCs w:val="21"/>
                <w:highlight w:val="none"/>
              </w:rPr>
            </w:pPr>
            <w:r>
              <w:rPr>
                <w:rFonts w:hint="eastAsia" w:ascii="宋体" w:hAnsi="宋体" w:cs="宋体"/>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tcPr>
          <w:p w14:paraId="7D3521B8">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AB7BAC2">
            <w:pPr>
              <w:jc w:val="center"/>
              <w:rPr>
                <w:rFonts w:hint="eastAsia" w:ascii="宋体" w:hAnsi="宋体" w:cs="宋体"/>
                <w:strike/>
                <w:color w:val="auto"/>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1B61EAC">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087A594">
            <w:pPr>
              <w:jc w:val="left"/>
              <w:rPr>
                <w:rFonts w:hint="eastAsia" w:ascii="宋体" w:hAnsi="宋体" w:cs="宋体"/>
                <w:strike/>
                <w:color w:val="auto"/>
                <w:szCs w:val="21"/>
                <w:highlight w:val="none"/>
              </w:rPr>
            </w:pPr>
            <w:r>
              <w:rPr>
                <w:rFonts w:hint="eastAsia" w:ascii="宋体" w:hAnsi="宋体" w:cs="宋体"/>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tcPr>
          <w:p w14:paraId="1DCB8F43">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72A4A23">
            <w:pPr>
              <w:jc w:val="left"/>
              <w:rPr>
                <w:rFonts w:hint="eastAsia" w:ascii="宋体" w:hAnsi="宋体" w:cs="宋体"/>
                <w:strike/>
                <w:color w:val="auto"/>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0708108">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C357087">
            <w:pPr>
              <w:jc w:val="left"/>
              <w:rPr>
                <w:rFonts w:hint="eastAsia" w:ascii="宋体" w:hAnsi="宋体" w:cs="宋体"/>
                <w:strike/>
                <w:color w:val="auto"/>
                <w:szCs w:val="21"/>
                <w:highlight w:val="none"/>
              </w:rPr>
            </w:pPr>
            <w:r>
              <w:rPr>
                <w:rFonts w:hint="eastAsia" w:ascii="宋体" w:hAnsi="宋体" w:cs="宋体"/>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tcPr>
          <w:p w14:paraId="2A05A26E">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29DEA963">
            <w:pPr>
              <w:jc w:val="left"/>
              <w:rPr>
                <w:rFonts w:hint="eastAsia" w:ascii="宋体" w:hAnsi="宋体" w:cs="宋体"/>
                <w:strike/>
                <w:color w:val="auto"/>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D20BFD5">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7ACD75E">
            <w:pPr>
              <w:rPr>
                <w:rFonts w:hint="eastAsia" w:ascii="宋体" w:hAnsi="宋体" w:cs="宋体"/>
                <w:strike/>
                <w:color w:val="auto"/>
                <w:szCs w:val="21"/>
                <w:highlight w:val="none"/>
              </w:rPr>
            </w:pPr>
            <w:r>
              <w:rPr>
                <w:rFonts w:hint="eastAsia" w:ascii="宋体" w:hAnsi="宋体" w:cs="宋体"/>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tcPr>
          <w:p w14:paraId="1A8EFDD5">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70D30CF3">
            <w:pPr>
              <w:jc w:val="center"/>
              <w:rPr>
                <w:rFonts w:hint="eastAsia" w:ascii="宋体" w:hAnsi="宋体" w:cs="宋体"/>
                <w:strike/>
                <w:color w:val="auto"/>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550489D">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92F248">
            <w:pPr>
              <w:rPr>
                <w:rFonts w:hint="eastAsia" w:ascii="宋体" w:hAnsi="宋体" w:cs="宋体"/>
                <w:strike/>
                <w:color w:val="auto"/>
                <w:szCs w:val="21"/>
                <w:highlight w:val="none"/>
              </w:rPr>
            </w:pPr>
            <w:r>
              <w:rPr>
                <w:rFonts w:hint="eastAsia" w:ascii="宋体" w:hAnsi="宋体" w:cs="宋体"/>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tcPr>
          <w:p w14:paraId="2EB8E2BD">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3123E6A1">
            <w:pPr>
              <w:jc w:val="center"/>
              <w:rPr>
                <w:rFonts w:hint="eastAsia" w:ascii="宋体" w:hAnsi="宋体" w:cs="宋体"/>
                <w:strike/>
                <w:color w:val="auto"/>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A742CC">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53AA1FF">
            <w:pPr>
              <w:rPr>
                <w:rFonts w:hint="eastAsia" w:ascii="宋体" w:hAnsi="宋体" w:cs="宋体"/>
                <w:strike/>
                <w:color w:val="auto"/>
                <w:szCs w:val="21"/>
                <w:highlight w:val="none"/>
              </w:rPr>
            </w:pPr>
            <w:r>
              <w:rPr>
                <w:rFonts w:hint="eastAsia" w:ascii="宋体" w:hAnsi="宋体" w:cs="宋体"/>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tcPr>
          <w:p w14:paraId="1A652B26">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017E583">
            <w:pPr>
              <w:jc w:val="center"/>
              <w:rPr>
                <w:rFonts w:hint="eastAsia" w:ascii="宋体" w:hAnsi="宋体" w:cs="宋体"/>
                <w:strike/>
                <w:color w:val="auto"/>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7AFE140">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B97A06B">
            <w:pPr>
              <w:rPr>
                <w:rFonts w:hint="eastAsia" w:ascii="宋体" w:hAnsi="宋体" w:cs="宋体"/>
                <w:strike/>
                <w:color w:val="auto"/>
                <w:szCs w:val="21"/>
                <w:highlight w:val="none"/>
              </w:rPr>
            </w:pPr>
            <w:r>
              <w:rPr>
                <w:rFonts w:hint="eastAsia" w:ascii="宋体" w:hAnsi="宋体" w:cs="宋体"/>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tcPr>
          <w:p w14:paraId="114E5E95">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C9FB7A3">
            <w:pPr>
              <w:jc w:val="center"/>
              <w:rPr>
                <w:rFonts w:hint="eastAsia" w:ascii="宋体" w:hAnsi="宋体" w:cs="宋体"/>
                <w:strike/>
                <w:color w:val="auto"/>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1D5BFA">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7FE581E">
            <w:pPr>
              <w:rPr>
                <w:rFonts w:hint="eastAsia" w:ascii="宋体" w:hAnsi="宋体" w:cs="宋体"/>
                <w:strike/>
                <w:color w:val="auto"/>
                <w:szCs w:val="21"/>
                <w:highlight w:val="none"/>
              </w:rPr>
            </w:pPr>
            <w:r>
              <w:rPr>
                <w:rFonts w:hint="eastAsia" w:ascii="宋体" w:hAnsi="宋体" w:cs="宋体"/>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tcPr>
          <w:p w14:paraId="36C4E53E">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5A87B2">
            <w:pPr>
              <w:jc w:val="center"/>
              <w:rPr>
                <w:rFonts w:hint="eastAsia" w:ascii="宋体" w:hAnsi="宋体" w:cs="宋体"/>
                <w:strike/>
                <w:color w:val="auto"/>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79D0FB5">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112BE7B">
            <w:pPr>
              <w:rPr>
                <w:rFonts w:hint="eastAsia" w:ascii="宋体" w:hAnsi="宋体" w:cs="宋体"/>
                <w:strike/>
                <w:color w:val="auto"/>
                <w:szCs w:val="21"/>
                <w:highlight w:val="none"/>
              </w:rPr>
            </w:pPr>
            <w:r>
              <w:rPr>
                <w:rFonts w:hint="eastAsia" w:ascii="宋体" w:hAnsi="宋体" w:cs="宋体"/>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tcPr>
          <w:p w14:paraId="6CF0CB10">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716A94A">
            <w:pPr>
              <w:jc w:val="center"/>
              <w:rPr>
                <w:rFonts w:hint="eastAsia" w:ascii="宋体" w:hAnsi="宋体" w:cs="宋体"/>
                <w:strike/>
                <w:color w:val="auto"/>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8088FA7">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8DA941D">
            <w:pPr>
              <w:rPr>
                <w:rFonts w:hint="eastAsia" w:ascii="宋体" w:hAnsi="宋体" w:cs="宋体"/>
                <w:strike/>
                <w:color w:val="auto"/>
                <w:szCs w:val="21"/>
                <w:highlight w:val="none"/>
              </w:rPr>
            </w:pPr>
            <w:r>
              <w:rPr>
                <w:rFonts w:hint="eastAsia" w:ascii="宋体" w:hAnsi="宋体" w:cs="宋体"/>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tcPr>
          <w:p w14:paraId="4744BA09">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4E1A18A">
            <w:pPr>
              <w:jc w:val="center"/>
              <w:rPr>
                <w:rFonts w:hint="eastAsia" w:ascii="宋体" w:hAnsi="宋体" w:cs="宋体"/>
                <w:strike/>
                <w:color w:val="auto"/>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DB4BE09">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8AD3BC2">
            <w:pPr>
              <w:rPr>
                <w:rFonts w:hint="eastAsia" w:ascii="宋体" w:hAnsi="宋体" w:cs="宋体"/>
                <w:strike/>
                <w:color w:val="auto"/>
                <w:szCs w:val="21"/>
                <w:highlight w:val="none"/>
              </w:rPr>
            </w:pPr>
            <w:r>
              <w:rPr>
                <w:rFonts w:hint="eastAsia" w:ascii="宋体" w:hAnsi="宋体" w:cs="宋体"/>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tcPr>
          <w:p w14:paraId="378D1283">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C84D14B">
            <w:pPr>
              <w:jc w:val="center"/>
              <w:rPr>
                <w:rFonts w:hint="eastAsia" w:ascii="宋体" w:hAnsi="宋体" w:cs="宋体"/>
                <w:strike/>
                <w:color w:val="auto"/>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2E522D1">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FB8DDD7">
            <w:pPr>
              <w:rPr>
                <w:rFonts w:hint="eastAsia" w:ascii="宋体" w:hAnsi="宋体" w:cs="宋体"/>
                <w:strike/>
                <w:color w:val="auto"/>
                <w:szCs w:val="21"/>
                <w:highlight w:val="none"/>
              </w:rPr>
            </w:pPr>
            <w:r>
              <w:rPr>
                <w:rFonts w:hint="eastAsia" w:ascii="宋体" w:hAnsi="宋体" w:cs="宋体"/>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tcPr>
          <w:p w14:paraId="331067C7">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B1429AE">
            <w:pPr>
              <w:jc w:val="center"/>
              <w:rPr>
                <w:rFonts w:hint="eastAsia" w:ascii="宋体" w:hAnsi="宋体" w:cs="宋体"/>
                <w:strike/>
                <w:color w:val="auto"/>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0421327">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90ECCD4">
            <w:pPr>
              <w:rPr>
                <w:rFonts w:hint="eastAsia" w:ascii="宋体" w:hAnsi="宋体" w:cs="宋体"/>
                <w:strike/>
                <w:color w:val="auto"/>
                <w:szCs w:val="21"/>
                <w:highlight w:val="none"/>
              </w:rPr>
            </w:pPr>
            <w:r>
              <w:rPr>
                <w:rFonts w:hint="eastAsia" w:ascii="宋体" w:hAnsi="宋体" w:cs="宋体"/>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FF797A">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9322C3C">
            <w:pPr>
              <w:jc w:val="center"/>
              <w:rPr>
                <w:rFonts w:hint="eastAsia" w:ascii="宋体" w:hAnsi="宋体" w:cs="宋体"/>
                <w:strike/>
                <w:color w:val="auto"/>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527A2DB">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5C87FA3">
            <w:pPr>
              <w:rPr>
                <w:rFonts w:hint="eastAsia" w:ascii="宋体" w:hAnsi="宋体" w:cs="宋体"/>
                <w:strike/>
                <w:color w:val="auto"/>
                <w:szCs w:val="21"/>
                <w:highlight w:val="none"/>
              </w:rPr>
            </w:pPr>
            <w:r>
              <w:rPr>
                <w:rFonts w:hint="eastAsia" w:ascii="宋体" w:hAnsi="宋体" w:cs="宋体"/>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48031C71">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8456C08">
            <w:pPr>
              <w:jc w:val="center"/>
              <w:rPr>
                <w:rFonts w:hint="eastAsia" w:ascii="宋体" w:hAnsi="宋体" w:cs="宋体"/>
                <w:strike/>
                <w:color w:val="auto"/>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21B1A7">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EA42C16">
            <w:pPr>
              <w:rPr>
                <w:rFonts w:hint="eastAsia" w:ascii="宋体" w:hAnsi="宋体" w:cs="宋体"/>
                <w:strike/>
                <w:color w:val="auto"/>
                <w:szCs w:val="21"/>
                <w:highlight w:val="none"/>
              </w:rPr>
            </w:pPr>
            <w:r>
              <w:rPr>
                <w:rFonts w:hint="eastAsia" w:ascii="宋体" w:hAnsi="宋体" w:cs="宋体"/>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62165F80">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58A8B67">
            <w:pPr>
              <w:jc w:val="center"/>
              <w:rPr>
                <w:rFonts w:hint="eastAsia" w:ascii="宋体" w:hAnsi="宋体" w:cs="宋体"/>
                <w:strike/>
                <w:color w:val="auto"/>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2BEE41B">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6E706C7">
            <w:pPr>
              <w:rPr>
                <w:rFonts w:hint="eastAsia" w:ascii="宋体" w:hAnsi="宋体" w:cs="宋体"/>
                <w:strike/>
                <w:color w:val="auto"/>
                <w:szCs w:val="21"/>
                <w:highlight w:val="none"/>
              </w:rPr>
            </w:pPr>
            <w:r>
              <w:rPr>
                <w:rFonts w:hint="eastAsia" w:ascii="宋体" w:hAnsi="宋体" w:cs="宋体"/>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EE162F">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7059270">
            <w:pPr>
              <w:jc w:val="center"/>
              <w:rPr>
                <w:rFonts w:hint="eastAsia" w:ascii="宋体" w:hAnsi="宋体" w:cs="宋体"/>
                <w:strike/>
                <w:color w:val="auto"/>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C0A78B">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95E42B8">
            <w:pPr>
              <w:rPr>
                <w:rFonts w:hint="eastAsia" w:ascii="宋体" w:hAnsi="宋体" w:cs="宋体"/>
                <w:strike/>
                <w:color w:val="auto"/>
                <w:szCs w:val="21"/>
                <w:highlight w:val="none"/>
              </w:rPr>
            </w:pPr>
            <w:r>
              <w:rPr>
                <w:rFonts w:hint="eastAsia" w:ascii="宋体" w:hAnsi="宋体" w:cs="宋体"/>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3A9066E8">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96F5242">
            <w:pPr>
              <w:jc w:val="center"/>
              <w:rPr>
                <w:rFonts w:hint="eastAsia" w:ascii="宋体" w:hAnsi="宋体" w:cs="宋体"/>
                <w:strike/>
                <w:color w:val="auto"/>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5ECB606">
            <w:pPr>
              <w:jc w:val="center"/>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F2B4C57">
            <w:pPr>
              <w:rPr>
                <w:rFonts w:hint="eastAsia" w:ascii="宋体" w:hAnsi="宋体" w:cs="宋体"/>
                <w:strike/>
                <w:color w:val="auto"/>
                <w:szCs w:val="21"/>
                <w:highlight w:val="none"/>
              </w:rPr>
            </w:pPr>
            <w:r>
              <w:rPr>
                <w:rFonts w:hint="eastAsia" w:ascii="宋体" w:hAnsi="宋体" w:cs="宋体"/>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tcPr>
          <w:p w14:paraId="693BDD1E">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tcPr>
          <w:p w14:paraId="6D4FD505">
            <w:pPr>
              <w:jc w:val="center"/>
              <w:rPr>
                <w:rFonts w:hint="eastAsia" w:ascii="宋体" w:hAnsi="宋体" w:cs="宋体"/>
                <w:strike/>
                <w:color w:val="auto"/>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CEA28BD">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9AA2422">
            <w:pPr>
              <w:jc w:val="left"/>
              <w:rPr>
                <w:rFonts w:hint="eastAsia" w:ascii="宋体" w:hAnsi="宋体" w:cs="宋体"/>
                <w:strike/>
                <w:color w:val="auto"/>
                <w:szCs w:val="21"/>
                <w:highlight w:val="none"/>
              </w:rPr>
            </w:pPr>
            <w:r>
              <w:rPr>
                <w:rFonts w:hint="eastAsia" w:ascii="宋体" w:hAnsi="宋体" w:cs="宋体"/>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tcPr>
          <w:p w14:paraId="31F7155A">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5ECA3E91">
            <w:pPr>
              <w:jc w:val="left"/>
              <w:rPr>
                <w:rFonts w:hint="eastAsia" w:ascii="宋体" w:hAnsi="宋体" w:cs="宋体"/>
                <w:strike/>
                <w:color w:val="auto"/>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AD24D40">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6D5F49">
            <w:pPr>
              <w:jc w:val="left"/>
              <w:rPr>
                <w:rFonts w:hint="eastAsia" w:ascii="宋体" w:hAnsi="宋体" w:cs="宋体"/>
                <w:strike/>
                <w:color w:val="auto"/>
                <w:szCs w:val="21"/>
                <w:highlight w:val="none"/>
              </w:rPr>
            </w:pPr>
            <w:r>
              <w:rPr>
                <w:rFonts w:hint="eastAsia" w:ascii="宋体" w:hAnsi="宋体" w:cs="宋体"/>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tcPr>
          <w:p w14:paraId="42DA149E">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7705DEF2">
            <w:pPr>
              <w:jc w:val="left"/>
              <w:rPr>
                <w:rFonts w:hint="eastAsia" w:ascii="宋体" w:hAnsi="宋体" w:cs="宋体"/>
                <w:strike/>
                <w:color w:val="auto"/>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9314A55">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A635A5">
            <w:pPr>
              <w:jc w:val="left"/>
              <w:rPr>
                <w:rFonts w:hint="eastAsia" w:ascii="宋体" w:hAnsi="宋体" w:cs="宋体"/>
                <w:strike/>
                <w:color w:val="auto"/>
                <w:szCs w:val="21"/>
                <w:highlight w:val="none"/>
              </w:rPr>
            </w:pPr>
            <w:r>
              <w:rPr>
                <w:rFonts w:hint="eastAsia" w:ascii="宋体" w:hAnsi="宋体" w:cs="宋体"/>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tcPr>
          <w:p w14:paraId="42401EAD">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tcPr>
          <w:p w14:paraId="44699CF0">
            <w:pPr>
              <w:jc w:val="left"/>
              <w:rPr>
                <w:rFonts w:hint="eastAsia" w:ascii="宋体" w:hAnsi="宋体" w:cs="宋体"/>
                <w:strike/>
                <w:color w:val="auto"/>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42A86B7">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5372202">
            <w:pPr>
              <w:jc w:val="left"/>
              <w:rPr>
                <w:rFonts w:hint="eastAsia" w:ascii="宋体" w:hAnsi="宋体" w:cs="宋体"/>
                <w:strike/>
                <w:color w:val="auto"/>
                <w:szCs w:val="21"/>
                <w:highlight w:val="none"/>
              </w:rPr>
            </w:pPr>
            <w:r>
              <w:rPr>
                <w:rFonts w:hint="eastAsia" w:ascii="宋体" w:hAnsi="宋体" w:cs="宋体"/>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tcPr>
          <w:p w14:paraId="3710273B">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tcPr>
          <w:p w14:paraId="2663914A">
            <w:pPr>
              <w:jc w:val="left"/>
              <w:rPr>
                <w:rFonts w:hint="eastAsia" w:ascii="宋体" w:hAnsi="宋体" w:cs="宋体"/>
                <w:strike/>
                <w:color w:val="auto"/>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8BED4BE">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5313887">
            <w:pPr>
              <w:jc w:val="left"/>
              <w:rPr>
                <w:rFonts w:hint="eastAsia" w:ascii="宋体" w:hAnsi="宋体" w:cs="宋体"/>
                <w:strike/>
                <w:color w:val="auto"/>
                <w:szCs w:val="21"/>
                <w:highlight w:val="none"/>
              </w:rPr>
            </w:pPr>
            <w:r>
              <w:rPr>
                <w:rFonts w:hint="eastAsia" w:ascii="宋体" w:hAnsi="宋体" w:cs="宋体"/>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tcPr>
          <w:p w14:paraId="76FFBD86">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tcPr>
          <w:p w14:paraId="156D0D39">
            <w:pPr>
              <w:jc w:val="left"/>
              <w:rPr>
                <w:rFonts w:hint="eastAsia" w:ascii="宋体" w:hAnsi="宋体" w:cs="宋体"/>
                <w:strike/>
                <w:color w:val="auto"/>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B04433F">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1776AEA">
            <w:pPr>
              <w:jc w:val="left"/>
              <w:rPr>
                <w:rFonts w:hint="eastAsia" w:ascii="宋体" w:hAnsi="宋体" w:cs="宋体"/>
                <w:strike/>
                <w:color w:val="auto"/>
                <w:szCs w:val="21"/>
                <w:highlight w:val="none"/>
              </w:rPr>
            </w:pPr>
            <w:r>
              <w:rPr>
                <w:rFonts w:hint="eastAsia" w:ascii="宋体" w:hAnsi="宋体" w:cs="宋体"/>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tcPr>
          <w:p w14:paraId="5A721AA8">
            <w:pPr>
              <w:jc w:val="center"/>
              <w:rPr>
                <w:rFonts w:hint="eastAsia" w:ascii="宋体" w:hAnsi="宋体" w:cs="宋体"/>
                <w:strike/>
                <w:color w:val="auto"/>
                <w:szCs w:val="21"/>
                <w:highlight w:val="none"/>
              </w:rPr>
            </w:pPr>
            <w:r>
              <w:rPr>
                <w:rFonts w:hint="eastAsia" w:ascii="宋体" w:hAnsi="宋体" w:cs="宋体"/>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D575351">
            <w:pPr>
              <w:jc w:val="left"/>
              <w:rPr>
                <w:rFonts w:hint="eastAsia" w:ascii="宋体" w:hAnsi="宋体" w:cs="宋体"/>
                <w:strike/>
                <w:color w:val="auto"/>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21D5DA7">
            <w:pPr>
              <w:jc w:val="left"/>
              <w:rPr>
                <w:rFonts w:hint="eastAsia" w:ascii="宋体" w:hAnsi="宋体" w:cs="宋体"/>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4C77519">
            <w:pPr>
              <w:jc w:val="left"/>
              <w:rPr>
                <w:rFonts w:hint="eastAsia" w:ascii="宋体" w:hAnsi="宋体" w:cs="宋体"/>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B472606">
            <w:pPr>
              <w:jc w:val="left"/>
              <w:rPr>
                <w:rFonts w:hint="eastAsia" w:ascii="宋体" w:hAnsi="宋体" w:cs="宋体"/>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671F426C">
            <w:pPr>
              <w:jc w:val="left"/>
              <w:rPr>
                <w:rFonts w:hint="eastAsia" w:ascii="宋体" w:hAnsi="宋体" w:cs="宋体"/>
                <w:strike/>
                <w:color w:val="auto"/>
                <w:szCs w:val="21"/>
                <w:highlight w:val="none"/>
              </w:rPr>
            </w:pPr>
          </w:p>
        </w:tc>
      </w:tr>
    </w:tbl>
    <w:p w14:paraId="5064FA5A">
      <w:pPr>
        <w:jc w:val="left"/>
        <w:rPr>
          <w:rFonts w:hint="eastAsia" w:ascii="宋体" w:hAnsi="宋体" w:cs="宋体"/>
          <w:strike/>
          <w:color w:val="auto"/>
          <w:szCs w:val="21"/>
          <w:highlight w:val="none"/>
        </w:rPr>
      </w:pPr>
      <w:r>
        <w:rPr>
          <w:rFonts w:hint="eastAsia" w:ascii="宋体" w:hAnsi="宋体" w:cs="宋体"/>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4"/>
        <w:rPr>
          <w:rFonts w:hint="eastAsia" w:ascii="宋体" w:hAnsi="宋体" w:cs="宋体"/>
          <w:strike/>
          <w:color w:val="auto"/>
          <w:highlight w:val="none"/>
        </w:rPr>
      </w:pPr>
      <w:r>
        <w:rPr>
          <w:rFonts w:hint="eastAsia" w:ascii="宋体" w:hAnsi="宋体" w:cs="宋体"/>
          <w:b w:val="0"/>
          <w:color w:val="auto"/>
          <w:highlight w:val="none"/>
        </w:rPr>
        <w:br w:type="page"/>
      </w:r>
      <w:bookmarkStart w:id="238" w:name="_Toc3457"/>
      <w:bookmarkStart w:id="239" w:name="_Toc5516"/>
      <w:bookmarkStart w:id="240" w:name="_Toc10381"/>
      <w:bookmarkStart w:id="241" w:name="_Toc3805"/>
      <w:bookmarkStart w:id="242" w:name="_Toc28094"/>
      <w:bookmarkStart w:id="243" w:name="_Toc16329"/>
      <w:bookmarkStart w:id="244" w:name="_Toc16855"/>
      <w:r>
        <w:rPr>
          <w:rFonts w:hint="eastAsia" w:ascii="宋体" w:hAnsi="宋体" w:cs="宋体"/>
          <w:strike/>
          <w:color w:val="auto"/>
          <w:sz w:val="21"/>
          <w:szCs w:val="21"/>
          <w:highlight w:val="none"/>
        </w:rPr>
        <w:t>附件5</w:t>
      </w:r>
      <w:r>
        <w:rPr>
          <w:rFonts w:hint="eastAsia" w:ascii="宋体" w:hAnsi="宋体" w:cs="宋体"/>
          <w:strike/>
          <w:color w:val="auto"/>
          <w:sz w:val="21"/>
          <w:szCs w:val="21"/>
          <w:highlight w:val="none"/>
          <w:lang w:val="en-US" w:eastAsia="zh-CN"/>
        </w:rPr>
        <w:t xml:space="preserve"> </w:t>
      </w:r>
      <w:r>
        <w:rPr>
          <w:rFonts w:hint="eastAsia" w:ascii="宋体" w:hAnsi="宋体" w:cs="宋体"/>
          <w:strike/>
          <w:color w:val="auto"/>
          <w:sz w:val="21"/>
          <w:szCs w:val="21"/>
          <w:highlight w:val="none"/>
        </w:rPr>
        <w:t>勘察投标文件编制要求</w:t>
      </w:r>
      <w:bookmarkEnd w:id="238"/>
      <w:bookmarkEnd w:id="239"/>
      <w:bookmarkEnd w:id="240"/>
      <w:bookmarkEnd w:id="241"/>
      <w:bookmarkEnd w:id="242"/>
      <w:bookmarkEnd w:id="243"/>
      <w:bookmarkEnd w:id="244"/>
    </w:p>
    <w:p w14:paraId="6C59E57F">
      <w:pPr>
        <w:jc w:val="center"/>
        <w:rPr>
          <w:rFonts w:hint="eastAsia" w:ascii="宋体" w:hAnsi="宋体" w:cs="宋体"/>
          <w:b/>
          <w:strike/>
          <w:color w:val="auto"/>
          <w:sz w:val="32"/>
          <w:szCs w:val="32"/>
          <w:highlight w:val="none"/>
        </w:rPr>
      </w:pPr>
      <w:r>
        <w:rPr>
          <w:rFonts w:hint="eastAsia" w:ascii="宋体" w:hAnsi="宋体" w:cs="宋体"/>
          <w:b/>
          <w:strike/>
          <w:color w:val="auto"/>
          <w:sz w:val="32"/>
          <w:szCs w:val="32"/>
          <w:highlight w:val="none"/>
        </w:rPr>
        <w:t>勘察投标文件编制要求</w:t>
      </w:r>
    </w:p>
    <w:p w14:paraId="7332244F">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（只适用于勘察投标）</w:t>
      </w:r>
    </w:p>
    <w:p w14:paraId="162206E6">
      <w:pPr>
        <w:spacing w:line="360" w:lineRule="auto"/>
        <w:jc w:val="center"/>
        <w:rPr>
          <w:rFonts w:hint="eastAsia" w:ascii="宋体" w:hAnsi="宋体" w:cs="宋体"/>
          <w:strike/>
          <w:color w:val="auto"/>
          <w:sz w:val="24"/>
          <w:szCs w:val="24"/>
          <w:highlight w:val="none"/>
        </w:rPr>
      </w:pPr>
    </w:p>
    <w:p w14:paraId="2BD72103">
      <w:pPr>
        <w:spacing w:line="360" w:lineRule="auto"/>
        <w:jc w:val="left"/>
        <w:rPr>
          <w:rFonts w:hint="eastAsia" w:ascii="宋体" w:hAnsi="宋体" w:cs="宋体"/>
          <w:strike/>
          <w:color w:val="auto"/>
          <w:sz w:val="24"/>
          <w:szCs w:val="24"/>
          <w:highlight w:val="none"/>
        </w:rPr>
      </w:pPr>
      <w:bookmarkStart w:id="245" w:name="_Toc16913"/>
      <w:bookmarkStart w:id="246" w:name="_Toc388"/>
      <w:bookmarkStart w:id="247" w:name="_Toc14043"/>
      <w:r>
        <w:rPr>
          <w:rFonts w:hint="eastAsia" w:ascii="宋体" w:hAnsi="宋体" w:cs="宋体"/>
          <w:b/>
          <w:strike/>
          <w:color w:val="auto"/>
          <w:sz w:val="24"/>
          <w:szCs w:val="24"/>
          <w:highlight w:val="none"/>
        </w:rPr>
        <w:t>1投标文件</w:t>
      </w:r>
      <w:bookmarkEnd w:id="245"/>
      <w:bookmarkEnd w:id="246"/>
      <w:bookmarkEnd w:id="247"/>
    </w:p>
    <w:p w14:paraId="0F9A95C0">
      <w:pPr>
        <w:spacing w:line="360" w:lineRule="auto"/>
        <w:jc w:val="left"/>
        <w:rPr>
          <w:rFonts w:hint="eastAsia" w:ascii="宋体" w:hAnsi="宋体" w:cs="宋体"/>
          <w:strike/>
          <w:color w:val="auto"/>
          <w:sz w:val="24"/>
          <w:szCs w:val="24"/>
          <w:highlight w:val="none"/>
        </w:rPr>
      </w:pPr>
    </w:p>
    <w:p w14:paraId="35738E8F">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1.1    投标文件由下列资料组成。</w:t>
      </w:r>
    </w:p>
    <w:p w14:paraId="62B7CB57">
      <w:pPr>
        <w:spacing w:line="360" w:lineRule="auto"/>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(a) 开标信封。</w:t>
      </w:r>
    </w:p>
    <w:p w14:paraId="5CD1632F">
      <w:pPr>
        <w:spacing w:line="360" w:lineRule="auto"/>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(b) 勘察方案。</w:t>
      </w:r>
    </w:p>
    <w:p w14:paraId="5C6EB453">
      <w:pPr>
        <w:spacing w:line="360" w:lineRule="auto"/>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(c) 资格审查文件（如果招标人要求提供）。</w:t>
      </w:r>
    </w:p>
    <w:p w14:paraId="697EEC78">
      <w:pPr>
        <w:spacing w:line="360" w:lineRule="auto"/>
        <w:jc w:val="left"/>
        <w:rPr>
          <w:rFonts w:hint="eastAsia" w:ascii="宋体" w:hAnsi="宋体" w:cs="宋体"/>
          <w:strike/>
          <w:color w:val="auto"/>
          <w:sz w:val="24"/>
          <w:szCs w:val="24"/>
          <w:highlight w:val="none"/>
        </w:rPr>
      </w:pPr>
    </w:p>
    <w:p w14:paraId="21801AA0">
      <w:pPr>
        <w:spacing w:line="360" w:lineRule="auto"/>
        <w:rPr>
          <w:rFonts w:hint="eastAsia" w:ascii="宋体" w:hAnsi="宋体" w:cs="宋体"/>
          <w:strike/>
          <w:color w:val="auto"/>
          <w:sz w:val="24"/>
          <w:szCs w:val="24"/>
          <w:highlight w:val="none"/>
        </w:rPr>
      </w:pPr>
      <w:bookmarkStart w:id="248" w:name="_Toc6830"/>
      <w:bookmarkStart w:id="249" w:name="_Toc19186"/>
      <w:bookmarkStart w:id="250" w:name="_Toc11546"/>
      <w:r>
        <w:rPr>
          <w:rFonts w:hint="eastAsia" w:ascii="宋体" w:hAnsi="宋体" w:cs="宋体"/>
          <w:b/>
          <w:strike/>
          <w:color w:val="auto"/>
          <w:sz w:val="24"/>
          <w:szCs w:val="24"/>
          <w:highlight w:val="none"/>
        </w:rPr>
        <w:t>2      保密要求</w:t>
      </w:r>
      <w:bookmarkEnd w:id="248"/>
      <w:bookmarkEnd w:id="249"/>
      <w:bookmarkEnd w:id="250"/>
    </w:p>
    <w:p w14:paraId="209D864B">
      <w:pPr>
        <w:spacing w:line="360" w:lineRule="auto"/>
        <w:rPr>
          <w:rFonts w:hint="eastAsia" w:ascii="宋体" w:hAnsi="宋体" w:cs="宋体"/>
          <w:strike/>
          <w:color w:val="auto"/>
          <w:sz w:val="24"/>
          <w:szCs w:val="24"/>
          <w:highlight w:val="none"/>
        </w:rPr>
      </w:pPr>
    </w:p>
    <w:p w14:paraId="446E3C6F">
      <w:pPr>
        <w:spacing w:line="360" w:lineRule="auto"/>
        <w:ind w:left="821" w:hanging="820" w:hangingChars="342"/>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hint="eastAsia" w:ascii="宋体" w:hAnsi="宋体" w:cs="宋体"/>
          <w:strike/>
          <w:color w:val="auto"/>
          <w:sz w:val="24"/>
          <w:szCs w:val="24"/>
          <w:highlight w:val="none"/>
        </w:rPr>
      </w:pPr>
    </w:p>
    <w:p w14:paraId="6B713CCF">
      <w:pPr>
        <w:spacing w:line="360" w:lineRule="auto"/>
        <w:jc w:val="left"/>
        <w:rPr>
          <w:rFonts w:hint="eastAsia" w:ascii="宋体" w:hAnsi="宋体" w:cs="宋体"/>
          <w:b/>
          <w:strike/>
          <w:color w:val="auto"/>
          <w:sz w:val="24"/>
          <w:szCs w:val="24"/>
          <w:highlight w:val="none"/>
        </w:rPr>
      </w:pPr>
      <w:bookmarkStart w:id="251" w:name="_Toc30022"/>
      <w:bookmarkStart w:id="252" w:name="_Toc29767"/>
      <w:bookmarkStart w:id="253" w:name="_Toc26939"/>
      <w:r>
        <w:rPr>
          <w:rFonts w:hint="eastAsia" w:ascii="宋体" w:hAnsi="宋体" w:cs="宋体"/>
          <w:b/>
          <w:strike/>
          <w:color w:val="auto"/>
          <w:sz w:val="24"/>
          <w:szCs w:val="24"/>
          <w:highlight w:val="none"/>
        </w:rPr>
        <w:t>3      开标信封</w:t>
      </w:r>
      <w:bookmarkEnd w:id="251"/>
      <w:bookmarkEnd w:id="252"/>
      <w:bookmarkEnd w:id="253"/>
    </w:p>
    <w:p w14:paraId="44B233EE">
      <w:pPr>
        <w:spacing w:line="360" w:lineRule="auto"/>
        <w:rPr>
          <w:rFonts w:hint="eastAsia" w:ascii="宋体" w:hAnsi="宋体" w:cs="宋体"/>
          <w:strike/>
          <w:color w:val="auto"/>
          <w:sz w:val="24"/>
          <w:szCs w:val="24"/>
          <w:highlight w:val="none"/>
        </w:rPr>
      </w:pPr>
    </w:p>
    <w:p w14:paraId="5C29BAF8">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hint="eastAsia" w:ascii="宋体" w:hAnsi="宋体" w:cs="宋体"/>
          <w:strike/>
          <w:color w:val="auto"/>
          <w:sz w:val="24"/>
          <w:szCs w:val="24"/>
          <w:highlight w:val="none"/>
        </w:rPr>
      </w:pPr>
    </w:p>
    <w:p w14:paraId="6B5A32F9">
      <w:pPr>
        <w:spacing w:line="360" w:lineRule="auto"/>
        <w:rPr>
          <w:rFonts w:hint="eastAsia" w:ascii="宋体" w:hAnsi="宋体" w:cs="宋体"/>
          <w:strike/>
          <w:color w:val="auto"/>
          <w:sz w:val="24"/>
          <w:szCs w:val="24"/>
          <w:highlight w:val="none"/>
        </w:rPr>
      </w:pPr>
    </w:p>
    <w:p w14:paraId="1B18CC23">
      <w:pPr>
        <w:spacing w:line="360" w:lineRule="auto"/>
        <w:rPr>
          <w:rFonts w:hint="eastAsia" w:ascii="宋体" w:hAnsi="宋体" w:cs="宋体"/>
          <w:strike/>
          <w:color w:val="auto"/>
          <w:sz w:val="24"/>
          <w:szCs w:val="24"/>
          <w:highlight w:val="none"/>
        </w:rPr>
      </w:pPr>
    </w:p>
    <w:p w14:paraId="45C9BF22">
      <w:pPr>
        <w:spacing w:line="360" w:lineRule="auto"/>
        <w:rPr>
          <w:rFonts w:hint="eastAsia" w:ascii="宋体" w:hAnsi="宋体" w:cs="宋体"/>
          <w:b/>
          <w:strike/>
          <w:color w:val="auto"/>
          <w:sz w:val="24"/>
          <w:szCs w:val="24"/>
          <w:highlight w:val="none"/>
        </w:rPr>
      </w:pPr>
      <w:bookmarkStart w:id="254" w:name="_Toc1272"/>
      <w:bookmarkStart w:id="255" w:name="_Toc8918"/>
      <w:bookmarkStart w:id="256" w:name="_Toc16035"/>
      <w:r>
        <w:rPr>
          <w:rFonts w:hint="eastAsia" w:ascii="宋体" w:hAnsi="宋体" w:cs="宋体"/>
          <w:b/>
          <w:strike/>
          <w:color w:val="auto"/>
          <w:sz w:val="24"/>
          <w:szCs w:val="24"/>
          <w:highlight w:val="none"/>
        </w:rPr>
        <w:t>4      勘察方案</w:t>
      </w:r>
      <w:bookmarkEnd w:id="254"/>
      <w:bookmarkEnd w:id="255"/>
      <w:bookmarkEnd w:id="256"/>
    </w:p>
    <w:p w14:paraId="41D883BF">
      <w:pPr>
        <w:spacing w:line="360" w:lineRule="auto"/>
        <w:rPr>
          <w:rFonts w:hint="eastAsia" w:ascii="宋体" w:hAnsi="宋体" w:cs="宋体"/>
          <w:strike/>
          <w:color w:val="auto"/>
          <w:sz w:val="24"/>
          <w:szCs w:val="24"/>
          <w:highlight w:val="none"/>
        </w:rPr>
      </w:pPr>
    </w:p>
    <w:p w14:paraId="0B00C3D7">
      <w:pPr>
        <w:pStyle w:val="16"/>
        <w:widowControl w:val="0"/>
        <w:spacing w:beforeAutospacing="0" w:afterAutospacing="0" w:line="360" w:lineRule="auto"/>
        <w:jc w:val="both"/>
        <w:rPr>
          <w:rFonts w:cs="宋体"/>
          <w:strike/>
          <w:color w:val="auto"/>
          <w:highlight w:val="none"/>
        </w:rPr>
      </w:pPr>
      <w:r>
        <w:rPr>
          <w:rFonts w:cs="宋体"/>
          <w:strike/>
          <w:color w:val="auto"/>
          <w:highlight w:val="none"/>
        </w:rPr>
        <w:t>4.1    勘察方案内容（文件大小不得超过500M）：</w:t>
      </w:r>
    </w:p>
    <w:p w14:paraId="68B8BDE5">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(a) 首页：写明项目名称、编制年月；</w:t>
      </w:r>
    </w:p>
    <w:p w14:paraId="015BFF44">
      <w:pPr>
        <w:pStyle w:val="16"/>
        <w:widowControl w:val="0"/>
        <w:spacing w:beforeAutospacing="0" w:afterAutospacing="0" w:line="360" w:lineRule="auto"/>
        <w:jc w:val="both"/>
        <w:rPr>
          <w:rFonts w:cs="宋体"/>
          <w:strike/>
          <w:color w:val="auto"/>
          <w:highlight w:val="none"/>
        </w:rPr>
      </w:pPr>
      <w:r>
        <w:rPr>
          <w:rFonts w:cs="宋体"/>
          <w:strike/>
          <w:color w:val="auto"/>
          <w:highlight w:val="none"/>
        </w:rPr>
        <w:t xml:space="preserve">   (b) 目录；</w:t>
      </w:r>
    </w:p>
    <w:p w14:paraId="2E781FAD">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（c）《勘察设计费报价表》（见附录3）；</w:t>
      </w:r>
    </w:p>
    <w:p w14:paraId="722B34BF">
      <w:pPr>
        <w:spacing w:line="360" w:lineRule="auto"/>
        <w:ind w:left="818" w:hanging="818" w:hangingChars="341"/>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(d) 除上述报价外，如果有另需付费的项目，应详细列明勘察工作和收费标准（内容、数量、单价、合价）；</w:t>
      </w:r>
    </w:p>
    <w:p w14:paraId="01296EAB">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(e) 针对项目场地采用的原位试验种类。勘察方案（勘察手段、方法及工艺）及建议，本次勘察的难点及建议；</w:t>
      </w:r>
    </w:p>
    <w:p w14:paraId="5EBE77DE">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(f) 勘察工作流程和相应的工期进度计划；</w:t>
      </w:r>
    </w:p>
    <w:p w14:paraId="37EC8FCA">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(g) 投入本项目的人数、工种、设备；</w:t>
      </w:r>
    </w:p>
    <w:p w14:paraId="7CAF01F8">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(h) 勘察报告综合评价深度，勘察成果文件内容目录；</w:t>
      </w:r>
    </w:p>
    <w:p w14:paraId="21DB7FBA">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(i) 投标人掌握的勘察工作有关的法律法规、标准、规范一览表；</w:t>
      </w:r>
    </w:p>
    <w:p w14:paraId="6CA18469">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(j) 需要建设单位、设计单位配合的事项；</w:t>
      </w:r>
    </w:p>
    <w:p w14:paraId="6E31F1FC">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(k) 发生追记行为的相应赔偿办法；</w:t>
      </w:r>
    </w:p>
    <w:p w14:paraId="5AADF306">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(l) 投标人参与施工验槽，解决工程设计和施工中与勘察工作有关问题的服务承诺、响应时间、相关费用。</w:t>
      </w:r>
    </w:p>
    <w:p w14:paraId="66A18D47">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(m) 技术培训和职业道德教育情况。</w:t>
      </w:r>
    </w:p>
    <w:p w14:paraId="01DA6DC2">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(n) 以往完工项目的资料分类编目、装订、归档保存的情况。</w:t>
      </w:r>
    </w:p>
    <w:p w14:paraId="2434DC10">
      <w:pPr>
        <w:spacing w:line="360" w:lineRule="auto"/>
        <w:rPr>
          <w:rFonts w:hint="eastAsia" w:ascii="宋体" w:hAnsi="宋体" w:cs="宋体"/>
          <w:strike/>
          <w:color w:val="auto"/>
          <w:sz w:val="24"/>
          <w:szCs w:val="24"/>
          <w:highlight w:val="none"/>
        </w:rPr>
      </w:pPr>
    </w:p>
    <w:p w14:paraId="0B5C6C73">
      <w:pPr>
        <w:spacing w:line="360" w:lineRule="auto"/>
        <w:jc w:val="left"/>
        <w:rPr>
          <w:rFonts w:hint="eastAsia" w:ascii="宋体" w:hAnsi="宋体" w:cs="宋体"/>
          <w:b/>
          <w:strike/>
          <w:color w:val="auto"/>
          <w:sz w:val="24"/>
          <w:szCs w:val="24"/>
          <w:highlight w:val="none"/>
        </w:rPr>
      </w:pPr>
      <w:bookmarkStart w:id="257" w:name="_Toc27667"/>
      <w:bookmarkStart w:id="258" w:name="_Toc13422"/>
      <w:bookmarkStart w:id="259" w:name="_Toc976"/>
      <w:r>
        <w:rPr>
          <w:rFonts w:hint="eastAsia" w:ascii="宋体" w:hAnsi="宋体" w:cs="宋体"/>
          <w:b/>
          <w:strike/>
          <w:color w:val="auto"/>
          <w:sz w:val="24"/>
          <w:szCs w:val="24"/>
          <w:highlight w:val="none"/>
        </w:rPr>
        <w:t>5   资格审查文件（如有）</w:t>
      </w:r>
      <w:bookmarkEnd w:id="257"/>
      <w:bookmarkEnd w:id="258"/>
      <w:bookmarkEnd w:id="259"/>
    </w:p>
    <w:p w14:paraId="49EFB9ED">
      <w:pPr>
        <w:pStyle w:val="16"/>
        <w:widowControl w:val="0"/>
        <w:spacing w:beforeAutospacing="0" w:afterAutospacing="0" w:line="360" w:lineRule="auto"/>
        <w:jc w:val="both"/>
        <w:rPr>
          <w:rFonts w:cs="宋体"/>
          <w:strike/>
          <w:color w:val="auto"/>
          <w:highlight w:val="none"/>
        </w:rPr>
      </w:pPr>
    </w:p>
    <w:p w14:paraId="123D7814">
      <w:pPr>
        <w:pStyle w:val="16"/>
        <w:widowControl w:val="0"/>
        <w:spacing w:beforeAutospacing="0" w:afterAutospacing="0" w:line="360" w:lineRule="auto"/>
        <w:jc w:val="both"/>
        <w:rPr>
          <w:rFonts w:cs="宋体"/>
          <w:strike/>
          <w:color w:val="auto"/>
          <w:highlight w:val="none"/>
        </w:rPr>
      </w:pPr>
      <w:r>
        <w:rPr>
          <w:rFonts w:cs="宋体"/>
          <w:strike/>
          <w:color w:val="auto"/>
          <w:highlight w:val="none"/>
        </w:rPr>
        <w:t>5.1   资格审查文件内容：</w:t>
      </w:r>
    </w:p>
    <w:p w14:paraId="6522A8DF">
      <w:pPr>
        <w:pStyle w:val="16"/>
        <w:widowControl w:val="0"/>
        <w:spacing w:beforeAutospacing="0" w:afterAutospacing="0" w:line="360" w:lineRule="auto"/>
        <w:jc w:val="both"/>
        <w:rPr>
          <w:rFonts w:cs="宋体"/>
          <w:strike/>
          <w:color w:val="auto"/>
          <w:highlight w:val="none"/>
        </w:rPr>
      </w:pPr>
      <w:r>
        <w:rPr>
          <w:rFonts w:cs="宋体"/>
          <w:strike/>
          <w:color w:val="auto"/>
          <w:highlight w:val="none"/>
        </w:rPr>
        <w:t xml:space="preserve">   (a) 目录；</w:t>
      </w:r>
    </w:p>
    <w:p w14:paraId="7AB46D69">
      <w:pPr>
        <w:pStyle w:val="16"/>
        <w:widowControl w:val="0"/>
        <w:spacing w:beforeAutospacing="0" w:afterAutospacing="0" w:line="360" w:lineRule="auto"/>
        <w:jc w:val="both"/>
        <w:rPr>
          <w:rFonts w:cs="宋体"/>
          <w:strike/>
          <w:color w:val="auto"/>
          <w:highlight w:val="none"/>
        </w:rPr>
      </w:pPr>
      <w:r>
        <w:rPr>
          <w:rFonts w:cs="宋体"/>
          <w:strike/>
          <w:color w:val="auto"/>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6"/>
        <w:widowControl w:val="0"/>
        <w:spacing w:beforeAutospacing="0" w:afterAutospacing="0" w:line="360" w:lineRule="auto"/>
        <w:ind w:firstLine="360" w:firstLineChars="150"/>
        <w:jc w:val="both"/>
        <w:rPr>
          <w:rFonts w:cs="宋体"/>
          <w:strike/>
          <w:color w:val="auto"/>
          <w:highlight w:val="none"/>
        </w:rPr>
      </w:pPr>
      <w:r>
        <w:rPr>
          <w:rFonts w:cs="宋体"/>
          <w:strike/>
          <w:color w:val="auto"/>
          <w:highlight w:val="none"/>
        </w:rPr>
        <w:t>(c) 填妥并签字盖章的《投标人声明》（格式见附录8）；</w:t>
      </w:r>
    </w:p>
    <w:p w14:paraId="056E3061">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(e) 投标人资质证书；</w:t>
      </w:r>
    </w:p>
    <w:p w14:paraId="32507EEA">
      <w:pPr>
        <w:spacing w:line="360" w:lineRule="auto"/>
        <w:ind w:left="821" w:hanging="820" w:hangingChars="3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(g) 投标申请表（附录1）；</w:t>
      </w:r>
    </w:p>
    <w:p w14:paraId="78073EAF">
      <w:pPr>
        <w:spacing w:line="360" w:lineRule="auto"/>
        <w:ind w:left="759" w:leftChars="167" w:hanging="408" w:hangingChars="17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(h) 拟派项目负责人注册执业资格证书或职称证书；</w:t>
      </w:r>
    </w:p>
    <w:p w14:paraId="61522AE9">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(i) 拟派各专业负责人注册执业资格证书或职称证书及工作简历；</w:t>
      </w:r>
    </w:p>
    <w:p w14:paraId="52676F0A">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(j) 投标人认为有必要提供的其他资料。</w:t>
      </w:r>
    </w:p>
    <w:p w14:paraId="7AB3ADF5">
      <w:pPr>
        <w:spacing w:line="360" w:lineRule="auto"/>
        <w:rPr>
          <w:rFonts w:hint="eastAsia" w:ascii="宋体" w:hAnsi="宋体" w:cs="宋体"/>
          <w:strike/>
          <w:color w:val="auto"/>
          <w:sz w:val="24"/>
          <w:szCs w:val="24"/>
          <w:highlight w:val="none"/>
        </w:rPr>
      </w:pPr>
    </w:p>
    <w:p w14:paraId="7ECC165A">
      <w:pPr>
        <w:spacing w:line="360" w:lineRule="auto"/>
        <w:ind w:left="611" w:leftChars="15" w:hanging="580" w:hangingChars="242"/>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rPr>
          <w:rFonts w:hint="eastAsia" w:ascii="宋体" w:hAnsi="宋体" w:cs="宋体"/>
          <w:b/>
          <w:strike/>
          <w:color w:val="auto"/>
          <w:sz w:val="24"/>
          <w:szCs w:val="24"/>
          <w:highlight w:val="none"/>
        </w:rPr>
      </w:pPr>
      <w:bookmarkStart w:id="260" w:name="_Toc2665"/>
      <w:bookmarkStart w:id="261" w:name="_Toc21475"/>
      <w:bookmarkStart w:id="262" w:name="_Toc1245"/>
      <w:r>
        <w:rPr>
          <w:rFonts w:hint="eastAsia" w:ascii="宋体" w:hAnsi="宋体" w:cs="宋体"/>
          <w:b/>
          <w:strike/>
          <w:color w:val="auto"/>
          <w:sz w:val="24"/>
          <w:szCs w:val="24"/>
          <w:highlight w:val="none"/>
        </w:rPr>
        <w:t>6    定标资料（如有）</w:t>
      </w:r>
      <w:bookmarkEnd w:id="260"/>
      <w:bookmarkEnd w:id="261"/>
      <w:bookmarkEnd w:id="262"/>
    </w:p>
    <w:p w14:paraId="7EA67AF1">
      <w:pPr>
        <w:spacing w:line="360" w:lineRule="auto"/>
        <w:ind w:left="360" w:hanging="360" w:hangingChars="150"/>
        <w:rPr>
          <w:rFonts w:hint="eastAsia" w:ascii="宋体" w:hAnsi="宋体" w:cs="宋体"/>
          <w:strike/>
          <w:color w:val="auto"/>
          <w:sz w:val="24"/>
          <w:szCs w:val="24"/>
          <w:highlight w:val="none"/>
        </w:rPr>
      </w:pPr>
    </w:p>
    <w:p w14:paraId="7F4CB351">
      <w:pPr>
        <w:spacing w:line="360" w:lineRule="auto"/>
        <w:ind w:left="360" w:hanging="360" w:hangingChars="15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（由招标人自定）</w:t>
      </w:r>
    </w:p>
    <w:p w14:paraId="42184F82">
      <w:pPr>
        <w:jc w:val="left"/>
        <w:rPr>
          <w:rFonts w:hint="eastAsia" w:ascii="宋体" w:hAnsi="宋体" w:cs="宋体"/>
          <w:color w:val="auto"/>
          <w:szCs w:val="21"/>
          <w:highlight w:val="none"/>
        </w:rPr>
      </w:pPr>
    </w:p>
    <w:p w14:paraId="435DCC00">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2832EC9D">
      <w:pPr>
        <w:keepNext/>
        <w:keepLines/>
        <w:spacing w:line="360" w:lineRule="auto"/>
        <w:outlineLvl w:val="1"/>
        <w:rPr>
          <w:rFonts w:hint="eastAsia" w:ascii="宋体" w:hAnsi="宋体" w:cs="宋体"/>
          <w:color w:val="auto"/>
          <w:kern w:val="44"/>
          <w:sz w:val="44"/>
          <w:szCs w:val="44"/>
          <w:highlight w:val="none"/>
        </w:rPr>
      </w:pPr>
      <w:bookmarkStart w:id="263" w:name="_Toc11468"/>
      <w:bookmarkStart w:id="264" w:name="_Toc17492"/>
      <w:bookmarkStart w:id="265" w:name="_Toc30043"/>
      <w:bookmarkStart w:id="266" w:name="_Toc7881"/>
      <w:bookmarkStart w:id="267" w:name="_Toc23605"/>
      <w:bookmarkStart w:id="268" w:name="_Toc4809"/>
      <w:bookmarkStart w:id="269" w:name="_Toc8397"/>
      <w:r>
        <w:rPr>
          <w:rFonts w:hint="eastAsia" w:ascii="宋体" w:hAnsi="宋体" w:cs="宋体"/>
          <w:b/>
          <w:color w:val="auto"/>
          <w:kern w:val="44"/>
          <w:szCs w:val="21"/>
          <w:highlight w:val="none"/>
        </w:rPr>
        <w:t>附录6 投标书</w:t>
      </w:r>
      <w:bookmarkEnd w:id="263"/>
      <w:bookmarkEnd w:id="264"/>
      <w:bookmarkEnd w:id="265"/>
      <w:bookmarkEnd w:id="266"/>
      <w:bookmarkEnd w:id="267"/>
      <w:bookmarkEnd w:id="268"/>
      <w:bookmarkEnd w:id="269"/>
    </w:p>
    <w:p w14:paraId="17A2CCD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投标书</w:t>
      </w:r>
    </w:p>
    <w:p w14:paraId="5F33957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CF123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（招标人、招标代理机构名称）</w:t>
      </w:r>
    </w:p>
    <w:p w14:paraId="3256C880">
      <w:pPr>
        <w:spacing w:line="360" w:lineRule="auto"/>
        <w:jc w:val="left"/>
        <w:rPr>
          <w:rFonts w:hint="eastAsia" w:ascii="宋体" w:hAnsi="宋体" w:cs="宋体"/>
          <w:color w:val="auto"/>
          <w:sz w:val="24"/>
          <w:szCs w:val="24"/>
          <w:highlight w:val="none"/>
        </w:rPr>
      </w:pPr>
    </w:p>
    <w:p w14:paraId="52A133B0">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初步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如果我方中标，我方</w:t>
      </w:r>
      <w:r>
        <w:rPr>
          <w:rFonts w:hint="eastAsia" w:ascii="宋体" w:hAnsi="宋体" w:cs="宋体"/>
          <w:b/>
          <w:strike/>
          <w:color w:val="auto"/>
          <w:sz w:val="24"/>
          <w:szCs w:val="24"/>
          <w:highlight w:val="none"/>
          <w:u w:val="single"/>
        </w:rPr>
        <w:t>将</w:t>
      </w:r>
      <w:r>
        <w:rPr>
          <w:rFonts w:hint="eastAsia" w:ascii="宋体" w:hAnsi="宋体" w:cs="宋体"/>
          <w:b/>
          <w:color w:val="auto"/>
          <w:sz w:val="24"/>
          <w:szCs w:val="24"/>
          <w:highlight w:val="none"/>
          <w:u w:val="single"/>
        </w:rPr>
        <w:t>所配备的人员不满足本项目合同条款及基础资料和勘察初步设计任务书要求，我方承诺按合同约定承担违约责任。</w:t>
      </w:r>
      <w:r>
        <w:rPr>
          <w:rFonts w:hint="eastAsia" w:ascii="宋体" w:hAnsi="宋体" w:cs="宋体"/>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如果我方中标，我方将提供规定的履约保证金，将在合同规定的日期开工，并在竣工时间内，按照上述文件完成项目。</w:t>
      </w:r>
    </w:p>
    <w:p w14:paraId="0E70A9F7">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eastAsia" w:ascii="宋体" w:hAnsi="宋体" w:cs="宋体"/>
          <w:color w:val="auto"/>
          <w:sz w:val="24"/>
          <w:szCs w:val="24"/>
          <w:highlight w:val="none"/>
        </w:rPr>
      </w:pPr>
      <w:r>
        <w:rPr>
          <w:rFonts w:hint="eastAsia" w:ascii="宋体" w:hAnsi="宋体" w:cs="宋体"/>
          <w:color w:val="auto"/>
          <w:sz w:val="24"/>
          <w:szCs w:val="24"/>
          <w:highlight w:val="none"/>
        </w:rPr>
        <w:t>本投标书同时作为法人证明书或法人授权委托书。</w:t>
      </w:r>
    </w:p>
    <w:p w14:paraId="3418FB88">
      <w:pPr>
        <w:spacing w:line="360" w:lineRule="auto"/>
        <w:ind w:firstLine="405"/>
        <w:rPr>
          <w:rFonts w:hint="eastAsia" w:ascii="宋体" w:hAnsi="宋体" w:cs="宋体"/>
          <w:color w:val="auto"/>
          <w:sz w:val="24"/>
          <w:szCs w:val="24"/>
          <w:highlight w:val="none"/>
        </w:rPr>
      </w:pPr>
      <w:r>
        <w:rPr>
          <w:rFonts w:hint="eastAsia" w:ascii="宋体" w:hAnsi="宋体" w:cs="宋体"/>
          <w:b/>
          <w:color w:val="auto"/>
          <w:szCs w:val="21"/>
          <w:highlight w:val="none"/>
        </w:rPr>
        <w:t>注：联合体投标的，“投标人”一栏应填写联合体各方的单位全称【格式为：（主）XXXX公司（成）XXXXX公司】，可仅由联合体牵头人盖章或签字，视作符合要求。</w:t>
      </w:r>
    </w:p>
    <w:p w14:paraId="1568D60B">
      <w:pPr>
        <w:spacing w:line="360" w:lineRule="auto"/>
        <w:rPr>
          <w:rFonts w:hint="eastAsia" w:ascii="宋体" w:hAnsi="宋体" w:cs="宋体"/>
          <w:color w:val="auto"/>
          <w:sz w:val="24"/>
          <w:szCs w:val="24"/>
          <w:highlight w:val="none"/>
        </w:rPr>
      </w:pPr>
    </w:p>
    <w:p w14:paraId="4E3D1150">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投标人：（盖章）</w:t>
      </w:r>
      <w:r>
        <w:rPr>
          <w:rFonts w:hint="eastAsia" w:ascii="宋体" w:hAnsi="宋体" w:cs="宋体"/>
          <w:color w:val="auto"/>
          <w:sz w:val="24"/>
          <w:szCs w:val="24"/>
          <w:highlight w:val="none"/>
          <w:u w:val="single"/>
        </w:rPr>
        <w:t xml:space="preserve">                                     </w:t>
      </w:r>
    </w:p>
    <w:p w14:paraId="4EB516F3">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法定代表人：（签字或盖章）</w:t>
      </w:r>
      <w:r>
        <w:rPr>
          <w:rFonts w:hint="eastAsia" w:ascii="宋体" w:hAnsi="宋体" w:cs="宋体"/>
          <w:color w:val="auto"/>
          <w:sz w:val="24"/>
          <w:szCs w:val="24"/>
          <w:highlight w:val="none"/>
          <w:u w:val="single"/>
        </w:rPr>
        <w:t xml:space="preserve">                           </w:t>
      </w:r>
    </w:p>
    <w:p w14:paraId="713E892A">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委托代理人：（签字或盖章）</w:t>
      </w:r>
      <w:r>
        <w:rPr>
          <w:rFonts w:hint="eastAsia" w:ascii="宋体" w:hAnsi="宋体" w:cs="宋体"/>
          <w:color w:val="auto"/>
          <w:sz w:val="24"/>
          <w:szCs w:val="24"/>
          <w:highlight w:val="none"/>
          <w:u w:val="single"/>
        </w:rPr>
        <w:t xml:space="preserve">                           </w:t>
      </w:r>
    </w:p>
    <w:p w14:paraId="67789164">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项目负责人：（签字或盖章）</w:t>
      </w:r>
      <w:r>
        <w:rPr>
          <w:rFonts w:hint="eastAsia" w:ascii="宋体" w:hAnsi="宋体" w:cs="宋体"/>
          <w:color w:val="auto"/>
          <w:sz w:val="24"/>
          <w:szCs w:val="24"/>
          <w:highlight w:val="none"/>
          <w:u w:val="single"/>
        </w:rPr>
        <w:t xml:space="preserve">                           </w:t>
      </w:r>
    </w:p>
    <w:p w14:paraId="36028553">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p>
    <w:p w14:paraId="262867DD">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2314068A">
      <w:pPr>
        <w:spacing w:line="360" w:lineRule="auto"/>
        <w:ind w:firstLine="405"/>
        <w:rPr>
          <w:rFonts w:hint="eastAsia" w:ascii="宋体" w:hAnsi="宋体" w:cs="宋体"/>
          <w:color w:val="auto"/>
          <w:sz w:val="24"/>
          <w:szCs w:val="24"/>
          <w:highlight w:val="none"/>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u w:val="single"/>
        </w:rPr>
        <w:t xml:space="preserve">                    /FAX                 </w:t>
      </w:r>
    </w:p>
    <w:p w14:paraId="21F7C61B">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p>
    <w:p w14:paraId="1C7C9778">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开户银行名称、账号：</w:t>
      </w:r>
      <w:r>
        <w:rPr>
          <w:rFonts w:hint="eastAsia" w:ascii="宋体" w:hAnsi="宋体" w:cs="宋体"/>
          <w:color w:val="auto"/>
          <w:sz w:val="24"/>
          <w:szCs w:val="24"/>
          <w:highlight w:val="none"/>
          <w:u w:val="single"/>
        </w:rPr>
        <w:t xml:space="preserve">                                </w:t>
      </w:r>
    </w:p>
    <w:p w14:paraId="71D27C14">
      <w:pPr>
        <w:spacing w:line="360" w:lineRule="auto"/>
        <w:ind w:firstLine="40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开户行地址/电话：</w:t>
      </w:r>
      <w:r>
        <w:rPr>
          <w:rFonts w:hint="eastAsia" w:ascii="宋体" w:hAnsi="宋体" w:cs="宋体"/>
          <w:color w:val="auto"/>
          <w:sz w:val="24"/>
          <w:szCs w:val="24"/>
          <w:highlight w:val="none"/>
          <w:u w:val="single"/>
        </w:rPr>
        <w:t xml:space="preserve">                                   </w:t>
      </w:r>
    </w:p>
    <w:p w14:paraId="3A09AECA">
      <w:pPr>
        <w:spacing w:line="360" w:lineRule="auto"/>
        <w:ind w:firstLine="405"/>
        <w:jc w:val="right"/>
        <w:rPr>
          <w:rFonts w:hint="eastAsia" w:ascii="宋体" w:hAnsi="宋体" w:cs="宋体"/>
          <w:color w:val="auto"/>
          <w:sz w:val="24"/>
          <w:szCs w:val="24"/>
          <w:highlight w:val="none"/>
        </w:rPr>
      </w:pPr>
    </w:p>
    <w:p w14:paraId="6550D054">
      <w:pPr>
        <w:pStyle w:val="15"/>
        <w:rPr>
          <w:rFonts w:hint="eastAsia"/>
          <w:color w:val="auto"/>
          <w:highlight w:val="none"/>
        </w:rPr>
      </w:pPr>
    </w:p>
    <w:p w14:paraId="5803B01B">
      <w:pPr>
        <w:spacing w:line="360" w:lineRule="auto"/>
        <w:ind w:firstLine="405"/>
        <w:jc w:val="right"/>
        <w:rPr>
          <w:rFonts w:hint="eastAsia" w:ascii="宋体" w:hAnsi="宋体" w:cs="宋体"/>
          <w:color w:val="auto"/>
          <w:highlight w:val="none"/>
        </w:rPr>
      </w:pPr>
      <w:r>
        <w:rPr>
          <w:rFonts w:hint="eastAsia" w:ascii="宋体" w:hAnsi="宋体" w:cs="宋体"/>
          <w:color w:val="auto"/>
          <w:sz w:val="24"/>
          <w:szCs w:val="24"/>
          <w:highlight w:val="none"/>
        </w:rPr>
        <w:t>日期：    年    月    日</w:t>
      </w:r>
    </w:p>
    <w:p w14:paraId="1C236D52">
      <w:pPr>
        <w:spacing w:line="360" w:lineRule="auto"/>
        <w:rPr>
          <w:rFonts w:hint="eastAsia" w:ascii="宋体" w:hAnsi="宋体" w:cs="宋体"/>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702A07DE">
      <w:pPr>
        <w:pStyle w:val="4"/>
        <w:rPr>
          <w:rFonts w:hint="eastAsia" w:ascii="宋体" w:hAnsi="宋体" w:cs="宋体"/>
          <w:b w:val="0"/>
          <w:color w:val="auto"/>
          <w:highlight w:val="none"/>
        </w:rPr>
      </w:pPr>
      <w:bookmarkStart w:id="270" w:name="_Toc5803"/>
      <w:bookmarkStart w:id="271" w:name="_Toc12008"/>
      <w:bookmarkStart w:id="272" w:name="_Toc5202"/>
      <w:bookmarkStart w:id="273" w:name="_Toc11218"/>
      <w:bookmarkStart w:id="274" w:name="_Toc46"/>
      <w:bookmarkStart w:id="275" w:name="_Toc8399"/>
      <w:bookmarkStart w:id="276" w:name="_Toc2110"/>
      <w:r>
        <w:rPr>
          <w:rFonts w:hint="eastAsia" w:ascii="宋体" w:hAnsi="宋体" w:cs="宋体"/>
          <w:color w:val="auto"/>
          <w:sz w:val="21"/>
          <w:szCs w:val="21"/>
          <w:highlight w:val="none"/>
        </w:rPr>
        <w:t>附录7 联合体共同投标协议</w:t>
      </w:r>
      <w:bookmarkEnd w:id="270"/>
      <w:bookmarkEnd w:id="271"/>
      <w:bookmarkEnd w:id="272"/>
      <w:bookmarkEnd w:id="273"/>
      <w:bookmarkEnd w:id="274"/>
      <w:bookmarkEnd w:id="275"/>
      <w:bookmarkEnd w:id="276"/>
    </w:p>
    <w:p w14:paraId="34250CE7">
      <w:pPr>
        <w:jc w:val="center"/>
        <w:rPr>
          <w:rFonts w:hint="eastAsia" w:ascii="宋体" w:hAnsi="宋体" w:cs="宋体"/>
          <w:color w:val="auto"/>
          <w:sz w:val="24"/>
          <w:highlight w:val="none"/>
        </w:rPr>
      </w:pPr>
      <w:r>
        <w:rPr>
          <w:rFonts w:hint="eastAsia" w:ascii="宋体" w:hAnsi="宋体" w:cs="宋体"/>
          <w:b/>
          <w:bCs/>
          <w:color w:val="auto"/>
          <w:sz w:val="32"/>
          <w:highlight w:val="none"/>
        </w:rPr>
        <w:t>联合体共同投标协议</w:t>
      </w:r>
    </w:p>
    <w:p w14:paraId="01FB9D0D">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1574BB0">
      <w:pPr>
        <w:pStyle w:val="10"/>
        <w:spacing w:line="360" w:lineRule="exact"/>
        <w:rPr>
          <w:rFonts w:hint="eastAsia" w:hAnsi="宋体" w:cs="宋体"/>
          <w:color w:val="auto"/>
          <w:sz w:val="24"/>
          <w:szCs w:val="24"/>
          <w:highlight w:val="none"/>
        </w:rPr>
      </w:pPr>
    </w:p>
    <w:p w14:paraId="792D9CAA">
      <w:pPr>
        <w:pStyle w:val="10"/>
        <w:spacing w:line="360" w:lineRule="exact"/>
        <w:rPr>
          <w:rFonts w:hint="eastAsia"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（招标人、招标代理机构名称）</w:t>
      </w:r>
    </w:p>
    <w:p w14:paraId="07600413">
      <w:pPr>
        <w:spacing w:line="360" w:lineRule="exact"/>
        <w:rPr>
          <w:rFonts w:hint="eastAsia" w:ascii="宋体" w:hAnsi="宋体" w:cs="宋体"/>
          <w:color w:val="auto"/>
          <w:sz w:val="24"/>
          <w:szCs w:val="24"/>
          <w:highlight w:val="none"/>
        </w:rPr>
      </w:pPr>
    </w:p>
    <w:p w14:paraId="3B16B175">
      <w:pPr>
        <w:pStyle w:val="1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 w:val="24"/>
          <w:szCs w:val="24"/>
          <w:highlight w:val="none"/>
        </w:rPr>
      </w:pPr>
      <w:r>
        <w:rPr>
          <w:rFonts w:hint="eastAsia" w:hAnsi="宋体" w:cs="宋体"/>
          <w:color w:val="auto"/>
          <w:sz w:val="24"/>
          <w:szCs w:val="24"/>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1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color w:val="auto"/>
          <w:sz w:val="24"/>
          <w:szCs w:val="24"/>
          <w:highlight w:val="none"/>
        </w:rPr>
      </w:pPr>
      <w:r>
        <w:rPr>
          <w:rFonts w:hint="eastAsia" w:hAnsi="宋体" w:cs="宋体"/>
          <w:color w:val="auto"/>
          <w:sz w:val="24"/>
          <w:szCs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本投标协议同时作为法人证明书或法人授权委托书。</w:t>
      </w:r>
    </w:p>
    <w:p w14:paraId="559B7C89">
      <w:pPr>
        <w:rPr>
          <w:rFonts w:hint="eastAsia"/>
          <w:color w:val="auto"/>
          <w:highlight w:val="none"/>
        </w:rPr>
      </w:pPr>
    </w:p>
    <w:p w14:paraId="44CC90CB">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投标牵头人：（盖章）</w:t>
      </w:r>
      <w:r>
        <w:rPr>
          <w:rFonts w:hint="eastAsia" w:hAnsi="宋体" w:cs="宋体"/>
          <w:color w:val="auto"/>
          <w:sz w:val="24"/>
          <w:szCs w:val="24"/>
          <w:highlight w:val="none"/>
          <w:u w:val="single"/>
        </w:rPr>
        <w:t xml:space="preserve">                                         </w:t>
      </w:r>
    </w:p>
    <w:p w14:paraId="5256E29D">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法定代表人：（签字或盖章）</w:t>
      </w:r>
      <w:r>
        <w:rPr>
          <w:rFonts w:hint="eastAsia" w:hAnsi="宋体" w:cs="宋体"/>
          <w:color w:val="auto"/>
          <w:sz w:val="24"/>
          <w:szCs w:val="24"/>
          <w:highlight w:val="none"/>
          <w:u w:val="single"/>
        </w:rPr>
        <w:t xml:space="preserve">                                   </w:t>
      </w:r>
    </w:p>
    <w:p w14:paraId="57BEEAD3">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委托代理人：（签字或盖章）</w:t>
      </w:r>
      <w:r>
        <w:rPr>
          <w:rFonts w:hint="eastAsia" w:hAnsi="宋体" w:cs="宋体"/>
          <w:color w:val="auto"/>
          <w:sz w:val="24"/>
          <w:szCs w:val="24"/>
          <w:highlight w:val="none"/>
          <w:u w:val="single"/>
        </w:rPr>
        <w:t xml:space="preserve">                                   </w:t>
      </w:r>
    </w:p>
    <w:p w14:paraId="0C099A51">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p>
    <w:p w14:paraId="0BC61A4F">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p>
    <w:p w14:paraId="6C0FE663">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分工内容及责任：</w:t>
      </w:r>
      <w:r>
        <w:rPr>
          <w:rFonts w:hint="eastAsia" w:hAnsi="宋体" w:cs="宋体"/>
          <w:color w:val="auto"/>
          <w:sz w:val="24"/>
          <w:szCs w:val="24"/>
          <w:highlight w:val="none"/>
          <w:u w:val="single"/>
        </w:rPr>
        <w:t xml:space="preserve">                                                  </w:t>
      </w:r>
    </w:p>
    <w:p w14:paraId="60660FE7">
      <w:pPr>
        <w:spacing w:line="360" w:lineRule="auto"/>
        <w:rPr>
          <w:rFonts w:hint="eastAsia"/>
          <w:color w:val="auto"/>
          <w:highlight w:val="none"/>
        </w:rPr>
      </w:pPr>
    </w:p>
    <w:p w14:paraId="39961069">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联合体成员：（盖章）</w:t>
      </w:r>
      <w:r>
        <w:rPr>
          <w:rFonts w:hint="eastAsia" w:hAnsi="宋体" w:cs="宋体"/>
          <w:color w:val="auto"/>
          <w:sz w:val="24"/>
          <w:szCs w:val="24"/>
          <w:highlight w:val="none"/>
          <w:u w:val="single"/>
        </w:rPr>
        <w:t xml:space="preserve">                                         </w:t>
      </w:r>
    </w:p>
    <w:p w14:paraId="4F8BA4AD">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法定代表人：（签字或盖章）</w:t>
      </w:r>
      <w:r>
        <w:rPr>
          <w:rFonts w:hint="eastAsia" w:hAnsi="宋体" w:cs="宋体"/>
          <w:color w:val="auto"/>
          <w:sz w:val="24"/>
          <w:szCs w:val="24"/>
          <w:highlight w:val="none"/>
          <w:u w:val="single"/>
        </w:rPr>
        <w:t xml:space="preserve">                                   </w:t>
      </w:r>
    </w:p>
    <w:p w14:paraId="5A0D7DF5">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委托代理人：（签字或盖章）</w:t>
      </w:r>
      <w:r>
        <w:rPr>
          <w:rFonts w:hint="eastAsia" w:hAnsi="宋体" w:cs="宋体"/>
          <w:color w:val="auto"/>
          <w:sz w:val="24"/>
          <w:szCs w:val="24"/>
          <w:highlight w:val="none"/>
          <w:u w:val="single"/>
        </w:rPr>
        <w:t xml:space="preserve">                                   </w:t>
      </w:r>
    </w:p>
    <w:p w14:paraId="6CC9FDB4">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p>
    <w:p w14:paraId="469F1537">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p>
    <w:p w14:paraId="5D61C8F9">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color w:val="auto"/>
          <w:sz w:val="24"/>
          <w:szCs w:val="24"/>
          <w:highlight w:val="none"/>
        </w:rPr>
      </w:pPr>
      <w:r>
        <w:rPr>
          <w:rFonts w:hint="eastAsia" w:hAnsi="宋体" w:cs="宋体"/>
          <w:color w:val="auto"/>
          <w:sz w:val="24"/>
          <w:szCs w:val="24"/>
          <w:highlight w:val="none"/>
        </w:rPr>
        <w:t>分工内容及责任：</w:t>
      </w:r>
      <w:r>
        <w:rPr>
          <w:rFonts w:hint="eastAsia" w:hAnsi="宋体" w:cs="宋体"/>
          <w:color w:val="auto"/>
          <w:sz w:val="24"/>
          <w:szCs w:val="24"/>
          <w:highlight w:val="none"/>
          <w:u w:val="single"/>
        </w:rPr>
        <w:t xml:space="preserve">                                                  </w:t>
      </w:r>
    </w:p>
    <w:p w14:paraId="7FDBC4D4">
      <w:pPr>
        <w:spacing w:line="360" w:lineRule="auto"/>
        <w:outlineLvl w:val="1"/>
        <w:rPr>
          <w:rFonts w:hint="eastAsia" w:ascii="宋体" w:hAnsi="宋体" w:cs="宋体"/>
          <w:b/>
          <w:color w:val="auto"/>
          <w:kern w:val="44"/>
          <w:szCs w:val="21"/>
          <w:highlight w:val="none"/>
        </w:rPr>
      </w:pPr>
      <w:r>
        <w:rPr>
          <w:rFonts w:hint="eastAsia" w:ascii="宋体" w:hAnsi="宋体" w:cs="宋体"/>
          <w:color w:val="auto"/>
          <w:szCs w:val="21"/>
          <w:highlight w:val="none"/>
        </w:rPr>
        <w:br w:type="page"/>
      </w:r>
      <w:bookmarkStart w:id="277" w:name="_Toc3357"/>
      <w:r>
        <w:rPr>
          <w:rFonts w:hint="eastAsia" w:ascii="宋体" w:hAnsi="宋体" w:cs="宋体"/>
          <w:b/>
          <w:color w:val="auto"/>
          <w:kern w:val="44"/>
          <w:szCs w:val="21"/>
          <w:highlight w:val="none"/>
        </w:rPr>
        <w:t>附录7-1合作设计协议（</w:t>
      </w:r>
      <w:r>
        <w:rPr>
          <w:rFonts w:hint="eastAsia" w:ascii="宋体" w:hAnsi="宋体" w:cs="宋体"/>
          <w:b/>
          <w:color w:val="auto"/>
          <w:kern w:val="44"/>
          <w:szCs w:val="21"/>
          <w:highlight w:val="none"/>
          <w:u w:val="single"/>
        </w:rPr>
        <w:t>适用于合作设计</w:t>
      </w:r>
      <w:r>
        <w:rPr>
          <w:rFonts w:hint="eastAsia" w:ascii="宋体" w:hAnsi="宋体" w:cs="宋体"/>
          <w:b/>
          <w:color w:val="auto"/>
          <w:kern w:val="44"/>
          <w:szCs w:val="21"/>
          <w:highlight w:val="none"/>
        </w:rPr>
        <w:t>）</w:t>
      </w:r>
      <w:bookmarkEnd w:id="277"/>
    </w:p>
    <w:p w14:paraId="741F9D27">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合作设计协议书</w:t>
      </w:r>
    </w:p>
    <w:p w14:paraId="73D620FF">
      <w:pPr>
        <w:spacing w:line="360" w:lineRule="auto"/>
        <w:rPr>
          <w:rFonts w:hint="eastAsia" w:ascii="宋体" w:hAnsi="宋体" w:cs="宋体"/>
          <w:b/>
          <w:color w:val="auto"/>
          <w:szCs w:val="21"/>
          <w:highlight w:val="none"/>
        </w:rPr>
      </w:pPr>
    </w:p>
    <w:p w14:paraId="21EB3833">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5577C0F">
      <w:pPr>
        <w:spacing w:line="360" w:lineRule="auto"/>
        <w:rPr>
          <w:rFonts w:hint="eastAsia" w:ascii="宋体" w:hAnsi="宋体" w:cs="宋体"/>
          <w:color w:val="auto"/>
          <w:sz w:val="24"/>
          <w:szCs w:val="24"/>
          <w:highlight w:val="none"/>
        </w:rPr>
      </w:pPr>
    </w:p>
    <w:p w14:paraId="40A9AA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（招标人、招标代理机构名称）</w:t>
      </w:r>
    </w:p>
    <w:p w14:paraId="59FD916A">
      <w:pPr>
        <w:spacing w:line="360" w:lineRule="auto"/>
        <w:jc w:val="left"/>
        <w:rPr>
          <w:rFonts w:hint="eastAsia" w:ascii="宋体" w:hAnsi="宋体" w:cs="宋体"/>
          <w:color w:val="auto"/>
          <w:sz w:val="24"/>
          <w:szCs w:val="24"/>
          <w:highlight w:val="none"/>
        </w:rPr>
      </w:pPr>
    </w:p>
    <w:p w14:paraId="419FE8A1">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按照招标公告的规定，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（外国或香港、澳门、台湾的设计企业）作为投标人（即“申请人”，下同）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（符合招标公告第3条资质条件的企业）的合作设计方，参与本项目进行合作设计。若中标，各成员向招标人承担连带责任。合作设计方授权委托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（符合招标公告第3条资质条件的企业）代表所有合作成员参加投标、提交投标文件，以及与招标人签订合同，负责整个合同实施阶段的协调工作。</w:t>
      </w:r>
    </w:p>
    <w:p w14:paraId="1FCC8A30">
      <w:pPr>
        <w:spacing w:line="360" w:lineRule="auto"/>
        <w:rPr>
          <w:rFonts w:hint="eastAsia" w:ascii="宋体" w:hAnsi="宋体" w:cs="宋体"/>
          <w:color w:val="auto"/>
          <w:sz w:val="24"/>
          <w:szCs w:val="24"/>
          <w:highlight w:val="none"/>
        </w:rPr>
      </w:pPr>
    </w:p>
    <w:p w14:paraId="1809FF07">
      <w:pPr>
        <w:spacing w:line="360" w:lineRule="auto"/>
        <w:ind w:left="735" w:hanging="840" w:hangingChars="350"/>
        <w:jc w:val="left"/>
        <w:rPr>
          <w:rFonts w:hint="eastAsia" w:ascii="宋体" w:hAnsi="宋体" w:cs="宋体"/>
          <w:color w:val="auto"/>
          <w:sz w:val="24"/>
          <w:szCs w:val="24"/>
          <w:highlight w:val="none"/>
        </w:rPr>
      </w:pPr>
    </w:p>
    <w:p w14:paraId="5BFDBF71">
      <w:pPr>
        <w:spacing w:line="360" w:lineRule="auto"/>
        <w:rPr>
          <w:rFonts w:hint="eastAsia" w:ascii="宋体" w:hAnsi="宋体" w:cs="宋体"/>
          <w:color w:val="auto"/>
          <w:sz w:val="24"/>
          <w:szCs w:val="24"/>
          <w:highlight w:val="none"/>
        </w:rPr>
      </w:pPr>
    </w:p>
    <w:p w14:paraId="7722FC44">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合作设计方：（盖章）</w:t>
      </w:r>
    </w:p>
    <w:p w14:paraId="6632AB50">
      <w:pPr>
        <w:spacing w:line="360" w:lineRule="auto"/>
        <w:ind w:firstLine="240" w:firstLineChars="1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bidi="ar"/>
        </w:rPr>
        <w:t>代表人：（签字或盖章）</w:t>
      </w:r>
    </w:p>
    <w:p w14:paraId="00E8AC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分工内容：</w:t>
      </w:r>
    </w:p>
    <w:p w14:paraId="01F8A5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p>
    <w:p w14:paraId="6FF377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投标人：（盖章）</w:t>
      </w:r>
    </w:p>
    <w:p w14:paraId="60DE7C7D">
      <w:pPr>
        <w:spacing w:line="360" w:lineRule="auto"/>
        <w:ind w:firstLine="240" w:firstLineChars="1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bidi="ar"/>
        </w:rPr>
        <w:t>法定代表人：（签字或盖章）</w:t>
      </w:r>
    </w:p>
    <w:p w14:paraId="7DF483B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分工内容：</w:t>
      </w:r>
    </w:p>
    <w:p w14:paraId="4EA88B8C">
      <w:pPr>
        <w:pStyle w:val="16"/>
        <w:widowControl w:val="0"/>
        <w:spacing w:beforeAutospacing="0" w:afterAutospacing="0"/>
        <w:ind w:firstLine="400" w:firstLineChars="200"/>
        <w:jc w:val="both"/>
        <w:rPr>
          <w:rFonts w:cs="宋体"/>
          <w:color w:val="auto"/>
          <w:sz w:val="20"/>
          <w:szCs w:val="20"/>
          <w:highlight w:val="none"/>
        </w:rPr>
      </w:pPr>
    </w:p>
    <w:p w14:paraId="02A94DB9">
      <w:pPr>
        <w:pStyle w:val="16"/>
        <w:widowControl w:val="0"/>
        <w:spacing w:beforeAutospacing="0" w:afterAutospacing="0"/>
        <w:ind w:firstLine="400" w:firstLineChars="200"/>
        <w:jc w:val="both"/>
        <w:rPr>
          <w:rFonts w:cs="宋体"/>
          <w:color w:val="auto"/>
          <w:sz w:val="20"/>
          <w:szCs w:val="20"/>
          <w:highlight w:val="none"/>
        </w:rPr>
      </w:pPr>
    </w:p>
    <w:p w14:paraId="13681199">
      <w:pPr>
        <w:pStyle w:val="16"/>
        <w:widowControl w:val="0"/>
        <w:spacing w:beforeAutospacing="0" w:afterAutospacing="0"/>
        <w:ind w:firstLine="400" w:firstLineChars="200"/>
        <w:jc w:val="both"/>
        <w:rPr>
          <w:rFonts w:cs="宋体"/>
          <w:color w:val="auto"/>
          <w:sz w:val="20"/>
          <w:szCs w:val="20"/>
          <w:highlight w:val="none"/>
        </w:rPr>
      </w:pPr>
    </w:p>
    <w:p w14:paraId="2FD293DA">
      <w:pPr>
        <w:rPr>
          <w:rFonts w:hint="eastAsia" w:ascii="宋体" w:hAnsi="宋体" w:cs="宋体"/>
          <w:color w:val="auto"/>
          <w:szCs w:val="21"/>
          <w:highlight w:val="none"/>
        </w:rPr>
      </w:pPr>
      <w:bookmarkStart w:id="278" w:name="_Toc22046"/>
      <w:bookmarkStart w:id="279" w:name="_Toc26991"/>
      <w:bookmarkStart w:id="280" w:name="_Toc7854"/>
      <w:bookmarkStart w:id="281" w:name="_Toc23270"/>
      <w:bookmarkStart w:id="282" w:name="_Toc24409"/>
      <w:bookmarkStart w:id="283" w:name="_Toc26253"/>
      <w:r>
        <w:rPr>
          <w:rFonts w:hint="eastAsia" w:ascii="宋体" w:hAnsi="宋体" w:cs="宋体"/>
          <w:color w:val="auto"/>
          <w:szCs w:val="21"/>
          <w:highlight w:val="none"/>
        </w:rPr>
        <w:br w:type="page"/>
      </w:r>
    </w:p>
    <w:p w14:paraId="020AE712">
      <w:pPr>
        <w:pStyle w:val="4"/>
        <w:keepNext/>
        <w:keepLines/>
        <w:pageBreakBefore w:val="0"/>
        <w:widowControl w:val="0"/>
        <w:kinsoku/>
        <w:wordWrap/>
        <w:overflowPunct/>
        <w:topLinePunct w:val="0"/>
        <w:autoSpaceDE/>
        <w:autoSpaceDN/>
        <w:bidi w:val="0"/>
        <w:adjustRightInd/>
        <w:snapToGrid/>
        <w:spacing w:after="40" w:line="416" w:lineRule="auto"/>
        <w:textAlignment w:val="auto"/>
        <w:rPr>
          <w:rFonts w:hint="eastAsia" w:ascii="宋体" w:hAnsi="宋体" w:cs="宋体"/>
          <w:color w:val="auto"/>
          <w:sz w:val="21"/>
          <w:szCs w:val="21"/>
          <w:highlight w:val="none"/>
        </w:rPr>
      </w:pPr>
      <w:bookmarkStart w:id="284" w:name="_Toc6624"/>
      <w:r>
        <w:rPr>
          <w:rFonts w:hint="eastAsia" w:ascii="宋体" w:hAnsi="宋体" w:cs="宋体"/>
          <w:color w:val="auto"/>
          <w:sz w:val="21"/>
          <w:szCs w:val="21"/>
          <w:highlight w:val="none"/>
        </w:rPr>
        <w:t>附录8 投标人声明</w:t>
      </w:r>
      <w:bookmarkEnd w:id="278"/>
      <w:bookmarkEnd w:id="279"/>
      <w:bookmarkEnd w:id="280"/>
      <w:bookmarkEnd w:id="281"/>
      <w:bookmarkEnd w:id="282"/>
      <w:bookmarkEnd w:id="283"/>
      <w:bookmarkEnd w:id="284"/>
    </w:p>
    <w:p w14:paraId="399D028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投标人声明</w:t>
      </w:r>
    </w:p>
    <w:p w14:paraId="3A4EE136">
      <w:pPr>
        <w:pStyle w:val="44"/>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广州市黄埔区住房城乡建设和交通运输局、本招标项目招标人及招标监管机构：</w:t>
      </w:r>
    </w:p>
    <w:p w14:paraId="5FCE67F4">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B5C166B">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2FABA94C">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4、不存在招标文件第三章第3.11项规定的任何一种情形。</w:t>
      </w:r>
    </w:p>
    <w:p w14:paraId="51B511FE">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5、不存在以下情形：未被列入拖欠农民工工资失信联合惩戒对象名单。</w:t>
      </w:r>
    </w:p>
    <w:p w14:paraId="4296AA25">
      <w:pPr>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1E7BEB5C">
      <w:pPr>
        <w:pStyle w:val="44"/>
        <w:spacing w:line="400" w:lineRule="exact"/>
        <w:rPr>
          <w:rFonts w:hint="eastAsia" w:ascii="宋体" w:hAnsi="宋体" w:eastAsia="宋体" w:cs="宋体"/>
          <w:color w:val="auto"/>
          <w:sz w:val="21"/>
          <w:szCs w:val="21"/>
          <w:highlight w:val="none"/>
        </w:rPr>
      </w:pPr>
    </w:p>
    <w:p w14:paraId="15B09F13">
      <w:pPr>
        <w:pStyle w:val="45"/>
        <w:spacing w:line="400" w:lineRule="exact"/>
        <w:ind w:left="0" w:right="1449" w:firstLine="4080" w:firstLineChars="1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14:paraId="713B6307">
      <w:pPr>
        <w:pStyle w:val="44"/>
        <w:spacing w:line="400" w:lineRule="exact"/>
        <w:ind w:right="1449"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14:paraId="10C6CB9D">
      <w:pPr>
        <w:pStyle w:val="44"/>
        <w:spacing w:line="400" w:lineRule="exact"/>
        <w:ind w:right="20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50E3239">
      <w:pPr>
        <w:rPr>
          <w:rFonts w:hint="eastAsia" w:ascii="宋体" w:hAnsi="宋体" w:cs="宋体"/>
          <w:color w:val="auto"/>
          <w:highlight w:val="none"/>
        </w:rPr>
      </w:pPr>
    </w:p>
    <w:p w14:paraId="6A01A2AC">
      <w:pPr>
        <w:pStyle w:val="16"/>
        <w:widowControl w:val="0"/>
        <w:spacing w:beforeAutospacing="0" w:afterAutospacing="0" w:line="360" w:lineRule="auto"/>
        <w:jc w:val="both"/>
        <w:rPr>
          <w:rFonts w:cs="宋体"/>
          <w:color w:val="auto"/>
          <w:highlight w:val="none"/>
        </w:rPr>
      </w:pPr>
      <w:r>
        <w:rPr>
          <w:rFonts w:cs="宋体"/>
          <w:b/>
          <w:color w:val="auto"/>
          <w:highlight w:val="none"/>
        </w:rPr>
        <w:t>注：投标人（或联合体牵头方）的法定代表人须在本声明上签字或盖章。若为联合体，声明企业包含联合体全体成员，由联合体牵头方盖章即可。</w:t>
      </w:r>
    </w:p>
    <w:p w14:paraId="2BA492D9">
      <w:pPr>
        <w:pStyle w:val="16"/>
        <w:widowControl w:val="0"/>
        <w:spacing w:beforeAutospacing="0" w:afterAutospacing="0"/>
        <w:jc w:val="both"/>
        <w:rPr>
          <w:rFonts w:cs="宋体"/>
          <w:color w:val="auto"/>
          <w:sz w:val="20"/>
          <w:szCs w:val="20"/>
          <w:highlight w:val="none"/>
        </w:rPr>
      </w:pPr>
    </w:p>
    <w:p w14:paraId="4C643E34">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447E8618">
      <w:pPr>
        <w:rPr>
          <w:rFonts w:hint="eastAsia" w:ascii="宋体" w:hAnsi="宋体" w:cs="宋体"/>
          <w:color w:val="auto"/>
          <w:szCs w:val="21"/>
          <w:highlight w:val="none"/>
        </w:rPr>
      </w:pPr>
    </w:p>
    <w:p w14:paraId="5C150963">
      <w:pPr>
        <w:jc w:val="center"/>
        <w:rPr>
          <w:rFonts w:hint="eastAsia" w:ascii="宋体" w:hAnsi="宋体" w:cs="宋体"/>
          <w:b/>
          <w:strike/>
          <w:color w:val="auto"/>
          <w:sz w:val="32"/>
          <w:szCs w:val="32"/>
          <w:highlight w:val="none"/>
        </w:rPr>
      </w:pPr>
      <w:r>
        <w:rPr>
          <w:rFonts w:hint="eastAsia" w:ascii="宋体" w:hAnsi="宋体" w:cs="宋体"/>
          <w:b/>
          <w:strike/>
          <w:color w:val="auto"/>
          <w:sz w:val="32"/>
          <w:szCs w:val="32"/>
          <w:highlight w:val="none"/>
        </w:rPr>
        <w:t>投标人声明（适用于未设资格审查环节的项目）</w:t>
      </w:r>
    </w:p>
    <w:p w14:paraId="0274DA34">
      <w:pPr>
        <w:pStyle w:val="16"/>
        <w:widowControl w:val="0"/>
        <w:spacing w:beforeAutospacing="0" w:afterAutospacing="0" w:line="360" w:lineRule="auto"/>
        <w:ind w:firstLine="629"/>
        <w:jc w:val="both"/>
        <w:rPr>
          <w:rFonts w:cs="宋体"/>
          <w:strike/>
          <w:color w:val="auto"/>
          <w:highlight w:val="none"/>
        </w:rPr>
      </w:pPr>
    </w:p>
    <w:p w14:paraId="6AA95F03">
      <w:pPr>
        <w:pStyle w:val="16"/>
        <w:widowControl w:val="0"/>
        <w:spacing w:beforeAutospacing="0" w:afterAutospacing="0" w:line="360" w:lineRule="auto"/>
        <w:ind w:firstLine="629"/>
        <w:jc w:val="both"/>
        <w:rPr>
          <w:rFonts w:cs="宋体"/>
          <w:strike/>
          <w:color w:val="auto"/>
          <w:highlight w:val="none"/>
        </w:rPr>
      </w:pPr>
      <w:r>
        <w:rPr>
          <w:rFonts w:cs="宋体"/>
          <w:strike/>
          <w:color w:val="auto"/>
          <w:highlight w:val="none"/>
        </w:rPr>
        <w:t>广州市住房和城乡建设局、本招标项目招标人及招标监管机构：</w:t>
      </w:r>
    </w:p>
    <w:p w14:paraId="2FB5EC8C">
      <w:pPr>
        <w:pStyle w:val="16"/>
        <w:widowControl w:val="0"/>
        <w:spacing w:beforeAutospacing="0" w:afterAutospacing="0" w:line="360" w:lineRule="auto"/>
        <w:ind w:firstLine="629"/>
        <w:jc w:val="both"/>
        <w:rPr>
          <w:rFonts w:cs="宋体"/>
          <w:strike/>
          <w:color w:val="auto"/>
          <w:highlight w:val="none"/>
        </w:rPr>
      </w:pPr>
      <w:r>
        <w:rPr>
          <w:rFonts w:cs="宋体"/>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hint="eastAsia" w:ascii="宋体" w:hAnsi="宋体" w:cs="宋体"/>
          <w:strike/>
          <w:color w:val="auto"/>
          <w:sz w:val="24"/>
          <w:szCs w:val="24"/>
          <w:highlight w:val="none"/>
        </w:rPr>
      </w:pPr>
    </w:p>
    <w:p w14:paraId="283FF411">
      <w:pPr>
        <w:pStyle w:val="16"/>
        <w:widowControl w:val="0"/>
        <w:spacing w:beforeAutospacing="0" w:afterAutospacing="0" w:line="360" w:lineRule="auto"/>
        <w:ind w:firstLine="629"/>
        <w:jc w:val="both"/>
        <w:rPr>
          <w:rFonts w:cs="宋体"/>
          <w:strike/>
          <w:color w:val="auto"/>
          <w:highlight w:val="none"/>
        </w:rPr>
      </w:pPr>
      <w:r>
        <w:rPr>
          <w:rFonts w:cs="宋体"/>
          <w:strike/>
          <w:color w:val="auto"/>
          <w:highlight w:val="none"/>
        </w:rPr>
        <w:t>特此声明。</w:t>
      </w:r>
    </w:p>
    <w:p w14:paraId="76631914">
      <w:pPr>
        <w:pStyle w:val="16"/>
        <w:widowControl w:val="0"/>
        <w:spacing w:beforeAutospacing="0" w:afterAutospacing="0" w:line="360" w:lineRule="auto"/>
        <w:ind w:firstLine="629"/>
        <w:jc w:val="both"/>
        <w:rPr>
          <w:rFonts w:cs="宋体"/>
          <w:strike/>
          <w:color w:val="auto"/>
          <w:highlight w:val="none"/>
        </w:rPr>
      </w:pPr>
    </w:p>
    <w:p w14:paraId="72303F02">
      <w:pPr>
        <w:pStyle w:val="16"/>
        <w:widowControl w:val="0"/>
        <w:spacing w:line="360" w:lineRule="auto"/>
        <w:ind w:right="1449" w:firstLine="3840" w:firstLineChars="1600"/>
        <w:jc w:val="both"/>
        <w:rPr>
          <w:rFonts w:cs="宋体"/>
          <w:strike/>
          <w:color w:val="auto"/>
          <w:highlight w:val="none"/>
        </w:rPr>
      </w:pPr>
      <w:r>
        <w:rPr>
          <w:rFonts w:cs="宋体"/>
          <w:strike/>
          <w:color w:val="auto"/>
          <w:highlight w:val="none"/>
        </w:rPr>
        <w:t>投标人：(盖章)</w:t>
      </w:r>
    </w:p>
    <w:p w14:paraId="5E57B09A">
      <w:pPr>
        <w:pStyle w:val="16"/>
        <w:widowControl w:val="0"/>
        <w:spacing w:beforeAutospacing="0" w:afterAutospacing="0" w:line="360" w:lineRule="auto"/>
        <w:ind w:right="1449"/>
        <w:jc w:val="center"/>
        <w:rPr>
          <w:rFonts w:cs="宋体"/>
          <w:strike/>
          <w:color w:val="auto"/>
          <w:highlight w:val="none"/>
        </w:rPr>
      </w:pPr>
    </w:p>
    <w:p w14:paraId="231A609B">
      <w:pPr>
        <w:pStyle w:val="16"/>
        <w:widowControl w:val="0"/>
        <w:spacing w:beforeAutospacing="0" w:afterAutospacing="0" w:line="360" w:lineRule="auto"/>
        <w:ind w:right="2079" w:firstLine="2160" w:firstLineChars="900"/>
        <w:jc w:val="right"/>
        <w:rPr>
          <w:rFonts w:cs="宋体"/>
          <w:strike/>
          <w:color w:val="auto"/>
          <w:highlight w:val="none"/>
        </w:rPr>
      </w:pPr>
      <w:r>
        <w:rPr>
          <w:rFonts w:cs="宋体"/>
          <w:strike/>
          <w:color w:val="auto"/>
          <w:highlight w:val="none"/>
        </w:rPr>
        <w:t>年月日</w:t>
      </w:r>
    </w:p>
    <w:p w14:paraId="01AE9CDA">
      <w:pPr>
        <w:spacing w:line="360" w:lineRule="auto"/>
        <w:jc w:val="left"/>
        <w:rPr>
          <w:rFonts w:hint="eastAsia" w:ascii="宋体" w:hAnsi="宋体" w:cs="宋体"/>
          <w:strike/>
          <w:color w:val="auto"/>
          <w:sz w:val="24"/>
          <w:szCs w:val="24"/>
          <w:highlight w:val="none"/>
        </w:rPr>
      </w:pPr>
    </w:p>
    <w:p w14:paraId="0839D026">
      <w:pPr>
        <w:spacing w:line="360" w:lineRule="auto"/>
        <w:jc w:val="left"/>
        <w:rPr>
          <w:rFonts w:hint="eastAsia" w:ascii="宋体" w:hAnsi="宋体" w:cs="宋体"/>
          <w:strike/>
          <w:color w:val="auto"/>
          <w:sz w:val="24"/>
          <w:szCs w:val="24"/>
          <w:highlight w:val="none"/>
        </w:rPr>
      </w:pPr>
    </w:p>
    <w:p w14:paraId="3F572E77">
      <w:pPr>
        <w:spacing w:line="360" w:lineRule="auto"/>
        <w:jc w:val="left"/>
        <w:rPr>
          <w:rFonts w:hint="eastAsia" w:ascii="宋体" w:hAnsi="宋体" w:cs="宋体"/>
          <w:strike/>
          <w:color w:val="auto"/>
          <w:sz w:val="24"/>
          <w:szCs w:val="24"/>
          <w:highlight w:val="none"/>
        </w:rPr>
      </w:pPr>
    </w:p>
    <w:p w14:paraId="50D899D8">
      <w:pPr>
        <w:pStyle w:val="16"/>
        <w:widowControl w:val="0"/>
        <w:spacing w:beforeAutospacing="0" w:afterAutospacing="0" w:line="360" w:lineRule="auto"/>
        <w:jc w:val="both"/>
        <w:rPr>
          <w:rFonts w:cs="宋体"/>
          <w:color w:val="auto"/>
          <w:highlight w:val="none"/>
        </w:rPr>
      </w:pPr>
      <w:r>
        <w:rPr>
          <w:rFonts w:cs="宋体"/>
          <w:b/>
          <w:strike/>
          <w:color w:val="auto"/>
          <w:highlight w:val="none"/>
          <w:u w:val="single"/>
        </w:rPr>
        <w:t>（注：如联合体投标人，须由联合体主办方盖章。）</w:t>
      </w:r>
    </w:p>
    <w:p w14:paraId="77CAD09F">
      <w:pPr>
        <w:spacing w:line="360" w:lineRule="auto"/>
        <w:rPr>
          <w:rFonts w:hint="eastAsia" w:ascii="宋体" w:hAnsi="宋体" w:cs="宋体"/>
          <w:strike/>
          <w:color w:val="auto"/>
          <w:kern w:val="0"/>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7D5E9692">
      <w:pPr>
        <w:keepNext/>
        <w:keepLines/>
        <w:spacing w:line="360" w:lineRule="auto"/>
        <w:outlineLvl w:val="1"/>
        <w:rPr>
          <w:rFonts w:hint="eastAsia" w:ascii="宋体" w:hAnsi="宋体" w:cs="宋体"/>
          <w:b/>
          <w:color w:val="auto"/>
          <w:kern w:val="44"/>
          <w:szCs w:val="21"/>
          <w:highlight w:val="none"/>
        </w:rPr>
      </w:pPr>
      <w:bookmarkStart w:id="285" w:name="_Toc143817049"/>
      <w:bookmarkEnd w:id="285"/>
      <w:bookmarkStart w:id="286" w:name="_Toc25796"/>
      <w:bookmarkStart w:id="287" w:name="_Toc27336"/>
      <w:bookmarkStart w:id="288" w:name="_Toc19867"/>
      <w:bookmarkStart w:id="289" w:name="_Toc13344"/>
      <w:bookmarkStart w:id="290" w:name="_Toc6606"/>
      <w:bookmarkStart w:id="291" w:name="_Toc11718"/>
      <w:bookmarkStart w:id="292" w:name="_Toc25985"/>
      <w:r>
        <w:rPr>
          <w:rFonts w:hint="eastAsia" w:ascii="宋体" w:hAnsi="宋体" w:cs="宋体"/>
          <w:b/>
          <w:color w:val="auto"/>
          <w:kern w:val="44"/>
          <w:szCs w:val="21"/>
          <w:highlight w:val="none"/>
        </w:rPr>
        <w:t>附录9 资格审查表</w:t>
      </w:r>
      <w:bookmarkEnd w:id="286"/>
      <w:bookmarkEnd w:id="287"/>
      <w:bookmarkEnd w:id="288"/>
      <w:bookmarkEnd w:id="289"/>
      <w:bookmarkEnd w:id="290"/>
      <w:bookmarkEnd w:id="291"/>
      <w:bookmarkEnd w:id="292"/>
    </w:p>
    <w:p w14:paraId="6BF83A8D">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7A6D9DD3">
      <w:pPr>
        <w:spacing w:line="24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项目名称：</w:t>
      </w:r>
    </w:p>
    <w:tbl>
      <w:tblPr>
        <w:tblStyle w:val="20"/>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5936"/>
        <w:gridCol w:w="897"/>
        <w:gridCol w:w="862"/>
        <w:gridCol w:w="806"/>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14B3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5936" w:type="dxa"/>
            <w:tcBorders>
              <w:top w:val="single" w:color="auto" w:sz="4" w:space="0"/>
              <w:left w:val="nil"/>
              <w:bottom w:val="single" w:color="auto" w:sz="4" w:space="0"/>
              <w:right w:val="single" w:color="auto" w:sz="4" w:space="0"/>
            </w:tcBorders>
            <w:vAlign w:val="center"/>
          </w:tcPr>
          <w:p w14:paraId="544D3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olor w:val="auto"/>
                <w:sz w:val="22"/>
                <w:szCs w:val="22"/>
                <w:highlight w:val="none"/>
              </w:rPr>
            </w:pPr>
            <w:r>
              <w:rPr>
                <w:rFonts w:hint="eastAsia" w:ascii="宋体" w:hAnsi="宋体" w:cs="宋体"/>
                <w:color w:val="auto"/>
                <w:sz w:val="22"/>
                <w:szCs w:val="22"/>
                <w:highlight w:val="none"/>
              </w:rPr>
              <w:t>审查项目</w:t>
            </w:r>
          </w:p>
        </w:tc>
        <w:tc>
          <w:tcPr>
            <w:tcW w:w="897" w:type="dxa"/>
            <w:tcBorders>
              <w:top w:val="single" w:color="auto" w:sz="4" w:space="0"/>
              <w:left w:val="nil"/>
              <w:bottom w:val="single" w:color="auto" w:sz="4" w:space="0"/>
              <w:right w:val="single" w:color="auto" w:sz="4" w:space="0"/>
            </w:tcBorders>
            <w:vAlign w:val="center"/>
          </w:tcPr>
          <w:p w14:paraId="551BE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olor w:val="auto"/>
                <w:sz w:val="22"/>
                <w:szCs w:val="22"/>
                <w:highlight w:val="none"/>
              </w:rPr>
            </w:pPr>
            <w:r>
              <w:rPr>
                <w:rFonts w:hint="eastAsia" w:ascii="宋体" w:hAnsi="宋体" w:cs="宋体"/>
                <w:color w:val="auto"/>
                <w:sz w:val="22"/>
                <w:szCs w:val="22"/>
                <w:highlight w:val="none"/>
              </w:rPr>
              <w:t>投标人名称</w:t>
            </w:r>
          </w:p>
        </w:tc>
        <w:tc>
          <w:tcPr>
            <w:tcW w:w="862" w:type="dxa"/>
            <w:tcBorders>
              <w:top w:val="single" w:color="auto" w:sz="4" w:space="0"/>
              <w:left w:val="nil"/>
              <w:bottom w:val="single" w:color="auto" w:sz="4" w:space="0"/>
              <w:right w:val="single" w:color="auto" w:sz="4" w:space="0"/>
            </w:tcBorders>
            <w:vAlign w:val="center"/>
          </w:tcPr>
          <w:p w14:paraId="64520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p>
        </w:tc>
        <w:tc>
          <w:tcPr>
            <w:tcW w:w="806" w:type="dxa"/>
            <w:tcBorders>
              <w:top w:val="single" w:color="auto" w:sz="4" w:space="0"/>
              <w:left w:val="nil"/>
              <w:bottom w:val="single" w:color="auto" w:sz="4" w:space="0"/>
              <w:right w:val="single" w:color="auto" w:sz="4" w:space="0"/>
            </w:tcBorders>
            <w:vAlign w:val="center"/>
          </w:tcPr>
          <w:p w14:paraId="30E53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CF8A8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5936" w:type="dxa"/>
            <w:tcBorders>
              <w:top w:val="single" w:color="auto" w:sz="4" w:space="0"/>
              <w:left w:val="nil"/>
              <w:bottom w:val="single" w:color="auto" w:sz="4" w:space="0"/>
              <w:right w:val="single" w:color="auto" w:sz="4" w:space="0"/>
            </w:tcBorders>
            <w:vAlign w:val="center"/>
          </w:tcPr>
          <w:p w14:paraId="071D05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897" w:type="dxa"/>
            <w:tcBorders>
              <w:top w:val="single" w:color="auto" w:sz="4" w:space="0"/>
              <w:left w:val="nil"/>
              <w:bottom w:val="single" w:color="auto" w:sz="4" w:space="0"/>
              <w:right w:val="single" w:color="auto" w:sz="4" w:space="0"/>
            </w:tcBorders>
          </w:tcPr>
          <w:p w14:paraId="384228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36801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4AEE25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2774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5936" w:type="dxa"/>
            <w:tcBorders>
              <w:top w:val="single" w:color="auto" w:sz="4" w:space="0"/>
              <w:left w:val="nil"/>
              <w:bottom w:val="single" w:color="auto" w:sz="4" w:space="0"/>
              <w:right w:val="single" w:color="auto" w:sz="4" w:space="0"/>
            </w:tcBorders>
            <w:vAlign w:val="center"/>
          </w:tcPr>
          <w:p w14:paraId="577A46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申请人的资质满足招标公告规定。</w:t>
            </w:r>
          </w:p>
        </w:tc>
        <w:tc>
          <w:tcPr>
            <w:tcW w:w="897" w:type="dxa"/>
            <w:tcBorders>
              <w:top w:val="single" w:color="auto" w:sz="4" w:space="0"/>
              <w:left w:val="nil"/>
              <w:bottom w:val="single" w:color="auto" w:sz="4" w:space="0"/>
              <w:right w:val="single" w:color="auto" w:sz="4" w:space="0"/>
            </w:tcBorders>
          </w:tcPr>
          <w:p w14:paraId="18B884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6991A3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6CADE0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706BA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5936" w:type="dxa"/>
            <w:tcBorders>
              <w:top w:val="single" w:color="auto" w:sz="4" w:space="0"/>
              <w:left w:val="nil"/>
              <w:bottom w:val="single" w:color="auto" w:sz="4" w:space="0"/>
              <w:right w:val="single" w:color="auto" w:sz="4" w:space="0"/>
            </w:tcBorders>
            <w:vAlign w:val="center"/>
          </w:tcPr>
          <w:p w14:paraId="05811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外国或澳门、台湾的设计企业必须选择一家符合上述条件的企业进行合作设计。香港企业如不单独参加投标，也必须选择一家符合上述条件的企业进行合作设计。（如有</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rPr>
              <w:t>如果没有，本条款不需要评审）</w:t>
            </w:r>
          </w:p>
        </w:tc>
        <w:tc>
          <w:tcPr>
            <w:tcW w:w="897" w:type="dxa"/>
            <w:tcBorders>
              <w:top w:val="single" w:color="auto" w:sz="4" w:space="0"/>
              <w:left w:val="nil"/>
              <w:bottom w:val="single" w:color="auto" w:sz="4" w:space="0"/>
              <w:right w:val="single" w:color="auto" w:sz="4" w:space="0"/>
            </w:tcBorders>
          </w:tcPr>
          <w:p w14:paraId="6B40C9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15D2A5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42577D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FB0E2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5936" w:type="dxa"/>
            <w:tcBorders>
              <w:top w:val="single" w:color="auto" w:sz="4" w:space="0"/>
              <w:left w:val="nil"/>
              <w:bottom w:val="single" w:color="auto" w:sz="4" w:space="0"/>
              <w:right w:val="single" w:color="auto" w:sz="4" w:space="0"/>
            </w:tcBorders>
            <w:vAlign w:val="center"/>
          </w:tcPr>
          <w:p w14:paraId="76CBC8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申请人（若为联合体，指联合体各方）已在广州市住房和城乡建设局建立</w:t>
            </w:r>
            <w:r>
              <w:rPr>
                <w:rFonts w:hint="eastAsia" w:ascii="宋体" w:hAnsi="宋体" w:cs="宋体"/>
                <w:bCs/>
                <w:color w:val="auto"/>
                <w:sz w:val="22"/>
                <w:szCs w:val="22"/>
                <w:highlight w:val="none"/>
                <w:u w:val="none"/>
              </w:rPr>
              <w:t>企业信用档案</w:t>
            </w:r>
            <w:r>
              <w:rPr>
                <w:rFonts w:hint="eastAsia" w:ascii="宋体" w:hAnsi="宋体" w:cs="宋体"/>
                <w:color w:val="auto"/>
                <w:sz w:val="22"/>
                <w:szCs w:val="22"/>
                <w:highlight w:val="none"/>
                <w:u w:val="none"/>
              </w:rPr>
              <w:t>，拟委派的项目负责人（若为联合体，指联合体牵头方）须是本企业</w:t>
            </w:r>
            <w:r>
              <w:rPr>
                <w:rFonts w:hint="eastAsia" w:ascii="宋体" w:hAnsi="宋体" w:cs="宋体"/>
                <w:bCs/>
                <w:color w:val="auto"/>
                <w:sz w:val="22"/>
                <w:szCs w:val="22"/>
                <w:highlight w:val="none"/>
                <w:u w:val="none"/>
              </w:rPr>
              <w:t>信用档案</w:t>
            </w:r>
            <w:r>
              <w:rPr>
                <w:rFonts w:hint="eastAsia" w:ascii="宋体" w:hAnsi="宋体" w:cs="宋体"/>
                <w:color w:val="auto"/>
                <w:sz w:val="22"/>
                <w:szCs w:val="22"/>
                <w:highlight w:val="none"/>
                <w:u w:val="none"/>
              </w:rPr>
              <w:t>中的在册人员。</w:t>
            </w:r>
          </w:p>
        </w:tc>
        <w:tc>
          <w:tcPr>
            <w:tcW w:w="897" w:type="dxa"/>
            <w:tcBorders>
              <w:top w:val="single" w:color="auto" w:sz="4" w:space="0"/>
              <w:left w:val="nil"/>
              <w:bottom w:val="single" w:color="auto" w:sz="4" w:space="0"/>
              <w:right w:val="single" w:color="auto" w:sz="4" w:space="0"/>
            </w:tcBorders>
          </w:tcPr>
          <w:p w14:paraId="06AF64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075F4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1F79C3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9AD6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5936" w:type="dxa"/>
            <w:tcBorders>
              <w:top w:val="single" w:color="auto" w:sz="4" w:space="0"/>
              <w:left w:val="nil"/>
              <w:bottom w:val="single" w:color="auto" w:sz="4" w:space="0"/>
              <w:right w:val="single" w:color="auto" w:sz="4" w:space="0"/>
            </w:tcBorders>
            <w:vAlign w:val="center"/>
          </w:tcPr>
          <w:p w14:paraId="06F76C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申请人（若为联合体，指联合体牵头方）拟派项目负责人资格满足招标公告规定。</w:t>
            </w:r>
          </w:p>
        </w:tc>
        <w:tc>
          <w:tcPr>
            <w:tcW w:w="897" w:type="dxa"/>
            <w:tcBorders>
              <w:top w:val="single" w:color="auto" w:sz="4" w:space="0"/>
              <w:left w:val="nil"/>
              <w:bottom w:val="single" w:color="auto" w:sz="4" w:space="0"/>
              <w:right w:val="single" w:color="auto" w:sz="4" w:space="0"/>
            </w:tcBorders>
          </w:tcPr>
          <w:p w14:paraId="6252B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136D47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7AECC6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F1216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5936" w:type="dxa"/>
            <w:tcBorders>
              <w:top w:val="single" w:color="auto" w:sz="4" w:space="0"/>
              <w:left w:val="nil"/>
              <w:bottom w:val="single" w:color="auto" w:sz="4" w:space="0"/>
              <w:right w:val="single" w:color="auto" w:sz="4" w:space="0"/>
            </w:tcBorders>
            <w:vAlign w:val="center"/>
          </w:tcPr>
          <w:p w14:paraId="6C00F3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以联合体形式投标的，已按要求向招标人提交</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rPr>
              <w:t>联合体共同投标协议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rPr>
              <w:t>。</w:t>
            </w:r>
          </w:p>
        </w:tc>
        <w:tc>
          <w:tcPr>
            <w:tcW w:w="897" w:type="dxa"/>
            <w:tcBorders>
              <w:top w:val="single" w:color="auto" w:sz="4" w:space="0"/>
              <w:left w:val="nil"/>
              <w:bottom w:val="single" w:color="auto" w:sz="4" w:space="0"/>
              <w:right w:val="single" w:color="auto" w:sz="4" w:space="0"/>
            </w:tcBorders>
          </w:tcPr>
          <w:p w14:paraId="069AFD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13346F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0823E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2C617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5936" w:type="dxa"/>
            <w:tcBorders>
              <w:top w:val="single" w:color="auto" w:sz="4" w:space="0"/>
              <w:left w:val="nil"/>
              <w:bottom w:val="single" w:color="auto" w:sz="4" w:space="0"/>
              <w:right w:val="single" w:color="auto" w:sz="4" w:space="0"/>
            </w:tcBorders>
            <w:vAlign w:val="center"/>
          </w:tcPr>
          <w:p w14:paraId="103EEE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申请人（若为联合体，指联合体各方）没有第三章第3.11项规定的任何一种情形（根据《投标人声明》进行评审）。</w:t>
            </w:r>
          </w:p>
        </w:tc>
        <w:tc>
          <w:tcPr>
            <w:tcW w:w="897" w:type="dxa"/>
            <w:tcBorders>
              <w:top w:val="single" w:color="auto" w:sz="4" w:space="0"/>
              <w:left w:val="nil"/>
              <w:bottom w:val="single" w:color="auto" w:sz="4" w:space="0"/>
              <w:right w:val="single" w:color="auto" w:sz="4" w:space="0"/>
            </w:tcBorders>
          </w:tcPr>
          <w:p w14:paraId="067BCD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6E6BD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1E50BE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87C48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w:t>
            </w:r>
          </w:p>
        </w:tc>
        <w:tc>
          <w:tcPr>
            <w:tcW w:w="5936" w:type="dxa"/>
            <w:tcBorders>
              <w:top w:val="single" w:color="auto" w:sz="4" w:space="0"/>
              <w:left w:val="nil"/>
              <w:bottom w:val="single" w:color="auto" w:sz="4" w:space="0"/>
              <w:right w:val="single" w:color="auto" w:sz="4" w:space="0"/>
            </w:tcBorders>
            <w:vAlign w:val="center"/>
          </w:tcPr>
          <w:p w14:paraId="01C14E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897" w:type="dxa"/>
            <w:tcBorders>
              <w:top w:val="single" w:color="auto" w:sz="4" w:space="0"/>
              <w:left w:val="nil"/>
              <w:bottom w:val="single" w:color="auto" w:sz="4" w:space="0"/>
              <w:right w:val="single" w:color="auto" w:sz="4" w:space="0"/>
            </w:tcBorders>
          </w:tcPr>
          <w:p w14:paraId="13431B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607C5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55B05B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FCDA8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结论</w:t>
            </w:r>
          </w:p>
        </w:tc>
        <w:tc>
          <w:tcPr>
            <w:tcW w:w="5936" w:type="dxa"/>
            <w:tcBorders>
              <w:top w:val="single" w:color="auto" w:sz="4" w:space="0"/>
              <w:left w:val="nil"/>
              <w:bottom w:val="single" w:color="auto" w:sz="4" w:space="0"/>
              <w:right w:val="single" w:color="auto" w:sz="4" w:space="0"/>
            </w:tcBorders>
            <w:vAlign w:val="center"/>
          </w:tcPr>
          <w:p w14:paraId="2FC769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是否通过并进入下一阶段评审</w:t>
            </w:r>
          </w:p>
        </w:tc>
        <w:tc>
          <w:tcPr>
            <w:tcW w:w="897" w:type="dxa"/>
            <w:tcBorders>
              <w:top w:val="single" w:color="auto" w:sz="4" w:space="0"/>
              <w:left w:val="nil"/>
              <w:bottom w:val="single" w:color="auto" w:sz="4" w:space="0"/>
              <w:right w:val="single" w:color="auto" w:sz="4" w:space="0"/>
            </w:tcBorders>
          </w:tcPr>
          <w:p w14:paraId="5CF5C8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62" w:type="dxa"/>
            <w:tcBorders>
              <w:top w:val="single" w:color="auto" w:sz="4" w:space="0"/>
              <w:left w:val="nil"/>
              <w:bottom w:val="single" w:color="auto" w:sz="4" w:space="0"/>
              <w:right w:val="single" w:color="auto" w:sz="4" w:space="0"/>
            </w:tcBorders>
          </w:tcPr>
          <w:p w14:paraId="1C36B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c>
          <w:tcPr>
            <w:tcW w:w="806" w:type="dxa"/>
            <w:tcBorders>
              <w:top w:val="single" w:color="auto" w:sz="4" w:space="0"/>
              <w:left w:val="nil"/>
              <w:bottom w:val="single" w:color="auto" w:sz="4" w:space="0"/>
              <w:right w:val="single" w:color="auto" w:sz="4" w:space="0"/>
            </w:tcBorders>
          </w:tcPr>
          <w:p w14:paraId="452E86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p>
        </w:tc>
      </w:tr>
    </w:tbl>
    <w:p w14:paraId="2D05B3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备注：1、根据本表的审查项目，填“是”或“否”。</w:t>
      </w:r>
    </w:p>
    <w:p w14:paraId="1736830A">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2、表中出现一个或以上“否”，即该投标人的评审“结论”为“否”，即该投标人不进入下一阶段评审。</w:t>
      </w:r>
    </w:p>
    <w:p w14:paraId="0EA23FD5">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cs="宋体"/>
          <w:color w:val="auto"/>
          <w:sz w:val="22"/>
          <w:szCs w:val="22"/>
          <w:highlight w:val="none"/>
        </w:rPr>
      </w:pPr>
      <w:bookmarkStart w:id="293" w:name="_Toc352"/>
      <w:bookmarkStart w:id="294" w:name="_Toc2438"/>
      <w:bookmarkStart w:id="295" w:name="_Toc9269"/>
      <w:r>
        <w:rPr>
          <w:rFonts w:hint="eastAsia" w:ascii="宋体" w:hAnsi="宋体" w:cs="宋体"/>
          <w:color w:val="auto"/>
          <w:sz w:val="22"/>
          <w:szCs w:val="22"/>
          <w:highlight w:val="none"/>
        </w:rPr>
        <w:t>3、表中全部评审结果为“是”，视为同意进入下一阶段评审。</w:t>
      </w:r>
      <w:bookmarkEnd w:id="293"/>
      <w:bookmarkEnd w:id="294"/>
      <w:bookmarkEnd w:id="295"/>
    </w:p>
    <w:p w14:paraId="0C6690BC">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4、若评委意见不一致时，则按少数服从多数的原则，决定该投标人是否通过符合性审查，进入下一阶段评审。</w:t>
      </w:r>
    </w:p>
    <w:p w14:paraId="7DEC7C37">
      <w:pPr>
        <w:keepNext w:val="0"/>
        <w:keepLines w:val="0"/>
        <w:pageBreakBefore w:val="0"/>
        <w:widowControl w:val="0"/>
        <w:kinsoku/>
        <w:wordWrap/>
        <w:overflowPunct/>
        <w:topLinePunct w:val="0"/>
        <w:autoSpaceDE/>
        <w:autoSpaceDN/>
        <w:bidi w:val="0"/>
        <w:adjustRightInd/>
        <w:snapToGrid/>
        <w:spacing w:before="60" w:line="360" w:lineRule="exact"/>
        <w:jc w:val="left"/>
        <w:textAlignment w:val="auto"/>
        <w:rPr>
          <w:rFonts w:hint="eastAsia" w:ascii="宋体" w:hAnsi="宋体" w:cs="宋体"/>
          <w:color w:val="auto"/>
          <w:sz w:val="24"/>
          <w:szCs w:val="24"/>
          <w:highlight w:val="none"/>
        </w:rPr>
      </w:pPr>
      <w:r>
        <w:rPr>
          <w:rFonts w:hint="eastAsia" w:ascii="宋体" w:hAnsi="宋体" w:cs="宋体"/>
          <w:color w:val="auto"/>
          <w:sz w:val="22"/>
          <w:szCs w:val="22"/>
          <w:highlight w:val="none"/>
        </w:rPr>
        <w:t>评委签名：</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日期：</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p>
    <w:p w14:paraId="2EA62D37">
      <w:pPr>
        <w:widowControl/>
        <w:jc w:val="left"/>
        <w:rPr>
          <w:rFonts w:hint="eastAsia" w:ascii="宋体" w:hAnsi="宋体" w:cs="宋体"/>
          <w:color w:val="auto"/>
          <w:kern w:val="0"/>
          <w:sz w:val="20"/>
          <w:szCs w:val="20"/>
          <w:highlight w:val="none"/>
        </w:rPr>
      </w:pPr>
      <w:r>
        <w:rPr>
          <w:rFonts w:hint="eastAsia" w:ascii="宋体" w:hAnsi="宋体" w:cs="宋体"/>
          <w:color w:val="auto"/>
          <w:szCs w:val="21"/>
          <w:highlight w:val="none"/>
        </w:rPr>
        <w:br w:type="page"/>
      </w:r>
    </w:p>
    <w:p w14:paraId="567BF4E4">
      <w:pPr>
        <w:pStyle w:val="4"/>
        <w:keepNext/>
        <w:keepLines/>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b w:val="0"/>
          <w:strike/>
          <w:color w:val="auto"/>
          <w:highlight w:val="none"/>
        </w:rPr>
      </w:pPr>
      <w:bookmarkStart w:id="296" w:name="_Toc10364"/>
      <w:bookmarkStart w:id="297" w:name="_Toc21869"/>
      <w:bookmarkStart w:id="298" w:name="_Toc2205"/>
      <w:bookmarkStart w:id="299" w:name="_Toc14353"/>
      <w:bookmarkStart w:id="300" w:name="_Toc21160"/>
      <w:bookmarkStart w:id="301" w:name="_Toc30312"/>
      <w:bookmarkStart w:id="302" w:name="_Toc9233"/>
      <w:r>
        <w:rPr>
          <w:rFonts w:hint="eastAsia" w:ascii="宋体" w:hAnsi="宋体" w:cs="宋体"/>
          <w:strike/>
          <w:color w:val="auto"/>
          <w:sz w:val="21"/>
          <w:szCs w:val="21"/>
          <w:highlight w:val="none"/>
        </w:rPr>
        <w:t>附件10</w:t>
      </w:r>
      <w:r>
        <w:rPr>
          <w:rFonts w:hint="eastAsia" w:ascii="宋体" w:hAnsi="宋体" w:cs="宋体"/>
          <w:strike/>
          <w:color w:val="auto"/>
          <w:sz w:val="21"/>
          <w:szCs w:val="21"/>
          <w:highlight w:val="none"/>
          <w:lang w:val="en-US" w:eastAsia="zh-CN"/>
        </w:rPr>
        <w:t xml:space="preserve"> </w:t>
      </w:r>
      <w:r>
        <w:rPr>
          <w:rFonts w:hint="eastAsia" w:ascii="宋体" w:hAnsi="宋体" w:cs="宋体"/>
          <w:strike/>
          <w:color w:val="auto"/>
          <w:sz w:val="21"/>
          <w:szCs w:val="21"/>
          <w:highlight w:val="none"/>
        </w:rPr>
        <w:t>投票表格</w:t>
      </w:r>
      <w:bookmarkEnd w:id="296"/>
      <w:bookmarkEnd w:id="297"/>
      <w:bookmarkEnd w:id="298"/>
      <w:bookmarkEnd w:id="299"/>
      <w:bookmarkEnd w:id="300"/>
      <w:bookmarkEnd w:id="301"/>
      <w:bookmarkEnd w:id="302"/>
    </w:p>
    <w:p w14:paraId="6244CE89">
      <w:pPr>
        <w:pStyle w:val="16"/>
        <w:widowControl w:val="0"/>
        <w:spacing w:beforeAutospacing="0" w:afterAutospacing="0"/>
        <w:jc w:val="center"/>
        <w:rPr>
          <w:rFonts w:cs="宋体"/>
          <w:b/>
          <w:strike/>
          <w:color w:val="auto"/>
          <w:sz w:val="32"/>
          <w:szCs w:val="32"/>
          <w:highlight w:val="none"/>
        </w:rPr>
      </w:pPr>
      <w:r>
        <w:rPr>
          <w:rFonts w:cs="宋体"/>
          <w:b/>
          <w:strike/>
          <w:color w:val="auto"/>
          <w:sz w:val="32"/>
          <w:szCs w:val="32"/>
          <w:highlight w:val="none"/>
        </w:rPr>
        <w:t>投票表格</w:t>
      </w:r>
    </w:p>
    <w:p w14:paraId="12881643">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461D3CBB">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tcPr>
          <w:p w14:paraId="252C3D23">
            <w:pPr>
              <w:spacing w:line="360" w:lineRule="auto"/>
              <w:rPr>
                <w:rFonts w:hint="eastAsia" w:ascii="宋体" w:hAnsi="宋体" w:cs="宋体"/>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4343C932">
            <w:pPr>
              <w:spacing w:line="360" w:lineRule="auto"/>
              <w:rPr>
                <w:rFonts w:hint="eastAsia" w:ascii="宋体" w:hAnsi="宋体" w:cs="宋体"/>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4BC2EE9E">
            <w:pPr>
              <w:spacing w:line="360" w:lineRule="auto"/>
              <w:rPr>
                <w:rFonts w:hint="eastAsia" w:ascii="宋体" w:hAnsi="宋体" w:cs="宋体"/>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1A86DAA6">
            <w:pPr>
              <w:spacing w:line="360" w:lineRule="auto"/>
              <w:rPr>
                <w:rFonts w:hint="eastAsia" w:ascii="宋体" w:hAnsi="宋体" w:cs="宋体"/>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023061">
            <w:pPr>
              <w:spacing w:line="360" w:lineRule="auto"/>
              <w:rPr>
                <w:rFonts w:hint="eastAsia" w:ascii="宋体" w:hAnsi="宋体" w:cs="宋体"/>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0B437B43">
            <w:pPr>
              <w:spacing w:line="360" w:lineRule="auto"/>
              <w:rPr>
                <w:rFonts w:hint="eastAsia" w:ascii="宋体" w:hAnsi="宋体" w:cs="宋体"/>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DCC90D">
            <w:pPr>
              <w:spacing w:line="360" w:lineRule="auto"/>
              <w:rPr>
                <w:rFonts w:hint="eastAsia" w:ascii="宋体" w:hAnsi="宋体" w:cs="宋体"/>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tcPr>
          <w:p w14:paraId="2FB0F760">
            <w:pPr>
              <w:spacing w:line="360" w:lineRule="auto"/>
              <w:rPr>
                <w:rFonts w:hint="eastAsia" w:ascii="宋体" w:hAnsi="宋体" w:cs="宋体"/>
                <w:strike/>
                <w:color w:val="auto"/>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54867A75">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tcPr>
          <w:p w14:paraId="601EF49B">
            <w:pPr>
              <w:spacing w:line="360" w:lineRule="auto"/>
              <w:rPr>
                <w:rFonts w:hint="eastAsia" w:ascii="宋体" w:hAnsi="宋体" w:cs="宋体"/>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20D8E2D2">
            <w:pPr>
              <w:spacing w:line="360" w:lineRule="auto"/>
              <w:rPr>
                <w:rFonts w:hint="eastAsia" w:ascii="宋体" w:hAnsi="宋体" w:cs="宋体"/>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1F20691C">
            <w:pPr>
              <w:spacing w:line="360" w:lineRule="auto"/>
              <w:rPr>
                <w:rFonts w:hint="eastAsia" w:ascii="宋体" w:hAnsi="宋体" w:cs="宋体"/>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tcPr>
          <w:p w14:paraId="6046EF31">
            <w:pPr>
              <w:spacing w:line="360" w:lineRule="auto"/>
              <w:rPr>
                <w:rFonts w:hint="eastAsia" w:ascii="宋体" w:hAnsi="宋体" w:cs="宋体"/>
                <w:strike/>
                <w:color w:val="auto"/>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6CE4B20C">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tcPr>
          <w:p w14:paraId="43F7A8DB">
            <w:pPr>
              <w:spacing w:line="360" w:lineRule="auto"/>
              <w:rPr>
                <w:rFonts w:hint="eastAsia" w:ascii="宋体" w:hAnsi="宋体" w:cs="宋体"/>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tcPr>
          <w:p w14:paraId="465F18D4">
            <w:pPr>
              <w:spacing w:line="360" w:lineRule="auto"/>
              <w:rPr>
                <w:rFonts w:hint="eastAsia" w:ascii="宋体" w:hAnsi="宋体" w:cs="宋体"/>
                <w:strike/>
                <w:color w:val="auto"/>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7E7EE515">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tcPr>
          <w:p w14:paraId="0C86060E">
            <w:pPr>
              <w:spacing w:line="360" w:lineRule="auto"/>
              <w:rPr>
                <w:rFonts w:hint="eastAsia" w:ascii="宋体" w:hAnsi="宋体" w:cs="宋体"/>
                <w:strike/>
                <w:color w:val="auto"/>
                <w:sz w:val="24"/>
                <w:szCs w:val="24"/>
                <w:highlight w:val="none"/>
              </w:rPr>
            </w:pPr>
          </w:p>
        </w:tc>
      </w:tr>
    </w:tbl>
    <w:p w14:paraId="4AB344CD">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5C125BC4">
            <w:pPr>
              <w:spacing w:line="360" w:lineRule="auto"/>
              <w:rPr>
                <w:rFonts w:hint="eastAsia" w:ascii="宋体" w:hAnsi="宋体" w:cs="宋体"/>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tcPr>
          <w:p w14:paraId="06607D8C">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4DB89EA">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tcPr>
          <w:p w14:paraId="3993BEC8">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tcPr>
          <w:p w14:paraId="50D8D1F1">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tcPr>
          <w:p w14:paraId="58F47E00">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1730A5F2">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tcPr>
          <w:p w14:paraId="31896718">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tcPr>
          <w:p w14:paraId="3D8FB893">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tcPr>
          <w:p w14:paraId="01F28B0D">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A22CA6E">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tcPr>
          <w:p w14:paraId="6854E889">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tcPr>
          <w:p w14:paraId="2E67C8A2">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tcPr>
          <w:p w14:paraId="131AF640">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32C1E087">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tcPr>
          <w:p w14:paraId="0AB6842E">
            <w:pPr>
              <w:spacing w:line="360" w:lineRule="auto"/>
              <w:jc w:val="center"/>
              <w:rPr>
                <w:rFonts w:hint="eastAsia" w:ascii="宋体" w:hAnsi="宋体" w:cs="宋体"/>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55992EF">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tcPr>
          <w:p w14:paraId="21662629">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497109A3">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tcPr>
          <w:p w14:paraId="2D8A29FD">
            <w:pPr>
              <w:spacing w:line="360" w:lineRule="auto"/>
              <w:jc w:val="center"/>
              <w:rPr>
                <w:rFonts w:hint="eastAsia" w:ascii="宋体" w:hAnsi="宋体" w:cs="宋体"/>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2243548">
            <w:pPr>
              <w:spacing w:line="360" w:lineRule="auto"/>
              <w:jc w:val="center"/>
              <w:rPr>
                <w:rFonts w:hint="eastAsia" w:ascii="宋体" w:hAnsi="宋体" w:cs="宋体"/>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773A46B1">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w:t>
            </w:r>
          </w:p>
        </w:tc>
      </w:tr>
    </w:tbl>
    <w:p w14:paraId="154A49C9">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02CCF2F4">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评委签名：日期：年月日</w:t>
      </w:r>
    </w:p>
    <w:p w14:paraId="4F1B69AF">
      <w:pPr>
        <w:spacing w:line="360" w:lineRule="auto"/>
        <w:rPr>
          <w:rFonts w:hint="eastAsia" w:ascii="宋体" w:hAnsi="宋体" w:cs="宋体"/>
          <w:color w:val="auto"/>
          <w:sz w:val="24"/>
          <w:szCs w:val="24"/>
          <w:highlight w:val="none"/>
        </w:rPr>
      </w:pPr>
    </w:p>
    <w:p w14:paraId="255E111B">
      <w:pPr>
        <w:rPr>
          <w:rFonts w:hint="eastAsia" w:ascii="宋体" w:hAnsi="宋体" w:cs="宋体"/>
          <w:color w:val="auto"/>
          <w:szCs w:val="21"/>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7C0D8653">
      <w:pPr>
        <w:pStyle w:val="4"/>
        <w:rPr>
          <w:rFonts w:hint="eastAsia" w:ascii="宋体" w:hAnsi="宋体" w:cs="宋体"/>
          <w:strike/>
          <w:color w:val="auto"/>
          <w:sz w:val="21"/>
          <w:szCs w:val="21"/>
          <w:highlight w:val="none"/>
        </w:rPr>
      </w:pPr>
      <w:bookmarkStart w:id="303" w:name="_Toc11228"/>
      <w:bookmarkStart w:id="304" w:name="_Toc16566"/>
      <w:bookmarkStart w:id="305" w:name="_Toc11625"/>
      <w:bookmarkStart w:id="306" w:name="_Toc15988"/>
      <w:bookmarkStart w:id="307" w:name="_Toc18893"/>
      <w:bookmarkStart w:id="308" w:name="_Toc7140"/>
      <w:bookmarkStart w:id="309" w:name="_Toc32042"/>
      <w:r>
        <w:rPr>
          <w:rFonts w:hint="eastAsia" w:ascii="宋体" w:hAnsi="宋体" w:cs="宋体"/>
          <w:strike/>
          <w:color w:val="auto"/>
          <w:sz w:val="21"/>
          <w:szCs w:val="21"/>
          <w:highlight w:val="none"/>
        </w:rPr>
        <w:t>附录11</w:t>
      </w:r>
      <w:r>
        <w:rPr>
          <w:rFonts w:hint="eastAsia" w:ascii="宋体" w:hAnsi="宋体" w:cs="宋体"/>
          <w:strike/>
          <w:color w:val="auto"/>
          <w:sz w:val="21"/>
          <w:szCs w:val="21"/>
          <w:highlight w:val="none"/>
          <w:lang w:val="en-US" w:eastAsia="zh-CN"/>
        </w:rPr>
        <w:t xml:space="preserve"> </w:t>
      </w:r>
      <w:r>
        <w:rPr>
          <w:rFonts w:hint="eastAsia" w:ascii="宋体" w:hAnsi="宋体" w:cs="宋体"/>
          <w:strike/>
          <w:color w:val="auto"/>
          <w:sz w:val="21"/>
          <w:szCs w:val="21"/>
          <w:highlight w:val="none"/>
        </w:rPr>
        <w:t>投标汇总表格</w:t>
      </w:r>
      <w:bookmarkEnd w:id="303"/>
      <w:bookmarkEnd w:id="304"/>
      <w:bookmarkEnd w:id="305"/>
      <w:bookmarkEnd w:id="306"/>
      <w:bookmarkEnd w:id="307"/>
      <w:bookmarkEnd w:id="308"/>
      <w:bookmarkEnd w:id="309"/>
    </w:p>
    <w:p w14:paraId="1DB95D35">
      <w:pPr>
        <w:jc w:val="center"/>
        <w:rPr>
          <w:rFonts w:hint="eastAsia" w:ascii="宋体" w:hAnsi="宋体" w:cs="宋体"/>
          <w:b/>
          <w:strike/>
          <w:color w:val="auto"/>
          <w:sz w:val="32"/>
          <w:szCs w:val="32"/>
          <w:highlight w:val="none"/>
        </w:rPr>
      </w:pPr>
      <w:r>
        <w:rPr>
          <w:rFonts w:hint="eastAsia" w:ascii="宋体" w:hAnsi="宋体" w:cs="宋体"/>
          <w:b/>
          <w:strike/>
          <w:color w:val="auto"/>
          <w:sz w:val="32"/>
          <w:szCs w:val="32"/>
          <w:highlight w:val="none"/>
        </w:rPr>
        <w:t>投票汇总表格</w:t>
      </w:r>
    </w:p>
    <w:p w14:paraId="13008EAA">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项目名称：日期：年月日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tcPr>
          <w:p w14:paraId="0E9ABE4F">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tcPr>
          <w:p w14:paraId="0F73563C">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tcPr>
          <w:p w14:paraId="45080DCC">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tcPr>
          <w:p w14:paraId="23C8B3EC">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tcPr>
          <w:p w14:paraId="195FF00A">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tcPr>
          <w:p w14:paraId="5B1DD14E">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tcPr>
          <w:p w14:paraId="3CF500B2">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tcPr>
          <w:p w14:paraId="443606FF">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投标人名称</w:t>
            </w:r>
          </w:p>
          <w:p w14:paraId="5CEC20B0">
            <w:pPr>
              <w:spacing w:line="360" w:lineRule="auto"/>
              <w:jc w:val="cente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tcPr>
          <w:p w14:paraId="756D9F07">
            <w:pPr>
              <w:rPr>
                <w:rFonts w:hint="eastAsia" w:ascii="宋体" w:hAnsi="宋体" w:cs="宋体"/>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5E3468A7">
            <w:pPr>
              <w:rPr>
                <w:rFonts w:hint="eastAsia" w:ascii="宋体" w:hAnsi="宋体" w:cs="宋体"/>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6684BD81">
            <w:pPr>
              <w:rPr>
                <w:rFonts w:hint="eastAsia" w:ascii="宋体" w:hAnsi="宋体" w:cs="宋体"/>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4DF8CB8C">
            <w:pPr>
              <w:rPr>
                <w:rFonts w:hint="eastAsia" w:ascii="宋体" w:hAnsi="宋体" w:cs="宋体"/>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12296CAD">
            <w:pPr>
              <w:rPr>
                <w:rFonts w:hint="eastAsia" w:ascii="宋体" w:hAnsi="宋体" w:cs="宋体"/>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tcPr>
          <w:p w14:paraId="619C56BA">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tcPr>
          <w:p w14:paraId="2B1C7383">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tcPr>
          <w:p w14:paraId="1AC302B1">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tcPr>
          <w:p w14:paraId="2D878135">
            <w:pPr>
              <w:spacing w:line="360" w:lineRule="auto"/>
              <w:jc w:val="center"/>
              <w:rPr>
                <w:rFonts w:hint="eastAsia" w:ascii="宋体" w:hAnsi="宋体" w:cs="宋体"/>
                <w:strike/>
                <w:color w:val="auto"/>
                <w:szCs w:val="21"/>
                <w:highlight w:val="none"/>
              </w:rPr>
            </w:pPr>
            <w:r>
              <w:rPr>
                <w:rFonts w:hint="eastAsia" w:ascii="宋体" w:hAnsi="宋体" w:cs="宋体"/>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tcPr>
          <w:p w14:paraId="794FA82B">
            <w:pPr>
              <w:rPr>
                <w:rFonts w:hint="eastAsia" w:ascii="宋体" w:hAnsi="宋体" w:cs="宋体"/>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tcPr>
          <w:p w14:paraId="6D6CBD4D">
            <w:pPr>
              <w:rPr>
                <w:rFonts w:hint="eastAsia" w:ascii="宋体" w:hAnsi="宋体" w:cs="宋体"/>
                <w:color w:val="auto"/>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tcPr>
          <w:p w14:paraId="1008E806">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tcPr>
          <w:p w14:paraId="7C912653">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7E97AEC">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663CB191">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0844A9AD">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C529D5">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1238D9">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2C019DA">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716BD6C">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5FB62AA">
            <w:pPr>
              <w:spacing w:line="480" w:lineRule="auto"/>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6AE852">
            <w:pPr>
              <w:spacing w:line="480" w:lineRule="auto"/>
              <w:rPr>
                <w:rFonts w:hint="eastAsia" w:ascii="宋体" w:hAnsi="宋体" w:cs="宋体"/>
                <w:strike/>
                <w:color w:val="auto"/>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5D5F93B8">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tcPr>
          <w:p w14:paraId="49E1D3B8">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12537D1">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632DA78">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84C467E">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AE112DD">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3FCEAD">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95B8A7">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942F9C6">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5A222C08">
            <w:pPr>
              <w:spacing w:line="480" w:lineRule="auto"/>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78C35A9A">
            <w:pPr>
              <w:spacing w:line="480" w:lineRule="auto"/>
              <w:rPr>
                <w:rFonts w:hint="eastAsia" w:ascii="宋体" w:hAnsi="宋体" w:cs="宋体"/>
                <w:strike/>
                <w:color w:val="auto"/>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E6EDC1A">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tcPr>
          <w:p w14:paraId="47884D17">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89486DC">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8227D85">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436E69E">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6C47A6">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1E2776A">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E99A1A9">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39F49FC">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E6511">
            <w:pPr>
              <w:spacing w:line="480" w:lineRule="auto"/>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B0A9C5D">
            <w:pPr>
              <w:spacing w:line="480" w:lineRule="auto"/>
              <w:rPr>
                <w:rFonts w:hint="eastAsia" w:ascii="宋体" w:hAnsi="宋体" w:cs="宋体"/>
                <w:strike/>
                <w:color w:val="auto"/>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DBDBDBD">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tcPr>
          <w:p w14:paraId="5AA98B91">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DA931CC">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CA22BD6">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999D17F">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BBDB50">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1612FB6A">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0EDFAE7">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4F69669">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332BE">
            <w:pPr>
              <w:spacing w:line="480" w:lineRule="auto"/>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4740C32D">
            <w:pPr>
              <w:spacing w:line="480" w:lineRule="auto"/>
              <w:rPr>
                <w:rFonts w:hint="eastAsia" w:ascii="宋体" w:hAnsi="宋体" w:cs="宋体"/>
                <w:strike/>
                <w:color w:val="auto"/>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F196E50">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tcPr>
          <w:p w14:paraId="2578A94C">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C64A2E9">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ACE01C1">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273B29">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FEB57E3">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B8E6645">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95E0463">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BDEF4F5">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13E6E0">
            <w:pPr>
              <w:spacing w:line="480" w:lineRule="auto"/>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F08FDF0">
            <w:pPr>
              <w:spacing w:line="480" w:lineRule="auto"/>
              <w:rPr>
                <w:rFonts w:hint="eastAsia" w:ascii="宋体" w:hAnsi="宋体" w:cs="宋体"/>
                <w:strike/>
                <w:color w:val="auto"/>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997C0A7">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tcPr>
          <w:p w14:paraId="44A071DA">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A36FB0">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4602A62">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C55271">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A21BE11">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902685D">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20DD3C6">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23019D">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BE80C7B">
            <w:pPr>
              <w:spacing w:line="480" w:lineRule="auto"/>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3EAFC5">
            <w:pPr>
              <w:spacing w:line="480" w:lineRule="auto"/>
              <w:rPr>
                <w:rFonts w:hint="eastAsia" w:ascii="宋体" w:hAnsi="宋体" w:cs="宋体"/>
                <w:strike/>
                <w:color w:val="auto"/>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2DB9B145">
            <w:pPr>
              <w:spacing w:line="480" w:lineRule="auto"/>
              <w:jc w:val="center"/>
              <w:rPr>
                <w:rFonts w:hint="eastAsia" w:ascii="宋体" w:hAnsi="宋体" w:cs="宋体"/>
                <w:strike/>
                <w:color w:val="auto"/>
                <w:kern w:val="0"/>
                <w:szCs w:val="21"/>
                <w:highlight w:val="none"/>
              </w:rPr>
            </w:pPr>
            <w:r>
              <w:rPr>
                <w:rFonts w:hint="eastAsia" w:ascii="宋体" w:hAnsi="宋体" w:cs="宋体"/>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tcPr>
          <w:p w14:paraId="082B5EE2">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A694FF0">
            <w:pPr>
              <w:spacing w:line="480" w:lineRule="auto"/>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bottom"/>
          </w:tcPr>
          <w:p w14:paraId="0ECB6548">
            <w:pPr>
              <w:spacing w:line="480" w:lineRule="auto"/>
              <w:jc w:val="center"/>
              <w:rPr>
                <w:rFonts w:hint="eastAsia" w:ascii="宋体" w:hAnsi="宋体" w:cs="宋体"/>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750C44">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44038D">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80B01F5">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7B3436DD">
            <w:pPr>
              <w:spacing w:line="480" w:lineRule="auto"/>
              <w:rPr>
                <w:rFonts w:hint="eastAsia" w:ascii="宋体" w:hAnsi="宋体" w:cs="宋体"/>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4F58E09C">
            <w:pPr>
              <w:spacing w:line="480" w:lineRule="auto"/>
              <w:rPr>
                <w:rFonts w:hint="eastAsia" w:ascii="宋体" w:hAnsi="宋体" w:cs="宋体"/>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bottom"/>
          </w:tcPr>
          <w:p w14:paraId="468726AE">
            <w:pPr>
              <w:spacing w:line="480" w:lineRule="auto"/>
              <w:jc w:val="center"/>
              <w:rPr>
                <w:rFonts w:hint="eastAsia" w:ascii="宋体" w:hAnsi="宋体" w:cs="宋体"/>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bottom"/>
          </w:tcPr>
          <w:p w14:paraId="4D5B88F5">
            <w:pPr>
              <w:spacing w:line="480" w:lineRule="auto"/>
              <w:jc w:val="center"/>
              <w:rPr>
                <w:rFonts w:hint="eastAsia" w:ascii="宋体" w:hAnsi="宋体" w:cs="宋体"/>
                <w:strike/>
                <w:color w:val="auto"/>
                <w:kern w:val="0"/>
                <w:szCs w:val="21"/>
                <w:highlight w:val="none"/>
              </w:rPr>
            </w:pPr>
          </w:p>
        </w:tc>
      </w:tr>
    </w:tbl>
    <w:p w14:paraId="61B6253C">
      <w:pPr>
        <w:jc w:val="right"/>
        <w:rPr>
          <w:rFonts w:hint="eastAsia" w:ascii="宋体" w:hAnsi="宋体" w:cs="宋体"/>
          <w:strike/>
          <w:color w:val="auto"/>
          <w:szCs w:val="21"/>
          <w:highlight w:val="none"/>
        </w:rPr>
      </w:pPr>
      <w:r>
        <w:rPr>
          <w:rFonts w:hint="eastAsia" w:ascii="宋体" w:hAnsi="宋体" w:cs="宋体"/>
          <w:strike/>
          <w:color w:val="auto"/>
          <w:szCs w:val="21"/>
          <w:highlight w:val="none"/>
        </w:rPr>
        <w:t>评标委员会全体成员签字：</w:t>
      </w:r>
    </w:p>
    <w:p w14:paraId="15F8F6A2">
      <w:pPr>
        <w:rPr>
          <w:rFonts w:hint="eastAsia" w:ascii="宋体" w:hAnsi="宋体" w:cs="宋体"/>
          <w:color w:val="auto"/>
          <w:szCs w:val="21"/>
          <w:highlight w:val="none"/>
        </w:rPr>
      </w:pPr>
    </w:p>
    <w:p w14:paraId="35CB1882">
      <w:pPr>
        <w:pStyle w:val="4"/>
        <w:keepNext/>
        <w:keepLines/>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 w:val="21"/>
          <w:szCs w:val="21"/>
          <w:highlight w:val="none"/>
        </w:rPr>
      </w:pPr>
      <w:bookmarkStart w:id="310" w:name="_Toc16305"/>
      <w:bookmarkStart w:id="311" w:name="_Toc10023"/>
      <w:bookmarkStart w:id="312" w:name="_Toc27863"/>
      <w:bookmarkStart w:id="313" w:name="_Toc30826"/>
      <w:bookmarkStart w:id="314" w:name="_Toc2450"/>
      <w:bookmarkStart w:id="315" w:name="_Toc1102"/>
      <w:bookmarkStart w:id="316" w:name="_Toc5576"/>
      <w:r>
        <w:rPr>
          <w:rFonts w:hint="eastAsia" w:ascii="宋体" w:hAnsi="宋体" w:cs="宋体"/>
          <w:color w:val="auto"/>
          <w:sz w:val="21"/>
          <w:szCs w:val="21"/>
          <w:highlight w:val="none"/>
        </w:rPr>
        <w:t>附录12</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有效性审查表</w:t>
      </w:r>
      <w:bookmarkEnd w:id="310"/>
      <w:bookmarkEnd w:id="311"/>
      <w:bookmarkEnd w:id="312"/>
      <w:bookmarkEnd w:id="313"/>
      <w:bookmarkEnd w:id="314"/>
      <w:bookmarkEnd w:id="315"/>
      <w:bookmarkEnd w:id="316"/>
    </w:p>
    <w:p w14:paraId="39023ED5">
      <w:pPr>
        <w:widowControl/>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有效性审查表（技术方案）</w:t>
      </w:r>
    </w:p>
    <w:p w14:paraId="46581EC3">
      <w:pPr>
        <w:pStyle w:val="16"/>
        <w:widowControl w:val="0"/>
        <w:spacing w:beforeAutospacing="0" w:afterAutospacing="0"/>
        <w:rPr>
          <w:rFonts w:cs="宋体"/>
          <w:b/>
          <w:color w:val="auto"/>
          <w:highlight w:val="none"/>
        </w:rPr>
      </w:pPr>
      <w:r>
        <w:rPr>
          <w:rFonts w:cs="宋体"/>
          <w:color w:val="auto"/>
          <w:highlight w:val="none"/>
        </w:rPr>
        <w:t>项目名称：</w:t>
      </w:r>
      <w:r>
        <w:rPr>
          <w:rFonts w:hint="eastAsia" w:cs="宋体"/>
          <w:color w:val="auto"/>
          <w:highlight w:val="none"/>
          <w:lang w:val="en-US" w:eastAsia="zh-CN"/>
        </w:rPr>
        <w:t xml:space="preserve">                                                                            </w:t>
      </w:r>
      <w:r>
        <w:rPr>
          <w:rFonts w:cs="宋体"/>
          <w:color w:val="auto"/>
          <w:highlight w:val="none"/>
        </w:rPr>
        <w:t>方案编号：</w:t>
      </w:r>
    </w:p>
    <w:tbl>
      <w:tblPr>
        <w:tblStyle w:val="20"/>
        <w:tblW w:w="14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208"/>
        <w:gridCol w:w="1567"/>
        <w:gridCol w:w="1200"/>
        <w:gridCol w:w="1167"/>
        <w:gridCol w:w="1133"/>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4" w:type="dxa"/>
            <w:tcBorders>
              <w:top w:val="single" w:color="auto" w:sz="4" w:space="0"/>
              <w:left w:val="single" w:color="auto" w:sz="4" w:space="0"/>
              <w:bottom w:val="single" w:color="auto" w:sz="4" w:space="0"/>
              <w:right w:val="single" w:color="auto" w:sz="4" w:space="0"/>
            </w:tcBorders>
            <w:vAlign w:val="center"/>
          </w:tcPr>
          <w:p w14:paraId="5E864BE2">
            <w:pPr>
              <w:pStyle w:val="16"/>
              <w:widowControl w:val="0"/>
              <w:spacing w:beforeAutospacing="0" w:afterAutospacing="0"/>
              <w:jc w:val="center"/>
              <w:rPr>
                <w:rFonts w:cs="宋体"/>
                <w:color w:val="auto"/>
                <w:kern w:val="2"/>
                <w:highlight w:val="none"/>
              </w:rPr>
            </w:pPr>
            <w:r>
              <w:rPr>
                <w:rFonts w:cs="宋体"/>
                <w:color w:val="auto"/>
                <w:kern w:val="2"/>
                <w:highlight w:val="none"/>
              </w:rPr>
              <w:t>序号</w:t>
            </w:r>
          </w:p>
        </w:tc>
        <w:tc>
          <w:tcPr>
            <w:tcW w:w="8208" w:type="dxa"/>
            <w:tcBorders>
              <w:top w:val="single" w:color="auto" w:sz="4" w:space="0"/>
              <w:left w:val="nil"/>
              <w:bottom w:val="single" w:color="auto" w:sz="4" w:space="0"/>
              <w:right w:val="single" w:color="auto" w:sz="4" w:space="0"/>
            </w:tcBorders>
            <w:vAlign w:val="center"/>
          </w:tcPr>
          <w:p w14:paraId="6F65C352">
            <w:pPr>
              <w:pStyle w:val="16"/>
              <w:widowControl w:val="0"/>
              <w:spacing w:beforeAutospacing="0" w:afterAutospacing="0"/>
              <w:jc w:val="center"/>
              <w:rPr>
                <w:rFonts w:cs="宋体"/>
                <w:b/>
                <w:color w:val="auto"/>
                <w:kern w:val="2"/>
                <w:highlight w:val="none"/>
              </w:rPr>
            </w:pPr>
            <w:r>
              <w:rPr>
                <w:rFonts w:cs="宋体"/>
                <w:color w:val="auto"/>
                <w:kern w:val="2"/>
                <w:highlight w:val="none"/>
              </w:rPr>
              <w:t>审查项目</w:t>
            </w:r>
          </w:p>
        </w:tc>
        <w:tc>
          <w:tcPr>
            <w:tcW w:w="1567" w:type="dxa"/>
            <w:tcBorders>
              <w:top w:val="single" w:color="auto" w:sz="4" w:space="0"/>
              <w:left w:val="nil"/>
              <w:bottom w:val="single" w:color="auto" w:sz="4" w:space="0"/>
              <w:right w:val="single" w:color="auto" w:sz="4" w:space="0"/>
            </w:tcBorders>
            <w:vAlign w:val="center"/>
          </w:tcPr>
          <w:p w14:paraId="4A5EF25E">
            <w:pPr>
              <w:pStyle w:val="16"/>
              <w:widowControl w:val="0"/>
              <w:spacing w:beforeAutospacing="0" w:afterAutospacing="0"/>
              <w:jc w:val="center"/>
              <w:rPr>
                <w:rFonts w:cs="宋体"/>
                <w:b/>
                <w:color w:val="auto"/>
                <w:kern w:val="2"/>
                <w:highlight w:val="none"/>
              </w:rPr>
            </w:pPr>
            <w:r>
              <w:rPr>
                <w:rFonts w:cs="宋体"/>
                <w:color w:val="auto"/>
                <w:kern w:val="2"/>
                <w:highlight w:val="none"/>
              </w:rPr>
              <w:t>投标人名称</w:t>
            </w:r>
          </w:p>
        </w:tc>
        <w:tc>
          <w:tcPr>
            <w:tcW w:w="1200" w:type="dxa"/>
            <w:tcBorders>
              <w:top w:val="single" w:color="auto" w:sz="4" w:space="0"/>
              <w:left w:val="nil"/>
              <w:bottom w:val="single" w:color="auto" w:sz="4" w:space="0"/>
              <w:right w:val="single" w:color="auto" w:sz="4" w:space="0"/>
            </w:tcBorders>
            <w:vAlign w:val="center"/>
          </w:tcPr>
          <w:p w14:paraId="559F9E98">
            <w:pPr>
              <w:pStyle w:val="16"/>
              <w:widowControl w:val="0"/>
              <w:spacing w:beforeAutospacing="0" w:afterAutospacing="0"/>
              <w:jc w:val="center"/>
              <w:rPr>
                <w:rFonts w:cs="宋体"/>
                <w:b/>
                <w:color w:val="auto"/>
                <w:kern w:val="2"/>
                <w:highlight w:val="none"/>
              </w:rPr>
            </w:pPr>
            <w:r>
              <w:rPr>
                <w:rFonts w:cs="宋体"/>
                <w:b/>
                <w:color w:val="auto"/>
                <w:kern w:val="2"/>
                <w:highlight w:val="none"/>
              </w:rPr>
              <w:t>....</w:t>
            </w:r>
          </w:p>
        </w:tc>
        <w:tc>
          <w:tcPr>
            <w:tcW w:w="1167" w:type="dxa"/>
            <w:tcBorders>
              <w:top w:val="single" w:color="auto" w:sz="4" w:space="0"/>
              <w:left w:val="nil"/>
              <w:bottom w:val="single" w:color="auto" w:sz="4" w:space="0"/>
              <w:right w:val="single" w:color="auto" w:sz="4" w:space="0"/>
            </w:tcBorders>
            <w:vAlign w:val="center"/>
          </w:tcPr>
          <w:p w14:paraId="0E4B003B">
            <w:pPr>
              <w:pStyle w:val="16"/>
              <w:widowControl w:val="0"/>
              <w:spacing w:beforeAutospacing="0" w:afterAutospacing="0"/>
              <w:jc w:val="center"/>
              <w:rPr>
                <w:rFonts w:cs="宋体"/>
                <w:b/>
                <w:color w:val="auto"/>
                <w:kern w:val="2"/>
                <w:highlight w:val="none"/>
              </w:rPr>
            </w:pPr>
            <w:r>
              <w:rPr>
                <w:rFonts w:cs="宋体"/>
                <w:b/>
                <w:color w:val="auto"/>
                <w:kern w:val="2"/>
                <w:highlight w:val="none"/>
              </w:rPr>
              <w:t>....</w:t>
            </w:r>
          </w:p>
        </w:tc>
        <w:tc>
          <w:tcPr>
            <w:tcW w:w="1133" w:type="dxa"/>
            <w:tcBorders>
              <w:top w:val="single" w:color="auto" w:sz="4" w:space="0"/>
              <w:left w:val="nil"/>
              <w:bottom w:val="single" w:color="auto" w:sz="4" w:space="0"/>
              <w:right w:val="single" w:color="auto" w:sz="4" w:space="0"/>
            </w:tcBorders>
            <w:vAlign w:val="center"/>
          </w:tcPr>
          <w:p w14:paraId="3C8B26CD">
            <w:pPr>
              <w:pStyle w:val="16"/>
              <w:widowControl w:val="0"/>
              <w:spacing w:beforeAutospacing="0" w:afterAutospacing="0"/>
              <w:jc w:val="center"/>
              <w:rPr>
                <w:rFonts w:cs="宋体"/>
                <w:b/>
                <w:color w:val="auto"/>
                <w:kern w:val="2"/>
                <w:highlight w:val="none"/>
              </w:rPr>
            </w:pPr>
            <w:r>
              <w:rPr>
                <w:rFonts w:cs="宋体"/>
                <w:b/>
                <w:color w:val="auto"/>
                <w:kern w:val="2"/>
                <w:highlight w:val="none"/>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4" w:type="dxa"/>
            <w:tcBorders>
              <w:top w:val="single" w:color="auto" w:sz="4" w:space="0"/>
              <w:left w:val="single" w:color="auto" w:sz="4" w:space="0"/>
              <w:bottom w:val="single" w:color="auto" w:sz="4" w:space="0"/>
              <w:right w:val="single" w:color="auto" w:sz="4" w:space="0"/>
            </w:tcBorders>
            <w:vAlign w:val="center"/>
          </w:tcPr>
          <w:p w14:paraId="72824397">
            <w:pPr>
              <w:pStyle w:val="16"/>
              <w:widowControl w:val="0"/>
              <w:spacing w:beforeAutospacing="0" w:afterAutospacing="0"/>
              <w:jc w:val="center"/>
              <w:rPr>
                <w:rFonts w:cs="宋体"/>
                <w:color w:val="auto"/>
                <w:kern w:val="2"/>
                <w:highlight w:val="none"/>
              </w:rPr>
            </w:pPr>
            <w:r>
              <w:rPr>
                <w:rFonts w:cs="宋体"/>
                <w:color w:val="auto"/>
                <w:kern w:val="2"/>
                <w:highlight w:val="none"/>
              </w:rPr>
              <w:t>1</w:t>
            </w:r>
          </w:p>
        </w:tc>
        <w:tc>
          <w:tcPr>
            <w:tcW w:w="8208" w:type="dxa"/>
            <w:tcBorders>
              <w:top w:val="single" w:color="auto" w:sz="4" w:space="0"/>
              <w:left w:val="nil"/>
              <w:bottom w:val="single" w:color="auto" w:sz="4" w:space="0"/>
              <w:right w:val="single" w:color="auto" w:sz="4" w:space="0"/>
            </w:tcBorders>
            <w:vAlign w:val="center"/>
          </w:tcPr>
          <w:p w14:paraId="285B735D">
            <w:pPr>
              <w:pStyle w:val="16"/>
              <w:widowControl w:val="0"/>
              <w:spacing w:beforeAutospacing="0" w:afterAutospacing="0"/>
              <w:jc w:val="both"/>
              <w:rPr>
                <w:rFonts w:cs="宋体"/>
                <w:color w:val="auto"/>
                <w:kern w:val="2"/>
                <w:highlight w:val="none"/>
              </w:rPr>
            </w:pPr>
            <w:r>
              <w:rPr>
                <w:rFonts w:cs="宋体"/>
                <w:color w:val="auto"/>
                <w:kern w:val="2"/>
                <w:highlight w:val="none"/>
              </w:rPr>
              <w:t>勘察初步设计方案文件按招标文件要求编制；投标人没有在勘察初步设计方案内标注名称、印章、商标、图形等记认符号，使人辨认出投标人或其专业技术人员的身份；</w:t>
            </w:r>
          </w:p>
        </w:tc>
        <w:tc>
          <w:tcPr>
            <w:tcW w:w="1567" w:type="dxa"/>
            <w:tcBorders>
              <w:top w:val="single" w:color="auto" w:sz="4" w:space="0"/>
              <w:left w:val="nil"/>
              <w:bottom w:val="single" w:color="auto" w:sz="4" w:space="0"/>
              <w:right w:val="single" w:color="auto" w:sz="4" w:space="0"/>
            </w:tcBorders>
          </w:tcPr>
          <w:p w14:paraId="2BA31338">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4597E28F">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4841F81B">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5DD78521">
            <w:pPr>
              <w:pStyle w:val="16"/>
              <w:widowControl w:val="0"/>
              <w:spacing w:beforeAutospacing="0" w:afterAutospacing="0"/>
              <w:jc w:val="center"/>
              <w:rPr>
                <w:rFonts w:cs="宋体"/>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tcBorders>
              <w:top w:val="single" w:color="auto" w:sz="4" w:space="0"/>
              <w:left w:val="single" w:color="auto" w:sz="4" w:space="0"/>
              <w:bottom w:val="single" w:color="auto" w:sz="4" w:space="0"/>
              <w:right w:val="single" w:color="auto" w:sz="4" w:space="0"/>
            </w:tcBorders>
            <w:vAlign w:val="center"/>
          </w:tcPr>
          <w:p w14:paraId="114DB825">
            <w:pPr>
              <w:pStyle w:val="16"/>
              <w:widowControl w:val="0"/>
              <w:spacing w:beforeAutospacing="0" w:afterAutospacing="0"/>
              <w:jc w:val="center"/>
              <w:rPr>
                <w:rFonts w:cs="宋体"/>
                <w:color w:val="auto"/>
                <w:kern w:val="2"/>
                <w:highlight w:val="none"/>
              </w:rPr>
            </w:pPr>
            <w:r>
              <w:rPr>
                <w:rFonts w:cs="宋体"/>
                <w:color w:val="auto"/>
                <w:kern w:val="2"/>
                <w:highlight w:val="none"/>
              </w:rPr>
              <w:t>2</w:t>
            </w:r>
          </w:p>
        </w:tc>
        <w:tc>
          <w:tcPr>
            <w:tcW w:w="8208" w:type="dxa"/>
            <w:tcBorders>
              <w:top w:val="single" w:color="auto" w:sz="4" w:space="0"/>
              <w:left w:val="nil"/>
              <w:bottom w:val="single" w:color="auto" w:sz="4" w:space="0"/>
              <w:right w:val="single" w:color="auto" w:sz="4" w:space="0"/>
            </w:tcBorders>
            <w:vAlign w:val="center"/>
          </w:tcPr>
          <w:p w14:paraId="6980FF89">
            <w:pPr>
              <w:pStyle w:val="16"/>
              <w:widowControl w:val="0"/>
              <w:spacing w:beforeAutospacing="0" w:afterAutospacing="0"/>
              <w:jc w:val="both"/>
              <w:rPr>
                <w:rFonts w:cs="宋体"/>
                <w:color w:val="auto"/>
                <w:kern w:val="2"/>
                <w:highlight w:val="none"/>
              </w:rPr>
            </w:pPr>
            <w:r>
              <w:rPr>
                <w:rFonts w:cs="宋体"/>
                <w:color w:val="auto"/>
                <w:kern w:val="2"/>
                <w:highlight w:val="none"/>
              </w:rPr>
              <w:t>投标人与招标人、评标委员会成员或者其他投标人无串通投标；</w:t>
            </w:r>
          </w:p>
        </w:tc>
        <w:tc>
          <w:tcPr>
            <w:tcW w:w="1567" w:type="dxa"/>
            <w:tcBorders>
              <w:top w:val="single" w:color="auto" w:sz="4" w:space="0"/>
              <w:left w:val="nil"/>
              <w:bottom w:val="single" w:color="auto" w:sz="4" w:space="0"/>
              <w:right w:val="single" w:color="auto" w:sz="4" w:space="0"/>
            </w:tcBorders>
          </w:tcPr>
          <w:p w14:paraId="7FE71D42">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6B2802BF">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40A7C778">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4A9DAF6A">
            <w:pPr>
              <w:pStyle w:val="16"/>
              <w:widowControl w:val="0"/>
              <w:spacing w:beforeAutospacing="0" w:afterAutospacing="0"/>
              <w:jc w:val="center"/>
              <w:rPr>
                <w:rFonts w:cs="宋体"/>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dxa"/>
            <w:tcBorders>
              <w:top w:val="single" w:color="auto" w:sz="4" w:space="0"/>
              <w:left w:val="single" w:color="auto" w:sz="4" w:space="0"/>
              <w:bottom w:val="single" w:color="auto" w:sz="4" w:space="0"/>
              <w:right w:val="single" w:color="auto" w:sz="4" w:space="0"/>
            </w:tcBorders>
            <w:vAlign w:val="center"/>
          </w:tcPr>
          <w:p w14:paraId="355D224D">
            <w:pPr>
              <w:pStyle w:val="16"/>
              <w:widowControl w:val="0"/>
              <w:spacing w:beforeAutospacing="0" w:afterAutospacing="0"/>
              <w:jc w:val="center"/>
              <w:rPr>
                <w:rFonts w:cs="宋体"/>
                <w:color w:val="auto"/>
                <w:kern w:val="2"/>
                <w:highlight w:val="none"/>
              </w:rPr>
            </w:pPr>
            <w:r>
              <w:rPr>
                <w:rFonts w:cs="宋体"/>
                <w:color w:val="auto"/>
                <w:kern w:val="2"/>
                <w:highlight w:val="none"/>
              </w:rPr>
              <w:t>3</w:t>
            </w:r>
          </w:p>
        </w:tc>
        <w:tc>
          <w:tcPr>
            <w:tcW w:w="8208" w:type="dxa"/>
            <w:tcBorders>
              <w:top w:val="single" w:color="auto" w:sz="4" w:space="0"/>
              <w:left w:val="nil"/>
              <w:bottom w:val="single" w:color="auto" w:sz="4" w:space="0"/>
              <w:right w:val="single" w:color="auto" w:sz="4" w:space="0"/>
            </w:tcBorders>
            <w:vAlign w:val="center"/>
          </w:tcPr>
          <w:p w14:paraId="5040F3B8">
            <w:pPr>
              <w:pStyle w:val="16"/>
              <w:widowControl w:val="0"/>
              <w:spacing w:beforeAutospacing="0" w:afterAutospacing="0"/>
              <w:jc w:val="both"/>
              <w:rPr>
                <w:rFonts w:cs="宋体"/>
                <w:color w:val="auto"/>
                <w:kern w:val="2"/>
                <w:highlight w:val="none"/>
              </w:rPr>
            </w:pPr>
            <w:r>
              <w:rPr>
                <w:rFonts w:cs="宋体"/>
                <w:color w:val="auto"/>
                <w:kern w:val="2"/>
                <w:highlight w:val="none"/>
              </w:rPr>
              <w:t>未通过明标、暗标中包含的相同内容(如报价等)互相印证、辨认投标人身份；</w:t>
            </w:r>
          </w:p>
        </w:tc>
        <w:tc>
          <w:tcPr>
            <w:tcW w:w="1567" w:type="dxa"/>
            <w:tcBorders>
              <w:top w:val="single" w:color="auto" w:sz="4" w:space="0"/>
              <w:left w:val="nil"/>
              <w:bottom w:val="single" w:color="auto" w:sz="4" w:space="0"/>
              <w:right w:val="single" w:color="auto" w:sz="4" w:space="0"/>
            </w:tcBorders>
          </w:tcPr>
          <w:p w14:paraId="43EE55C9">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5B92B146">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53A61485">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3C521552">
            <w:pPr>
              <w:pStyle w:val="16"/>
              <w:widowControl w:val="0"/>
              <w:spacing w:beforeAutospacing="0" w:afterAutospacing="0"/>
              <w:jc w:val="center"/>
              <w:rPr>
                <w:rFonts w:cs="宋体"/>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4" w:type="dxa"/>
            <w:tcBorders>
              <w:top w:val="single" w:color="auto" w:sz="4" w:space="0"/>
              <w:left w:val="single" w:color="auto" w:sz="4" w:space="0"/>
              <w:bottom w:val="single" w:color="auto" w:sz="4" w:space="0"/>
              <w:right w:val="single" w:color="auto" w:sz="4" w:space="0"/>
            </w:tcBorders>
            <w:vAlign w:val="center"/>
          </w:tcPr>
          <w:p w14:paraId="3630E0F5">
            <w:pPr>
              <w:pStyle w:val="16"/>
              <w:widowControl w:val="0"/>
              <w:spacing w:beforeAutospacing="0" w:afterAutospacing="0"/>
              <w:jc w:val="center"/>
              <w:rPr>
                <w:rFonts w:cs="宋体"/>
                <w:color w:val="auto"/>
                <w:kern w:val="2"/>
                <w:highlight w:val="none"/>
              </w:rPr>
            </w:pPr>
            <w:r>
              <w:rPr>
                <w:rFonts w:cs="宋体"/>
                <w:color w:val="auto"/>
                <w:kern w:val="2"/>
                <w:highlight w:val="none"/>
              </w:rPr>
              <w:t>4</w:t>
            </w:r>
          </w:p>
        </w:tc>
        <w:tc>
          <w:tcPr>
            <w:tcW w:w="8208" w:type="dxa"/>
            <w:tcBorders>
              <w:top w:val="single" w:color="auto" w:sz="4" w:space="0"/>
              <w:left w:val="nil"/>
              <w:bottom w:val="single" w:color="auto" w:sz="4" w:space="0"/>
              <w:right w:val="single" w:color="auto" w:sz="4" w:space="0"/>
            </w:tcBorders>
            <w:vAlign w:val="center"/>
          </w:tcPr>
          <w:p w14:paraId="6882018F">
            <w:pPr>
              <w:pStyle w:val="16"/>
              <w:widowControl w:val="0"/>
              <w:spacing w:beforeAutospacing="0" w:afterAutospacing="0"/>
              <w:jc w:val="both"/>
              <w:rPr>
                <w:rFonts w:cs="宋体"/>
                <w:color w:val="auto"/>
                <w:kern w:val="2"/>
                <w:highlight w:val="none"/>
              </w:rPr>
            </w:pPr>
            <w:r>
              <w:rPr>
                <w:rFonts w:cs="宋体"/>
                <w:color w:val="auto"/>
                <w:kern w:val="2"/>
                <w:highlight w:val="none"/>
              </w:rPr>
              <w:t>未发现互相雷同和串通投标；</w:t>
            </w:r>
          </w:p>
        </w:tc>
        <w:tc>
          <w:tcPr>
            <w:tcW w:w="1567" w:type="dxa"/>
            <w:tcBorders>
              <w:top w:val="single" w:color="auto" w:sz="4" w:space="0"/>
              <w:left w:val="nil"/>
              <w:bottom w:val="single" w:color="auto" w:sz="4" w:space="0"/>
              <w:right w:val="single" w:color="auto" w:sz="4" w:space="0"/>
            </w:tcBorders>
          </w:tcPr>
          <w:p w14:paraId="472A35D5">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1C821E4D">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417A6F20">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697540D5">
            <w:pPr>
              <w:pStyle w:val="16"/>
              <w:widowControl w:val="0"/>
              <w:spacing w:beforeAutospacing="0" w:afterAutospacing="0"/>
              <w:jc w:val="center"/>
              <w:rPr>
                <w:rFonts w:cs="宋体"/>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4" w:type="dxa"/>
            <w:tcBorders>
              <w:top w:val="single" w:color="auto" w:sz="4" w:space="0"/>
              <w:left w:val="single" w:color="auto" w:sz="4" w:space="0"/>
              <w:bottom w:val="single" w:color="auto" w:sz="4" w:space="0"/>
              <w:right w:val="single" w:color="auto" w:sz="4" w:space="0"/>
            </w:tcBorders>
            <w:vAlign w:val="center"/>
          </w:tcPr>
          <w:p w14:paraId="4598EB91">
            <w:pPr>
              <w:pStyle w:val="16"/>
              <w:widowControl w:val="0"/>
              <w:spacing w:beforeAutospacing="0" w:afterAutospacing="0"/>
              <w:jc w:val="center"/>
              <w:rPr>
                <w:rFonts w:cs="宋体"/>
                <w:color w:val="auto"/>
                <w:kern w:val="2"/>
                <w:highlight w:val="none"/>
              </w:rPr>
            </w:pPr>
            <w:r>
              <w:rPr>
                <w:rFonts w:cs="宋体"/>
                <w:color w:val="auto"/>
                <w:kern w:val="2"/>
                <w:highlight w:val="none"/>
              </w:rPr>
              <w:t>5</w:t>
            </w:r>
          </w:p>
        </w:tc>
        <w:tc>
          <w:tcPr>
            <w:tcW w:w="8208" w:type="dxa"/>
            <w:tcBorders>
              <w:top w:val="single" w:color="auto" w:sz="4" w:space="0"/>
              <w:left w:val="nil"/>
              <w:bottom w:val="single" w:color="auto" w:sz="4" w:space="0"/>
              <w:right w:val="single" w:color="auto" w:sz="4" w:space="0"/>
            </w:tcBorders>
            <w:vAlign w:val="center"/>
          </w:tcPr>
          <w:p w14:paraId="5DBFE14C">
            <w:pPr>
              <w:pStyle w:val="16"/>
              <w:widowControl w:val="0"/>
              <w:spacing w:beforeAutospacing="0" w:afterAutospacing="0"/>
              <w:jc w:val="both"/>
              <w:rPr>
                <w:rFonts w:cs="宋体"/>
                <w:color w:val="auto"/>
                <w:kern w:val="2"/>
                <w:highlight w:val="none"/>
              </w:rPr>
            </w:pPr>
            <w:r>
              <w:rPr>
                <w:rFonts w:cs="宋体"/>
                <w:color w:val="auto"/>
                <w:kern w:val="2"/>
                <w:highlight w:val="none"/>
              </w:rPr>
              <w:t>未发现明显抄袭行为、侵犯他人著作权和特许权；</w:t>
            </w:r>
          </w:p>
        </w:tc>
        <w:tc>
          <w:tcPr>
            <w:tcW w:w="1567" w:type="dxa"/>
            <w:tcBorders>
              <w:top w:val="single" w:color="auto" w:sz="4" w:space="0"/>
              <w:left w:val="nil"/>
              <w:bottom w:val="single" w:color="auto" w:sz="4" w:space="0"/>
              <w:right w:val="single" w:color="auto" w:sz="4" w:space="0"/>
            </w:tcBorders>
          </w:tcPr>
          <w:p w14:paraId="5E317F8B">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7E711AA7">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4C6008AC">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61B7CD15">
            <w:pPr>
              <w:pStyle w:val="16"/>
              <w:widowControl w:val="0"/>
              <w:spacing w:beforeAutospacing="0" w:afterAutospacing="0"/>
              <w:jc w:val="center"/>
              <w:rPr>
                <w:rFonts w:cs="宋体"/>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64" w:type="dxa"/>
            <w:tcBorders>
              <w:top w:val="single" w:color="auto" w:sz="4" w:space="0"/>
              <w:left w:val="single" w:color="auto" w:sz="4" w:space="0"/>
              <w:bottom w:val="single" w:color="auto" w:sz="4" w:space="0"/>
              <w:right w:val="single" w:color="auto" w:sz="4" w:space="0"/>
            </w:tcBorders>
            <w:vAlign w:val="center"/>
          </w:tcPr>
          <w:p w14:paraId="00402380">
            <w:pPr>
              <w:pStyle w:val="16"/>
              <w:widowControl w:val="0"/>
              <w:spacing w:beforeAutospacing="0" w:afterAutospacing="0"/>
              <w:jc w:val="center"/>
              <w:rPr>
                <w:rFonts w:cs="宋体"/>
                <w:color w:val="auto"/>
                <w:kern w:val="2"/>
                <w:highlight w:val="none"/>
              </w:rPr>
            </w:pPr>
            <w:r>
              <w:rPr>
                <w:rFonts w:cs="宋体"/>
                <w:color w:val="auto"/>
                <w:kern w:val="2"/>
                <w:highlight w:val="none"/>
              </w:rPr>
              <w:t>6</w:t>
            </w:r>
          </w:p>
        </w:tc>
        <w:tc>
          <w:tcPr>
            <w:tcW w:w="8208" w:type="dxa"/>
            <w:tcBorders>
              <w:top w:val="single" w:color="auto" w:sz="4" w:space="0"/>
              <w:left w:val="nil"/>
              <w:bottom w:val="single" w:color="auto" w:sz="4" w:space="0"/>
              <w:right w:val="single" w:color="auto" w:sz="4" w:space="0"/>
            </w:tcBorders>
            <w:vAlign w:val="center"/>
          </w:tcPr>
          <w:p w14:paraId="23CCC3FA">
            <w:pPr>
              <w:pStyle w:val="16"/>
              <w:widowControl w:val="0"/>
              <w:spacing w:beforeAutospacing="0" w:afterAutospacing="0"/>
              <w:jc w:val="both"/>
              <w:rPr>
                <w:rFonts w:cs="宋体"/>
                <w:color w:val="auto"/>
                <w:kern w:val="2"/>
                <w:highlight w:val="none"/>
              </w:rPr>
            </w:pPr>
            <w:r>
              <w:rPr>
                <w:rFonts w:cs="宋体"/>
                <w:color w:val="auto"/>
                <w:kern w:val="2"/>
                <w:highlight w:val="none"/>
              </w:rPr>
              <w:t>投标人之间不存在《广东省实施&lt;中华人民共和国招标投标法&gt;办法》第十六条所禁止的情形的。</w:t>
            </w:r>
          </w:p>
        </w:tc>
        <w:tc>
          <w:tcPr>
            <w:tcW w:w="1567" w:type="dxa"/>
            <w:tcBorders>
              <w:top w:val="single" w:color="auto" w:sz="4" w:space="0"/>
              <w:left w:val="nil"/>
              <w:bottom w:val="single" w:color="auto" w:sz="4" w:space="0"/>
              <w:right w:val="single" w:color="auto" w:sz="4" w:space="0"/>
            </w:tcBorders>
          </w:tcPr>
          <w:p w14:paraId="579238E1">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1B7A3962">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612D1645">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1A1A5C8A">
            <w:pPr>
              <w:pStyle w:val="16"/>
              <w:widowControl w:val="0"/>
              <w:spacing w:beforeAutospacing="0" w:afterAutospacing="0"/>
              <w:jc w:val="center"/>
              <w:rPr>
                <w:rFonts w:cs="宋体"/>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4" w:type="dxa"/>
            <w:tcBorders>
              <w:top w:val="single" w:color="auto" w:sz="4" w:space="0"/>
              <w:left w:val="single" w:color="auto" w:sz="4" w:space="0"/>
              <w:bottom w:val="single" w:color="auto" w:sz="4" w:space="0"/>
              <w:right w:val="single" w:color="auto" w:sz="4" w:space="0"/>
            </w:tcBorders>
            <w:vAlign w:val="center"/>
          </w:tcPr>
          <w:p w14:paraId="414F7B84">
            <w:pPr>
              <w:pStyle w:val="16"/>
              <w:widowControl w:val="0"/>
              <w:spacing w:beforeAutospacing="0" w:afterAutospacing="0"/>
              <w:jc w:val="center"/>
              <w:rPr>
                <w:rFonts w:cs="宋体"/>
                <w:color w:val="auto"/>
                <w:kern w:val="2"/>
                <w:highlight w:val="none"/>
              </w:rPr>
            </w:pPr>
            <w:r>
              <w:rPr>
                <w:rFonts w:cs="宋体"/>
                <w:color w:val="auto"/>
                <w:kern w:val="2"/>
                <w:highlight w:val="none"/>
              </w:rPr>
              <w:t>结论</w:t>
            </w:r>
          </w:p>
        </w:tc>
        <w:tc>
          <w:tcPr>
            <w:tcW w:w="8208" w:type="dxa"/>
            <w:tcBorders>
              <w:top w:val="single" w:color="auto" w:sz="4" w:space="0"/>
              <w:left w:val="nil"/>
              <w:bottom w:val="single" w:color="auto" w:sz="4" w:space="0"/>
              <w:right w:val="single" w:color="auto" w:sz="4" w:space="0"/>
            </w:tcBorders>
            <w:vAlign w:val="center"/>
          </w:tcPr>
          <w:p w14:paraId="7BD80A46">
            <w:pPr>
              <w:pStyle w:val="16"/>
              <w:widowControl w:val="0"/>
              <w:spacing w:beforeAutospacing="0" w:afterAutospacing="0"/>
              <w:jc w:val="both"/>
              <w:rPr>
                <w:rFonts w:cs="宋体"/>
                <w:color w:val="auto"/>
                <w:kern w:val="2"/>
                <w:highlight w:val="none"/>
              </w:rPr>
            </w:pPr>
            <w:r>
              <w:rPr>
                <w:rFonts w:cs="宋体"/>
                <w:color w:val="auto"/>
                <w:kern w:val="2"/>
                <w:highlight w:val="none"/>
              </w:rPr>
              <w:t>是否通过并进入下一阶段评审</w:t>
            </w:r>
          </w:p>
        </w:tc>
        <w:tc>
          <w:tcPr>
            <w:tcW w:w="1567" w:type="dxa"/>
            <w:tcBorders>
              <w:top w:val="single" w:color="auto" w:sz="4" w:space="0"/>
              <w:left w:val="nil"/>
              <w:bottom w:val="single" w:color="auto" w:sz="4" w:space="0"/>
              <w:right w:val="single" w:color="auto" w:sz="4" w:space="0"/>
            </w:tcBorders>
          </w:tcPr>
          <w:p w14:paraId="70FAA1B9">
            <w:pPr>
              <w:pStyle w:val="16"/>
              <w:widowControl w:val="0"/>
              <w:spacing w:beforeAutospacing="0" w:afterAutospacing="0"/>
              <w:jc w:val="center"/>
              <w:rPr>
                <w:rFonts w:cs="宋体"/>
                <w:b/>
                <w:color w:val="auto"/>
                <w:kern w:val="2"/>
                <w:highlight w:val="none"/>
              </w:rPr>
            </w:pPr>
          </w:p>
        </w:tc>
        <w:tc>
          <w:tcPr>
            <w:tcW w:w="1200" w:type="dxa"/>
            <w:tcBorders>
              <w:top w:val="single" w:color="auto" w:sz="4" w:space="0"/>
              <w:left w:val="nil"/>
              <w:bottom w:val="single" w:color="auto" w:sz="4" w:space="0"/>
              <w:right w:val="single" w:color="auto" w:sz="4" w:space="0"/>
            </w:tcBorders>
          </w:tcPr>
          <w:p w14:paraId="08CA75C2">
            <w:pPr>
              <w:pStyle w:val="16"/>
              <w:widowControl w:val="0"/>
              <w:spacing w:beforeAutospacing="0" w:afterAutospacing="0"/>
              <w:jc w:val="center"/>
              <w:rPr>
                <w:rFonts w:cs="宋体"/>
                <w:b/>
                <w:color w:val="auto"/>
                <w:kern w:val="2"/>
                <w:highlight w:val="none"/>
              </w:rPr>
            </w:pPr>
          </w:p>
        </w:tc>
        <w:tc>
          <w:tcPr>
            <w:tcW w:w="1167" w:type="dxa"/>
            <w:tcBorders>
              <w:top w:val="single" w:color="auto" w:sz="4" w:space="0"/>
              <w:left w:val="nil"/>
              <w:bottom w:val="single" w:color="auto" w:sz="4" w:space="0"/>
              <w:right w:val="single" w:color="auto" w:sz="4" w:space="0"/>
            </w:tcBorders>
          </w:tcPr>
          <w:p w14:paraId="01D32B29">
            <w:pPr>
              <w:pStyle w:val="16"/>
              <w:widowControl w:val="0"/>
              <w:spacing w:beforeAutospacing="0" w:afterAutospacing="0"/>
              <w:jc w:val="center"/>
              <w:rPr>
                <w:rFonts w:cs="宋体"/>
                <w:b/>
                <w:color w:val="auto"/>
                <w:kern w:val="2"/>
                <w:highlight w:val="none"/>
              </w:rPr>
            </w:pPr>
          </w:p>
        </w:tc>
        <w:tc>
          <w:tcPr>
            <w:tcW w:w="1133" w:type="dxa"/>
            <w:tcBorders>
              <w:top w:val="single" w:color="auto" w:sz="4" w:space="0"/>
              <w:left w:val="nil"/>
              <w:bottom w:val="single" w:color="auto" w:sz="4" w:space="0"/>
              <w:right w:val="single" w:color="auto" w:sz="4" w:space="0"/>
            </w:tcBorders>
          </w:tcPr>
          <w:p w14:paraId="6BD8AC73">
            <w:pPr>
              <w:pStyle w:val="16"/>
              <w:widowControl w:val="0"/>
              <w:spacing w:beforeAutospacing="0" w:afterAutospacing="0"/>
              <w:jc w:val="center"/>
              <w:rPr>
                <w:rFonts w:cs="宋体"/>
                <w:b/>
                <w:color w:val="auto"/>
                <w:kern w:val="2"/>
                <w:highlight w:val="none"/>
              </w:rPr>
            </w:pPr>
          </w:p>
        </w:tc>
      </w:tr>
    </w:tbl>
    <w:p w14:paraId="616D430B">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备注：1、根据本表的审查项目，填“是”或“否”。</w:t>
      </w:r>
    </w:p>
    <w:p w14:paraId="6B8D8B26">
      <w:pPr>
        <w:snapToGrid w:val="0"/>
        <w:spacing w:line="24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2、表中出现一个或以上“否”，即该投标人的评审“结论”为“否”，即该投标人不进入下一阶段评审。</w:t>
      </w:r>
    </w:p>
    <w:p w14:paraId="1F02B696">
      <w:pPr>
        <w:snapToGrid w:val="0"/>
        <w:spacing w:line="240" w:lineRule="auto"/>
        <w:ind w:firstLine="720" w:firstLineChars="300"/>
        <w:jc w:val="left"/>
        <w:rPr>
          <w:rFonts w:hint="eastAsia" w:ascii="宋体" w:hAnsi="宋体" w:cs="宋体"/>
          <w:color w:val="auto"/>
          <w:sz w:val="24"/>
          <w:szCs w:val="24"/>
          <w:highlight w:val="none"/>
        </w:rPr>
      </w:pPr>
      <w:bookmarkStart w:id="317" w:name="_Toc15828"/>
      <w:bookmarkStart w:id="318" w:name="_Toc27202"/>
      <w:bookmarkStart w:id="319" w:name="_Toc11208"/>
      <w:r>
        <w:rPr>
          <w:rFonts w:hint="eastAsia" w:ascii="宋体" w:hAnsi="宋体" w:cs="宋体"/>
          <w:color w:val="auto"/>
          <w:sz w:val="24"/>
          <w:szCs w:val="24"/>
          <w:highlight w:val="none"/>
        </w:rPr>
        <w:t>3、表中全部评审结果为“是”，视为同意进入下一阶段评审。</w:t>
      </w:r>
      <w:bookmarkEnd w:id="317"/>
      <w:bookmarkEnd w:id="318"/>
      <w:bookmarkEnd w:id="319"/>
    </w:p>
    <w:p w14:paraId="4F07CE24">
      <w:pPr>
        <w:snapToGrid w:val="0"/>
        <w:spacing w:line="24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4、若评委意见不一致时，则按少数服从多数的原则，决定该投标人是否通过有效性审查，进入下一阶段评审。</w:t>
      </w:r>
    </w:p>
    <w:p w14:paraId="68D7DFF6">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评委签名：                                                                           日期：  年  月   日</w:t>
      </w:r>
    </w:p>
    <w:p w14:paraId="1D83F619">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0BD40728">
      <w:pPr>
        <w:snapToGrid w:val="0"/>
        <w:jc w:val="center"/>
        <w:rPr>
          <w:rFonts w:hint="eastAsia" w:ascii="宋体" w:hAnsi="宋体" w:cs="宋体"/>
          <w:color w:val="auto"/>
          <w:sz w:val="24"/>
          <w:szCs w:val="24"/>
          <w:highlight w:val="none"/>
        </w:rPr>
      </w:pPr>
      <w:r>
        <w:rPr>
          <w:rFonts w:hint="eastAsia" w:ascii="宋体" w:hAnsi="宋体" w:cs="宋体"/>
          <w:b/>
          <w:color w:val="auto"/>
          <w:sz w:val="32"/>
          <w:szCs w:val="32"/>
          <w:highlight w:val="none"/>
        </w:rPr>
        <w:t>有效性审查表（非技术方案）</w:t>
      </w:r>
    </w:p>
    <w:p w14:paraId="43F0B020">
      <w:pPr>
        <w:pStyle w:val="16"/>
        <w:widowControl w:val="0"/>
        <w:spacing w:beforeAutospacing="0" w:afterAutospacing="0"/>
        <w:rPr>
          <w:rFonts w:cs="宋体"/>
          <w:b/>
          <w:color w:val="auto"/>
          <w:highlight w:val="none"/>
        </w:rPr>
      </w:pPr>
      <w:r>
        <w:rPr>
          <w:rFonts w:cs="宋体"/>
          <w:color w:val="auto"/>
          <w:highlight w:val="none"/>
        </w:rPr>
        <w:t>项目名称：</w:t>
      </w:r>
      <w:r>
        <w:rPr>
          <w:rFonts w:hint="eastAsia" w:cs="宋体"/>
          <w:color w:val="auto"/>
          <w:highlight w:val="none"/>
          <w:lang w:val="en-US" w:eastAsia="zh-CN"/>
        </w:rPr>
        <w:t xml:space="preserve">                                                                            </w:t>
      </w:r>
      <w:r>
        <w:rPr>
          <w:rFonts w:cs="宋体"/>
          <w:color w:val="auto"/>
          <w:highlight w:val="none"/>
        </w:rPr>
        <w:t>方案编号：</w:t>
      </w:r>
    </w:p>
    <w:tbl>
      <w:tblPr>
        <w:tblStyle w:val="20"/>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350"/>
        <w:gridCol w:w="1483"/>
        <w:gridCol w:w="1050"/>
        <w:gridCol w:w="917"/>
        <w:gridCol w:w="967"/>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5" w:type="dxa"/>
            <w:tcBorders>
              <w:top w:val="single" w:color="auto" w:sz="4" w:space="0"/>
              <w:left w:val="single" w:color="auto" w:sz="4" w:space="0"/>
              <w:bottom w:val="single" w:color="auto" w:sz="4" w:space="0"/>
              <w:right w:val="single" w:color="auto" w:sz="4" w:space="0"/>
            </w:tcBorders>
            <w:vAlign w:val="center"/>
          </w:tcPr>
          <w:p w14:paraId="225A6E76">
            <w:pPr>
              <w:pStyle w:val="16"/>
              <w:widowControl w:val="0"/>
              <w:spacing w:beforeAutospacing="0" w:afterAutospacing="0"/>
              <w:jc w:val="center"/>
              <w:rPr>
                <w:rFonts w:cs="宋体"/>
                <w:color w:val="auto"/>
                <w:kern w:val="2"/>
                <w:highlight w:val="none"/>
              </w:rPr>
            </w:pPr>
            <w:r>
              <w:rPr>
                <w:rFonts w:cs="宋体"/>
                <w:color w:val="auto"/>
                <w:kern w:val="2"/>
                <w:highlight w:val="none"/>
              </w:rPr>
              <w:t>序号</w:t>
            </w:r>
          </w:p>
        </w:tc>
        <w:tc>
          <w:tcPr>
            <w:tcW w:w="9350" w:type="dxa"/>
            <w:tcBorders>
              <w:top w:val="single" w:color="auto" w:sz="4" w:space="0"/>
              <w:left w:val="nil"/>
              <w:bottom w:val="single" w:color="auto" w:sz="4" w:space="0"/>
              <w:right w:val="single" w:color="auto" w:sz="4" w:space="0"/>
            </w:tcBorders>
            <w:vAlign w:val="center"/>
          </w:tcPr>
          <w:p w14:paraId="190CF2E4">
            <w:pPr>
              <w:pStyle w:val="16"/>
              <w:widowControl w:val="0"/>
              <w:spacing w:beforeAutospacing="0" w:afterAutospacing="0"/>
              <w:jc w:val="center"/>
              <w:rPr>
                <w:rFonts w:cs="宋体"/>
                <w:b/>
                <w:color w:val="auto"/>
                <w:kern w:val="2"/>
                <w:highlight w:val="none"/>
              </w:rPr>
            </w:pPr>
            <w:r>
              <w:rPr>
                <w:rFonts w:cs="宋体"/>
                <w:color w:val="auto"/>
                <w:kern w:val="2"/>
                <w:highlight w:val="none"/>
              </w:rPr>
              <w:t>审查项目</w:t>
            </w:r>
          </w:p>
        </w:tc>
        <w:tc>
          <w:tcPr>
            <w:tcW w:w="1483" w:type="dxa"/>
            <w:tcBorders>
              <w:top w:val="single" w:color="auto" w:sz="4" w:space="0"/>
              <w:left w:val="nil"/>
              <w:bottom w:val="single" w:color="auto" w:sz="4" w:space="0"/>
              <w:right w:val="single" w:color="auto" w:sz="4" w:space="0"/>
            </w:tcBorders>
            <w:vAlign w:val="center"/>
          </w:tcPr>
          <w:p w14:paraId="2EA346E7">
            <w:pPr>
              <w:pStyle w:val="16"/>
              <w:widowControl w:val="0"/>
              <w:spacing w:beforeAutospacing="0" w:afterAutospacing="0"/>
              <w:jc w:val="center"/>
              <w:rPr>
                <w:rFonts w:cs="宋体"/>
                <w:b/>
                <w:color w:val="auto"/>
                <w:kern w:val="2"/>
                <w:highlight w:val="none"/>
              </w:rPr>
            </w:pPr>
            <w:r>
              <w:rPr>
                <w:rFonts w:cs="宋体"/>
                <w:color w:val="auto"/>
                <w:kern w:val="2"/>
                <w:highlight w:val="none"/>
              </w:rPr>
              <w:t>投标人名称</w:t>
            </w:r>
          </w:p>
        </w:tc>
        <w:tc>
          <w:tcPr>
            <w:tcW w:w="1050" w:type="dxa"/>
            <w:tcBorders>
              <w:top w:val="single" w:color="auto" w:sz="4" w:space="0"/>
              <w:left w:val="nil"/>
              <w:bottom w:val="single" w:color="auto" w:sz="4" w:space="0"/>
              <w:right w:val="single" w:color="auto" w:sz="4" w:space="0"/>
            </w:tcBorders>
            <w:vAlign w:val="center"/>
          </w:tcPr>
          <w:p w14:paraId="02D5D2E1">
            <w:pPr>
              <w:pStyle w:val="16"/>
              <w:widowControl w:val="0"/>
              <w:spacing w:beforeAutospacing="0" w:afterAutospacing="0"/>
              <w:jc w:val="center"/>
              <w:rPr>
                <w:rFonts w:cs="宋体"/>
                <w:b/>
                <w:color w:val="auto"/>
                <w:kern w:val="2"/>
                <w:highlight w:val="none"/>
              </w:rPr>
            </w:pPr>
            <w:r>
              <w:rPr>
                <w:rFonts w:cs="宋体"/>
                <w:b/>
                <w:color w:val="auto"/>
                <w:kern w:val="2"/>
                <w:highlight w:val="none"/>
              </w:rPr>
              <w:t>....</w:t>
            </w:r>
          </w:p>
        </w:tc>
        <w:tc>
          <w:tcPr>
            <w:tcW w:w="917" w:type="dxa"/>
            <w:tcBorders>
              <w:top w:val="single" w:color="auto" w:sz="4" w:space="0"/>
              <w:left w:val="nil"/>
              <w:bottom w:val="single" w:color="auto" w:sz="4" w:space="0"/>
              <w:right w:val="single" w:color="auto" w:sz="4" w:space="0"/>
            </w:tcBorders>
            <w:vAlign w:val="center"/>
          </w:tcPr>
          <w:p w14:paraId="54B31592">
            <w:pPr>
              <w:pStyle w:val="16"/>
              <w:widowControl w:val="0"/>
              <w:spacing w:beforeAutospacing="0" w:afterAutospacing="0"/>
              <w:jc w:val="center"/>
              <w:rPr>
                <w:rFonts w:cs="宋体"/>
                <w:b/>
                <w:color w:val="auto"/>
                <w:kern w:val="2"/>
                <w:highlight w:val="none"/>
              </w:rPr>
            </w:pPr>
            <w:r>
              <w:rPr>
                <w:rFonts w:cs="宋体"/>
                <w:b/>
                <w:color w:val="auto"/>
                <w:kern w:val="2"/>
                <w:highlight w:val="none"/>
              </w:rPr>
              <w:t>....</w:t>
            </w:r>
          </w:p>
        </w:tc>
        <w:tc>
          <w:tcPr>
            <w:tcW w:w="967" w:type="dxa"/>
            <w:tcBorders>
              <w:top w:val="single" w:color="auto" w:sz="4" w:space="0"/>
              <w:left w:val="nil"/>
              <w:bottom w:val="single" w:color="auto" w:sz="4" w:space="0"/>
              <w:right w:val="single" w:color="auto" w:sz="4" w:space="0"/>
            </w:tcBorders>
            <w:vAlign w:val="center"/>
          </w:tcPr>
          <w:p w14:paraId="072A3394">
            <w:pPr>
              <w:pStyle w:val="16"/>
              <w:widowControl w:val="0"/>
              <w:spacing w:beforeAutospacing="0" w:afterAutospacing="0"/>
              <w:jc w:val="center"/>
              <w:rPr>
                <w:rFonts w:cs="宋体"/>
                <w:b/>
                <w:color w:val="auto"/>
                <w:kern w:val="2"/>
                <w:highlight w:val="none"/>
              </w:rPr>
            </w:pPr>
            <w:r>
              <w:rPr>
                <w:rFonts w:cs="宋体"/>
                <w:b/>
                <w:color w:val="auto"/>
                <w:kern w:val="2"/>
                <w:highlight w:val="none"/>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5" w:type="dxa"/>
            <w:tcBorders>
              <w:top w:val="single" w:color="auto" w:sz="4" w:space="0"/>
              <w:left w:val="single" w:color="auto" w:sz="4" w:space="0"/>
              <w:bottom w:val="single" w:color="auto" w:sz="4" w:space="0"/>
              <w:right w:val="single" w:color="auto" w:sz="4" w:space="0"/>
            </w:tcBorders>
            <w:vAlign w:val="center"/>
          </w:tcPr>
          <w:p w14:paraId="1AEABD2F">
            <w:pPr>
              <w:pStyle w:val="16"/>
              <w:widowControl w:val="0"/>
              <w:spacing w:beforeAutospacing="0" w:afterAutospacing="0"/>
              <w:jc w:val="center"/>
              <w:rPr>
                <w:rFonts w:cs="宋体"/>
                <w:color w:val="auto"/>
                <w:kern w:val="2"/>
                <w:highlight w:val="none"/>
              </w:rPr>
            </w:pPr>
            <w:r>
              <w:rPr>
                <w:rFonts w:cs="宋体"/>
                <w:color w:val="auto"/>
                <w:kern w:val="2"/>
                <w:highlight w:val="none"/>
              </w:rPr>
              <w:t>1</w:t>
            </w:r>
          </w:p>
        </w:tc>
        <w:tc>
          <w:tcPr>
            <w:tcW w:w="9350" w:type="dxa"/>
            <w:tcBorders>
              <w:top w:val="single" w:color="auto" w:sz="4" w:space="0"/>
              <w:left w:val="nil"/>
              <w:bottom w:val="single" w:color="auto" w:sz="4" w:space="0"/>
              <w:right w:val="single" w:color="auto" w:sz="4" w:space="0"/>
            </w:tcBorders>
            <w:vAlign w:val="center"/>
          </w:tcPr>
          <w:p w14:paraId="79A1D7F0">
            <w:pPr>
              <w:pStyle w:val="16"/>
              <w:widowControl w:val="0"/>
              <w:spacing w:beforeAutospacing="0" w:afterAutospacing="0"/>
              <w:jc w:val="both"/>
              <w:rPr>
                <w:rFonts w:cs="宋体"/>
                <w:color w:val="auto"/>
                <w:kern w:val="2"/>
                <w:highlight w:val="none"/>
              </w:rPr>
            </w:pPr>
            <w:r>
              <w:rPr>
                <w:rFonts w:cs="宋体"/>
                <w:color w:val="auto"/>
                <w:kern w:val="2"/>
                <w:highlight w:val="none"/>
              </w:rPr>
              <w:t>投标人之间不存在《广东省实施&lt;中华人民共和国招标投标法&gt;办法》第十六条所禁止的情形的；</w:t>
            </w:r>
          </w:p>
        </w:tc>
        <w:tc>
          <w:tcPr>
            <w:tcW w:w="1483" w:type="dxa"/>
            <w:tcBorders>
              <w:top w:val="single" w:color="auto" w:sz="4" w:space="0"/>
              <w:left w:val="nil"/>
              <w:bottom w:val="single" w:color="auto" w:sz="4" w:space="0"/>
              <w:right w:val="single" w:color="auto" w:sz="4" w:space="0"/>
            </w:tcBorders>
          </w:tcPr>
          <w:p w14:paraId="3BB1C026">
            <w:pPr>
              <w:pStyle w:val="16"/>
              <w:widowControl w:val="0"/>
              <w:spacing w:beforeAutospacing="0" w:afterAutospacing="0"/>
              <w:jc w:val="center"/>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1106B5E4">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4CB57DB2">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75F123FB">
            <w:pPr>
              <w:pStyle w:val="16"/>
              <w:widowControl w:val="0"/>
              <w:spacing w:beforeAutospacing="0" w:afterAutospacing="0"/>
              <w:jc w:val="center"/>
              <w:rPr>
                <w:rFonts w:cs="宋体"/>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2BB7D8F0">
            <w:pPr>
              <w:pStyle w:val="16"/>
              <w:widowControl w:val="0"/>
              <w:spacing w:beforeAutospacing="0" w:afterAutospacing="0"/>
              <w:jc w:val="center"/>
              <w:rPr>
                <w:rFonts w:cs="宋体"/>
                <w:color w:val="auto"/>
                <w:kern w:val="2"/>
                <w:highlight w:val="none"/>
              </w:rPr>
            </w:pPr>
            <w:r>
              <w:rPr>
                <w:rFonts w:cs="宋体"/>
                <w:color w:val="auto"/>
                <w:kern w:val="2"/>
                <w:highlight w:val="none"/>
              </w:rPr>
              <w:t>2</w:t>
            </w:r>
          </w:p>
        </w:tc>
        <w:tc>
          <w:tcPr>
            <w:tcW w:w="9350" w:type="dxa"/>
            <w:tcBorders>
              <w:top w:val="single" w:color="auto" w:sz="4" w:space="0"/>
              <w:left w:val="nil"/>
              <w:bottom w:val="single" w:color="auto" w:sz="4" w:space="0"/>
              <w:right w:val="single" w:color="auto" w:sz="4" w:space="0"/>
            </w:tcBorders>
            <w:vAlign w:val="center"/>
          </w:tcPr>
          <w:p w14:paraId="39A1DE6B">
            <w:pPr>
              <w:pStyle w:val="16"/>
              <w:widowControl w:val="0"/>
              <w:spacing w:beforeAutospacing="0" w:afterAutospacing="0"/>
              <w:jc w:val="both"/>
              <w:rPr>
                <w:rFonts w:cs="宋体"/>
                <w:color w:val="auto"/>
                <w:kern w:val="2"/>
                <w:highlight w:val="none"/>
              </w:rPr>
            </w:pPr>
            <w:r>
              <w:rPr>
                <w:rFonts w:cs="宋体"/>
                <w:color w:val="auto"/>
                <w:kern w:val="2"/>
                <w:highlight w:val="none"/>
              </w:rPr>
              <w:t>投标人与招标人、评标委员会成员或者其他投标人无串通投标；</w:t>
            </w:r>
          </w:p>
        </w:tc>
        <w:tc>
          <w:tcPr>
            <w:tcW w:w="1483" w:type="dxa"/>
            <w:tcBorders>
              <w:top w:val="single" w:color="auto" w:sz="4" w:space="0"/>
              <w:left w:val="nil"/>
              <w:bottom w:val="single" w:color="auto" w:sz="4" w:space="0"/>
              <w:right w:val="single" w:color="auto" w:sz="4" w:space="0"/>
            </w:tcBorders>
          </w:tcPr>
          <w:p w14:paraId="275A2225">
            <w:pPr>
              <w:pStyle w:val="16"/>
              <w:widowControl w:val="0"/>
              <w:spacing w:beforeAutospacing="0" w:afterAutospacing="0"/>
              <w:jc w:val="center"/>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7482C4B2">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0D175361">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3372FB6A">
            <w:pPr>
              <w:pStyle w:val="16"/>
              <w:widowControl w:val="0"/>
              <w:spacing w:beforeAutospacing="0" w:afterAutospacing="0"/>
              <w:jc w:val="center"/>
              <w:rPr>
                <w:rFonts w:cs="宋体"/>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705" w:type="dxa"/>
            <w:tcBorders>
              <w:top w:val="single" w:color="auto" w:sz="4" w:space="0"/>
              <w:left w:val="single" w:color="auto" w:sz="4" w:space="0"/>
              <w:bottom w:val="single" w:color="auto" w:sz="4" w:space="0"/>
              <w:right w:val="single" w:color="auto" w:sz="4" w:space="0"/>
            </w:tcBorders>
            <w:vAlign w:val="center"/>
          </w:tcPr>
          <w:p w14:paraId="4CF0F624">
            <w:pPr>
              <w:pStyle w:val="16"/>
              <w:widowControl w:val="0"/>
              <w:spacing w:beforeAutospacing="0" w:afterAutospacing="0"/>
              <w:jc w:val="center"/>
              <w:rPr>
                <w:rFonts w:cs="宋体"/>
                <w:color w:val="auto"/>
                <w:kern w:val="2"/>
                <w:highlight w:val="none"/>
              </w:rPr>
            </w:pPr>
            <w:r>
              <w:rPr>
                <w:rFonts w:cs="宋体"/>
                <w:color w:val="auto"/>
                <w:kern w:val="2"/>
                <w:highlight w:val="none"/>
              </w:rPr>
              <w:t>3</w:t>
            </w:r>
          </w:p>
        </w:tc>
        <w:tc>
          <w:tcPr>
            <w:tcW w:w="9350" w:type="dxa"/>
            <w:tcBorders>
              <w:top w:val="single" w:color="auto" w:sz="4" w:space="0"/>
              <w:left w:val="nil"/>
              <w:bottom w:val="single" w:color="auto" w:sz="4" w:space="0"/>
              <w:right w:val="single" w:color="auto" w:sz="4" w:space="0"/>
            </w:tcBorders>
            <w:vAlign w:val="center"/>
          </w:tcPr>
          <w:p w14:paraId="50BB676A">
            <w:pPr>
              <w:pStyle w:val="16"/>
              <w:widowControl w:val="0"/>
              <w:spacing w:beforeAutospacing="0" w:afterAutospacing="0"/>
              <w:jc w:val="both"/>
              <w:rPr>
                <w:rFonts w:cs="宋体"/>
                <w:color w:val="auto"/>
                <w:kern w:val="2"/>
                <w:highlight w:val="none"/>
              </w:rPr>
            </w:pPr>
            <w:r>
              <w:rPr>
                <w:rFonts w:cs="宋体"/>
                <w:color w:val="auto"/>
                <w:kern w:val="2"/>
                <w:highlight w:val="none"/>
              </w:rPr>
              <w:t>《投标书》有加盖投标人电子印章，已经</w:t>
            </w:r>
            <w:r>
              <w:rPr>
                <w:rFonts w:cs="宋体"/>
                <w:color w:val="auto"/>
                <w:szCs w:val="21"/>
                <w:highlight w:val="none"/>
              </w:rPr>
              <w:t>法定代表人</w:t>
            </w:r>
            <w:r>
              <w:rPr>
                <w:rFonts w:cs="宋体"/>
                <w:color w:val="auto"/>
                <w:kern w:val="2"/>
                <w:highlight w:val="none"/>
                <w:u w:val="single"/>
              </w:rPr>
              <w:t>、委托代理人及项目负责人签字（或盖章）</w:t>
            </w:r>
            <w:r>
              <w:rPr>
                <w:rFonts w:cs="宋体"/>
                <w:color w:val="auto"/>
                <w:kern w:val="2"/>
                <w:highlight w:val="none"/>
              </w:rPr>
              <w:t>；</w:t>
            </w:r>
          </w:p>
        </w:tc>
        <w:tc>
          <w:tcPr>
            <w:tcW w:w="1483" w:type="dxa"/>
            <w:tcBorders>
              <w:top w:val="single" w:color="auto" w:sz="4" w:space="0"/>
              <w:left w:val="nil"/>
              <w:bottom w:val="single" w:color="auto" w:sz="4" w:space="0"/>
              <w:right w:val="single" w:color="auto" w:sz="4" w:space="0"/>
            </w:tcBorders>
            <w:vAlign w:val="center"/>
          </w:tcPr>
          <w:p w14:paraId="2C05DBB0">
            <w:pPr>
              <w:pStyle w:val="16"/>
              <w:widowControl w:val="0"/>
              <w:spacing w:beforeAutospacing="0" w:afterAutospacing="0"/>
              <w:jc w:val="both"/>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5B2A23F5">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736FFCC9">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20ABC349">
            <w:pPr>
              <w:pStyle w:val="16"/>
              <w:widowControl w:val="0"/>
              <w:spacing w:beforeAutospacing="0" w:afterAutospacing="0"/>
              <w:jc w:val="center"/>
              <w:rPr>
                <w:rFonts w:cs="宋体"/>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0CB00892">
            <w:pPr>
              <w:pStyle w:val="16"/>
              <w:widowControl w:val="0"/>
              <w:spacing w:beforeAutospacing="0" w:afterAutospacing="0"/>
              <w:jc w:val="center"/>
              <w:rPr>
                <w:rFonts w:cs="宋体"/>
                <w:color w:val="auto"/>
                <w:kern w:val="2"/>
                <w:highlight w:val="none"/>
              </w:rPr>
            </w:pPr>
            <w:r>
              <w:rPr>
                <w:rFonts w:cs="宋体"/>
                <w:color w:val="auto"/>
                <w:kern w:val="2"/>
                <w:highlight w:val="none"/>
              </w:rPr>
              <w:t>4</w:t>
            </w:r>
          </w:p>
        </w:tc>
        <w:tc>
          <w:tcPr>
            <w:tcW w:w="9350" w:type="dxa"/>
            <w:tcBorders>
              <w:top w:val="single" w:color="auto" w:sz="4" w:space="0"/>
              <w:left w:val="nil"/>
              <w:bottom w:val="single" w:color="auto" w:sz="4" w:space="0"/>
              <w:right w:val="single" w:color="auto" w:sz="4" w:space="0"/>
            </w:tcBorders>
            <w:vAlign w:val="center"/>
          </w:tcPr>
          <w:p w14:paraId="55DCC4C9">
            <w:pPr>
              <w:pStyle w:val="16"/>
              <w:widowControl w:val="0"/>
              <w:spacing w:beforeAutospacing="0" w:afterAutospacing="0"/>
              <w:jc w:val="both"/>
              <w:rPr>
                <w:rFonts w:cs="宋体"/>
                <w:color w:val="auto"/>
                <w:kern w:val="2"/>
                <w:highlight w:val="none"/>
              </w:rPr>
            </w:pPr>
            <w:r>
              <w:rPr>
                <w:rFonts w:cs="宋体"/>
                <w:color w:val="auto"/>
                <w:kern w:val="2"/>
                <w:highlight w:val="none"/>
              </w:rPr>
              <w:t>《投标书》没有包含招标人不能接受的偏差，或投标人没有拒绝书面撤回偏差的情形；</w:t>
            </w:r>
          </w:p>
        </w:tc>
        <w:tc>
          <w:tcPr>
            <w:tcW w:w="1483" w:type="dxa"/>
            <w:tcBorders>
              <w:top w:val="single" w:color="auto" w:sz="4" w:space="0"/>
              <w:left w:val="nil"/>
              <w:bottom w:val="single" w:color="auto" w:sz="4" w:space="0"/>
              <w:right w:val="single" w:color="auto" w:sz="4" w:space="0"/>
            </w:tcBorders>
            <w:vAlign w:val="center"/>
          </w:tcPr>
          <w:p w14:paraId="3DFA8A17">
            <w:pPr>
              <w:pStyle w:val="16"/>
              <w:widowControl w:val="0"/>
              <w:spacing w:beforeAutospacing="0" w:afterAutospacing="0"/>
              <w:jc w:val="both"/>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338A87FB">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1082AFDE">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52A2DB2D">
            <w:pPr>
              <w:pStyle w:val="16"/>
              <w:widowControl w:val="0"/>
              <w:spacing w:beforeAutospacing="0" w:afterAutospacing="0"/>
              <w:jc w:val="center"/>
              <w:rPr>
                <w:rFonts w:cs="宋体"/>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2A4011AF">
            <w:pPr>
              <w:pStyle w:val="16"/>
              <w:widowControl w:val="0"/>
              <w:spacing w:beforeAutospacing="0" w:afterAutospacing="0"/>
              <w:jc w:val="center"/>
              <w:rPr>
                <w:rFonts w:cs="宋体"/>
                <w:color w:val="auto"/>
                <w:kern w:val="2"/>
                <w:highlight w:val="none"/>
              </w:rPr>
            </w:pPr>
            <w:r>
              <w:rPr>
                <w:rFonts w:cs="宋体"/>
                <w:color w:val="auto"/>
                <w:kern w:val="2"/>
                <w:highlight w:val="none"/>
              </w:rPr>
              <w:t>5</w:t>
            </w:r>
          </w:p>
        </w:tc>
        <w:tc>
          <w:tcPr>
            <w:tcW w:w="9350" w:type="dxa"/>
            <w:tcBorders>
              <w:top w:val="single" w:color="auto" w:sz="4" w:space="0"/>
              <w:left w:val="nil"/>
              <w:bottom w:val="single" w:color="auto" w:sz="4" w:space="0"/>
              <w:right w:val="single" w:color="auto" w:sz="4" w:space="0"/>
            </w:tcBorders>
            <w:vAlign w:val="center"/>
          </w:tcPr>
          <w:p w14:paraId="306CBC1E">
            <w:pPr>
              <w:pStyle w:val="16"/>
              <w:widowControl w:val="0"/>
              <w:spacing w:beforeAutospacing="0" w:afterAutospacing="0"/>
              <w:jc w:val="both"/>
              <w:rPr>
                <w:rFonts w:cs="宋体"/>
                <w:color w:val="auto"/>
                <w:kern w:val="2"/>
                <w:highlight w:val="none"/>
              </w:rPr>
            </w:pPr>
            <w:r>
              <w:rPr>
                <w:rFonts w:cs="宋体"/>
                <w:color w:val="auto"/>
                <w:kern w:val="2"/>
                <w:highlight w:val="none"/>
              </w:rPr>
              <w:t>《投标人声明》已按规定格式填写并已加盖投标人电子印章；</w:t>
            </w:r>
          </w:p>
        </w:tc>
        <w:tc>
          <w:tcPr>
            <w:tcW w:w="1483" w:type="dxa"/>
            <w:tcBorders>
              <w:top w:val="single" w:color="auto" w:sz="4" w:space="0"/>
              <w:left w:val="nil"/>
              <w:bottom w:val="single" w:color="auto" w:sz="4" w:space="0"/>
              <w:right w:val="single" w:color="auto" w:sz="4" w:space="0"/>
            </w:tcBorders>
            <w:vAlign w:val="center"/>
          </w:tcPr>
          <w:p w14:paraId="7B869BF8">
            <w:pPr>
              <w:pStyle w:val="16"/>
              <w:widowControl w:val="0"/>
              <w:spacing w:beforeAutospacing="0" w:afterAutospacing="0"/>
              <w:jc w:val="both"/>
              <w:rPr>
                <w:rFonts w:cs="宋体"/>
                <w:b/>
                <w:strike/>
                <w:color w:val="auto"/>
                <w:kern w:val="2"/>
                <w:highlight w:val="none"/>
              </w:rPr>
            </w:pPr>
          </w:p>
        </w:tc>
        <w:tc>
          <w:tcPr>
            <w:tcW w:w="1050" w:type="dxa"/>
            <w:tcBorders>
              <w:top w:val="single" w:color="auto" w:sz="4" w:space="0"/>
              <w:left w:val="nil"/>
              <w:bottom w:val="single" w:color="auto" w:sz="4" w:space="0"/>
              <w:right w:val="single" w:color="auto" w:sz="4" w:space="0"/>
            </w:tcBorders>
          </w:tcPr>
          <w:p w14:paraId="6C0FE6A2">
            <w:pPr>
              <w:pStyle w:val="16"/>
              <w:widowControl w:val="0"/>
              <w:spacing w:beforeAutospacing="0" w:afterAutospacing="0"/>
              <w:jc w:val="center"/>
              <w:rPr>
                <w:rFonts w:cs="宋体"/>
                <w:b/>
                <w:strike/>
                <w:color w:val="auto"/>
                <w:kern w:val="2"/>
                <w:highlight w:val="none"/>
              </w:rPr>
            </w:pPr>
          </w:p>
        </w:tc>
        <w:tc>
          <w:tcPr>
            <w:tcW w:w="917" w:type="dxa"/>
            <w:tcBorders>
              <w:top w:val="single" w:color="auto" w:sz="4" w:space="0"/>
              <w:left w:val="nil"/>
              <w:bottom w:val="single" w:color="auto" w:sz="4" w:space="0"/>
              <w:right w:val="single" w:color="auto" w:sz="4" w:space="0"/>
            </w:tcBorders>
          </w:tcPr>
          <w:p w14:paraId="475E8D95">
            <w:pPr>
              <w:pStyle w:val="16"/>
              <w:widowControl w:val="0"/>
              <w:spacing w:beforeAutospacing="0" w:afterAutospacing="0"/>
              <w:jc w:val="center"/>
              <w:rPr>
                <w:rFonts w:cs="宋体"/>
                <w:b/>
                <w:strike/>
                <w:color w:val="auto"/>
                <w:kern w:val="2"/>
                <w:highlight w:val="none"/>
              </w:rPr>
            </w:pPr>
          </w:p>
        </w:tc>
        <w:tc>
          <w:tcPr>
            <w:tcW w:w="967" w:type="dxa"/>
            <w:tcBorders>
              <w:top w:val="single" w:color="auto" w:sz="4" w:space="0"/>
              <w:left w:val="nil"/>
              <w:bottom w:val="single" w:color="auto" w:sz="4" w:space="0"/>
              <w:right w:val="single" w:color="auto" w:sz="4" w:space="0"/>
            </w:tcBorders>
          </w:tcPr>
          <w:p w14:paraId="5ACEC5F9">
            <w:pPr>
              <w:pStyle w:val="16"/>
              <w:widowControl w:val="0"/>
              <w:spacing w:beforeAutospacing="0" w:afterAutospacing="0"/>
              <w:jc w:val="center"/>
              <w:rPr>
                <w:rFonts w:cs="宋体"/>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1EEC62EF">
            <w:pPr>
              <w:pStyle w:val="16"/>
              <w:widowControl w:val="0"/>
              <w:spacing w:beforeAutospacing="0" w:afterAutospacing="0"/>
              <w:jc w:val="center"/>
              <w:rPr>
                <w:rFonts w:cs="宋体"/>
                <w:color w:val="auto"/>
                <w:kern w:val="2"/>
                <w:highlight w:val="none"/>
              </w:rPr>
            </w:pPr>
            <w:r>
              <w:rPr>
                <w:rFonts w:cs="宋体"/>
                <w:color w:val="auto"/>
                <w:kern w:val="2"/>
                <w:highlight w:val="none"/>
              </w:rPr>
              <w:t>6</w:t>
            </w:r>
          </w:p>
        </w:tc>
        <w:tc>
          <w:tcPr>
            <w:tcW w:w="9350" w:type="dxa"/>
            <w:tcBorders>
              <w:top w:val="single" w:color="auto" w:sz="4" w:space="0"/>
              <w:left w:val="nil"/>
              <w:bottom w:val="single" w:color="auto" w:sz="4" w:space="0"/>
              <w:right w:val="single" w:color="auto" w:sz="4" w:space="0"/>
            </w:tcBorders>
            <w:vAlign w:val="center"/>
          </w:tcPr>
          <w:p w14:paraId="1E5EF923">
            <w:pPr>
              <w:pStyle w:val="16"/>
              <w:widowControl w:val="0"/>
              <w:spacing w:beforeAutospacing="0" w:afterAutospacing="0"/>
              <w:jc w:val="both"/>
              <w:rPr>
                <w:rFonts w:cs="宋体"/>
                <w:color w:val="auto"/>
                <w:kern w:val="2"/>
                <w:highlight w:val="none"/>
              </w:rPr>
            </w:pPr>
            <w:r>
              <w:rPr>
                <w:rFonts w:cs="宋体"/>
                <w:color w:val="auto"/>
                <w:kern w:val="2"/>
                <w:highlight w:val="none"/>
                <w:lang w:bidi="ar"/>
              </w:rPr>
              <w:t>投标人与</w:t>
            </w:r>
            <w:r>
              <w:rPr>
                <w:rFonts w:cs="宋体"/>
                <w:color w:val="auto"/>
                <w:kern w:val="2"/>
                <w:highlight w:val="none"/>
                <w:u w:val="single"/>
                <w:lang w:bidi="ar"/>
              </w:rPr>
              <w:t>本项目</w:t>
            </w:r>
            <w:r>
              <w:rPr>
                <w:rFonts w:cs="宋体"/>
                <w:color w:val="auto"/>
                <w:kern w:val="2"/>
                <w:highlight w:val="none"/>
                <w:lang w:bidi="ar"/>
              </w:rPr>
              <w:t>其他投标人加密打包投标文件电脑机器特征码未出现一致情况；</w:t>
            </w:r>
          </w:p>
        </w:tc>
        <w:tc>
          <w:tcPr>
            <w:tcW w:w="1483" w:type="dxa"/>
            <w:tcBorders>
              <w:top w:val="single" w:color="auto" w:sz="4" w:space="0"/>
              <w:left w:val="nil"/>
              <w:bottom w:val="single" w:color="auto" w:sz="4" w:space="0"/>
              <w:right w:val="single" w:color="auto" w:sz="4" w:space="0"/>
            </w:tcBorders>
            <w:vAlign w:val="center"/>
          </w:tcPr>
          <w:p w14:paraId="6A26AB86">
            <w:pPr>
              <w:pStyle w:val="16"/>
              <w:widowControl w:val="0"/>
              <w:spacing w:beforeAutospacing="0" w:afterAutospacing="0"/>
              <w:jc w:val="both"/>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54C25A88">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3A6B091D">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73BB62BC">
            <w:pPr>
              <w:pStyle w:val="16"/>
              <w:widowControl w:val="0"/>
              <w:spacing w:beforeAutospacing="0" w:afterAutospacing="0"/>
              <w:jc w:val="center"/>
              <w:rPr>
                <w:rFonts w:cs="宋体"/>
                <w:b/>
                <w:color w:val="auto"/>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2A81C1EF">
            <w:pPr>
              <w:pStyle w:val="16"/>
              <w:widowControl w:val="0"/>
              <w:spacing w:beforeAutospacing="0" w:afterAutospacing="0"/>
              <w:jc w:val="center"/>
              <w:rPr>
                <w:rFonts w:cs="宋体"/>
                <w:color w:val="auto"/>
                <w:kern w:val="2"/>
                <w:highlight w:val="none"/>
              </w:rPr>
            </w:pPr>
            <w:r>
              <w:rPr>
                <w:rFonts w:cs="宋体"/>
                <w:color w:val="auto"/>
                <w:kern w:val="2"/>
                <w:highlight w:val="none"/>
              </w:rPr>
              <w:t>7</w:t>
            </w:r>
          </w:p>
        </w:tc>
        <w:tc>
          <w:tcPr>
            <w:tcW w:w="9350" w:type="dxa"/>
            <w:tcBorders>
              <w:top w:val="single" w:color="auto" w:sz="4" w:space="0"/>
              <w:left w:val="nil"/>
              <w:bottom w:val="single" w:color="auto" w:sz="4" w:space="0"/>
              <w:right w:val="single" w:color="auto" w:sz="4" w:space="0"/>
            </w:tcBorders>
            <w:vAlign w:val="center"/>
          </w:tcPr>
          <w:p w14:paraId="2F5E4B6F">
            <w:pPr>
              <w:pStyle w:val="16"/>
              <w:widowControl w:val="0"/>
              <w:spacing w:beforeAutospacing="0" w:afterAutospacing="0"/>
              <w:jc w:val="both"/>
              <w:rPr>
                <w:rFonts w:cs="宋体"/>
                <w:color w:val="auto"/>
                <w:kern w:val="2"/>
                <w:highlight w:val="none"/>
                <w:lang w:bidi="ar"/>
              </w:rPr>
            </w:pPr>
            <w:r>
              <w:rPr>
                <w:rFonts w:cs="宋体"/>
                <w:color w:val="auto"/>
                <w:kern w:val="2"/>
                <w:highlight w:val="none"/>
                <w:lang w:bidi="ar"/>
              </w:rPr>
              <w:t>已按要求缴纳投标保证金；</w:t>
            </w:r>
          </w:p>
        </w:tc>
        <w:tc>
          <w:tcPr>
            <w:tcW w:w="1483" w:type="dxa"/>
            <w:tcBorders>
              <w:top w:val="single" w:color="auto" w:sz="4" w:space="0"/>
              <w:left w:val="nil"/>
              <w:bottom w:val="single" w:color="auto" w:sz="4" w:space="0"/>
              <w:right w:val="single" w:color="auto" w:sz="4" w:space="0"/>
            </w:tcBorders>
            <w:vAlign w:val="center"/>
          </w:tcPr>
          <w:p w14:paraId="2CF738AA">
            <w:pPr>
              <w:pStyle w:val="16"/>
              <w:widowControl w:val="0"/>
              <w:spacing w:beforeAutospacing="0" w:afterAutospacing="0"/>
              <w:jc w:val="both"/>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5EEAB7B5">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2386ADAB">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5D81D441">
            <w:pPr>
              <w:pStyle w:val="16"/>
              <w:widowControl w:val="0"/>
              <w:spacing w:beforeAutospacing="0" w:afterAutospacing="0"/>
              <w:jc w:val="center"/>
              <w:rPr>
                <w:rFonts w:cs="宋体"/>
                <w:b/>
                <w:color w:val="auto"/>
                <w:kern w:val="2"/>
                <w:highlight w:val="none"/>
              </w:rPr>
            </w:pPr>
          </w:p>
        </w:tc>
      </w:tr>
      <w:tr w14:paraId="787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192879A8">
            <w:pPr>
              <w:pStyle w:val="16"/>
              <w:widowControl w:val="0"/>
              <w:spacing w:beforeAutospacing="0" w:afterAutospacing="0"/>
              <w:jc w:val="center"/>
              <w:rPr>
                <w:rFonts w:cs="宋体"/>
                <w:color w:val="auto"/>
                <w:kern w:val="2"/>
                <w:highlight w:val="none"/>
              </w:rPr>
            </w:pPr>
            <w:r>
              <w:rPr>
                <w:rFonts w:cs="宋体"/>
                <w:color w:val="auto"/>
                <w:kern w:val="2"/>
                <w:highlight w:val="none"/>
              </w:rPr>
              <w:t>8</w:t>
            </w:r>
          </w:p>
        </w:tc>
        <w:tc>
          <w:tcPr>
            <w:tcW w:w="9350" w:type="dxa"/>
            <w:tcBorders>
              <w:top w:val="single" w:color="auto" w:sz="4" w:space="0"/>
              <w:left w:val="nil"/>
              <w:bottom w:val="single" w:color="auto" w:sz="4" w:space="0"/>
              <w:right w:val="single" w:color="auto" w:sz="4" w:space="0"/>
            </w:tcBorders>
            <w:vAlign w:val="center"/>
          </w:tcPr>
          <w:p w14:paraId="0CB16676">
            <w:pPr>
              <w:pStyle w:val="16"/>
              <w:widowControl w:val="0"/>
              <w:spacing w:beforeAutospacing="0" w:afterAutospacing="0"/>
              <w:jc w:val="both"/>
              <w:rPr>
                <w:rFonts w:cs="宋体"/>
                <w:color w:val="auto"/>
                <w:kern w:val="2"/>
                <w:highlight w:val="none"/>
                <w:u w:val="single"/>
                <w:lang w:bidi="ar"/>
              </w:rPr>
            </w:pPr>
            <w:r>
              <w:rPr>
                <w:rFonts w:cs="宋体"/>
                <w:color w:val="auto"/>
                <w:szCs w:val="21"/>
                <w:highlight w:val="none"/>
                <w:u w:val="single"/>
              </w:rPr>
              <w:t>已按照招标文件要求进行投标报价，按招标文件附件3、附件3-1、附件3-2填报报价；</w:t>
            </w:r>
          </w:p>
        </w:tc>
        <w:tc>
          <w:tcPr>
            <w:tcW w:w="1483" w:type="dxa"/>
            <w:tcBorders>
              <w:top w:val="single" w:color="auto" w:sz="4" w:space="0"/>
              <w:left w:val="nil"/>
              <w:bottom w:val="single" w:color="auto" w:sz="4" w:space="0"/>
              <w:right w:val="single" w:color="auto" w:sz="4" w:space="0"/>
            </w:tcBorders>
            <w:vAlign w:val="center"/>
          </w:tcPr>
          <w:p w14:paraId="383512AB">
            <w:pPr>
              <w:pStyle w:val="16"/>
              <w:widowControl w:val="0"/>
              <w:spacing w:beforeAutospacing="0" w:afterAutospacing="0"/>
              <w:jc w:val="both"/>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2EB0721C">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7E671AC9">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1AFE038B">
            <w:pPr>
              <w:pStyle w:val="16"/>
              <w:widowControl w:val="0"/>
              <w:spacing w:beforeAutospacing="0" w:afterAutospacing="0"/>
              <w:jc w:val="center"/>
              <w:rPr>
                <w:rFonts w:cs="宋体"/>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705" w:type="dxa"/>
            <w:tcBorders>
              <w:top w:val="single" w:color="auto" w:sz="4" w:space="0"/>
              <w:left w:val="single" w:color="auto" w:sz="4" w:space="0"/>
              <w:bottom w:val="single" w:color="auto" w:sz="4" w:space="0"/>
              <w:right w:val="single" w:color="auto" w:sz="4" w:space="0"/>
            </w:tcBorders>
            <w:vAlign w:val="center"/>
          </w:tcPr>
          <w:p w14:paraId="7B7945CA">
            <w:pPr>
              <w:pStyle w:val="16"/>
              <w:widowControl w:val="0"/>
              <w:spacing w:beforeAutospacing="0" w:afterAutospacing="0"/>
              <w:jc w:val="center"/>
              <w:rPr>
                <w:rFonts w:cs="宋体"/>
                <w:color w:val="auto"/>
                <w:kern w:val="2"/>
                <w:highlight w:val="none"/>
              </w:rPr>
            </w:pPr>
            <w:r>
              <w:rPr>
                <w:rFonts w:cs="宋体"/>
                <w:color w:val="auto"/>
                <w:kern w:val="2"/>
                <w:highlight w:val="none"/>
              </w:rPr>
              <w:t>9</w:t>
            </w:r>
          </w:p>
        </w:tc>
        <w:tc>
          <w:tcPr>
            <w:tcW w:w="9350" w:type="dxa"/>
            <w:tcBorders>
              <w:top w:val="single" w:color="auto" w:sz="4" w:space="0"/>
              <w:left w:val="nil"/>
              <w:bottom w:val="single" w:color="auto" w:sz="4" w:space="0"/>
              <w:right w:val="single" w:color="auto" w:sz="4" w:space="0"/>
            </w:tcBorders>
            <w:vAlign w:val="center"/>
          </w:tcPr>
          <w:p w14:paraId="5D6C6C80">
            <w:pPr>
              <w:pStyle w:val="16"/>
              <w:widowControl w:val="0"/>
              <w:spacing w:beforeAutospacing="0" w:afterAutospacing="0"/>
              <w:jc w:val="both"/>
              <w:rPr>
                <w:rFonts w:cs="宋体"/>
                <w:color w:val="auto"/>
                <w:kern w:val="2"/>
                <w:highlight w:val="none"/>
              </w:rPr>
            </w:pPr>
            <w:r>
              <w:rPr>
                <w:rFonts w:cs="宋体"/>
                <w:color w:val="auto"/>
                <w:kern w:val="2"/>
                <w:highlight w:val="none"/>
                <w:u w:val="single"/>
                <w:lang w:bidi="ar"/>
              </w:rPr>
              <w:t>投标总报价不高于最高投标限价总价的及各分项投标报价不高于各分项最高投标限价的</w:t>
            </w:r>
            <w:r>
              <w:rPr>
                <w:rFonts w:cs="宋体"/>
                <w:color w:val="auto"/>
                <w:kern w:val="2"/>
                <w:highlight w:val="none"/>
                <w:lang w:bidi="ar"/>
              </w:rPr>
              <w:t>；</w:t>
            </w:r>
          </w:p>
        </w:tc>
        <w:tc>
          <w:tcPr>
            <w:tcW w:w="1483" w:type="dxa"/>
            <w:tcBorders>
              <w:top w:val="single" w:color="auto" w:sz="4" w:space="0"/>
              <w:left w:val="nil"/>
              <w:bottom w:val="single" w:color="auto" w:sz="4" w:space="0"/>
              <w:right w:val="single" w:color="auto" w:sz="4" w:space="0"/>
            </w:tcBorders>
            <w:vAlign w:val="center"/>
          </w:tcPr>
          <w:p w14:paraId="5CA18B5F">
            <w:pPr>
              <w:pStyle w:val="16"/>
              <w:widowControl w:val="0"/>
              <w:spacing w:beforeAutospacing="0" w:afterAutospacing="0"/>
              <w:jc w:val="both"/>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34A6BC63">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6F21562E">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7AF260EA">
            <w:pPr>
              <w:pStyle w:val="16"/>
              <w:widowControl w:val="0"/>
              <w:spacing w:beforeAutospacing="0" w:afterAutospacing="0"/>
              <w:jc w:val="center"/>
              <w:rPr>
                <w:rFonts w:cs="宋体"/>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5" w:type="dxa"/>
            <w:tcBorders>
              <w:top w:val="single" w:color="auto" w:sz="4" w:space="0"/>
              <w:left w:val="single" w:color="auto" w:sz="4" w:space="0"/>
              <w:bottom w:val="single" w:color="auto" w:sz="4" w:space="0"/>
              <w:right w:val="single" w:color="auto" w:sz="4" w:space="0"/>
            </w:tcBorders>
            <w:vAlign w:val="center"/>
          </w:tcPr>
          <w:p w14:paraId="3210DC12">
            <w:pPr>
              <w:pStyle w:val="16"/>
              <w:widowControl w:val="0"/>
              <w:spacing w:beforeAutospacing="0" w:afterAutospacing="0"/>
              <w:jc w:val="center"/>
              <w:rPr>
                <w:rFonts w:cs="宋体"/>
                <w:color w:val="auto"/>
                <w:kern w:val="2"/>
                <w:highlight w:val="none"/>
              </w:rPr>
            </w:pPr>
            <w:r>
              <w:rPr>
                <w:rFonts w:cs="宋体"/>
                <w:color w:val="auto"/>
                <w:kern w:val="2"/>
                <w:highlight w:val="none"/>
              </w:rPr>
              <w:t>结论</w:t>
            </w:r>
          </w:p>
        </w:tc>
        <w:tc>
          <w:tcPr>
            <w:tcW w:w="9350" w:type="dxa"/>
            <w:tcBorders>
              <w:top w:val="single" w:color="auto" w:sz="4" w:space="0"/>
              <w:left w:val="nil"/>
              <w:bottom w:val="single" w:color="auto" w:sz="4" w:space="0"/>
              <w:right w:val="single" w:color="auto" w:sz="4" w:space="0"/>
            </w:tcBorders>
            <w:vAlign w:val="center"/>
          </w:tcPr>
          <w:p w14:paraId="298C5AD5">
            <w:pPr>
              <w:pStyle w:val="16"/>
              <w:widowControl w:val="0"/>
              <w:spacing w:beforeAutospacing="0" w:afterAutospacing="0"/>
              <w:jc w:val="both"/>
              <w:rPr>
                <w:rFonts w:cs="宋体"/>
                <w:color w:val="auto"/>
                <w:kern w:val="2"/>
                <w:highlight w:val="none"/>
              </w:rPr>
            </w:pPr>
            <w:r>
              <w:rPr>
                <w:rFonts w:cs="宋体"/>
                <w:color w:val="auto"/>
                <w:kern w:val="2"/>
                <w:highlight w:val="none"/>
              </w:rPr>
              <w:t>是否通过并进入下一阶段评审</w:t>
            </w:r>
          </w:p>
        </w:tc>
        <w:tc>
          <w:tcPr>
            <w:tcW w:w="1483" w:type="dxa"/>
            <w:tcBorders>
              <w:top w:val="single" w:color="auto" w:sz="4" w:space="0"/>
              <w:left w:val="nil"/>
              <w:bottom w:val="single" w:color="auto" w:sz="4" w:space="0"/>
              <w:right w:val="single" w:color="auto" w:sz="4" w:space="0"/>
            </w:tcBorders>
          </w:tcPr>
          <w:p w14:paraId="0E943C45">
            <w:pPr>
              <w:pStyle w:val="16"/>
              <w:widowControl w:val="0"/>
              <w:spacing w:beforeAutospacing="0" w:afterAutospacing="0"/>
              <w:jc w:val="center"/>
              <w:rPr>
                <w:rFonts w:cs="宋体"/>
                <w:b/>
                <w:color w:val="auto"/>
                <w:kern w:val="2"/>
                <w:highlight w:val="none"/>
              </w:rPr>
            </w:pPr>
          </w:p>
        </w:tc>
        <w:tc>
          <w:tcPr>
            <w:tcW w:w="1050" w:type="dxa"/>
            <w:tcBorders>
              <w:top w:val="single" w:color="auto" w:sz="4" w:space="0"/>
              <w:left w:val="nil"/>
              <w:bottom w:val="single" w:color="auto" w:sz="4" w:space="0"/>
              <w:right w:val="single" w:color="auto" w:sz="4" w:space="0"/>
            </w:tcBorders>
          </w:tcPr>
          <w:p w14:paraId="13DA29A8">
            <w:pPr>
              <w:pStyle w:val="16"/>
              <w:widowControl w:val="0"/>
              <w:spacing w:beforeAutospacing="0" w:afterAutospacing="0"/>
              <w:jc w:val="center"/>
              <w:rPr>
                <w:rFonts w:cs="宋体"/>
                <w:b/>
                <w:color w:val="auto"/>
                <w:kern w:val="2"/>
                <w:highlight w:val="none"/>
              </w:rPr>
            </w:pPr>
          </w:p>
        </w:tc>
        <w:tc>
          <w:tcPr>
            <w:tcW w:w="917" w:type="dxa"/>
            <w:tcBorders>
              <w:top w:val="single" w:color="auto" w:sz="4" w:space="0"/>
              <w:left w:val="nil"/>
              <w:bottom w:val="single" w:color="auto" w:sz="4" w:space="0"/>
              <w:right w:val="single" w:color="auto" w:sz="4" w:space="0"/>
            </w:tcBorders>
          </w:tcPr>
          <w:p w14:paraId="10146F0A">
            <w:pPr>
              <w:pStyle w:val="16"/>
              <w:widowControl w:val="0"/>
              <w:spacing w:beforeAutospacing="0" w:afterAutospacing="0"/>
              <w:jc w:val="center"/>
              <w:rPr>
                <w:rFonts w:cs="宋体"/>
                <w:b/>
                <w:color w:val="auto"/>
                <w:kern w:val="2"/>
                <w:highlight w:val="none"/>
              </w:rPr>
            </w:pPr>
          </w:p>
        </w:tc>
        <w:tc>
          <w:tcPr>
            <w:tcW w:w="967" w:type="dxa"/>
            <w:tcBorders>
              <w:top w:val="single" w:color="auto" w:sz="4" w:space="0"/>
              <w:left w:val="nil"/>
              <w:bottom w:val="single" w:color="auto" w:sz="4" w:space="0"/>
              <w:right w:val="single" w:color="auto" w:sz="4" w:space="0"/>
            </w:tcBorders>
          </w:tcPr>
          <w:p w14:paraId="7EA588FF">
            <w:pPr>
              <w:pStyle w:val="16"/>
              <w:widowControl w:val="0"/>
              <w:spacing w:beforeAutospacing="0" w:afterAutospacing="0"/>
              <w:jc w:val="center"/>
              <w:rPr>
                <w:rFonts w:cs="宋体"/>
                <w:b/>
                <w:color w:val="auto"/>
                <w:kern w:val="2"/>
                <w:highlight w:val="none"/>
              </w:rPr>
            </w:pPr>
          </w:p>
        </w:tc>
      </w:tr>
    </w:tbl>
    <w:p w14:paraId="6F4B99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备注：1、根据本表的审查项目，填“是”或“否”。</w:t>
      </w:r>
    </w:p>
    <w:p w14:paraId="5527D085">
      <w:pPr>
        <w:snapToGrid w:val="0"/>
        <w:spacing w:line="24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2、表中出现一个或以上“否”，即该投标人的评审“结论”为“否”，即该投标人不进入下一阶段评审。</w:t>
      </w:r>
    </w:p>
    <w:p w14:paraId="131A372C">
      <w:pPr>
        <w:snapToGrid w:val="0"/>
        <w:spacing w:line="240" w:lineRule="auto"/>
        <w:ind w:firstLine="720" w:firstLineChars="300"/>
        <w:jc w:val="left"/>
        <w:rPr>
          <w:rFonts w:hint="eastAsia" w:ascii="宋体" w:hAnsi="宋体" w:cs="宋体"/>
          <w:color w:val="auto"/>
          <w:sz w:val="24"/>
          <w:szCs w:val="24"/>
          <w:highlight w:val="none"/>
        </w:rPr>
      </w:pPr>
      <w:bookmarkStart w:id="320" w:name="_Toc15251"/>
      <w:bookmarkStart w:id="321" w:name="_Toc14354"/>
      <w:bookmarkStart w:id="322" w:name="_Toc13698"/>
      <w:r>
        <w:rPr>
          <w:rFonts w:hint="eastAsia" w:ascii="宋体" w:hAnsi="宋体" w:cs="宋体"/>
          <w:color w:val="auto"/>
          <w:sz w:val="24"/>
          <w:szCs w:val="24"/>
          <w:highlight w:val="none"/>
        </w:rPr>
        <w:t>3、表中全部评审结果为“是”，视为同意进入下一阶段评审。</w:t>
      </w:r>
      <w:bookmarkEnd w:id="320"/>
      <w:bookmarkEnd w:id="321"/>
      <w:bookmarkEnd w:id="322"/>
    </w:p>
    <w:p w14:paraId="7B6FC4AB">
      <w:pPr>
        <w:snapToGrid w:val="0"/>
        <w:spacing w:line="24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4、若评委意见不一致时，则按少数服从多数的原则，决定该投标人是否通过有效性审查，进入下一阶段评审。</w:t>
      </w:r>
    </w:p>
    <w:p w14:paraId="1E8BC2A6">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评委签名：                                                                           日期：  年  月   日</w:t>
      </w:r>
    </w:p>
    <w:p w14:paraId="5F436D65">
      <w:pPr>
        <w:spacing w:line="360" w:lineRule="auto"/>
        <w:rPr>
          <w:rFonts w:hint="eastAsia" w:ascii="宋体" w:hAnsi="宋体" w:cs="宋体"/>
          <w:color w:val="auto"/>
          <w:szCs w:val="21"/>
          <w:highlight w:val="none"/>
        </w:rPr>
      </w:pPr>
    </w:p>
    <w:p w14:paraId="5FCE67BA">
      <w:pPr>
        <w:rPr>
          <w:rFonts w:hint="eastAsia" w:ascii="宋体" w:hAnsi="宋体" w:cs="宋体"/>
          <w:color w:val="auto"/>
          <w:kern w:val="0"/>
          <w:sz w:val="20"/>
          <w:szCs w:val="20"/>
          <w:highlight w:val="none"/>
        </w:rPr>
        <w:sectPr>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 w:linePitch="312" w:charSpace="0"/>
        </w:sectPr>
      </w:pPr>
    </w:p>
    <w:p w14:paraId="57C22F39">
      <w:pPr>
        <w:pStyle w:val="4"/>
        <w:jc w:val="left"/>
        <w:rPr>
          <w:rFonts w:hint="eastAsia" w:ascii="宋体" w:hAnsi="宋体" w:cs="宋体"/>
          <w:color w:val="auto"/>
          <w:sz w:val="21"/>
          <w:szCs w:val="21"/>
          <w:highlight w:val="none"/>
        </w:rPr>
      </w:pPr>
      <w:bookmarkStart w:id="323" w:name="_Toc13878"/>
      <w:bookmarkEnd w:id="323"/>
      <w:bookmarkStart w:id="324" w:name="_Toc14503"/>
      <w:bookmarkStart w:id="325" w:name="_Toc8373"/>
      <w:bookmarkStart w:id="326" w:name="_Toc14984"/>
      <w:bookmarkStart w:id="327" w:name="_Toc25160"/>
      <w:bookmarkStart w:id="328" w:name="_Toc21646"/>
      <w:bookmarkStart w:id="329" w:name="_Toc23671"/>
      <w:bookmarkStart w:id="330" w:name="_Toc24991"/>
      <w:r>
        <w:rPr>
          <w:rFonts w:hint="eastAsia" w:ascii="宋体" w:hAnsi="宋体" w:cs="宋体"/>
          <w:color w:val="auto"/>
          <w:sz w:val="21"/>
          <w:szCs w:val="21"/>
          <w:highlight w:val="none"/>
        </w:rPr>
        <w:t>附录12-1投标报价算术复核表</w:t>
      </w:r>
      <w:bookmarkEnd w:id="324"/>
      <w:bookmarkEnd w:id="325"/>
      <w:bookmarkEnd w:id="326"/>
      <w:bookmarkEnd w:id="327"/>
      <w:bookmarkEnd w:id="328"/>
      <w:bookmarkEnd w:id="329"/>
      <w:bookmarkEnd w:id="330"/>
    </w:p>
    <w:p w14:paraId="1752A1D0">
      <w:pPr>
        <w:jc w:val="center"/>
        <w:rPr>
          <w:rFonts w:hint="eastAsia" w:ascii="宋体" w:hAnsi="宋体" w:cs="宋体"/>
          <w:b/>
          <w:color w:val="auto"/>
          <w:sz w:val="32"/>
          <w:szCs w:val="32"/>
          <w:highlight w:val="none"/>
        </w:rPr>
      </w:pPr>
      <w:bookmarkStart w:id="331" w:name="_Toc114493774"/>
      <w:bookmarkEnd w:id="331"/>
      <w:r>
        <w:rPr>
          <w:rFonts w:hint="eastAsia" w:ascii="宋体" w:hAnsi="宋体" w:cs="宋体"/>
          <w:b/>
          <w:color w:val="auto"/>
          <w:sz w:val="32"/>
          <w:szCs w:val="32"/>
          <w:highlight w:val="none"/>
        </w:rPr>
        <w:t>投标报价算术复核表</w:t>
      </w:r>
    </w:p>
    <w:p w14:paraId="2ED90D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20"/>
        <w:tblW w:w="9655" w:type="dxa"/>
        <w:jc w:val="center"/>
        <w:tblLayout w:type="fixed"/>
        <w:tblCellMar>
          <w:top w:w="0" w:type="dxa"/>
          <w:left w:w="108" w:type="dxa"/>
          <w:bottom w:w="0" w:type="dxa"/>
          <w:right w:w="108" w:type="dxa"/>
        </w:tblCellMar>
      </w:tblPr>
      <w:tblGrid>
        <w:gridCol w:w="519"/>
        <w:gridCol w:w="643"/>
        <w:gridCol w:w="1067"/>
        <w:gridCol w:w="949"/>
        <w:gridCol w:w="949"/>
        <w:gridCol w:w="949"/>
        <w:gridCol w:w="1116"/>
        <w:gridCol w:w="949"/>
        <w:gridCol w:w="949"/>
        <w:gridCol w:w="954"/>
        <w:gridCol w:w="611"/>
      </w:tblGrid>
      <w:tr w14:paraId="0991CA82">
        <w:tblPrEx>
          <w:tblCellMar>
            <w:top w:w="0" w:type="dxa"/>
            <w:left w:w="108" w:type="dxa"/>
            <w:bottom w:w="0" w:type="dxa"/>
            <w:right w:w="108" w:type="dxa"/>
          </w:tblCellMar>
        </w:tblPrEx>
        <w:trPr>
          <w:trHeight w:val="549" w:hRule="atLeast"/>
          <w:jc w:val="center"/>
        </w:trPr>
        <w:tc>
          <w:tcPr>
            <w:tcW w:w="519" w:type="dxa"/>
            <w:vMerge w:val="restart"/>
            <w:tcBorders>
              <w:top w:val="single" w:color="auto" w:sz="4" w:space="0"/>
              <w:left w:val="single" w:color="auto" w:sz="4" w:space="0"/>
              <w:bottom w:val="nil"/>
              <w:right w:val="single" w:color="auto" w:sz="4" w:space="0"/>
            </w:tcBorders>
            <w:vAlign w:val="center"/>
          </w:tcPr>
          <w:p w14:paraId="1B72FB01">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43" w:type="dxa"/>
            <w:vMerge w:val="restart"/>
            <w:tcBorders>
              <w:top w:val="single" w:color="auto" w:sz="4" w:space="0"/>
              <w:left w:val="nil"/>
              <w:bottom w:val="nil"/>
              <w:right w:val="single" w:color="auto" w:sz="4" w:space="0"/>
            </w:tcBorders>
            <w:vAlign w:val="center"/>
          </w:tcPr>
          <w:p w14:paraId="2C360F13">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方案编号</w:t>
            </w:r>
          </w:p>
        </w:tc>
        <w:tc>
          <w:tcPr>
            <w:tcW w:w="3914" w:type="dxa"/>
            <w:gridSpan w:val="4"/>
            <w:tcBorders>
              <w:top w:val="single" w:color="auto" w:sz="4" w:space="0"/>
              <w:left w:val="nil"/>
              <w:bottom w:val="single" w:color="auto" w:sz="4" w:space="0"/>
              <w:right w:val="single" w:color="auto" w:sz="4" w:space="0"/>
            </w:tcBorders>
            <w:vAlign w:val="center"/>
          </w:tcPr>
          <w:p w14:paraId="071F7690">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投标人报价（元）</w:t>
            </w:r>
          </w:p>
        </w:tc>
        <w:tc>
          <w:tcPr>
            <w:tcW w:w="3968" w:type="dxa"/>
            <w:gridSpan w:val="4"/>
            <w:tcBorders>
              <w:top w:val="single" w:color="auto" w:sz="4" w:space="0"/>
              <w:left w:val="nil"/>
              <w:bottom w:val="single" w:color="auto" w:sz="4" w:space="0"/>
              <w:right w:val="single" w:color="auto" w:sz="4" w:space="0"/>
            </w:tcBorders>
            <w:vAlign w:val="center"/>
          </w:tcPr>
          <w:p w14:paraId="2A01706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算术复核后报价（元）</w:t>
            </w:r>
          </w:p>
        </w:tc>
        <w:tc>
          <w:tcPr>
            <w:tcW w:w="611" w:type="dxa"/>
            <w:tcBorders>
              <w:top w:val="single" w:color="auto" w:sz="4" w:space="0"/>
              <w:left w:val="nil"/>
              <w:bottom w:val="single" w:color="auto" w:sz="4" w:space="0"/>
              <w:right w:val="single" w:color="auto" w:sz="4" w:space="0"/>
            </w:tcBorders>
            <w:vAlign w:val="center"/>
          </w:tcPr>
          <w:p w14:paraId="3BCC955B">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06CA62D">
        <w:tblPrEx>
          <w:tblCellMar>
            <w:top w:w="0" w:type="dxa"/>
            <w:left w:w="108" w:type="dxa"/>
            <w:bottom w:w="0" w:type="dxa"/>
            <w:right w:w="108" w:type="dxa"/>
          </w:tblCellMar>
        </w:tblPrEx>
        <w:trPr>
          <w:trHeight w:val="1376" w:hRule="atLeast"/>
          <w:jc w:val="center"/>
        </w:trPr>
        <w:tc>
          <w:tcPr>
            <w:tcW w:w="519" w:type="dxa"/>
            <w:vMerge w:val="continue"/>
            <w:tcBorders>
              <w:top w:val="single" w:color="auto" w:sz="4" w:space="0"/>
              <w:left w:val="single" w:color="auto" w:sz="4" w:space="0"/>
              <w:bottom w:val="nil"/>
              <w:right w:val="single" w:color="auto" w:sz="4" w:space="0"/>
            </w:tcBorders>
            <w:vAlign w:val="center"/>
          </w:tcPr>
          <w:p w14:paraId="0C28DC36">
            <w:pPr>
              <w:spacing w:line="240" w:lineRule="auto"/>
              <w:rPr>
                <w:rFonts w:hint="eastAsia" w:ascii="宋体" w:hAnsi="宋体" w:cs="宋体"/>
                <w:color w:val="auto"/>
                <w:sz w:val="20"/>
                <w:szCs w:val="20"/>
                <w:highlight w:val="none"/>
              </w:rPr>
            </w:pPr>
          </w:p>
        </w:tc>
        <w:tc>
          <w:tcPr>
            <w:tcW w:w="643" w:type="dxa"/>
            <w:vMerge w:val="continue"/>
            <w:tcBorders>
              <w:top w:val="single" w:color="auto" w:sz="4" w:space="0"/>
              <w:left w:val="nil"/>
              <w:bottom w:val="nil"/>
              <w:right w:val="single" w:color="auto" w:sz="4" w:space="0"/>
            </w:tcBorders>
            <w:vAlign w:val="center"/>
          </w:tcPr>
          <w:p w14:paraId="05F8C240">
            <w:pPr>
              <w:spacing w:line="240" w:lineRule="auto"/>
              <w:rPr>
                <w:rFonts w:hint="eastAsia" w:ascii="宋体" w:hAnsi="宋体" w:cs="宋体"/>
                <w:color w:val="auto"/>
                <w:sz w:val="20"/>
                <w:szCs w:val="20"/>
                <w:highlight w:val="none"/>
              </w:rPr>
            </w:pPr>
          </w:p>
        </w:tc>
        <w:tc>
          <w:tcPr>
            <w:tcW w:w="1067" w:type="dxa"/>
            <w:tcBorders>
              <w:top w:val="single" w:color="auto" w:sz="4" w:space="0"/>
              <w:left w:val="nil"/>
              <w:bottom w:val="single" w:color="auto" w:sz="4" w:space="0"/>
              <w:right w:val="single" w:color="auto" w:sz="4" w:space="0"/>
            </w:tcBorders>
            <w:vAlign w:val="center"/>
          </w:tcPr>
          <w:p w14:paraId="7C56CC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089EAF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7DDF79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初步设计费投标报价</w:t>
            </w:r>
          </w:p>
        </w:tc>
        <w:tc>
          <w:tcPr>
            <w:tcW w:w="949" w:type="dxa"/>
            <w:tcBorders>
              <w:top w:val="single" w:color="auto" w:sz="4" w:space="0"/>
              <w:left w:val="nil"/>
              <w:bottom w:val="single" w:color="auto" w:sz="4" w:space="0"/>
              <w:right w:val="single" w:color="auto" w:sz="4" w:space="0"/>
            </w:tcBorders>
            <w:vAlign w:val="center"/>
          </w:tcPr>
          <w:p w14:paraId="5CE341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勘察初步设计费投标总报价</w:t>
            </w:r>
          </w:p>
        </w:tc>
        <w:tc>
          <w:tcPr>
            <w:tcW w:w="1116" w:type="dxa"/>
            <w:tcBorders>
              <w:top w:val="single" w:color="auto" w:sz="4" w:space="0"/>
              <w:left w:val="nil"/>
              <w:bottom w:val="single" w:color="auto" w:sz="4" w:space="0"/>
              <w:right w:val="single" w:color="auto" w:sz="4" w:space="0"/>
            </w:tcBorders>
            <w:vAlign w:val="center"/>
          </w:tcPr>
          <w:p w14:paraId="23C4D0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7C4EAB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208CE8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初步设计费投标报价</w:t>
            </w:r>
          </w:p>
        </w:tc>
        <w:tc>
          <w:tcPr>
            <w:tcW w:w="954" w:type="dxa"/>
            <w:tcBorders>
              <w:top w:val="single" w:color="auto" w:sz="4" w:space="0"/>
              <w:left w:val="nil"/>
              <w:bottom w:val="single" w:color="auto" w:sz="4" w:space="0"/>
              <w:right w:val="single" w:color="auto" w:sz="4" w:space="0"/>
            </w:tcBorders>
            <w:vAlign w:val="center"/>
          </w:tcPr>
          <w:p w14:paraId="7FCF6D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勘察初步设计费投标总报价</w:t>
            </w:r>
          </w:p>
        </w:tc>
        <w:tc>
          <w:tcPr>
            <w:tcW w:w="611" w:type="dxa"/>
            <w:tcBorders>
              <w:top w:val="single" w:color="auto" w:sz="4" w:space="0"/>
              <w:left w:val="nil"/>
              <w:bottom w:val="single" w:color="auto" w:sz="4" w:space="0"/>
              <w:right w:val="single" w:color="auto" w:sz="4" w:space="0"/>
            </w:tcBorders>
          </w:tcPr>
          <w:p w14:paraId="54C693C3">
            <w:pPr>
              <w:spacing w:line="240" w:lineRule="auto"/>
              <w:jc w:val="center"/>
              <w:rPr>
                <w:rFonts w:hint="eastAsia" w:ascii="宋体" w:hAnsi="宋体" w:cs="宋体"/>
                <w:color w:val="auto"/>
                <w:szCs w:val="21"/>
                <w:highlight w:val="none"/>
              </w:rPr>
            </w:pPr>
          </w:p>
        </w:tc>
      </w:tr>
      <w:tr w14:paraId="75BC84D9">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2BE7B17E">
            <w:pPr>
              <w:spacing w:line="360" w:lineRule="auto"/>
              <w:rPr>
                <w:rFonts w:hint="eastAsia" w:ascii="宋体" w:hAnsi="宋体" w:cs="宋体"/>
                <w:color w:val="auto"/>
                <w:szCs w:val="21"/>
                <w:highlight w:val="none"/>
              </w:rPr>
            </w:pPr>
          </w:p>
        </w:tc>
        <w:tc>
          <w:tcPr>
            <w:tcW w:w="643" w:type="dxa"/>
            <w:tcBorders>
              <w:top w:val="single" w:color="auto" w:sz="4" w:space="0"/>
              <w:left w:val="nil"/>
              <w:bottom w:val="single" w:color="auto" w:sz="4" w:space="0"/>
              <w:right w:val="single" w:color="auto" w:sz="4" w:space="0"/>
            </w:tcBorders>
          </w:tcPr>
          <w:p w14:paraId="4C186277">
            <w:pPr>
              <w:spacing w:line="360" w:lineRule="auto"/>
              <w:rPr>
                <w:rFonts w:hint="eastAsia" w:ascii="宋体" w:hAnsi="宋体" w:cs="宋体"/>
                <w:color w:val="auto"/>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45A12E75">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493EF9B">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717198F8">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7B590107">
            <w:pPr>
              <w:spacing w:line="360" w:lineRule="auto"/>
              <w:rPr>
                <w:rFonts w:hint="eastAsia" w:ascii="宋体" w:hAnsi="宋体" w:cs="宋体"/>
                <w:color w:val="auto"/>
                <w:szCs w:val="21"/>
                <w:highlight w:val="none"/>
              </w:rPr>
            </w:pPr>
          </w:p>
        </w:tc>
        <w:tc>
          <w:tcPr>
            <w:tcW w:w="1116" w:type="dxa"/>
            <w:tcBorders>
              <w:top w:val="single" w:color="auto" w:sz="4" w:space="0"/>
              <w:left w:val="nil"/>
              <w:bottom w:val="single" w:color="auto" w:sz="4" w:space="0"/>
              <w:right w:val="single" w:color="auto" w:sz="4" w:space="0"/>
            </w:tcBorders>
          </w:tcPr>
          <w:p w14:paraId="523BF1CB">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31F6CEB8">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475185DA">
            <w:pPr>
              <w:spacing w:line="360" w:lineRule="auto"/>
              <w:rPr>
                <w:rFonts w:hint="eastAsia" w:ascii="宋体" w:hAnsi="宋体" w:cs="宋体"/>
                <w:color w:val="auto"/>
                <w:szCs w:val="21"/>
                <w:highlight w:val="none"/>
              </w:rPr>
            </w:pPr>
          </w:p>
        </w:tc>
        <w:tc>
          <w:tcPr>
            <w:tcW w:w="954" w:type="dxa"/>
            <w:tcBorders>
              <w:top w:val="single" w:color="auto" w:sz="4" w:space="0"/>
              <w:left w:val="nil"/>
              <w:bottom w:val="single" w:color="auto" w:sz="4" w:space="0"/>
              <w:right w:val="single" w:color="auto" w:sz="4" w:space="0"/>
            </w:tcBorders>
          </w:tcPr>
          <w:p w14:paraId="768C9685">
            <w:pPr>
              <w:spacing w:line="360" w:lineRule="auto"/>
              <w:rPr>
                <w:rFonts w:hint="eastAsia" w:ascii="宋体" w:hAnsi="宋体" w:cs="宋体"/>
                <w:color w:val="auto"/>
                <w:szCs w:val="21"/>
                <w:highlight w:val="none"/>
              </w:rPr>
            </w:pPr>
          </w:p>
        </w:tc>
        <w:tc>
          <w:tcPr>
            <w:tcW w:w="611" w:type="dxa"/>
            <w:tcBorders>
              <w:top w:val="single" w:color="auto" w:sz="4" w:space="0"/>
              <w:left w:val="nil"/>
              <w:bottom w:val="single" w:color="auto" w:sz="4" w:space="0"/>
              <w:right w:val="single" w:color="auto" w:sz="4" w:space="0"/>
            </w:tcBorders>
          </w:tcPr>
          <w:p w14:paraId="200706EA">
            <w:pPr>
              <w:spacing w:line="360" w:lineRule="auto"/>
              <w:rPr>
                <w:rFonts w:hint="eastAsia" w:ascii="宋体" w:hAnsi="宋体" w:cs="宋体"/>
                <w:color w:val="auto"/>
                <w:szCs w:val="21"/>
                <w:highlight w:val="none"/>
              </w:rPr>
            </w:pPr>
          </w:p>
        </w:tc>
      </w:tr>
      <w:tr w14:paraId="76AB40AA">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76EEE64A">
            <w:pPr>
              <w:spacing w:line="360" w:lineRule="auto"/>
              <w:rPr>
                <w:rFonts w:hint="eastAsia" w:ascii="宋体" w:hAnsi="宋体" w:cs="宋体"/>
                <w:color w:val="auto"/>
                <w:szCs w:val="21"/>
                <w:highlight w:val="none"/>
              </w:rPr>
            </w:pPr>
          </w:p>
        </w:tc>
        <w:tc>
          <w:tcPr>
            <w:tcW w:w="643" w:type="dxa"/>
            <w:tcBorders>
              <w:top w:val="single" w:color="auto" w:sz="4" w:space="0"/>
              <w:left w:val="nil"/>
              <w:bottom w:val="single" w:color="auto" w:sz="4" w:space="0"/>
              <w:right w:val="single" w:color="auto" w:sz="4" w:space="0"/>
            </w:tcBorders>
          </w:tcPr>
          <w:p w14:paraId="2723DD27">
            <w:pPr>
              <w:spacing w:line="360" w:lineRule="auto"/>
              <w:rPr>
                <w:rFonts w:hint="eastAsia" w:ascii="宋体" w:hAnsi="宋体" w:cs="宋体"/>
                <w:color w:val="auto"/>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67AA2CA5">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5935A42D">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3C74620D">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78F57B2A">
            <w:pPr>
              <w:spacing w:line="360" w:lineRule="auto"/>
              <w:rPr>
                <w:rFonts w:hint="eastAsia" w:ascii="宋体" w:hAnsi="宋体" w:cs="宋体"/>
                <w:color w:val="auto"/>
                <w:szCs w:val="21"/>
                <w:highlight w:val="none"/>
              </w:rPr>
            </w:pPr>
          </w:p>
        </w:tc>
        <w:tc>
          <w:tcPr>
            <w:tcW w:w="1116" w:type="dxa"/>
            <w:tcBorders>
              <w:top w:val="single" w:color="auto" w:sz="4" w:space="0"/>
              <w:left w:val="nil"/>
              <w:bottom w:val="single" w:color="auto" w:sz="4" w:space="0"/>
              <w:right w:val="single" w:color="auto" w:sz="4" w:space="0"/>
            </w:tcBorders>
          </w:tcPr>
          <w:p w14:paraId="752E654A">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CF94B29">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168BA3E0">
            <w:pPr>
              <w:spacing w:line="360" w:lineRule="auto"/>
              <w:rPr>
                <w:rFonts w:hint="eastAsia" w:ascii="宋体" w:hAnsi="宋体" w:cs="宋体"/>
                <w:color w:val="auto"/>
                <w:szCs w:val="21"/>
                <w:highlight w:val="none"/>
              </w:rPr>
            </w:pPr>
          </w:p>
        </w:tc>
        <w:tc>
          <w:tcPr>
            <w:tcW w:w="954" w:type="dxa"/>
            <w:tcBorders>
              <w:top w:val="single" w:color="auto" w:sz="4" w:space="0"/>
              <w:left w:val="nil"/>
              <w:bottom w:val="single" w:color="auto" w:sz="4" w:space="0"/>
              <w:right w:val="single" w:color="auto" w:sz="4" w:space="0"/>
            </w:tcBorders>
          </w:tcPr>
          <w:p w14:paraId="46E80A2A">
            <w:pPr>
              <w:spacing w:line="360" w:lineRule="auto"/>
              <w:rPr>
                <w:rFonts w:hint="eastAsia" w:ascii="宋体" w:hAnsi="宋体" w:cs="宋体"/>
                <w:color w:val="auto"/>
                <w:szCs w:val="21"/>
                <w:highlight w:val="none"/>
              </w:rPr>
            </w:pPr>
          </w:p>
        </w:tc>
        <w:tc>
          <w:tcPr>
            <w:tcW w:w="611" w:type="dxa"/>
            <w:tcBorders>
              <w:top w:val="single" w:color="auto" w:sz="4" w:space="0"/>
              <w:left w:val="nil"/>
              <w:bottom w:val="single" w:color="auto" w:sz="4" w:space="0"/>
              <w:right w:val="single" w:color="auto" w:sz="4" w:space="0"/>
            </w:tcBorders>
          </w:tcPr>
          <w:p w14:paraId="0FA6BD63">
            <w:pPr>
              <w:spacing w:line="360" w:lineRule="auto"/>
              <w:rPr>
                <w:rFonts w:hint="eastAsia" w:ascii="宋体" w:hAnsi="宋体" w:cs="宋体"/>
                <w:color w:val="auto"/>
                <w:szCs w:val="21"/>
                <w:highlight w:val="none"/>
              </w:rPr>
            </w:pPr>
          </w:p>
        </w:tc>
      </w:tr>
      <w:tr w14:paraId="74D68CF8">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5C00D8E8">
            <w:pPr>
              <w:spacing w:line="360" w:lineRule="auto"/>
              <w:rPr>
                <w:rFonts w:hint="eastAsia" w:ascii="宋体" w:hAnsi="宋体" w:cs="宋体"/>
                <w:color w:val="auto"/>
                <w:szCs w:val="21"/>
                <w:highlight w:val="none"/>
              </w:rPr>
            </w:pPr>
          </w:p>
        </w:tc>
        <w:tc>
          <w:tcPr>
            <w:tcW w:w="643" w:type="dxa"/>
            <w:tcBorders>
              <w:top w:val="single" w:color="auto" w:sz="4" w:space="0"/>
              <w:left w:val="nil"/>
              <w:bottom w:val="single" w:color="auto" w:sz="4" w:space="0"/>
              <w:right w:val="single" w:color="auto" w:sz="4" w:space="0"/>
            </w:tcBorders>
          </w:tcPr>
          <w:p w14:paraId="15322B90">
            <w:pPr>
              <w:spacing w:line="360" w:lineRule="auto"/>
              <w:rPr>
                <w:rFonts w:hint="eastAsia" w:ascii="宋体" w:hAnsi="宋体" w:cs="宋体"/>
                <w:color w:val="auto"/>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1247CE57">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07F98300">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E044316">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597DE73C">
            <w:pPr>
              <w:spacing w:line="360" w:lineRule="auto"/>
              <w:rPr>
                <w:rFonts w:hint="eastAsia" w:ascii="宋体" w:hAnsi="宋体" w:cs="宋体"/>
                <w:color w:val="auto"/>
                <w:szCs w:val="21"/>
                <w:highlight w:val="none"/>
              </w:rPr>
            </w:pPr>
          </w:p>
        </w:tc>
        <w:tc>
          <w:tcPr>
            <w:tcW w:w="1116" w:type="dxa"/>
            <w:tcBorders>
              <w:top w:val="single" w:color="auto" w:sz="4" w:space="0"/>
              <w:left w:val="nil"/>
              <w:bottom w:val="single" w:color="auto" w:sz="4" w:space="0"/>
              <w:right w:val="single" w:color="auto" w:sz="4" w:space="0"/>
            </w:tcBorders>
          </w:tcPr>
          <w:p w14:paraId="74FD5A63">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4B0272D6">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0F02A219">
            <w:pPr>
              <w:spacing w:line="360" w:lineRule="auto"/>
              <w:rPr>
                <w:rFonts w:hint="eastAsia" w:ascii="宋体" w:hAnsi="宋体" w:cs="宋体"/>
                <w:color w:val="auto"/>
                <w:szCs w:val="21"/>
                <w:highlight w:val="none"/>
              </w:rPr>
            </w:pPr>
          </w:p>
        </w:tc>
        <w:tc>
          <w:tcPr>
            <w:tcW w:w="954" w:type="dxa"/>
            <w:tcBorders>
              <w:top w:val="single" w:color="auto" w:sz="4" w:space="0"/>
              <w:left w:val="nil"/>
              <w:bottom w:val="single" w:color="auto" w:sz="4" w:space="0"/>
              <w:right w:val="single" w:color="auto" w:sz="4" w:space="0"/>
            </w:tcBorders>
          </w:tcPr>
          <w:p w14:paraId="3EC03AB4">
            <w:pPr>
              <w:spacing w:line="360" w:lineRule="auto"/>
              <w:rPr>
                <w:rFonts w:hint="eastAsia" w:ascii="宋体" w:hAnsi="宋体" w:cs="宋体"/>
                <w:color w:val="auto"/>
                <w:szCs w:val="21"/>
                <w:highlight w:val="none"/>
              </w:rPr>
            </w:pPr>
          </w:p>
        </w:tc>
        <w:tc>
          <w:tcPr>
            <w:tcW w:w="611" w:type="dxa"/>
            <w:tcBorders>
              <w:top w:val="single" w:color="auto" w:sz="4" w:space="0"/>
              <w:left w:val="nil"/>
              <w:bottom w:val="single" w:color="auto" w:sz="4" w:space="0"/>
              <w:right w:val="single" w:color="auto" w:sz="4" w:space="0"/>
            </w:tcBorders>
          </w:tcPr>
          <w:p w14:paraId="6A697DCF">
            <w:pPr>
              <w:spacing w:line="360" w:lineRule="auto"/>
              <w:rPr>
                <w:rFonts w:hint="eastAsia" w:ascii="宋体" w:hAnsi="宋体" w:cs="宋体"/>
                <w:color w:val="auto"/>
                <w:szCs w:val="21"/>
                <w:highlight w:val="none"/>
              </w:rPr>
            </w:pPr>
          </w:p>
        </w:tc>
      </w:tr>
      <w:tr w14:paraId="019F33F2">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4834A331">
            <w:pPr>
              <w:spacing w:line="360" w:lineRule="auto"/>
              <w:rPr>
                <w:rFonts w:hint="eastAsia" w:ascii="宋体" w:hAnsi="宋体" w:cs="宋体"/>
                <w:color w:val="auto"/>
                <w:szCs w:val="21"/>
                <w:highlight w:val="none"/>
              </w:rPr>
            </w:pPr>
          </w:p>
        </w:tc>
        <w:tc>
          <w:tcPr>
            <w:tcW w:w="643" w:type="dxa"/>
            <w:tcBorders>
              <w:top w:val="single" w:color="auto" w:sz="4" w:space="0"/>
              <w:left w:val="nil"/>
              <w:bottom w:val="single" w:color="auto" w:sz="4" w:space="0"/>
              <w:right w:val="single" w:color="auto" w:sz="4" w:space="0"/>
            </w:tcBorders>
          </w:tcPr>
          <w:p w14:paraId="58EAFB96">
            <w:pPr>
              <w:spacing w:line="360" w:lineRule="auto"/>
              <w:rPr>
                <w:rFonts w:hint="eastAsia" w:ascii="宋体" w:hAnsi="宋体" w:cs="宋体"/>
                <w:color w:val="auto"/>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3C251B37">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1BC0A8A4">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353A60C8">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001DDCDA">
            <w:pPr>
              <w:spacing w:line="360" w:lineRule="auto"/>
              <w:rPr>
                <w:rFonts w:hint="eastAsia" w:ascii="宋体" w:hAnsi="宋体" w:cs="宋体"/>
                <w:color w:val="auto"/>
                <w:szCs w:val="21"/>
                <w:highlight w:val="none"/>
              </w:rPr>
            </w:pPr>
          </w:p>
        </w:tc>
        <w:tc>
          <w:tcPr>
            <w:tcW w:w="1116" w:type="dxa"/>
            <w:tcBorders>
              <w:top w:val="single" w:color="auto" w:sz="4" w:space="0"/>
              <w:left w:val="nil"/>
              <w:bottom w:val="single" w:color="auto" w:sz="4" w:space="0"/>
              <w:right w:val="single" w:color="auto" w:sz="4" w:space="0"/>
            </w:tcBorders>
          </w:tcPr>
          <w:p w14:paraId="1C0330A2">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50EE5A3E">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753050E3">
            <w:pPr>
              <w:spacing w:line="360" w:lineRule="auto"/>
              <w:rPr>
                <w:rFonts w:hint="eastAsia" w:ascii="宋体" w:hAnsi="宋体" w:cs="宋体"/>
                <w:color w:val="auto"/>
                <w:szCs w:val="21"/>
                <w:highlight w:val="none"/>
              </w:rPr>
            </w:pPr>
          </w:p>
        </w:tc>
        <w:tc>
          <w:tcPr>
            <w:tcW w:w="954" w:type="dxa"/>
            <w:tcBorders>
              <w:top w:val="single" w:color="auto" w:sz="4" w:space="0"/>
              <w:left w:val="nil"/>
              <w:bottom w:val="single" w:color="auto" w:sz="4" w:space="0"/>
              <w:right w:val="single" w:color="auto" w:sz="4" w:space="0"/>
            </w:tcBorders>
          </w:tcPr>
          <w:p w14:paraId="4BB120E0">
            <w:pPr>
              <w:spacing w:line="360" w:lineRule="auto"/>
              <w:rPr>
                <w:rFonts w:hint="eastAsia" w:ascii="宋体" w:hAnsi="宋体" w:cs="宋体"/>
                <w:color w:val="auto"/>
                <w:szCs w:val="21"/>
                <w:highlight w:val="none"/>
              </w:rPr>
            </w:pPr>
          </w:p>
        </w:tc>
        <w:tc>
          <w:tcPr>
            <w:tcW w:w="611" w:type="dxa"/>
            <w:tcBorders>
              <w:top w:val="single" w:color="auto" w:sz="4" w:space="0"/>
              <w:left w:val="nil"/>
              <w:bottom w:val="single" w:color="auto" w:sz="4" w:space="0"/>
              <w:right w:val="single" w:color="auto" w:sz="4" w:space="0"/>
            </w:tcBorders>
          </w:tcPr>
          <w:p w14:paraId="2E206808">
            <w:pPr>
              <w:spacing w:line="360" w:lineRule="auto"/>
              <w:rPr>
                <w:rFonts w:hint="eastAsia" w:ascii="宋体" w:hAnsi="宋体" w:cs="宋体"/>
                <w:color w:val="auto"/>
                <w:szCs w:val="21"/>
                <w:highlight w:val="none"/>
              </w:rPr>
            </w:pPr>
          </w:p>
        </w:tc>
      </w:tr>
      <w:tr w14:paraId="610E392B">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4C287434">
            <w:pPr>
              <w:spacing w:line="360" w:lineRule="auto"/>
              <w:rPr>
                <w:rFonts w:hint="eastAsia" w:ascii="宋体" w:hAnsi="宋体" w:cs="宋体"/>
                <w:color w:val="auto"/>
                <w:szCs w:val="21"/>
                <w:highlight w:val="none"/>
              </w:rPr>
            </w:pPr>
          </w:p>
        </w:tc>
        <w:tc>
          <w:tcPr>
            <w:tcW w:w="643" w:type="dxa"/>
            <w:tcBorders>
              <w:top w:val="single" w:color="auto" w:sz="4" w:space="0"/>
              <w:left w:val="nil"/>
              <w:bottom w:val="single" w:color="auto" w:sz="4" w:space="0"/>
              <w:right w:val="single" w:color="auto" w:sz="4" w:space="0"/>
            </w:tcBorders>
          </w:tcPr>
          <w:p w14:paraId="2F05631E">
            <w:pPr>
              <w:spacing w:line="360" w:lineRule="auto"/>
              <w:rPr>
                <w:rFonts w:hint="eastAsia" w:ascii="宋体" w:hAnsi="宋体" w:cs="宋体"/>
                <w:color w:val="auto"/>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3B6BC87D">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40BDAB4D">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C1972DE">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E04BEDD">
            <w:pPr>
              <w:spacing w:line="360" w:lineRule="auto"/>
              <w:rPr>
                <w:rFonts w:hint="eastAsia" w:ascii="宋体" w:hAnsi="宋体" w:cs="宋体"/>
                <w:color w:val="auto"/>
                <w:szCs w:val="21"/>
                <w:highlight w:val="none"/>
              </w:rPr>
            </w:pPr>
          </w:p>
        </w:tc>
        <w:tc>
          <w:tcPr>
            <w:tcW w:w="1116" w:type="dxa"/>
            <w:tcBorders>
              <w:top w:val="single" w:color="auto" w:sz="4" w:space="0"/>
              <w:left w:val="nil"/>
              <w:bottom w:val="single" w:color="auto" w:sz="4" w:space="0"/>
              <w:right w:val="single" w:color="auto" w:sz="4" w:space="0"/>
            </w:tcBorders>
          </w:tcPr>
          <w:p w14:paraId="444F368E">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99A5C53">
            <w:pPr>
              <w:spacing w:line="360" w:lineRule="auto"/>
              <w:rPr>
                <w:rFonts w:hint="eastAsia" w:ascii="宋体" w:hAnsi="宋体" w:cs="宋体"/>
                <w:color w:val="auto"/>
                <w:szCs w:val="21"/>
                <w:highlight w:val="none"/>
              </w:rPr>
            </w:pPr>
          </w:p>
        </w:tc>
        <w:tc>
          <w:tcPr>
            <w:tcW w:w="949" w:type="dxa"/>
            <w:tcBorders>
              <w:top w:val="single" w:color="auto" w:sz="4" w:space="0"/>
              <w:left w:val="nil"/>
              <w:bottom w:val="single" w:color="auto" w:sz="4" w:space="0"/>
              <w:right w:val="single" w:color="auto" w:sz="4" w:space="0"/>
            </w:tcBorders>
          </w:tcPr>
          <w:p w14:paraId="23FBC7D2">
            <w:pPr>
              <w:spacing w:line="360" w:lineRule="auto"/>
              <w:rPr>
                <w:rFonts w:hint="eastAsia" w:ascii="宋体" w:hAnsi="宋体" w:cs="宋体"/>
                <w:color w:val="auto"/>
                <w:szCs w:val="21"/>
                <w:highlight w:val="none"/>
              </w:rPr>
            </w:pPr>
          </w:p>
        </w:tc>
        <w:tc>
          <w:tcPr>
            <w:tcW w:w="954" w:type="dxa"/>
            <w:tcBorders>
              <w:top w:val="single" w:color="auto" w:sz="4" w:space="0"/>
              <w:left w:val="nil"/>
              <w:bottom w:val="single" w:color="auto" w:sz="4" w:space="0"/>
              <w:right w:val="single" w:color="auto" w:sz="4" w:space="0"/>
            </w:tcBorders>
          </w:tcPr>
          <w:p w14:paraId="2B10618C">
            <w:pPr>
              <w:spacing w:line="360" w:lineRule="auto"/>
              <w:rPr>
                <w:rFonts w:hint="eastAsia" w:ascii="宋体" w:hAnsi="宋体" w:cs="宋体"/>
                <w:color w:val="auto"/>
                <w:szCs w:val="21"/>
                <w:highlight w:val="none"/>
              </w:rPr>
            </w:pPr>
          </w:p>
        </w:tc>
        <w:tc>
          <w:tcPr>
            <w:tcW w:w="611" w:type="dxa"/>
            <w:tcBorders>
              <w:top w:val="single" w:color="auto" w:sz="4" w:space="0"/>
              <w:left w:val="nil"/>
              <w:bottom w:val="single" w:color="auto" w:sz="4" w:space="0"/>
              <w:right w:val="single" w:color="auto" w:sz="4" w:space="0"/>
            </w:tcBorders>
          </w:tcPr>
          <w:p w14:paraId="4A7D4E3A">
            <w:pPr>
              <w:spacing w:line="360" w:lineRule="auto"/>
              <w:rPr>
                <w:rFonts w:hint="eastAsia" w:ascii="宋体" w:hAnsi="宋体" w:cs="宋体"/>
                <w:color w:val="auto"/>
                <w:szCs w:val="21"/>
                <w:highlight w:val="none"/>
              </w:rPr>
            </w:pPr>
          </w:p>
        </w:tc>
      </w:tr>
    </w:tbl>
    <w:p w14:paraId="698B36C6">
      <w:pPr>
        <w:adjustRightInd w:val="0"/>
        <w:snapToGrid w:val="0"/>
        <w:spacing w:line="360" w:lineRule="auto"/>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注：</w:t>
      </w:r>
    </w:p>
    <w:p w14:paraId="6A9F69A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hint="eastAsia" w:ascii="宋体" w:hAnsi="宋体" w:cs="宋体"/>
          <w:color w:val="auto"/>
          <w:spacing w:val="4"/>
          <w:kern w:val="0"/>
          <w:szCs w:val="21"/>
          <w:highlight w:val="none"/>
        </w:rPr>
      </w:pPr>
      <w:bookmarkStart w:id="332" w:name="_Toc7725"/>
      <w:bookmarkStart w:id="333" w:name="_Toc11093"/>
      <w:r>
        <w:rPr>
          <w:rFonts w:hint="eastAsia" w:ascii="宋体" w:hAnsi="宋体" w:cs="宋体"/>
          <w:color w:val="auto"/>
          <w:spacing w:val="4"/>
          <w:kern w:val="0"/>
          <w:szCs w:val="21"/>
          <w:highlight w:val="none"/>
        </w:rPr>
        <w:t>2、该表由评标</w:t>
      </w:r>
      <w:r>
        <w:rPr>
          <w:rFonts w:hint="eastAsia" w:ascii="宋体" w:hAnsi="宋体" w:cs="宋体"/>
          <w:color w:val="auto"/>
          <w:szCs w:val="21"/>
          <w:highlight w:val="none"/>
        </w:rPr>
        <w:t>委员会</w:t>
      </w:r>
      <w:r>
        <w:rPr>
          <w:rFonts w:hint="eastAsia" w:ascii="宋体" w:hAnsi="宋体" w:cs="宋体"/>
          <w:color w:val="auto"/>
          <w:spacing w:val="4"/>
          <w:kern w:val="0"/>
          <w:szCs w:val="21"/>
          <w:highlight w:val="none"/>
        </w:rPr>
        <w:t>填写，投标人不需提交。</w:t>
      </w:r>
      <w:bookmarkEnd w:id="332"/>
      <w:bookmarkEnd w:id="333"/>
    </w:p>
    <w:p w14:paraId="018891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评委签名：                                                    日期：    年    月    日</w:t>
      </w:r>
    </w:p>
    <w:p w14:paraId="57817A92">
      <w:pPr>
        <w:rPr>
          <w:rFonts w:hint="eastAsia" w:ascii="宋体" w:hAnsi="宋体" w:cs="宋体"/>
          <w:color w:val="auto"/>
          <w:kern w:val="0"/>
          <w:sz w:val="20"/>
          <w:szCs w:val="20"/>
          <w:highlight w:val="none"/>
        </w:rPr>
        <w:sectPr>
          <w:pgSz w:w="11906" w:h="16838"/>
          <w:pgMar w:top="1440" w:right="1469"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070F483B">
      <w:pPr>
        <w:pStyle w:val="4"/>
        <w:rPr>
          <w:rFonts w:hint="eastAsia" w:ascii="宋体" w:hAnsi="宋体" w:cs="宋体"/>
          <w:color w:val="auto"/>
          <w:sz w:val="21"/>
          <w:szCs w:val="21"/>
          <w:highlight w:val="none"/>
        </w:rPr>
      </w:pPr>
      <w:bookmarkStart w:id="334" w:name="_Toc20141"/>
      <w:bookmarkEnd w:id="334"/>
      <w:bookmarkStart w:id="335" w:name="_Toc3968"/>
      <w:bookmarkStart w:id="336" w:name="_Toc27717"/>
      <w:bookmarkStart w:id="337" w:name="_Toc29828"/>
      <w:bookmarkStart w:id="338" w:name="_Toc16886"/>
      <w:bookmarkStart w:id="339" w:name="_Toc24420"/>
      <w:bookmarkStart w:id="340" w:name="_Toc16046"/>
      <w:bookmarkStart w:id="341" w:name="_Toc32084"/>
      <w:bookmarkStart w:id="342" w:name="_Hlk196152004"/>
      <w:r>
        <w:rPr>
          <w:rFonts w:hint="eastAsia" w:ascii="宋体" w:hAnsi="宋体" w:cs="宋体"/>
          <w:color w:val="auto"/>
          <w:sz w:val="21"/>
          <w:szCs w:val="21"/>
          <w:highlight w:val="none"/>
        </w:rPr>
        <w:t>附录13</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勘察初步设计方案部分评分表</w:t>
      </w:r>
      <w:bookmarkEnd w:id="335"/>
      <w:bookmarkEnd w:id="336"/>
      <w:bookmarkEnd w:id="337"/>
      <w:bookmarkEnd w:id="338"/>
      <w:bookmarkEnd w:id="339"/>
      <w:bookmarkEnd w:id="340"/>
      <w:bookmarkEnd w:id="341"/>
    </w:p>
    <w:p w14:paraId="4E3F2DBE">
      <w:pPr>
        <w:pStyle w:val="17"/>
        <w:adjustRightInd w:val="0"/>
        <w:snapToGrid w:val="0"/>
        <w:ind w:firstLine="560"/>
        <w:outlineLvl w:val="9"/>
        <w:rPr>
          <w:rFonts w:hint="eastAsia" w:ascii="宋体" w:hAnsi="宋体" w:cs="宋体"/>
          <w:color w:val="auto"/>
          <w:sz w:val="28"/>
          <w:szCs w:val="28"/>
          <w:highlight w:val="none"/>
        </w:rPr>
      </w:pPr>
      <w:bookmarkStart w:id="343" w:name="_Toc22590"/>
      <w:bookmarkStart w:id="344" w:name="_Hlk196329891"/>
      <w:bookmarkStart w:id="345" w:name="_Hlk196333894"/>
      <w:r>
        <w:rPr>
          <w:rFonts w:hint="eastAsia" w:ascii="宋体" w:hAnsi="宋体" w:cs="宋体"/>
          <w:color w:val="auto"/>
          <w:sz w:val="28"/>
          <w:szCs w:val="28"/>
          <w:highlight w:val="none"/>
        </w:rPr>
        <w:t>勘察初步设计方案部分评分表</w:t>
      </w:r>
      <w:bookmarkEnd w:id="343"/>
    </w:p>
    <w:p w14:paraId="24DFFC9A">
      <w:pPr>
        <w:wordWrap w:val="0"/>
        <w:topLinePunct/>
        <w:spacing w:line="400" w:lineRule="exact"/>
        <w:rPr>
          <w:rFonts w:hint="eastAsia" w:ascii="宋体" w:hAnsi="宋体" w:cs="宋体"/>
          <w:b/>
          <w:color w:val="auto"/>
          <w:szCs w:val="24"/>
          <w:highlight w:val="none"/>
        </w:rPr>
      </w:pPr>
      <w:r>
        <w:rPr>
          <w:rFonts w:hint="eastAsia" w:ascii="宋体" w:hAnsi="宋体" w:cs="宋体"/>
          <w:b/>
          <w:color w:val="auto"/>
          <w:szCs w:val="24"/>
          <w:highlight w:val="none"/>
        </w:rPr>
        <w:t>项目名称：</w:t>
      </w:r>
    </w:p>
    <w:tbl>
      <w:tblPr>
        <w:tblStyle w:val="20"/>
        <w:tblW w:w="13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28"/>
        <w:gridCol w:w="765"/>
        <w:gridCol w:w="8734"/>
        <w:gridCol w:w="1761"/>
      </w:tblGrid>
      <w:tr w14:paraId="397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734" w:type="dxa"/>
            <w:tcBorders>
              <w:top w:val="single" w:color="auto" w:sz="4" w:space="0"/>
              <w:left w:val="single" w:color="auto" w:sz="4" w:space="0"/>
              <w:bottom w:val="single" w:color="auto" w:sz="4" w:space="0"/>
              <w:right w:val="single" w:color="auto" w:sz="4" w:space="0"/>
            </w:tcBorders>
            <w:vAlign w:val="center"/>
          </w:tcPr>
          <w:p w14:paraId="783D73D5">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28" w:type="dxa"/>
            <w:tcBorders>
              <w:top w:val="single" w:color="auto" w:sz="4" w:space="0"/>
              <w:left w:val="single" w:color="auto" w:sz="4" w:space="0"/>
              <w:bottom w:val="single" w:color="auto" w:sz="4" w:space="0"/>
              <w:right w:val="single" w:color="auto" w:sz="4" w:space="0"/>
            </w:tcBorders>
            <w:vAlign w:val="center"/>
          </w:tcPr>
          <w:p w14:paraId="677877C9">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765" w:type="dxa"/>
            <w:tcBorders>
              <w:top w:val="single" w:color="auto" w:sz="4" w:space="0"/>
              <w:left w:val="single" w:color="auto" w:sz="4" w:space="0"/>
              <w:bottom w:val="single" w:color="auto" w:sz="4" w:space="0"/>
              <w:right w:val="single" w:color="auto" w:sz="4" w:space="0"/>
            </w:tcBorders>
            <w:vAlign w:val="center"/>
          </w:tcPr>
          <w:p w14:paraId="3C75299F">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vAlign w:val="center"/>
          </w:tcPr>
          <w:p w14:paraId="254EEDF7">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cs="宋体"/>
                <w:color w:val="auto"/>
                <w:szCs w:val="21"/>
                <w:highlight w:val="none"/>
              </w:rPr>
            </w:pPr>
            <w:r>
              <w:rPr>
                <w:rFonts w:hint="eastAsia" w:ascii="宋体" w:hAnsi="宋体" w:cs="宋体"/>
                <w:color w:val="auto"/>
                <w:highlight w:val="none"/>
              </w:rPr>
              <w:t>评审标准</w:t>
            </w:r>
          </w:p>
        </w:tc>
        <w:tc>
          <w:tcPr>
            <w:tcW w:w="1761" w:type="dxa"/>
            <w:tcBorders>
              <w:top w:val="single" w:color="auto" w:sz="4" w:space="0"/>
              <w:left w:val="single" w:color="auto" w:sz="4" w:space="0"/>
              <w:bottom w:val="single" w:color="auto" w:sz="4" w:space="0"/>
              <w:right w:val="single" w:color="auto" w:sz="4" w:space="0"/>
            </w:tcBorders>
            <w:vAlign w:val="center"/>
          </w:tcPr>
          <w:p w14:paraId="278F1778">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得分</w:t>
            </w:r>
          </w:p>
        </w:tc>
      </w:tr>
      <w:tr w14:paraId="2D2A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D99340D">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1</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6DD08EF8">
            <w:pPr>
              <w:adjustRightInd w:val="0"/>
              <w:spacing w:line="276" w:lineRule="auto"/>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设计构思</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049298D">
            <w:pPr>
              <w:adjustRightInd w:val="0"/>
              <w:spacing w:line="276" w:lineRule="auto"/>
              <w:ind w:firstLine="210" w:firstLineChars="10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30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40A47CE3">
            <w:pPr>
              <w:adjustRightInd w:val="0"/>
              <w:spacing w:line="276"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项目地形、周边环境、市场特点，构思项目发展思路、定位和策略，定位合理，符合市场需求，具有创新思维和一定的前瞻性等。设计构思对项目的特点、定位、需求等有详细的分析与说明，同时，在整体的设计中要能体现上述的特点、定位、需求等。</w:t>
            </w:r>
          </w:p>
          <w:p w14:paraId="377DDF51">
            <w:pPr>
              <w:pStyle w:val="1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hAnsi="宋体" w:cs="宋体"/>
                <w:b/>
                <w:color w:val="auto"/>
                <w:szCs w:val="24"/>
                <w:highlight w:val="none"/>
                <w:lang w:eastAsia="zh-CN"/>
              </w:rPr>
              <w:t>优：</w:t>
            </w:r>
            <w:r>
              <w:rPr>
                <w:rFonts w:hint="eastAsia" w:hAnsi="宋体" w:cs="宋体"/>
                <w:b/>
                <w:color w:val="auto"/>
                <w:szCs w:val="24"/>
                <w:highlight w:val="none"/>
                <w:lang w:val="en-US" w:eastAsia="zh-CN"/>
              </w:rPr>
              <w:t>[</w:t>
            </w:r>
            <w:r>
              <w:rPr>
                <w:rFonts w:hint="eastAsia" w:hAnsi="宋体" w:cs="宋体"/>
                <w:b/>
                <w:color w:val="auto"/>
                <w:szCs w:val="24"/>
                <w:highlight w:val="none"/>
                <w:lang w:eastAsia="zh-CN"/>
              </w:rPr>
              <w:t>30</w:t>
            </w:r>
            <w:r>
              <w:rPr>
                <w:rFonts w:hint="eastAsia" w:hAnsi="宋体" w:cs="宋体"/>
                <w:b/>
                <w:color w:val="auto"/>
                <w:szCs w:val="24"/>
                <w:highlight w:val="none"/>
                <w:lang w:val="en-US" w:eastAsia="zh-CN"/>
              </w:rPr>
              <w:t>,25)</w:t>
            </w:r>
            <w:r>
              <w:rPr>
                <w:rFonts w:hint="eastAsia" w:hAnsi="宋体" w:cs="宋体"/>
                <w:b/>
                <w:color w:val="auto"/>
                <w:szCs w:val="24"/>
                <w:highlight w:val="none"/>
                <w:lang w:eastAsia="zh-CN"/>
              </w:rPr>
              <w:t>；良：</w:t>
            </w:r>
            <w:r>
              <w:rPr>
                <w:rFonts w:hint="eastAsia" w:hAnsi="宋体" w:cs="宋体"/>
                <w:b/>
                <w:color w:val="auto"/>
                <w:szCs w:val="24"/>
                <w:highlight w:val="none"/>
                <w:lang w:val="en-US" w:eastAsia="zh-CN"/>
              </w:rPr>
              <w:t>[</w:t>
            </w:r>
            <w:r>
              <w:rPr>
                <w:rFonts w:hint="eastAsia" w:hAnsi="宋体" w:cs="宋体"/>
                <w:b/>
                <w:color w:val="auto"/>
                <w:szCs w:val="24"/>
                <w:highlight w:val="none"/>
                <w:lang w:eastAsia="zh-CN"/>
              </w:rPr>
              <w:t>25</w:t>
            </w:r>
            <w:r>
              <w:rPr>
                <w:rFonts w:hint="eastAsia" w:hAnsi="宋体" w:cs="宋体"/>
                <w:b/>
                <w:color w:val="auto"/>
                <w:szCs w:val="24"/>
                <w:highlight w:val="none"/>
                <w:lang w:val="en-US" w:eastAsia="zh-CN"/>
              </w:rPr>
              <w:t>,20)</w:t>
            </w:r>
            <w:r>
              <w:rPr>
                <w:rFonts w:hint="eastAsia" w:hAnsi="宋体" w:cs="宋体"/>
                <w:b/>
                <w:color w:val="auto"/>
                <w:szCs w:val="24"/>
                <w:highlight w:val="none"/>
                <w:lang w:eastAsia="zh-CN"/>
              </w:rPr>
              <w:t>；中：</w:t>
            </w:r>
            <w:r>
              <w:rPr>
                <w:rFonts w:hint="eastAsia" w:hAnsi="宋体" w:cs="宋体"/>
                <w:b/>
                <w:color w:val="auto"/>
                <w:szCs w:val="24"/>
                <w:highlight w:val="none"/>
                <w:lang w:val="en-US" w:eastAsia="zh-CN"/>
              </w:rPr>
              <w:t>[20,15);差：[15,0)；</w:t>
            </w:r>
            <w:r>
              <w:rPr>
                <w:rFonts w:hint="eastAsia" w:hAnsi="宋体" w:cs="宋体"/>
                <w:b/>
                <w:color w:val="auto"/>
                <w:szCs w:val="24"/>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029C2F15">
            <w:pPr>
              <w:pStyle w:val="16"/>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cs="宋体"/>
                <w:color w:val="auto"/>
                <w:sz w:val="21"/>
                <w:szCs w:val="21"/>
                <w:highlight w:val="none"/>
              </w:rPr>
            </w:pPr>
          </w:p>
        </w:tc>
      </w:tr>
      <w:tr w14:paraId="77F8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F1A3448">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2</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58B500E4">
            <w:pPr>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总平面布局</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75E46CE">
            <w:pPr>
              <w:ind w:firstLine="210" w:firstLineChars="10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3C83B13C">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形态的标志性及与场地的和谐统一。总图功能分区清晰，住宅与配套之间既联系方便又互不干扰；交通流线合理通畅,兼顾低层与高层、住宅各类形态之间的需求。</w:t>
            </w:r>
          </w:p>
          <w:p w14:paraId="161B6206">
            <w:pPr>
              <w:pStyle w:val="10"/>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highlight w:val="none"/>
                <w:lang w:eastAsia="zh-CN"/>
              </w:rPr>
              <w:t>优：</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20</w:t>
            </w:r>
            <w:r>
              <w:rPr>
                <w:rFonts w:hint="eastAsia" w:ascii="宋体" w:hAnsi="宋体" w:eastAsia="宋体" w:cs="宋体"/>
                <w:b/>
                <w:color w:val="auto"/>
                <w:highlight w:val="none"/>
                <w:lang w:val="en-US" w:eastAsia="zh-CN"/>
              </w:rPr>
              <w:t>,17)</w:t>
            </w:r>
            <w:r>
              <w:rPr>
                <w:rFonts w:hint="eastAsia" w:ascii="宋体" w:hAnsi="宋体" w:eastAsia="宋体" w:cs="宋体"/>
                <w:b/>
                <w:color w:val="auto"/>
                <w:highlight w:val="none"/>
                <w:lang w:eastAsia="zh-CN"/>
              </w:rPr>
              <w:t>；良：</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17</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1</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；中：</w:t>
            </w:r>
            <w:r>
              <w:rPr>
                <w:rFonts w:hint="eastAsia" w:ascii="宋体" w:hAnsi="宋体" w:eastAsia="宋体" w:cs="宋体"/>
                <w:b/>
                <w:color w:val="auto"/>
                <w:highlight w:val="none"/>
                <w:lang w:val="en-US" w:eastAsia="zh-CN"/>
              </w:rPr>
              <w:t>[14,</w:t>
            </w:r>
            <w:r>
              <w:rPr>
                <w:rFonts w:hint="eastAsia" w:ascii="宋体" w:hAnsi="宋体" w:eastAsia="宋体" w:cs="宋体"/>
                <w:b/>
                <w:color w:val="auto"/>
                <w:highlight w:val="none"/>
                <w:lang w:eastAsia="zh-CN"/>
              </w:rPr>
              <w:t>1</w:t>
            </w:r>
            <w:r>
              <w:rPr>
                <w:rFonts w:hint="eastAsia" w:ascii="宋体" w:hAnsi="宋体" w:eastAsia="宋体" w:cs="宋体"/>
                <w:b/>
                <w:color w:val="auto"/>
                <w:highlight w:val="none"/>
                <w:lang w:val="en-US" w:eastAsia="zh-CN"/>
              </w:rPr>
              <w:t>1)；差：[11,0)</w:t>
            </w:r>
            <w:r>
              <w:rPr>
                <w:rFonts w:hint="eastAsia" w:ascii="宋体" w:hAnsi="宋体" w:eastAsia="宋体" w:cs="宋体"/>
                <w:b/>
                <w:color w:val="auto"/>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1BE4E1B9">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cs="宋体"/>
                <w:color w:val="auto"/>
                <w:highlight w:val="none"/>
              </w:rPr>
            </w:pPr>
          </w:p>
        </w:tc>
      </w:tr>
      <w:tr w14:paraId="27CC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1DEEDE3">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3</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76D4B01F">
            <w:pPr>
              <w:tabs>
                <w:tab w:val="center" w:pos="583"/>
              </w:tabs>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使用功能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6EA138F">
            <w:pPr>
              <w:ind w:firstLine="210" w:firstLineChars="100"/>
              <w:jc w:val="both"/>
              <w:rPr>
                <w:rFonts w:hint="eastAsia" w:ascii="宋体" w:hAnsi="宋体" w:eastAsia="宋体" w:cs="宋体"/>
                <w:b/>
                <w:color w:val="auto"/>
                <w:kern w:val="2"/>
                <w:sz w:val="21"/>
                <w:szCs w:val="22"/>
                <w:highlight w:val="none"/>
                <w:lang w:val="en-US" w:eastAsia="zh-CN" w:bidi="ar-SA"/>
              </w:rPr>
            </w:pPr>
            <w:r>
              <w:rPr>
                <w:rFonts w:hint="eastAsia" w:ascii="宋体" w:hAnsi="宋体" w:eastAsia="宋体" w:cs="宋体"/>
                <w:color w:val="auto"/>
                <w:highlight w:val="none"/>
                <w:lang w:val="zh-CN"/>
              </w:rPr>
              <w:t>20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707284D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功能分区合理、集约，户型平面合理，充分体现设计构思及实现各方价值最大化，形成富有特色的社区公共空间。布局合理，功能分区明确，各功能区块之间有一定的联系性，又满足各阶段的相互不干扰需求。交通衔接设施及配套设施齐全。地下室满足总停车数量需求，根据场地条件合理规划各类型机动车流线，考虑人防设计要求。</w:t>
            </w:r>
          </w:p>
          <w:p w14:paraId="019B26E2">
            <w:pPr>
              <w:pStyle w:val="10"/>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highlight w:val="none"/>
                <w:lang w:eastAsia="zh-CN"/>
              </w:rPr>
              <w:t>优：</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20</w:t>
            </w:r>
            <w:r>
              <w:rPr>
                <w:rFonts w:hint="eastAsia" w:ascii="宋体" w:hAnsi="宋体" w:eastAsia="宋体" w:cs="宋体"/>
                <w:b/>
                <w:color w:val="auto"/>
                <w:highlight w:val="none"/>
                <w:lang w:val="en-US" w:eastAsia="zh-CN"/>
              </w:rPr>
              <w:t>,17)</w:t>
            </w:r>
            <w:r>
              <w:rPr>
                <w:rFonts w:hint="eastAsia" w:ascii="宋体" w:hAnsi="宋体" w:eastAsia="宋体" w:cs="宋体"/>
                <w:b/>
                <w:color w:val="auto"/>
                <w:highlight w:val="none"/>
                <w:lang w:eastAsia="zh-CN"/>
              </w:rPr>
              <w:t>；良：</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17</w:t>
            </w:r>
            <w:r>
              <w:rPr>
                <w:rFonts w:hint="eastAsia" w:ascii="宋体" w:hAnsi="宋体" w:eastAsia="宋体" w:cs="宋体"/>
                <w:b/>
                <w:color w:val="auto"/>
                <w:highlight w:val="none"/>
                <w:lang w:val="en-US" w:eastAsia="zh-CN"/>
              </w:rPr>
              <w:t>,14)</w:t>
            </w:r>
            <w:r>
              <w:rPr>
                <w:rFonts w:hint="eastAsia" w:ascii="宋体" w:hAnsi="宋体" w:eastAsia="宋体" w:cs="宋体"/>
                <w:b/>
                <w:color w:val="auto"/>
                <w:highlight w:val="none"/>
                <w:lang w:eastAsia="zh-CN"/>
              </w:rPr>
              <w:t>；中：</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14</w:t>
            </w:r>
            <w:r>
              <w:rPr>
                <w:rFonts w:hint="eastAsia" w:ascii="宋体" w:hAnsi="宋体" w:eastAsia="宋体" w:cs="宋体"/>
                <w:b/>
                <w:color w:val="auto"/>
                <w:szCs w:val="24"/>
                <w:highlight w:val="none"/>
                <w:lang w:val="en-US" w:eastAsia="zh-CN"/>
              </w:rPr>
              <w:t>,11)；差：[11,0)</w:t>
            </w:r>
            <w:r>
              <w:rPr>
                <w:rFonts w:hint="eastAsia" w:ascii="宋体" w:hAnsi="宋体" w:eastAsia="宋体" w:cs="宋体"/>
                <w:b/>
                <w:color w:val="auto"/>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48B2A358">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cs="宋体"/>
                <w:color w:val="auto"/>
                <w:highlight w:val="none"/>
              </w:rPr>
            </w:pPr>
          </w:p>
        </w:tc>
      </w:tr>
      <w:tr w14:paraId="5D0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94C0136">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4</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58509A79">
            <w:pPr>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建筑形象与设计创新</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E7D686">
            <w:pPr>
              <w:widowControl/>
              <w:ind w:firstLine="210" w:firstLineChars="100"/>
              <w:jc w:val="both"/>
              <w:rPr>
                <w:rFonts w:hint="eastAsia" w:ascii="宋体" w:hAnsi="宋体" w:eastAsia="宋体" w:cs="宋体"/>
                <w:b/>
                <w:color w:val="auto"/>
                <w:kern w:val="2"/>
                <w:sz w:val="21"/>
                <w:szCs w:val="22"/>
                <w:highlight w:val="none"/>
                <w:lang w:val="en-US" w:eastAsia="zh-CN" w:bidi="ar-SA"/>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45391C3D">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沿主要城市界面应展现现代、明朗、大方的建筑风貌，设计具有标志性、符合项目的建筑形象，反映时代精神，具有创新风格和意识，使之成为区域形象展示窗口。建筑空间应考虑多首层、立体化的设计理念，加强不同业态的竖向联系，创造多层次的公共共享空间。建筑外观与周边环境整体和谐，呼应新一代住区、立体园林生态住房的设计理念，具有森林花园城市的标志性。</w:t>
            </w:r>
          </w:p>
          <w:p w14:paraId="69BF3D3B">
            <w:pPr>
              <w:pStyle w:val="10"/>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highlight w:val="none"/>
                <w:lang w:eastAsia="zh-CN"/>
              </w:rPr>
              <w:t>优：</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10</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lang w:eastAsia="zh-CN"/>
              </w:rPr>
              <w:t>良：</w:t>
            </w:r>
            <w:r>
              <w:rPr>
                <w:rFonts w:hint="eastAsia" w:ascii="宋体" w:hAnsi="宋体" w:eastAsia="宋体" w:cs="宋体"/>
                <w:b/>
                <w:color w:val="auto"/>
                <w:highlight w:val="none"/>
                <w:lang w:val="en-US" w:eastAsia="zh-CN"/>
              </w:rPr>
              <w:t>[7,4)</w:t>
            </w:r>
            <w:r>
              <w:rPr>
                <w:rFonts w:hint="eastAsia" w:ascii="宋体" w:hAnsi="宋体" w:eastAsia="宋体" w:cs="宋体"/>
                <w:b/>
                <w:color w:val="auto"/>
                <w:highlight w:val="none"/>
                <w:lang w:eastAsia="zh-CN"/>
              </w:rPr>
              <w:t>；中：</w:t>
            </w:r>
            <w:r>
              <w:rPr>
                <w:rFonts w:hint="eastAsia" w:ascii="宋体" w:hAnsi="宋体" w:eastAsia="宋体" w:cs="宋体"/>
                <w:b/>
                <w:color w:val="auto"/>
                <w:highlight w:val="none"/>
                <w:lang w:val="en-US" w:eastAsia="zh-CN"/>
              </w:rPr>
              <w:t>[4,1)；差：[1,0)</w:t>
            </w:r>
            <w:r>
              <w:rPr>
                <w:rFonts w:hint="eastAsia" w:ascii="宋体" w:hAnsi="宋体" w:eastAsia="宋体" w:cs="宋体"/>
                <w:b/>
                <w:color w:val="auto"/>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26995AE0">
            <w:pPr>
              <w:keepNext w:val="0"/>
              <w:keepLines w:val="0"/>
              <w:pageBreakBefore w:val="0"/>
              <w:widowControl/>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cs="宋体"/>
                <w:color w:val="auto"/>
                <w:highlight w:val="none"/>
              </w:rPr>
            </w:pPr>
          </w:p>
        </w:tc>
      </w:tr>
      <w:tr w14:paraId="654D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8911721">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5</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52E0338C">
            <w:pPr>
              <w:snapToGrid w:val="0"/>
              <w:jc w:val="both"/>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景观设计</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A59A903">
            <w:pPr>
              <w:snapToGrid w:val="0"/>
              <w:ind w:firstLine="210" w:firstLineChars="100"/>
              <w:jc w:val="both"/>
              <w:rPr>
                <w:rFonts w:hint="eastAsia" w:ascii="宋体" w:hAnsi="宋体" w:eastAsia="宋体" w:cs="宋体"/>
                <w:b/>
                <w:color w:val="auto"/>
                <w:kern w:val="2"/>
                <w:sz w:val="21"/>
                <w:szCs w:val="22"/>
                <w:highlight w:val="none"/>
                <w:lang w:val="en-US" w:eastAsia="zh-CN" w:bidi="ar-SA"/>
              </w:rPr>
            </w:pPr>
            <w:r>
              <w:rPr>
                <w:rFonts w:hint="eastAsia" w:ascii="宋体" w:hAnsi="宋体" w:eastAsia="宋体" w:cs="宋体"/>
                <w:b w:val="0"/>
                <w:bCs/>
                <w:color w:val="auto"/>
                <w:highlight w:val="none"/>
              </w:rPr>
              <w:t>5</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4146A036">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充分考虑项目整体性，建筑环境与空间造型和谐统一，考虑多层次、立体化的绿化景观设计，形成良好舒适的住区景观效果。考虑地块主要出入口、生活园林、交通等公共空间设计，详细展示主要活动空间等节点的设计。</w:t>
            </w:r>
          </w:p>
          <w:p w14:paraId="47E2F191">
            <w:pPr>
              <w:pStyle w:val="10"/>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highlight w:val="none"/>
                <w:lang w:eastAsia="zh-CN"/>
              </w:rPr>
              <w:t>优：</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5</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；良：</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4</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3</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；中：</w:t>
            </w:r>
            <w:r>
              <w:rPr>
                <w:rFonts w:hint="eastAsia" w:ascii="宋体" w:hAnsi="宋体" w:eastAsia="宋体" w:cs="宋体"/>
                <w:b/>
                <w:color w:val="auto"/>
                <w:highlight w:val="none"/>
                <w:lang w:val="en-US" w:eastAsia="zh-CN"/>
              </w:rPr>
              <w:t>[3,2)；差：[2,0)</w:t>
            </w:r>
            <w:r>
              <w:rPr>
                <w:rFonts w:hint="eastAsia" w:ascii="宋体" w:hAnsi="宋体" w:eastAsia="宋体" w:cs="宋体"/>
                <w:b/>
                <w:color w:val="auto"/>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7DC024F4">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cs="宋体"/>
                <w:color w:val="auto"/>
                <w:highlight w:val="none"/>
              </w:rPr>
            </w:pPr>
          </w:p>
        </w:tc>
      </w:tr>
      <w:tr w14:paraId="158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45767A1">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6</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77B09A9D">
            <w:pPr>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绿色节能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B503010">
            <w:pPr>
              <w:ind w:firstLine="210" w:firstLineChars="10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471852B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遵循适用、绿色和美观的原则，设计符合国家及地方规范要求，满足绿色建筑设计标准，采取的绿色技术措施充分考虑本地气候特色，最大限度节约资源，保护环境、减少污染，提供健康、舒适和高效的使用空间。对日照等国家规范标准复核，满足房屋日照需求。</w:t>
            </w:r>
          </w:p>
          <w:p w14:paraId="2C938FC4">
            <w:pPr>
              <w:pStyle w:val="10"/>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highlight w:val="none"/>
                <w:lang w:eastAsia="zh-CN"/>
              </w:rPr>
              <w:t>优：</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10</w:t>
            </w: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lang w:eastAsia="zh-CN"/>
              </w:rPr>
              <w:t>；良：</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8</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lang w:eastAsia="zh-CN"/>
              </w:rPr>
              <w:t>；中：</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lang w:val="en-US" w:eastAsia="zh-CN"/>
              </w:rPr>
              <w:t>,4)；差：[4,0)</w:t>
            </w:r>
            <w:r>
              <w:rPr>
                <w:rFonts w:hint="eastAsia" w:ascii="宋体" w:hAnsi="宋体" w:eastAsia="宋体" w:cs="宋体"/>
                <w:b/>
                <w:color w:val="auto"/>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2C0DE2B2">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cs="宋体"/>
                <w:color w:val="auto"/>
                <w:highlight w:val="none"/>
              </w:rPr>
            </w:pPr>
          </w:p>
        </w:tc>
      </w:tr>
      <w:tr w14:paraId="6EDC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F794A0">
            <w:pPr>
              <w:keepNext w:val="0"/>
              <w:keepLines w:val="0"/>
              <w:pageBreakBefore w:val="0"/>
              <w:kinsoku/>
              <w:wordWrap/>
              <w:overflowPunct/>
              <w:topLinePunct w:val="0"/>
              <w:autoSpaceDE/>
              <w:autoSpaceDN/>
              <w:bidi w:val="0"/>
              <w:spacing w:beforeAutospacing="0" w:afterAutospacing="0" w:line="340" w:lineRule="exact"/>
              <w:jc w:val="center"/>
              <w:textAlignment w:val="auto"/>
              <w:rPr>
                <w:rFonts w:hint="eastAsia" w:ascii="宋体" w:hAnsi="宋体" w:cs="宋体"/>
                <w:bCs/>
                <w:color w:val="auto"/>
                <w:szCs w:val="21"/>
                <w:highlight w:val="none"/>
              </w:rPr>
            </w:pPr>
            <w:r>
              <w:rPr>
                <w:rFonts w:hint="eastAsia" w:ascii="宋体" w:hAnsi="宋体" w:cs="宋体"/>
                <w:color w:val="auto"/>
                <w:highlight w:val="none"/>
              </w:rPr>
              <w:t>7</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5745DA22">
            <w:pP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highlight w:val="none"/>
              </w:rPr>
              <w:t>勘察方案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D89969">
            <w:pPr>
              <w:ind w:firstLine="210" w:firstLineChars="10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5</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12F91975">
            <w:pPr>
              <w:jc w:val="both"/>
              <w:rPr>
                <w:rFonts w:hint="eastAsia" w:ascii="宋体" w:hAnsi="宋体" w:eastAsia="宋体" w:cs="宋体"/>
                <w:color w:val="auto"/>
                <w:highlight w:val="none"/>
                <w:lang w:eastAsia="zh-CN"/>
              </w:rPr>
            </w:pPr>
            <w:r>
              <w:rPr>
                <w:rFonts w:hint="eastAsia" w:ascii="宋体" w:hAnsi="宋体" w:eastAsia="宋体" w:cs="宋体"/>
                <w:color w:val="auto"/>
                <w:kern w:val="2"/>
                <w:highlight w:val="none"/>
                <w:lang w:eastAsia="zh-CN"/>
              </w:rPr>
              <w:t>勘察的重点、难点理解及合理性建议；勘察工作流程，工期进度计划。技术支持度、跟踪服务能力，本地化服务的计划和实施承诺。</w:t>
            </w:r>
          </w:p>
          <w:p w14:paraId="234A2FEA">
            <w:pPr>
              <w:pStyle w:val="10"/>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highlight w:val="none"/>
                <w:lang w:eastAsia="zh-CN"/>
              </w:rPr>
              <w:t>优：</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5</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；良：</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4</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3</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lang w:eastAsia="zh-CN"/>
              </w:rPr>
              <w:t>；中：</w:t>
            </w:r>
            <w:r>
              <w:rPr>
                <w:rFonts w:hint="eastAsia" w:ascii="宋体" w:hAnsi="宋体" w:eastAsia="宋体" w:cs="宋体"/>
                <w:b/>
                <w:color w:val="auto"/>
                <w:highlight w:val="none"/>
                <w:lang w:val="en-US" w:eastAsia="zh-CN"/>
              </w:rPr>
              <w:t>[3,2)；差：[2,0)</w:t>
            </w:r>
            <w:r>
              <w:rPr>
                <w:rFonts w:hint="eastAsia" w:ascii="宋体" w:hAnsi="宋体" w:eastAsia="宋体" w:cs="宋体"/>
                <w:b/>
                <w:color w:val="auto"/>
                <w:highlight w:val="none"/>
                <w:lang w:eastAsia="zh-CN"/>
              </w:rPr>
              <w:t>；不提供则不得分。</w:t>
            </w:r>
          </w:p>
        </w:tc>
        <w:tc>
          <w:tcPr>
            <w:tcW w:w="1761" w:type="dxa"/>
            <w:tcBorders>
              <w:top w:val="single" w:color="auto" w:sz="4" w:space="0"/>
              <w:left w:val="single" w:color="auto" w:sz="4" w:space="0"/>
              <w:bottom w:val="single" w:color="auto" w:sz="4" w:space="0"/>
              <w:right w:val="single" w:color="auto" w:sz="4" w:space="0"/>
            </w:tcBorders>
          </w:tcPr>
          <w:p w14:paraId="2C247BE3">
            <w:pPr>
              <w:keepNext w:val="0"/>
              <w:keepLines w:val="0"/>
              <w:pageBreakBefore w:val="0"/>
              <w:widowControl/>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cs="宋体"/>
                <w:color w:val="auto"/>
                <w:highlight w:val="none"/>
              </w:rPr>
            </w:pPr>
          </w:p>
        </w:tc>
      </w:tr>
      <w:tr w14:paraId="06B5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767228BA">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勘察初步</w:t>
            </w:r>
            <w:r>
              <w:rPr>
                <w:rFonts w:hint="eastAsia" w:ascii="宋体" w:hAnsi="宋体" w:cs="宋体"/>
                <w:color w:val="auto"/>
                <w:szCs w:val="21"/>
                <w:highlight w:val="none"/>
              </w:rPr>
              <w:t>设计方案</w:t>
            </w:r>
          </w:p>
        </w:tc>
        <w:tc>
          <w:tcPr>
            <w:tcW w:w="765" w:type="dxa"/>
            <w:tcBorders>
              <w:top w:val="single" w:color="auto" w:sz="4" w:space="0"/>
              <w:left w:val="single" w:color="auto" w:sz="4" w:space="0"/>
              <w:bottom w:val="single" w:color="auto" w:sz="4" w:space="0"/>
              <w:right w:val="single" w:color="auto" w:sz="4" w:space="0"/>
            </w:tcBorders>
            <w:vAlign w:val="center"/>
          </w:tcPr>
          <w:p w14:paraId="01B21967">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cs="宋体"/>
                <w:color w:val="auto"/>
                <w:highlight w:val="none"/>
              </w:rPr>
            </w:pPr>
            <w:r>
              <w:rPr>
                <w:rFonts w:hint="eastAsia" w:ascii="宋体" w:hAnsi="宋体" w:cs="宋体"/>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vAlign w:val="center"/>
          </w:tcPr>
          <w:p w14:paraId="4DE9B23A">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cs="宋体"/>
                <w:color w:val="auto"/>
                <w:highlight w:val="none"/>
              </w:rPr>
            </w:pPr>
          </w:p>
        </w:tc>
        <w:tc>
          <w:tcPr>
            <w:tcW w:w="1761" w:type="dxa"/>
            <w:tcBorders>
              <w:top w:val="single" w:color="auto" w:sz="4" w:space="0"/>
              <w:left w:val="single" w:color="auto" w:sz="4" w:space="0"/>
              <w:bottom w:val="single" w:color="auto" w:sz="4" w:space="0"/>
              <w:right w:val="single" w:color="auto" w:sz="4" w:space="0"/>
            </w:tcBorders>
            <w:vAlign w:val="center"/>
          </w:tcPr>
          <w:p w14:paraId="4FBBD573">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cs="宋体"/>
                <w:color w:val="auto"/>
                <w:highlight w:val="none"/>
              </w:rPr>
            </w:pPr>
          </w:p>
        </w:tc>
      </w:tr>
    </w:tbl>
    <w:p w14:paraId="2C7A00BD">
      <w:pPr>
        <w:pStyle w:val="16"/>
        <w:widowControl w:val="0"/>
        <w:spacing w:beforeAutospacing="0" w:afterAutospacing="0"/>
        <w:ind w:firstLine="480" w:firstLineChars="200"/>
        <w:jc w:val="both"/>
        <w:rPr>
          <w:rFonts w:cs="宋体"/>
          <w:color w:val="auto"/>
          <w:sz w:val="20"/>
          <w:szCs w:val="20"/>
          <w:highlight w:val="none"/>
        </w:rPr>
      </w:pPr>
      <w:r>
        <w:rPr>
          <w:rFonts w:cs="宋体"/>
          <w:color w:val="auto"/>
          <w:highlight w:val="none"/>
        </w:rPr>
        <w:t>注：表中“[ ]”代表闭区间，如[1，0]代表该分数段范围为大于等于0且小于等于1。表中“[  )”，如[1,0)代表该分数段范围为大于0且小于等于1。表中“（  ）”代表开区间，如（2，1）代表该分数段范围为大于1且小于2。</w:t>
      </w:r>
    </w:p>
    <w:bookmarkEnd w:id="344"/>
    <w:bookmarkEnd w:id="345"/>
    <w:p w14:paraId="142ED60E">
      <w:pPr>
        <w:pStyle w:val="16"/>
        <w:widowControl w:val="0"/>
        <w:spacing w:beforeAutospacing="0" w:afterAutospacing="0"/>
        <w:ind w:firstLine="400" w:firstLineChars="200"/>
        <w:jc w:val="both"/>
        <w:rPr>
          <w:rFonts w:cs="宋体"/>
          <w:color w:val="auto"/>
          <w:sz w:val="20"/>
          <w:szCs w:val="20"/>
          <w:highlight w:val="none"/>
        </w:rPr>
      </w:pPr>
    </w:p>
    <w:bookmarkEnd w:id="342"/>
    <w:p w14:paraId="2B362958">
      <w:pPr>
        <w:rPr>
          <w:rFonts w:hint="eastAsia" w:ascii="宋体" w:hAnsi="宋体" w:cs="宋体"/>
          <w:color w:val="auto"/>
          <w:kern w:val="0"/>
          <w:sz w:val="20"/>
          <w:szCs w:val="20"/>
          <w:highlight w:val="none"/>
        </w:rPr>
        <w:sectPr>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 w:linePitch="312" w:charSpace="0"/>
        </w:sectPr>
      </w:pPr>
    </w:p>
    <w:p w14:paraId="3EDDC3C1">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cs="宋体"/>
          <w:color w:val="auto"/>
          <w:sz w:val="21"/>
          <w:szCs w:val="21"/>
          <w:highlight w:val="none"/>
        </w:rPr>
      </w:pPr>
      <w:bookmarkStart w:id="346" w:name="_Toc28957"/>
      <w:bookmarkStart w:id="347" w:name="_Toc7685"/>
      <w:bookmarkStart w:id="348" w:name="_Toc26092"/>
      <w:bookmarkStart w:id="349" w:name="_Toc1866"/>
      <w:bookmarkStart w:id="350" w:name="_Toc3341"/>
      <w:bookmarkStart w:id="351" w:name="_Toc4495"/>
      <w:bookmarkStart w:id="352" w:name="_Toc8128"/>
      <w:r>
        <w:rPr>
          <w:rFonts w:hint="eastAsia" w:ascii="宋体" w:hAnsi="宋体" w:cs="宋体"/>
          <w:color w:val="auto"/>
          <w:sz w:val="21"/>
          <w:szCs w:val="21"/>
          <w:highlight w:val="none"/>
        </w:rPr>
        <w:t>附录13-1勘察初步设计商务部分评分表</w:t>
      </w:r>
      <w:bookmarkEnd w:id="346"/>
      <w:bookmarkEnd w:id="347"/>
      <w:bookmarkEnd w:id="348"/>
      <w:bookmarkEnd w:id="349"/>
      <w:bookmarkEnd w:id="350"/>
      <w:bookmarkEnd w:id="351"/>
    </w:p>
    <w:p w14:paraId="032DFA43">
      <w:pPr>
        <w:pStyle w:val="17"/>
        <w:spacing w:before="0" w:after="0"/>
        <w:outlineLvl w:val="9"/>
        <w:rPr>
          <w:rFonts w:hint="eastAsia" w:ascii="宋体" w:hAnsi="宋体" w:cs="宋体"/>
          <w:color w:val="auto"/>
          <w:sz w:val="28"/>
          <w:szCs w:val="28"/>
          <w:highlight w:val="none"/>
        </w:rPr>
      </w:pPr>
      <w:r>
        <w:rPr>
          <w:rFonts w:hint="eastAsia" w:ascii="宋体" w:hAnsi="宋体" w:cs="宋体"/>
          <w:color w:val="auto"/>
          <w:sz w:val="28"/>
          <w:szCs w:val="28"/>
          <w:highlight w:val="none"/>
        </w:rPr>
        <w:t>商务部分评分表</w:t>
      </w:r>
    </w:p>
    <w:tbl>
      <w:tblPr>
        <w:tblStyle w:val="20"/>
        <w:tblW w:w="973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87"/>
        <w:gridCol w:w="949"/>
        <w:gridCol w:w="643"/>
        <w:gridCol w:w="7456"/>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87" w:type="dxa"/>
            <w:tcBorders>
              <w:bottom w:val="single" w:color="auto" w:sz="6" w:space="0"/>
              <w:right w:val="single" w:color="auto" w:sz="6" w:space="0"/>
            </w:tcBorders>
            <w:vAlign w:val="center"/>
          </w:tcPr>
          <w:p w14:paraId="6F420AF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949" w:type="dxa"/>
            <w:tcBorders>
              <w:left w:val="single" w:color="auto" w:sz="6" w:space="0"/>
              <w:bottom w:val="single" w:color="auto" w:sz="6" w:space="0"/>
              <w:right w:val="single" w:color="auto" w:sz="6" w:space="0"/>
            </w:tcBorders>
            <w:vAlign w:val="center"/>
          </w:tcPr>
          <w:p w14:paraId="0269251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项目</w:t>
            </w:r>
          </w:p>
        </w:tc>
        <w:tc>
          <w:tcPr>
            <w:tcW w:w="643" w:type="dxa"/>
            <w:tcBorders>
              <w:left w:val="single" w:color="auto" w:sz="6" w:space="0"/>
              <w:bottom w:val="single" w:color="auto" w:sz="6" w:space="0"/>
              <w:right w:val="single" w:color="auto" w:sz="6" w:space="0"/>
            </w:tcBorders>
            <w:vAlign w:val="center"/>
          </w:tcPr>
          <w:p w14:paraId="6A0D758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分值分配</w:t>
            </w:r>
          </w:p>
        </w:tc>
        <w:tc>
          <w:tcPr>
            <w:tcW w:w="7456" w:type="dxa"/>
            <w:tcBorders>
              <w:left w:val="single" w:color="auto" w:sz="6" w:space="0"/>
              <w:bottom w:val="single" w:color="auto" w:sz="6" w:space="0"/>
              <w:right w:val="single" w:color="auto" w:sz="6" w:space="0"/>
            </w:tcBorders>
            <w:vAlign w:val="center"/>
          </w:tcPr>
          <w:p w14:paraId="34762BB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restart"/>
            <w:tcBorders>
              <w:top w:val="single" w:color="auto" w:sz="6" w:space="0"/>
              <w:right w:val="single" w:color="auto" w:sz="6" w:space="0"/>
            </w:tcBorders>
            <w:vAlign w:val="center"/>
          </w:tcPr>
          <w:p w14:paraId="1C2D264D">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949" w:type="dxa"/>
            <w:vMerge w:val="restart"/>
            <w:tcBorders>
              <w:top w:val="single" w:color="auto" w:sz="6" w:space="0"/>
              <w:left w:val="single" w:color="auto" w:sz="6" w:space="0"/>
              <w:right w:val="single" w:color="auto" w:sz="6" w:space="0"/>
            </w:tcBorders>
            <w:vAlign w:val="center"/>
          </w:tcPr>
          <w:p w14:paraId="2C39E0F3">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类似</w:t>
            </w:r>
          </w:p>
          <w:p w14:paraId="46ABFEF6">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业绩</w:t>
            </w:r>
          </w:p>
          <w:p w14:paraId="6877CB22">
            <w:pPr>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30分</w:t>
            </w:r>
            <w:r>
              <w:rPr>
                <w:rFonts w:hint="eastAsia" w:ascii="宋体" w:hAnsi="宋体" w:cs="宋体"/>
                <w:color w:val="auto"/>
                <w:szCs w:val="21"/>
                <w:highlight w:val="none"/>
                <w:lang w:val="en-US" w:eastAsia="zh-CN"/>
              </w:rPr>
              <w:t>)</w:t>
            </w:r>
          </w:p>
        </w:tc>
        <w:tc>
          <w:tcPr>
            <w:tcW w:w="643" w:type="dxa"/>
            <w:tcBorders>
              <w:top w:val="single" w:color="auto" w:sz="6" w:space="0"/>
              <w:left w:val="single" w:color="auto" w:sz="6" w:space="0"/>
              <w:bottom w:val="single" w:color="auto" w:sz="6" w:space="0"/>
              <w:right w:val="single" w:color="auto" w:sz="6" w:space="0"/>
            </w:tcBorders>
            <w:vAlign w:val="center"/>
          </w:tcPr>
          <w:p w14:paraId="5C40D75B">
            <w:pPr>
              <w:pStyle w:val="42"/>
              <w:keepNext w:val="0"/>
              <w:keepLines w:val="0"/>
              <w:pageBreakBefore w:val="0"/>
              <w:widowControl w:val="0"/>
              <w:kinsoku/>
              <w:wordWrap/>
              <w:overflowPunct/>
              <w:topLinePunct w:val="0"/>
              <w:bidi w:val="0"/>
              <w:snapToGrid/>
              <w:spacing w:line="320" w:lineRule="exact"/>
              <w:ind w:firstLine="0" w:firstLineChars="0"/>
              <w:jc w:val="center"/>
              <w:textAlignment w:val="auto"/>
              <w:rPr>
                <w:rFonts w:hint="default" w:ascii="宋体" w:eastAsia="宋体" w:cs="宋体"/>
                <w:color w:val="auto"/>
                <w:sz w:val="21"/>
                <w:szCs w:val="21"/>
                <w:highlight w:val="none"/>
                <w:lang w:val="en-US"/>
              </w:rPr>
            </w:pPr>
            <w:r>
              <w:rPr>
                <w:rFonts w:hint="eastAsia" w:ascii="宋体" w:eastAsia="宋体" w:cs="宋体"/>
                <w:color w:val="auto"/>
                <w:sz w:val="21"/>
                <w:szCs w:val="21"/>
                <w:highlight w:val="none"/>
                <w:lang w:val="en-US" w:eastAsia="zh-CN"/>
              </w:rPr>
              <w:t>10</w:t>
            </w:r>
          </w:p>
        </w:tc>
        <w:tc>
          <w:tcPr>
            <w:tcW w:w="7456" w:type="dxa"/>
            <w:tcBorders>
              <w:top w:val="single" w:color="auto" w:sz="6" w:space="0"/>
              <w:left w:val="single" w:color="auto" w:sz="6" w:space="0"/>
              <w:right w:val="single" w:color="auto" w:sz="6" w:space="0"/>
            </w:tcBorders>
            <w:vAlign w:val="center"/>
          </w:tcPr>
          <w:p w14:paraId="0691B8E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投标人（如为联合体投标，指联合体设计方）</w:t>
            </w:r>
            <w:r>
              <w:rPr>
                <w:rFonts w:hint="eastAsia" w:ascii="宋体" w:hAnsi="宋体" w:cs="宋体"/>
                <w:b/>
                <w:bCs/>
                <w:color w:val="auto"/>
                <w:sz w:val="21"/>
                <w:szCs w:val="21"/>
                <w:highlight w:val="none"/>
                <w:lang w:val="en-US" w:eastAsia="zh-CN"/>
              </w:rPr>
              <w:t>设计</w:t>
            </w:r>
            <w:r>
              <w:rPr>
                <w:rFonts w:hint="eastAsia" w:ascii="宋体" w:hAnsi="宋体" w:eastAsia="宋体" w:cs="宋体"/>
                <w:b/>
                <w:bCs/>
                <w:color w:val="auto"/>
                <w:sz w:val="21"/>
                <w:szCs w:val="21"/>
                <w:highlight w:val="none"/>
                <w:lang w:eastAsia="zh-CN"/>
              </w:rPr>
              <w:t>业绩：</w:t>
            </w:r>
          </w:p>
          <w:p w14:paraId="7E6BA362">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自2021年1月1日至投标截止为止，承接过总建筑面积</w:t>
            </w:r>
            <w:r>
              <w:rPr>
                <w:rFonts w:hint="default"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万平方米或以上的房屋建筑工程设计业绩，每提供一个业绩得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分，本项最高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0分。</w:t>
            </w:r>
          </w:p>
          <w:p w14:paraId="6A943AAE">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w:t>
            </w:r>
          </w:p>
          <w:p w14:paraId="49257744">
            <w:pPr>
              <w:keepNext w:val="0"/>
              <w:keepLines w:val="0"/>
              <w:pageBreakBefore w:val="0"/>
              <w:widowControl w:val="0"/>
              <w:numPr>
                <w:ilvl w:val="0"/>
                <w:numId w:val="3"/>
              </w:numPr>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时间以合同文件签订时间为准。</w:t>
            </w:r>
          </w:p>
          <w:p w14:paraId="768827E5">
            <w:pPr>
              <w:keepNext w:val="0"/>
              <w:keepLines w:val="0"/>
              <w:pageBreakBefore w:val="0"/>
              <w:widowControl w:val="0"/>
              <w:numPr>
                <w:ilvl w:val="0"/>
                <w:numId w:val="3"/>
              </w:numPr>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总建筑面积以合同文件(或初步设计批复或初步设计复函、或工程规划许可证、或施工图审查合格证明文件)为准，如均不能证明，可提供经该项目业主盖章确认的可证明业绩总建筑面积的其他证明文件。</w:t>
            </w:r>
          </w:p>
          <w:p w14:paraId="28753692">
            <w:pPr>
              <w:keepNext w:val="0"/>
              <w:keepLines w:val="0"/>
              <w:pageBreakBefore w:val="0"/>
              <w:widowControl w:val="0"/>
              <w:numPr>
                <w:ilvl w:val="0"/>
                <w:numId w:val="3"/>
              </w:numPr>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同一项目含设计和勘察的按分别满足要求的各计算一次设计业绩和勘察业绩。</w:t>
            </w:r>
          </w:p>
          <w:p w14:paraId="7B787AED">
            <w:pPr>
              <w:keepNext w:val="0"/>
              <w:keepLines w:val="0"/>
              <w:pageBreakBefore w:val="0"/>
              <w:widowControl w:val="0"/>
              <w:numPr>
                <w:ilvl w:val="0"/>
                <w:numId w:val="3"/>
              </w:numPr>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不符合上述条件或未提供相关证明材料或提供的证明材料无法体现相关业绩情况的不得分。</w:t>
            </w:r>
          </w:p>
        </w:tc>
      </w:tr>
      <w:tr w14:paraId="05977F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continue"/>
            <w:tcBorders>
              <w:right w:val="single" w:color="auto" w:sz="6" w:space="0"/>
            </w:tcBorders>
            <w:vAlign w:val="center"/>
          </w:tcPr>
          <w:p w14:paraId="5F813D8C">
            <w:pPr>
              <w:autoSpaceDE w:val="0"/>
              <w:autoSpaceDN w:val="0"/>
              <w:adjustRightInd w:val="0"/>
              <w:jc w:val="center"/>
              <w:rPr>
                <w:rFonts w:hint="eastAsia" w:ascii="宋体" w:hAnsi="宋体" w:cs="宋体"/>
                <w:color w:val="auto"/>
                <w:szCs w:val="21"/>
                <w:highlight w:val="none"/>
              </w:rPr>
            </w:pPr>
          </w:p>
        </w:tc>
        <w:tc>
          <w:tcPr>
            <w:tcW w:w="949" w:type="dxa"/>
            <w:vMerge w:val="continue"/>
            <w:tcBorders>
              <w:left w:val="single" w:color="auto" w:sz="6" w:space="0"/>
              <w:right w:val="single" w:color="auto" w:sz="6" w:space="0"/>
            </w:tcBorders>
            <w:vAlign w:val="center"/>
          </w:tcPr>
          <w:p w14:paraId="0812726D">
            <w:pPr>
              <w:autoSpaceDE w:val="0"/>
              <w:autoSpaceDN w:val="0"/>
              <w:adjustRightInd w:val="0"/>
              <w:jc w:val="center"/>
              <w:rPr>
                <w:rFonts w:hint="eastAsia" w:ascii="宋体" w:hAnsi="宋体" w:cs="宋体"/>
                <w:color w:val="auto"/>
                <w:szCs w:val="21"/>
                <w:highlight w:val="none"/>
                <w:lang w:val="en-US" w:eastAsia="zh-CN"/>
              </w:rPr>
            </w:pPr>
          </w:p>
        </w:tc>
        <w:tc>
          <w:tcPr>
            <w:tcW w:w="643" w:type="dxa"/>
            <w:tcBorders>
              <w:top w:val="single" w:color="auto" w:sz="6" w:space="0"/>
              <w:left w:val="single" w:color="auto" w:sz="6" w:space="0"/>
              <w:bottom w:val="single" w:color="auto" w:sz="6" w:space="0"/>
              <w:right w:val="single" w:color="auto" w:sz="6" w:space="0"/>
            </w:tcBorders>
            <w:vAlign w:val="center"/>
          </w:tcPr>
          <w:p w14:paraId="7EA2925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7456" w:type="dxa"/>
            <w:tcBorders>
              <w:top w:val="single" w:color="auto" w:sz="6" w:space="0"/>
              <w:left w:val="single" w:color="auto" w:sz="6" w:space="0"/>
              <w:right w:val="single" w:color="auto" w:sz="6" w:space="0"/>
            </w:tcBorders>
            <w:vAlign w:val="center"/>
          </w:tcPr>
          <w:p w14:paraId="6D22D18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投标人（如为联合体投标，指联合体勘察方）</w:t>
            </w:r>
            <w:r>
              <w:rPr>
                <w:rFonts w:hint="eastAsia" w:ascii="宋体" w:hAnsi="宋体" w:cs="宋体"/>
                <w:b/>
                <w:bCs/>
                <w:color w:val="auto"/>
                <w:sz w:val="21"/>
                <w:szCs w:val="21"/>
                <w:highlight w:val="none"/>
                <w:lang w:val="en-US" w:eastAsia="zh-CN"/>
              </w:rPr>
              <w:t>勘察业绩</w:t>
            </w:r>
            <w:r>
              <w:rPr>
                <w:rFonts w:hint="eastAsia" w:ascii="宋体" w:hAnsi="宋体" w:eastAsia="宋体" w:cs="宋体"/>
                <w:b/>
                <w:bCs/>
                <w:color w:val="auto"/>
                <w:sz w:val="21"/>
                <w:szCs w:val="21"/>
                <w:highlight w:val="none"/>
                <w:lang w:eastAsia="zh-CN"/>
              </w:rPr>
              <w:t>：</w:t>
            </w:r>
          </w:p>
          <w:p w14:paraId="2E4F31E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自2021年1月1日至投标截止为止，承接过总建筑面积</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万平方米或以上的房屋建筑工程勘察项目，每提供一个业绩得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分，本项最高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3FE4AB6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注：须提供合同关键页</w:t>
            </w:r>
            <w:r>
              <w:rPr>
                <w:rFonts w:hint="eastAsia" w:ascii="宋体" w:eastAsia="宋体" w:cs="宋体"/>
                <w:color w:val="auto"/>
                <w:sz w:val="21"/>
                <w:szCs w:val="21"/>
                <w:highlight w:val="none"/>
                <w:lang w:eastAsia="zh-CN"/>
              </w:rPr>
              <w:t>及成果证明文件(</w:t>
            </w:r>
            <w:r>
              <w:rPr>
                <w:rFonts w:hint="eastAsia" w:ascii="宋体" w:hAnsi="宋体" w:cs="宋体"/>
                <w:color w:val="auto"/>
                <w:sz w:val="21"/>
                <w:szCs w:val="21"/>
                <w:highlight w:val="none"/>
                <w:lang w:eastAsia="zh-CN"/>
              </w:rPr>
              <w:t>勘察报告成果审查合格证明文件</w:t>
            </w:r>
            <w:r>
              <w:rPr>
                <w:rFonts w:hint="eastAsia" w:ascii="等线" w:hAnsi="等线" w:eastAsia="等线" w:cs="宋体"/>
                <w:color w:val="auto"/>
                <w:sz w:val="21"/>
                <w:szCs w:val="21"/>
                <w:highlight w:val="none"/>
                <w:lang w:eastAsia="zh-CN"/>
              </w:rPr>
              <w:t>,</w:t>
            </w:r>
            <w:r>
              <w:rPr>
                <w:rFonts w:hint="eastAsia" w:ascii="宋体" w:hAnsi="宋体" w:cs="宋体"/>
                <w:color w:val="auto"/>
                <w:sz w:val="21"/>
                <w:szCs w:val="21"/>
                <w:highlight w:val="none"/>
                <w:lang w:eastAsia="zh-CN"/>
              </w:rPr>
              <w:t>如勘察报告成果评审会议纪要、</w:t>
            </w:r>
            <w:r>
              <w:rPr>
                <w:rFonts w:hint="eastAsia" w:ascii="宋体" w:eastAsia="宋体" w:cs="宋体"/>
                <w:color w:val="auto"/>
                <w:sz w:val="21"/>
                <w:szCs w:val="21"/>
                <w:highlight w:val="none"/>
                <w:lang w:eastAsia="zh-CN"/>
              </w:rPr>
              <w:t>施工图审查合格证明文件</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lang w:eastAsia="zh-CN"/>
              </w:rPr>
              <w:t>扫描件。</w:t>
            </w:r>
          </w:p>
          <w:p w14:paraId="4384A079">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（1）时间以合同文件签订时间为准。</w:t>
            </w:r>
          </w:p>
          <w:p w14:paraId="420F154B">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（2）总建筑面积以合同文件（或勘察报告成果审查合格证明文件，如勘察报告成果评审会议纪要、</w:t>
            </w:r>
            <w:r>
              <w:rPr>
                <w:rFonts w:hint="eastAsia" w:ascii="宋体" w:eastAsia="宋体" w:cs="宋体"/>
                <w:color w:val="auto"/>
                <w:sz w:val="21"/>
                <w:szCs w:val="21"/>
                <w:highlight w:val="none"/>
                <w:lang w:eastAsia="zh-CN"/>
              </w:rPr>
              <w:t>施工图审查合格证明文件</w:t>
            </w:r>
            <w:r>
              <w:rPr>
                <w:rFonts w:hint="eastAsia" w:ascii="宋体" w:hAnsi="宋体" w:eastAsia="宋体" w:cs="宋体"/>
                <w:color w:val="auto"/>
                <w:sz w:val="21"/>
                <w:szCs w:val="21"/>
                <w:highlight w:val="none"/>
                <w:lang w:eastAsia="zh-CN"/>
              </w:rPr>
              <w:t>等）为准，如均不能证明，可提供经该项目业主盖章确认的可证明业绩总建筑面积的其他证明文件。</w:t>
            </w:r>
          </w:p>
          <w:p w14:paraId="6802EC1D">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（3）同一项目含设计和勘察的按分别满足要求的各计算一次设计业绩和勘察业绩。</w:t>
            </w:r>
          </w:p>
          <w:p w14:paraId="610DC309">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（4）不符合上述条件或未提供相关证明材料或提供的证明材料无法体现相关业绩情况的不得分。</w:t>
            </w:r>
          </w:p>
        </w:tc>
      </w:tr>
      <w:tr w14:paraId="00E28B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continue"/>
            <w:tcBorders>
              <w:right w:val="single" w:color="auto" w:sz="6" w:space="0"/>
            </w:tcBorders>
            <w:vAlign w:val="center"/>
          </w:tcPr>
          <w:p w14:paraId="11CD1CD1">
            <w:pPr>
              <w:autoSpaceDE w:val="0"/>
              <w:autoSpaceDN w:val="0"/>
              <w:adjustRightInd w:val="0"/>
              <w:jc w:val="center"/>
              <w:rPr>
                <w:rFonts w:hint="eastAsia" w:ascii="宋体" w:hAnsi="宋体" w:cs="宋体"/>
                <w:color w:val="auto"/>
                <w:szCs w:val="21"/>
                <w:highlight w:val="none"/>
              </w:rPr>
            </w:pPr>
          </w:p>
        </w:tc>
        <w:tc>
          <w:tcPr>
            <w:tcW w:w="949" w:type="dxa"/>
            <w:vMerge w:val="continue"/>
            <w:tcBorders>
              <w:left w:val="single" w:color="auto" w:sz="6" w:space="0"/>
              <w:right w:val="single" w:color="auto" w:sz="6" w:space="0"/>
            </w:tcBorders>
            <w:vAlign w:val="center"/>
          </w:tcPr>
          <w:p w14:paraId="321059F0">
            <w:pPr>
              <w:autoSpaceDE w:val="0"/>
              <w:autoSpaceDN w:val="0"/>
              <w:adjustRightInd w:val="0"/>
              <w:jc w:val="center"/>
              <w:rPr>
                <w:rFonts w:hint="eastAsia" w:ascii="宋体" w:hAnsi="宋体" w:cs="宋体"/>
                <w:color w:val="auto"/>
                <w:szCs w:val="21"/>
                <w:highlight w:val="none"/>
              </w:rPr>
            </w:pPr>
          </w:p>
        </w:tc>
        <w:tc>
          <w:tcPr>
            <w:tcW w:w="643" w:type="dxa"/>
            <w:tcBorders>
              <w:top w:val="single" w:color="auto" w:sz="6" w:space="0"/>
              <w:left w:val="single" w:color="auto" w:sz="6" w:space="0"/>
              <w:bottom w:val="single" w:color="auto" w:sz="6" w:space="0"/>
              <w:right w:val="single" w:color="auto" w:sz="6" w:space="0"/>
            </w:tcBorders>
            <w:vAlign w:val="center"/>
          </w:tcPr>
          <w:p w14:paraId="75C2370E">
            <w:pPr>
              <w:pStyle w:val="42"/>
              <w:keepNext w:val="0"/>
              <w:keepLines w:val="0"/>
              <w:pageBreakBefore w:val="0"/>
              <w:widowControl w:val="0"/>
              <w:kinsoku/>
              <w:wordWrap/>
              <w:overflowPunct/>
              <w:topLinePunct w:val="0"/>
              <w:bidi w:val="0"/>
              <w:snapToGrid/>
              <w:spacing w:line="320" w:lineRule="exact"/>
              <w:ind w:firstLine="0" w:firstLineChars="0"/>
              <w:jc w:val="center"/>
              <w:textAlignment w:val="auto"/>
              <w:rPr>
                <w:rFonts w:hint="default" w:ascii="宋体" w:eastAsia="宋体" w:cs="宋体"/>
                <w:color w:val="auto"/>
                <w:sz w:val="21"/>
                <w:szCs w:val="21"/>
                <w:highlight w:val="none"/>
                <w:lang w:val="en-US"/>
              </w:rPr>
            </w:pPr>
            <w:r>
              <w:rPr>
                <w:rFonts w:hint="eastAsia" w:ascii="宋体" w:eastAsia="宋体" w:cs="宋体"/>
                <w:color w:val="auto"/>
                <w:sz w:val="21"/>
                <w:szCs w:val="21"/>
                <w:highlight w:val="none"/>
                <w:lang w:val="en-US" w:eastAsia="zh-CN"/>
              </w:rPr>
              <w:t>10</w:t>
            </w:r>
          </w:p>
        </w:tc>
        <w:tc>
          <w:tcPr>
            <w:tcW w:w="7456" w:type="dxa"/>
            <w:tcBorders>
              <w:top w:val="single" w:color="auto" w:sz="6" w:space="0"/>
              <w:left w:val="single" w:color="auto" w:sz="6" w:space="0"/>
              <w:right w:val="single" w:color="auto" w:sz="6" w:space="0"/>
            </w:tcBorders>
            <w:vAlign w:val="center"/>
          </w:tcPr>
          <w:p w14:paraId="3C0368E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投标人（如为联合体投标，指联合体设计方）BIM业绩：</w:t>
            </w:r>
          </w:p>
          <w:p w14:paraId="1CD8BDB4">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自2021年1月1日至投标截止为止，承接过单项BIM服务合同或设计工作中包含BIM服务内容且总建筑面积</w:t>
            </w:r>
            <w:r>
              <w:rPr>
                <w:rFonts w:hint="default"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万平方米或以上的房屋建筑工程BIM业绩的，每项得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680D6F1F">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宋体" w:eastAsia="宋体" w:cs="宋体"/>
                <w:color w:val="auto"/>
                <w:sz w:val="21"/>
                <w:szCs w:val="21"/>
                <w:highlight w:val="none"/>
                <w:lang w:eastAsia="zh-CN"/>
              </w:rPr>
              <w:t>须提供合同关键页（</w:t>
            </w:r>
            <w:r>
              <w:rPr>
                <w:rFonts w:hint="eastAsia" w:ascii="宋体" w:hAnsi="宋体" w:eastAsia="宋体" w:cs="宋体"/>
                <w:color w:val="auto"/>
                <w:sz w:val="21"/>
                <w:szCs w:val="21"/>
                <w:highlight w:val="none"/>
                <w:lang w:eastAsia="zh-CN"/>
              </w:rPr>
              <w:t>提供的合同中须明确含有BIM工作内容</w:t>
            </w:r>
            <w:r>
              <w:rPr>
                <w:rFonts w:hint="eastAsia" w:ascii="宋体" w:eastAsia="宋体" w:cs="宋体"/>
                <w:color w:val="auto"/>
                <w:sz w:val="21"/>
                <w:szCs w:val="21"/>
                <w:highlight w:val="none"/>
                <w:lang w:eastAsia="zh-CN"/>
              </w:rPr>
              <w:t>）及成果证明文件（初步设计批复或初步设计复函、或工程规划许可证、或施工图审查合格证明文件、或经该项目业主盖章确认的设计履行的证明）等扫描件。</w:t>
            </w:r>
          </w:p>
          <w:p w14:paraId="74832A62">
            <w:pPr>
              <w:keepNext w:val="0"/>
              <w:keepLines w:val="0"/>
              <w:pageBreakBefore w:val="0"/>
              <w:widowControl w:val="0"/>
              <w:numPr>
                <w:ilvl w:val="0"/>
                <w:numId w:val="4"/>
              </w:numPr>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时间以合同文件签订时间为准。</w:t>
            </w:r>
          </w:p>
          <w:p w14:paraId="322DD378">
            <w:pPr>
              <w:keepNext w:val="0"/>
              <w:keepLines w:val="0"/>
              <w:pageBreakBefore w:val="0"/>
              <w:widowControl w:val="0"/>
              <w:numPr>
                <w:ilvl w:val="0"/>
                <w:numId w:val="4"/>
              </w:numPr>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总建筑面积以合同文件(或初步设计批复或初步设计复函、或工程规划许可证、或施工图审查合格证明文件)为准，如均不能证明，可提供经该项目业主盖章确认的可证明业绩总建筑面积的其他证明文件。</w:t>
            </w:r>
          </w:p>
          <w:p w14:paraId="330839C8">
            <w:pPr>
              <w:keepNext w:val="0"/>
              <w:keepLines w:val="0"/>
              <w:pageBreakBefore w:val="0"/>
              <w:widowControl w:val="0"/>
              <w:numPr>
                <w:ilvl w:val="0"/>
                <w:numId w:val="4"/>
              </w:numPr>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同一项目含设计和勘察的按分别满足要求的各计算一次设计业绩和勘察业绩。</w:t>
            </w:r>
          </w:p>
          <w:p w14:paraId="7A313F8B">
            <w:pPr>
              <w:keepNext w:val="0"/>
              <w:keepLines w:val="0"/>
              <w:pageBreakBefore w:val="0"/>
              <w:widowControl w:val="0"/>
              <w:numPr>
                <w:ilvl w:val="0"/>
                <w:numId w:val="4"/>
              </w:numPr>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13" w:hRule="atLeast"/>
          <w:jc w:val="center"/>
        </w:trPr>
        <w:tc>
          <w:tcPr>
            <w:tcW w:w="687" w:type="dxa"/>
            <w:vMerge w:val="restart"/>
            <w:tcBorders>
              <w:top w:val="single" w:color="auto" w:sz="6" w:space="0"/>
              <w:right w:val="single" w:color="auto" w:sz="6" w:space="0"/>
            </w:tcBorders>
            <w:vAlign w:val="center"/>
          </w:tcPr>
          <w:p w14:paraId="49850BD4">
            <w:pPr>
              <w:autoSpaceDE w:val="0"/>
              <w:autoSpaceDN w:val="0"/>
              <w:adjustRightInd w:val="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二</w:t>
            </w:r>
          </w:p>
        </w:tc>
        <w:tc>
          <w:tcPr>
            <w:tcW w:w="949" w:type="dxa"/>
            <w:vMerge w:val="restart"/>
            <w:tcBorders>
              <w:top w:val="single" w:color="auto" w:sz="6" w:space="0"/>
              <w:left w:val="single" w:color="auto" w:sz="6" w:space="0"/>
              <w:right w:val="single" w:color="auto" w:sz="6" w:space="0"/>
            </w:tcBorders>
            <w:vAlign w:val="center"/>
          </w:tcPr>
          <w:p w14:paraId="547510D9">
            <w:pPr>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zh-CN"/>
              </w:rPr>
              <w:t>企业获奖及科技创新</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val="zh-CN"/>
              </w:rPr>
              <w:t>分</w:t>
            </w:r>
            <w:r>
              <w:rPr>
                <w:rFonts w:hint="eastAsia" w:ascii="宋体" w:hAnsi="宋体" w:cs="宋体"/>
                <w:color w:val="auto"/>
                <w:szCs w:val="21"/>
                <w:highlight w:val="none"/>
                <w:lang w:val="en-US" w:eastAsia="zh-CN"/>
              </w:rPr>
              <w:t>)</w:t>
            </w:r>
          </w:p>
        </w:tc>
        <w:tc>
          <w:tcPr>
            <w:tcW w:w="643" w:type="dxa"/>
            <w:vMerge w:val="restart"/>
            <w:tcBorders>
              <w:top w:val="single" w:color="auto" w:sz="6" w:space="0"/>
              <w:left w:val="single" w:color="auto" w:sz="6" w:space="0"/>
              <w:right w:val="single" w:color="auto" w:sz="6" w:space="0"/>
            </w:tcBorders>
            <w:shd w:val="clear" w:color="auto" w:fill="auto"/>
            <w:vAlign w:val="center"/>
          </w:tcPr>
          <w:p w14:paraId="15C551A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30</w:t>
            </w:r>
          </w:p>
        </w:tc>
        <w:tc>
          <w:tcPr>
            <w:tcW w:w="7456" w:type="dxa"/>
            <w:tcBorders>
              <w:top w:val="single" w:color="auto" w:sz="6" w:space="0"/>
              <w:left w:val="single" w:color="auto" w:sz="6" w:space="0"/>
              <w:right w:val="single" w:color="auto" w:sz="6" w:space="0"/>
            </w:tcBorders>
            <w:shd w:val="clear" w:color="auto" w:fill="auto"/>
            <w:vAlign w:val="top"/>
          </w:tcPr>
          <w:p w14:paraId="6EECAFB7">
            <w:pPr>
              <w:keepNext w:val="0"/>
              <w:keepLines w:val="0"/>
              <w:pageBreakBefore w:val="0"/>
              <w:widowControl w:val="0"/>
              <w:numPr>
                <w:ilvl w:val="0"/>
                <w:numId w:val="5"/>
              </w:numPr>
              <w:tabs>
                <w:tab w:val="left" w:pos="840"/>
              </w:tabs>
              <w:kinsoku/>
              <w:wordWrap/>
              <w:overflowPunct/>
              <w:topLinePunct w:val="0"/>
              <w:bidi w:val="0"/>
              <w:snapToGrid/>
              <w:spacing w:line="320" w:lineRule="exact"/>
              <w:ind w:left="0" w:leftChars="0" w:firstLine="0" w:firstLineChars="0"/>
              <w:textAlignment w:val="auto"/>
              <w:rPr>
                <w:rFonts w:hint="eastAsia" w:ascii="宋体" w:hAnsi="宋体" w:eastAsia="宋体" w:cs="宋体"/>
                <w:b/>
                <w:bCs/>
                <w:i w:val="0"/>
                <w:iCs w:val="0"/>
                <w:color w:val="auto"/>
                <w:sz w:val="21"/>
                <w:szCs w:val="21"/>
                <w:highlight w:val="none"/>
                <w:lang w:eastAsia="zh-CN"/>
              </w:rPr>
            </w:pPr>
            <w:r>
              <w:rPr>
                <w:rFonts w:hint="eastAsia" w:ascii="宋体" w:hAnsi="宋体" w:eastAsia="宋体" w:cs="宋体"/>
                <w:b/>
                <w:bCs/>
                <w:i w:val="0"/>
                <w:iCs w:val="0"/>
                <w:color w:val="auto"/>
                <w:sz w:val="21"/>
                <w:szCs w:val="21"/>
                <w:highlight w:val="none"/>
                <w:lang w:eastAsia="zh-CN"/>
              </w:rPr>
              <w:t>投标人（如为联合体投标，指联合体设计方）自2021年</w:t>
            </w:r>
            <w:r>
              <w:rPr>
                <w:rFonts w:ascii="宋体" w:hAnsi="宋体" w:eastAsia="宋体" w:cs="宋体"/>
                <w:b/>
                <w:bCs/>
                <w:i w:val="0"/>
                <w:iCs w:val="0"/>
                <w:color w:val="auto"/>
                <w:sz w:val="21"/>
                <w:szCs w:val="21"/>
                <w:highlight w:val="none"/>
                <w:lang w:eastAsia="zh-CN"/>
              </w:rPr>
              <w:t>1</w:t>
            </w:r>
            <w:r>
              <w:rPr>
                <w:rFonts w:hint="eastAsia" w:ascii="宋体" w:hAnsi="宋体" w:eastAsia="宋体" w:cs="宋体"/>
                <w:b/>
                <w:bCs/>
                <w:i w:val="0"/>
                <w:iCs w:val="0"/>
                <w:color w:val="auto"/>
                <w:sz w:val="21"/>
                <w:szCs w:val="21"/>
                <w:highlight w:val="none"/>
                <w:lang w:eastAsia="zh-CN"/>
              </w:rPr>
              <w:t>月</w:t>
            </w:r>
            <w:r>
              <w:rPr>
                <w:rFonts w:ascii="宋体" w:hAnsi="宋体" w:eastAsia="宋体" w:cs="宋体"/>
                <w:b/>
                <w:bCs/>
                <w:i w:val="0"/>
                <w:iCs w:val="0"/>
                <w:color w:val="auto"/>
                <w:sz w:val="21"/>
                <w:szCs w:val="21"/>
                <w:highlight w:val="none"/>
                <w:lang w:eastAsia="zh-CN"/>
              </w:rPr>
              <w:t>1</w:t>
            </w:r>
            <w:r>
              <w:rPr>
                <w:rFonts w:hint="eastAsia" w:ascii="宋体" w:hAnsi="宋体" w:eastAsia="宋体" w:cs="宋体"/>
                <w:b/>
                <w:bCs/>
                <w:i w:val="0"/>
                <w:iCs w:val="0"/>
                <w:color w:val="auto"/>
                <w:sz w:val="21"/>
                <w:szCs w:val="21"/>
                <w:highlight w:val="none"/>
                <w:lang w:eastAsia="zh-CN"/>
              </w:rPr>
              <w:t>日至投标截止时间为止，承接的房屋建筑工程设计项目获得设计类奖项：</w:t>
            </w:r>
          </w:p>
          <w:p w14:paraId="2635C866">
            <w:pPr>
              <w:keepNext w:val="0"/>
              <w:keepLines w:val="0"/>
              <w:pageBreakBefore w:val="0"/>
              <w:widowControl w:val="0"/>
              <w:numPr>
                <w:ilvl w:val="0"/>
                <w:numId w:val="0"/>
              </w:numPr>
              <w:tabs>
                <w:tab w:val="left" w:pos="840"/>
              </w:tabs>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获得国家级（或行业级）奖项的，每项得</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4D46C30B">
            <w:pPr>
              <w:keepNext w:val="0"/>
              <w:keepLines w:val="0"/>
              <w:pageBreakBefore w:val="0"/>
              <w:widowControl w:val="0"/>
              <w:numPr>
                <w:ilvl w:val="0"/>
                <w:numId w:val="0"/>
              </w:numPr>
              <w:tabs>
                <w:tab w:val="left" w:pos="840"/>
              </w:tabs>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获得省级奖项的，每项得</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727A1739">
            <w:pPr>
              <w:keepNext w:val="0"/>
              <w:keepLines w:val="0"/>
              <w:pageBreakBefore w:val="0"/>
              <w:widowControl w:val="0"/>
              <w:numPr>
                <w:ilvl w:val="0"/>
                <w:numId w:val="0"/>
              </w:numPr>
              <w:tabs>
                <w:tab w:val="left" w:pos="840"/>
              </w:tabs>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获得市级（含副省级）奖项的，每项得</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5B716F39">
            <w:pPr>
              <w:keepNext w:val="0"/>
              <w:keepLines w:val="0"/>
              <w:pageBreakBefore w:val="0"/>
              <w:widowControl w:val="0"/>
              <w:numPr>
                <w:ilvl w:val="0"/>
                <w:numId w:val="0"/>
              </w:numPr>
              <w:tabs>
                <w:tab w:val="left" w:pos="840"/>
              </w:tabs>
              <w:kinsoku/>
              <w:wordWrap/>
              <w:overflowPunct/>
              <w:topLinePunct w:val="0"/>
              <w:bidi w:val="0"/>
              <w:snapToGrid/>
              <w:spacing w:line="320" w:lineRule="exact"/>
              <w:ind w:leftChars="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本小项累计最高得</w:t>
            </w:r>
            <w:r>
              <w:rPr>
                <w:rFonts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eastAsia="zh-CN"/>
              </w:rPr>
              <w:t>分。</w:t>
            </w:r>
          </w:p>
          <w:p w14:paraId="429B5249">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注：①国家级（或行业级）奖项指由住建部颁发的全国优秀工程勘察设计奖、中国勘察设计协会颁发的全国优秀工程勘察设计行业奖（或工程勘察、建筑设计行业和市政公用工程优秀勘察设计奖）；</w:t>
            </w:r>
          </w:p>
          <w:p w14:paraId="09DDDA06">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②省级奖项指省级（或直辖市）建设行政主管部门或省级（或直辖市）工程勘察设计行业协会颁发的“省级（或直辖市）优秀勘察设计奖”；</w:t>
            </w:r>
          </w:p>
          <w:p w14:paraId="46BB1D5D">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③市级（含副省级）奖项指的是市级</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含副省级</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建设行政主管部门或市级</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含副省级</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工程勘察设计行业协会颁发的“优秀勘察设计奖”。</w:t>
            </w:r>
          </w:p>
          <w:p w14:paraId="5DB8B0D9">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Calibri" w:hAnsi="Calibri" w:eastAsia="等线"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④须提供获奖证书扫描件。获奖时间以获奖证书的发证日期为准。</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同一项目获得多个奖项的，按最高级别奖项只计一次得分，</w:t>
            </w:r>
            <w:r>
              <w:rPr>
                <w:rFonts w:hint="eastAsia" w:ascii="宋体" w:hAnsi="宋体" w:eastAsia="宋体" w:cs="宋体"/>
                <w:color w:val="auto"/>
                <w:sz w:val="21"/>
                <w:szCs w:val="21"/>
                <w:highlight w:val="none"/>
                <w:lang w:val="en-US" w:eastAsia="zh-CN"/>
              </w:rPr>
              <w:t>不重复计取</w:t>
            </w:r>
            <w:r>
              <w:rPr>
                <w:rFonts w:hint="eastAsia" w:ascii="宋体" w:hAnsi="宋体" w:eastAsia="宋体" w:cs="宋体"/>
                <w:color w:val="auto"/>
                <w:sz w:val="21"/>
                <w:szCs w:val="21"/>
                <w:highlight w:val="none"/>
                <w:lang w:eastAsia="zh-CN"/>
              </w:rPr>
              <w:t>。不符合上述条件或未提供相关证明材料的不得分。</w:t>
            </w:r>
          </w:p>
        </w:tc>
      </w:tr>
      <w:tr w14:paraId="0BA411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13" w:hRule="atLeast"/>
          <w:jc w:val="center"/>
        </w:trPr>
        <w:tc>
          <w:tcPr>
            <w:tcW w:w="687" w:type="dxa"/>
            <w:vMerge w:val="continue"/>
            <w:tcBorders>
              <w:right w:val="single" w:color="auto" w:sz="6" w:space="0"/>
            </w:tcBorders>
            <w:vAlign w:val="center"/>
          </w:tcPr>
          <w:p w14:paraId="1E8C82E6">
            <w:pPr>
              <w:autoSpaceDE w:val="0"/>
              <w:autoSpaceDN w:val="0"/>
              <w:adjustRightInd w:val="0"/>
              <w:jc w:val="center"/>
              <w:rPr>
                <w:rFonts w:hint="eastAsia" w:ascii="宋体" w:hAnsi="宋体" w:cs="宋体"/>
                <w:color w:val="auto"/>
                <w:szCs w:val="21"/>
                <w:highlight w:val="none"/>
                <w:lang w:val="zh-CN"/>
              </w:rPr>
            </w:pPr>
          </w:p>
        </w:tc>
        <w:tc>
          <w:tcPr>
            <w:tcW w:w="949" w:type="dxa"/>
            <w:vMerge w:val="continue"/>
            <w:tcBorders>
              <w:left w:val="single" w:color="auto" w:sz="6" w:space="0"/>
              <w:right w:val="single" w:color="auto" w:sz="6" w:space="0"/>
            </w:tcBorders>
            <w:vAlign w:val="center"/>
          </w:tcPr>
          <w:p w14:paraId="2AD434B9">
            <w:pPr>
              <w:autoSpaceDE w:val="0"/>
              <w:autoSpaceDN w:val="0"/>
              <w:adjustRightInd w:val="0"/>
              <w:jc w:val="center"/>
              <w:rPr>
                <w:rFonts w:hint="eastAsia" w:ascii="宋体" w:hAnsi="宋体" w:cs="宋体"/>
                <w:color w:val="auto"/>
                <w:szCs w:val="21"/>
                <w:highlight w:val="none"/>
                <w:lang w:val="zh-CN"/>
              </w:rPr>
            </w:pPr>
          </w:p>
        </w:tc>
        <w:tc>
          <w:tcPr>
            <w:tcW w:w="643" w:type="dxa"/>
            <w:vMerge w:val="continue"/>
            <w:tcBorders>
              <w:left w:val="single" w:color="auto" w:sz="6" w:space="0"/>
              <w:right w:val="single" w:color="auto" w:sz="6" w:space="0"/>
            </w:tcBorders>
            <w:shd w:val="clear" w:color="auto" w:fill="auto"/>
            <w:vAlign w:val="center"/>
          </w:tcPr>
          <w:p w14:paraId="3DE9B960">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ascii="宋体" w:hAnsi="宋体" w:eastAsia="宋体" w:cs="宋体"/>
                <w:color w:val="auto"/>
                <w:sz w:val="21"/>
                <w:szCs w:val="21"/>
                <w:highlight w:val="none"/>
                <w:lang w:eastAsia="zh-CN"/>
              </w:rPr>
            </w:pPr>
          </w:p>
        </w:tc>
        <w:tc>
          <w:tcPr>
            <w:tcW w:w="7456" w:type="dxa"/>
            <w:tcBorders>
              <w:top w:val="single" w:color="auto" w:sz="6" w:space="0"/>
              <w:left w:val="single" w:color="auto" w:sz="6" w:space="0"/>
              <w:right w:val="single" w:color="auto" w:sz="6" w:space="0"/>
            </w:tcBorders>
            <w:shd w:val="clear" w:color="auto" w:fill="auto"/>
            <w:vAlign w:val="top"/>
          </w:tcPr>
          <w:p w14:paraId="3D73F857">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）投标人（如为联合体投标，指联合体勘察方）自</w:t>
            </w:r>
            <w:r>
              <w:rPr>
                <w:rFonts w:ascii="宋体" w:hAnsi="宋体" w:eastAsia="宋体" w:cs="宋体"/>
                <w:b/>
                <w:bCs/>
                <w:color w:val="auto"/>
                <w:sz w:val="21"/>
                <w:szCs w:val="21"/>
                <w:highlight w:val="none"/>
                <w:lang w:eastAsia="zh-CN"/>
              </w:rPr>
              <w:t>2021</w:t>
            </w:r>
            <w:r>
              <w:rPr>
                <w:rFonts w:hint="eastAsia" w:ascii="宋体" w:hAnsi="宋体" w:eastAsia="宋体" w:cs="宋体"/>
                <w:b/>
                <w:bCs/>
                <w:color w:val="auto"/>
                <w:sz w:val="21"/>
                <w:szCs w:val="21"/>
                <w:highlight w:val="none"/>
                <w:lang w:eastAsia="zh-CN"/>
              </w:rPr>
              <w:t>年</w:t>
            </w:r>
            <w:r>
              <w:rPr>
                <w:rFonts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月</w:t>
            </w:r>
            <w:r>
              <w:rPr>
                <w:rFonts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日至投标截止为止，承接的房屋建筑工程勘察项目：</w:t>
            </w:r>
          </w:p>
          <w:p w14:paraId="456D8032">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获得国家级（或行业级）奖项，每项得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2949730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获得省级奖项，每项得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w:t>
            </w:r>
          </w:p>
          <w:p w14:paraId="610E65C5">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获得市级（含副省级）奖项，每项得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0797437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本小项累计最高</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lang w:eastAsia="zh-CN"/>
              </w:rPr>
              <w:t>分。</w:t>
            </w:r>
          </w:p>
          <w:p w14:paraId="11DD89BB">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①国家级（或行业级）奖项指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w:t>
            </w:r>
          </w:p>
          <w:p w14:paraId="6DDEE1FC">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②省级奖项指由省级（或直辖市）人民政府颁发的省（或直辖市）科学技术奖、省级（或直辖市）建设行政主管部门及省级（或直辖市）工程勘察设计行业协会颁发的“省级（或直辖市）优秀勘察设计奖”；</w:t>
            </w:r>
          </w:p>
          <w:p w14:paraId="0B27A18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③市级（含副省级）奖项指由市级(含副省级)人民政府颁发的“市(含副省级)科学技术奖”、市级(含副省级)建设行政主管部门或市级(含副省级)工程勘察设计行业协会颁发的“优秀勘察设计奖”。</w:t>
            </w:r>
          </w:p>
          <w:p w14:paraId="199AD8C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④须提供获奖证书扫描件。获奖时间以获奖证书的发证日期为准，同一项目获得多个奖项的，按最高级别奖项只计一次得分。不符合上述条件或未提供相关证明材料的不得分。</w:t>
            </w:r>
          </w:p>
        </w:tc>
      </w:tr>
      <w:tr w14:paraId="66826C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7" w:hRule="atLeast"/>
          <w:jc w:val="center"/>
        </w:trPr>
        <w:tc>
          <w:tcPr>
            <w:tcW w:w="687" w:type="dxa"/>
            <w:vMerge w:val="continue"/>
            <w:tcBorders>
              <w:right w:val="single" w:color="auto" w:sz="6" w:space="0"/>
            </w:tcBorders>
            <w:vAlign w:val="center"/>
          </w:tcPr>
          <w:p w14:paraId="6E4460D4">
            <w:pPr>
              <w:keepNext w:val="0"/>
              <w:keepLines w:val="0"/>
              <w:pageBreakBefore w:val="0"/>
              <w:widowControl w:val="0"/>
              <w:kinsoku/>
              <w:wordWrap/>
              <w:overflowPunct/>
              <w:topLinePunct w:val="0"/>
              <w:bidi w:val="0"/>
              <w:snapToGrid/>
              <w:spacing w:line="320" w:lineRule="exact"/>
              <w:ind w:left="0" w:leftChars="0" w:firstLine="0" w:firstLineChars="0"/>
              <w:textAlignment w:val="auto"/>
              <w:rPr>
                <w:color w:val="auto"/>
                <w:highlight w:val="none"/>
              </w:rPr>
            </w:pPr>
          </w:p>
        </w:tc>
        <w:tc>
          <w:tcPr>
            <w:tcW w:w="949" w:type="dxa"/>
            <w:vMerge w:val="continue"/>
            <w:tcBorders>
              <w:left w:val="single" w:color="auto" w:sz="6" w:space="0"/>
              <w:right w:val="single" w:color="auto" w:sz="6" w:space="0"/>
            </w:tcBorders>
            <w:vAlign w:val="center"/>
          </w:tcPr>
          <w:p w14:paraId="7AA61FE7">
            <w:pPr>
              <w:keepNext w:val="0"/>
              <w:keepLines w:val="0"/>
              <w:pageBreakBefore w:val="0"/>
              <w:widowControl w:val="0"/>
              <w:kinsoku/>
              <w:wordWrap/>
              <w:overflowPunct/>
              <w:topLinePunct w:val="0"/>
              <w:bidi w:val="0"/>
              <w:snapToGrid/>
              <w:spacing w:line="320" w:lineRule="exact"/>
              <w:ind w:left="0" w:leftChars="0" w:firstLine="0" w:firstLineChars="0"/>
              <w:textAlignment w:val="auto"/>
              <w:rPr>
                <w:color w:val="auto"/>
                <w:highlight w:val="none"/>
              </w:rPr>
            </w:pPr>
          </w:p>
        </w:tc>
        <w:tc>
          <w:tcPr>
            <w:tcW w:w="643" w:type="dxa"/>
            <w:vMerge w:val="continue"/>
            <w:tcBorders>
              <w:left w:val="single" w:color="auto" w:sz="6" w:space="0"/>
              <w:right w:val="single" w:color="auto" w:sz="6" w:space="0"/>
            </w:tcBorders>
            <w:shd w:val="clear" w:color="auto" w:fill="auto"/>
            <w:vAlign w:val="center"/>
          </w:tcPr>
          <w:p w14:paraId="5E020A84">
            <w:pPr>
              <w:keepNext w:val="0"/>
              <w:keepLines w:val="0"/>
              <w:pageBreakBefore w:val="0"/>
              <w:widowControl w:val="0"/>
              <w:kinsoku/>
              <w:wordWrap/>
              <w:overflowPunct/>
              <w:topLinePunct w:val="0"/>
              <w:bidi w:val="0"/>
              <w:snapToGrid/>
              <w:spacing w:line="320" w:lineRule="exact"/>
              <w:ind w:left="0" w:leftChars="0" w:firstLine="0" w:firstLineChars="0"/>
              <w:textAlignment w:val="auto"/>
              <w:rPr>
                <w:color w:val="auto"/>
                <w:highlight w:val="none"/>
              </w:rPr>
            </w:pPr>
          </w:p>
        </w:tc>
        <w:tc>
          <w:tcPr>
            <w:tcW w:w="7456" w:type="dxa"/>
            <w:tcBorders>
              <w:top w:val="single" w:color="auto" w:sz="6" w:space="0"/>
              <w:left w:val="single" w:color="auto" w:sz="6" w:space="0"/>
              <w:right w:val="single" w:color="auto" w:sz="6" w:space="0"/>
            </w:tcBorders>
            <w:shd w:val="clear" w:color="auto" w:fill="auto"/>
            <w:vAlign w:val="top"/>
          </w:tcPr>
          <w:p w14:paraId="7422AE27">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投标人（如为联合体投标，指联合体设计方）自</w:t>
            </w:r>
            <w:r>
              <w:rPr>
                <w:rFonts w:ascii="宋体" w:hAnsi="宋体" w:eastAsia="宋体" w:cs="宋体"/>
                <w:b/>
                <w:bCs/>
                <w:color w:val="auto"/>
                <w:sz w:val="21"/>
                <w:szCs w:val="21"/>
                <w:highlight w:val="none"/>
                <w:lang w:eastAsia="zh-CN"/>
              </w:rPr>
              <w:t>2021</w:t>
            </w:r>
            <w:r>
              <w:rPr>
                <w:rFonts w:hint="eastAsia" w:ascii="宋体" w:hAnsi="宋体" w:eastAsia="宋体" w:cs="宋体"/>
                <w:b/>
                <w:bCs/>
                <w:color w:val="auto"/>
                <w:sz w:val="21"/>
                <w:szCs w:val="21"/>
                <w:highlight w:val="none"/>
                <w:lang w:eastAsia="zh-CN"/>
              </w:rPr>
              <w:t>年</w:t>
            </w:r>
            <w:r>
              <w:rPr>
                <w:rFonts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月</w:t>
            </w:r>
            <w:r>
              <w:rPr>
                <w:rFonts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日至投标截止为止</w:t>
            </w:r>
            <w:r>
              <w:rPr>
                <w:rFonts w:hint="eastAsia" w:ascii="宋体" w:hAnsi="宋体" w:cs="宋体"/>
                <w:b/>
                <w:bCs/>
                <w:color w:val="auto"/>
                <w:sz w:val="21"/>
                <w:szCs w:val="21"/>
                <w:highlight w:val="none"/>
                <w:lang w:val="en-US" w:eastAsia="zh-CN"/>
              </w:rPr>
              <w:t>:</w:t>
            </w:r>
          </w:p>
          <w:p w14:paraId="58A9E610">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获得过国家级房屋建筑类国家科学技术</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lang w:eastAsia="zh-CN"/>
              </w:rPr>
              <w:t>奖的，每项得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3F656D02">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获得过省级房屋建筑类科学技术</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lang w:eastAsia="zh-CN"/>
              </w:rPr>
              <w:t>奖的，每项得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w:t>
            </w:r>
          </w:p>
          <w:p w14:paraId="19A0F7A2">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获得过市级房屋建筑类科学技术</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lang w:eastAsia="zh-CN"/>
              </w:rPr>
              <w:t>奖的，每项得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7A0FDF0E">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其他不得分。本</w:t>
            </w:r>
            <w:r>
              <w:rPr>
                <w:rFonts w:hint="eastAsia" w:ascii="宋体" w:hAnsi="宋体" w:cs="宋体"/>
                <w:color w:val="auto"/>
                <w:sz w:val="21"/>
                <w:szCs w:val="21"/>
                <w:highlight w:val="none"/>
                <w:lang w:val="en-US" w:eastAsia="zh-CN"/>
              </w:rPr>
              <w:t>小</w:t>
            </w:r>
            <w:r>
              <w:rPr>
                <w:rFonts w:hint="eastAsia" w:ascii="宋体" w:hAnsi="宋体" w:eastAsia="宋体" w:cs="宋体"/>
                <w:color w:val="auto"/>
                <w:sz w:val="21"/>
                <w:szCs w:val="21"/>
                <w:highlight w:val="none"/>
                <w:lang w:eastAsia="zh-CN"/>
              </w:rPr>
              <w:t>项</w:t>
            </w:r>
            <w:r>
              <w:rPr>
                <w:rFonts w:hint="eastAsia" w:ascii="宋体" w:hAnsi="宋体" w:cs="宋体"/>
                <w:color w:val="auto"/>
                <w:sz w:val="21"/>
                <w:szCs w:val="21"/>
                <w:highlight w:val="none"/>
                <w:lang w:val="en-US" w:eastAsia="zh-CN"/>
              </w:rPr>
              <w:t>累计</w:t>
            </w:r>
            <w:r>
              <w:rPr>
                <w:rFonts w:hint="eastAsia" w:ascii="宋体" w:hAnsi="宋体" w:eastAsia="宋体" w:cs="宋体"/>
                <w:color w:val="auto"/>
                <w:sz w:val="21"/>
                <w:szCs w:val="21"/>
                <w:highlight w:val="none"/>
                <w:lang w:eastAsia="zh-CN"/>
              </w:rPr>
              <w:t>最多得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69D031B9">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科学技术类奖：需提供各级人民政府或建设行政主管部门或行业协会颁发的科学技术类奖项（指科学技术进步奖或科学技术奖）扫描件。时间以获奖证书上或获奖文件等证明文件所署时间为准；其中行业协会颁发的奖项，要求发证协会必须经民政部门依法登记成立，且提供其在中国社会组织政务服务平台（https://xxgs.chinanpo.mca.gov.cn/gsxt/newList）查询结果（附网页打印页或网页信息截图）。同一投标人获得多个多次奖项的，只按获奖最高级别计算一次分数，不得累计计算。获奖单位须与投标人单位一致，不含子公司和分公司。不符合上述条件或未提供上述资料的不得分。</w:t>
            </w:r>
          </w:p>
        </w:tc>
      </w:tr>
      <w:tr w14:paraId="6312F6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7" w:hRule="atLeast"/>
          <w:jc w:val="center"/>
        </w:trPr>
        <w:tc>
          <w:tcPr>
            <w:tcW w:w="687" w:type="dxa"/>
            <w:vMerge w:val="continue"/>
            <w:tcBorders>
              <w:right w:val="single" w:color="auto" w:sz="6" w:space="0"/>
            </w:tcBorders>
            <w:vAlign w:val="center"/>
          </w:tcPr>
          <w:p w14:paraId="69028ECF">
            <w:pPr>
              <w:keepNext w:val="0"/>
              <w:keepLines w:val="0"/>
              <w:pageBreakBefore w:val="0"/>
              <w:widowControl w:val="0"/>
              <w:kinsoku/>
              <w:wordWrap/>
              <w:overflowPunct/>
              <w:topLinePunct w:val="0"/>
              <w:bidi w:val="0"/>
              <w:snapToGrid/>
              <w:spacing w:line="320" w:lineRule="exact"/>
              <w:ind w:left="0" w:leftChars="0" w:firstLine="0" w:firstLineChars="0"/>
              <w:textAlignment w:val="auto"/>
              <w:rPr>
                <w:color w:val="auto"/>
                <w:highlight w:val="none"/>
              </w:rPr>
            </w:pPr>
          </w:p>
        </w:tc>
        <w:tc>
          <w:tcPr>
            <w:tcW w:w="949" w:type="dxa"/>
            <w:vMerge w:val="continue"/>
            <w:tcBorders>
              <w:left w:val="single" w:color="auto" w:sz="6" w:space="0"/>
              <w:right w:val="single" w:color="auto" w:sz="6" w:space="0"/>
            </w:tcBorders>
            <w:vAlign w:val="center"/>
          </w:tcPr>
          <w:p w14:paraId="10ED9B82">
            <w:pPr>
              <w:keepNext w:val="0"/>
              <w:keepLines w:val="0"/>
              <w:pageBreakBefore w:val="0"/>
              <w:widowControl w:val="0"/>
              <w:kinsoku/>
              <w:wordWrap/>
              <w:overflowPunct/>
              <w:topLinePunct w:val="0"/>
              <w:bidi w:val="0"/>
              <w:snapToGrid/>
              <w:spacing w:line="320" w:lineRule="exact"/>
              <w:ind w:left="0" w:leftChars="0" w:firstLine="0" w:firstLineChars="0"/>
              <w:textAlignment w:val="auto"/>
              <w:rPr>
                <w:color w:val="auto"/>
                <w:highlight w:val="none"/>
              </w:rPr>
            </w:pPr>
          </w:p>
        </w:tc>
        <w:tc>
          <w:tcPr>
            <w:tcW w:w="643" w:type="dxa"/>
            <w:vMerge w:val="continue"/>
            <w:tcBorders>
              <w:left w:val="single" w:color="auto" w:sz="6" w:space="0"/>
              <w:right w:val="single" w:color="auto" w:sz="6" w:space="0"/>
            </w:tcBorders>
            <w:shd w:val="clear" w:color="auto" w:fill="auto"/>
            <w:vAlign w:val="center"/>
          </w:tcPr>
          <w:p w14:paraId="4DB26D63">
            <w:pPr>
              <w:keepNext w:val="0"/>
              <w:keepLines w:val="0"/>
              <w:pageBreakBefore w:val="0"/>
              <w:widowControl w:val="0"/>
              <w:kinsoku/>
              <w:wordWrap/>
              <w:overflowPunct/>
              <w:topLinePunct w:val="0"/>
              <w:bidi w:val="0"/>
              <w:snapToGrid/>
              <w:spacing w:line="320" w:lineRule="exact"/>
              <w:ind w:left="0" w:leftChars="0" w:firstLine="0" w:firstLineChars="0"/>
              <w:textAlignment w:val="auto"/>
              <w:rPr>
                <w:color w:val="auto"/>
                <w:highlight w:val="none"/>
              </w:rPr>
            </w:pPr>
          </w:p>
        </w:tc>
        <w:tc>
          <w:tcPr>
            <w:tcW w:w="7456" w:type="dxa"/>
            <w:tcBorders>
              <w:top w:val="single" w:color="auto" w:sz="6" w:space="0"/>
              <w:left w:val="single" w:color="auto" w:sz="6" w:space="0"/>
              <w:right w:val="single" w:color="auto" w:sz="6" w:space="0"/>
            </w:tcBorders>
            <w:shd w:val="clear" w:color="auto" w:fill="auto"/>
            <w:vAlign w:val="top"/>
          </w:tcPr>
          <w:p w14:paraId="7D17DB2C">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投标人（如为联合体投标，指联合体设计方）自2021年</w:t>
            </w:r>
            <w:r>
              <w:rPr>
                <w:rFonts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月</w:t>
            </w:r>
            <w:r>
              <w:rPr>
                <w:rFonts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日至投标截止时间，获得与</w:t>
            </w:r>
            <w:r>
              <w:rPr>
                <w:rFonts w:ascii="宋体" w:hAnsi="宋体" w:eastAsia="宋体" w:cs="宋体"/>
                <w:b/>
                <w:bCs/>
                <w:color w:val="auto"/>
                <w:sz w:val="21"/>
                <w:szCs w:val="21"/>
                <w:highlight w:val="none"/>
                <w:lang w:eastAsia="zh-CN"/>
              </w:rPr>
              <w:t>BIM</w:t>
            </w:r>
            <w:r>
              <w:rPr>
                <w:rFonts w:hint="eastAsia" w:ascii="宋体" w:hAnsi="宋体" w:eastAsia="宋体" w:cs="宋体"/>
                <w:b/>
                <w:bCs/>
                <w:color w:val="auto"/>
                <w:sz w:val="21"/>
                <w:szCs w:val="21"/>
                <w:highlight w:val="none"/>
                <w:lang w:eastAsia="zh-CN"/>
              </w:rPr>
              <w:t>相关的软件著作权</w:t>
            </w:r>
            <w:r>
              <w:rPr>
                <w:rFonts w:hint="eastAsia" w:ascii="宋体" w:hAnsi="宋体" w:cs="宋体"/>
                <w:b/>
                <w:bCs/>
                <w:color w:val="auto"/>
                <w:sz w:val="21"/>
                <w:szCs w:val="21"/>
                <w:highlight w:val="none"/>
                <w:lang w:val="en-US" w:eastAsia="zh-CN"/>
              </w:rPr>
              <w:t>:</w:t>
            </w:r>
          </w:p>
          <w:p w14:paraId="2CF9AD8E">
            <w:pPr>
              <w:keepNext w:val="0"/>
              <w:keepLines w:val="0"/>
              <w:pageBreakBefore w:val="0"/>
              <w:widowControl w:val="0"/>
              <w:numPr>
                <w:ilvl w:val="0"/>
                <w:numId w:val="0"/>
              </w:numPr>
              <w:kinsoku/>
              <w:wordWrap/>
              <w:overflowPunct/>
              <w:topLinePunct w:val="0"/>
              <w:bidi w:val="0"/>
              <w:snapToGrid/>
              <w:spacing w:line="320" w:lineRule="exact"/>
              <w:ind w:leftChars="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项或以上得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分，具有</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至</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项得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分，具有</w:t>
            </w:r>
            <w:r>
              <w:rPr>
                <w:rFonts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项得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w:t>
            </w:r>
            <w:r>
              <w:rPr>
                <w:rFonts w:hint="eastAsia" w:ascii="宋体" w:hAnsi="宋体" w:cs="宋体"/>
                <w:color w:val="auto"/>
                <w:sz w:val="21"/>
                <w:szCs w:val="21"/>
                <w:highlight w:val="none"/>
                <w:lang w:val="en-US" w:eastAsia="zh-CN"/>
              </w:rPr>
              <w:t>小</w:t>
            </w:r>
            <w:r>
              <w:rPr>
                <w:rFonts w:hint="eastAsia" w:ascii="宋体" w:hAnsi="宋体" w:eastAsia="宋体" w:cs="宋体"/>
                <w:color w:val="auto"/>
                <w:sz w:val="21"/>
                <w:szCs w:val="21"/>
                <w:highlight w:val="none"/>
                <w:lang w:eastAsia="zh-CN"/>
              </w:rPr>
              <w:t>项最多得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06F2D20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注：①软件著作权应提供软件著作权登记证书；②登记证书应列明著作权人；③软件著作权时间以登记证书的时间为准；④不符合上述条件或未提供上述资料的不计分。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26" w:hRule="atLeast"/>
          <w:jc w:val="center"/>
        </w:trPr>
        <w:tc>
          <w:tcPr>
            <w:tcW w:w="687" w:type="dxa"/>
            <w:tcBorders>
              <w:top w:val="single" w:color="auto" w:sz="6" w:space="0"/>
              <w:right w:val="single" w:color="auto" w:sz="6" w:space="0"/>
            </w:tcBorders>
            <w:vAlign w:val="center"/>
          </w:tcPr>
          <w:p w14:paraId="585D00D3">
            <w:pPr>
              <w:autoSpaceDE w:val="0"/>
              <w:autoSpaceDN w:val="0"/>
              <w:adjustRightInd w:val="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三</w:t>
            </w:r>
          </w:p>
        </w:tc>
        <w:tc>
          <w:tcPr>
            <w:tcW w:w="949" w:type="dxa"/>
            <w:tcBorders>
              <w:top w:val="single" w:color="auto" w:sz="6" w:space="0"/>
              <w:left w:val="single" w:color="auto" w:sz="6" w:space="0"/>
              <w:right w:val="single" w:color="auto" w:sz="6" w:space="0"/>
            </w:tcBorders>
            <w:vAlign w:val="center"/>
          </w:tcPr>
          <w:p w14:paraId="7BDDA64E">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拟派项目负责人执业资格</w:t>
            </w:r>
          </w:p>
          <w:p w14:paraId="5097B346">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643" w:type="dxa"/>
            <w:tcBorders>
              <w:top w:val="single" w:color="auto" w:sz="6" w:space="0"/>
              <w:left w:val="single" w:color="auto" w:sz="6" w:space="0"/>
              <w:bottom w:val="single" w:color="auto" w:sz="6" w:space="0"/>
              <w:right w:val="single" w:color="auto" w:sz="6" w:space="0"/>
            </w:tcBorders>
            <w:vAlign w:val="center"/>
          </w:tcPr>
          <w:p w14:paraId="115AAFCE">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7456" w:type="dxa"/>
            <w:tcBorders>
              <w:top w:val="single" w:color="auto" w:sz="6" w:space="0"/>
              <w:left w:val="single" w:color="auto" w:sz="6" w:space="0"/>
              <w:right w:val="single" w:color="auto" w:sz="6" w:space="0"/>
            </w:tcBorders>
            <w:shd w:val="clear" w:color="auto" w:fill="auto"/>
            <w:vAlign w:val="center"/>
          </w:tcPr>
          <w:p w14:paraId="4B62397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投标人（如为联合体投标，指联合体设计方）</w:t>
            </w:r>
          </w:p>
          <w:p w14:paraId="11A50DDB">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年或以上工作经历的，得</w:t>
            </w: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分；具有15-</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年工作经历的，得</w:t>
            </w:r>
            <w:r>
              <w:rPr>
                <w:rFonts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分。具有0-14年工作经历的，得1分。本小项最高得</w:t>
            </w: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分。（工作经历以大专或以上学历的毕业证的时间开始计算</w:t>
            </w:r>
            <w:r>
              <w:rPr>
                <w:rFonts w:hint="eastAsia" w:ascii="宋体" w:hAnsi="宋体" w:cs="宋体"/>
                <w:color w:val="auto"/>
                <w:sz w:val="21"/>
                <w:szCs w:val="21"/>
                <w:highlight w:val="none"/>
                <w:lang w:eastAsia="zh-CN"/>
              </w:rPr>
              <w:t>至投标截止时间</w:t>
            </w:r>
            <w:r>
              <w:rPr>
                <w:rFonts w:hint="eastAsia" w:ascii="宋体" w:hAnsi="宋体" w:eastAsia="宋体" w:cs="宋体"/>
                <w:color w:val="auto"/>
                <w:sz w:val="21"/>
                <w:szCs w:val="21"/>
                <w:highlight w:val="none"/>
                <w:lang w:eastAsia="zh-CN"/>
              </w:rPr>
              <w:t>）</w:t>
            </w:r>
          </w:p>
          <w:p w14:paraId="3C18D6B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拟派项目负责人的技术职称具有建筑工程相关专业中级工程师，得</w:t>
            </w:r>
            <w:r>
              <w:rPr>
                <w:rFonts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分；具有建筑工程相关专业高级工程师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6620811C">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.自2021年1月1日至投标截止时间止担任项目负责人（或设计负责人）主持过总建筑面积</w:t>
            </w:r>
            <w:r>
              <w:rPr>
                <w:rFonts w:hint="default"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万平方米或以上的房屋建筑工程设计业绩的，每项得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分。本小项最高得</w:t>
            </w: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分。</w:t>
            </w:r>
          </w:p>
          <w:p w14:paraId="72172891">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w:t>
            </w:r>
            <w:r>
              <w:rPr>
                <w:rFonts w:hint="eastAsia" w:ascii="宋体" w:hAnsi="宋体" w:cs="宋体"/>
                <w:color w:val="auto"/>
                <w:sz w:val="21"/>
                <w:szCs w:val="21"/>
                <w:highlight w:val="none"/>
                <w:lang w:val="en-US" w:eastAsia="zh-CN"/>
              </w:rPr>
              <w:t>累计</w:t>
            </w:r>
            <w:r>
              <w:rPr>
                <w:rFonts w:hint="eastAsia" w:ascii="宋体" w:hAnsi="宋体" w:eastAsia="宋体" w:cs="宋体"/>
                <w:color w:val="auto"/>
                <w:sz w:val="21"/>
                <w:szCs w:val="21"/>
                <w:highlight w:val="none"/>
                <w:lang w:eastAsia="zh-CN"/>
              </w:rPr>
              <w:t>最高得</w:t>
            </w:r>
            <w:r>
              <w:rPr>
                <w:rFonts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t>分。</w:t>
            </w:r>
          </w:p>
          <w:p w14:paraId="54F83C9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cs="宋体"/>
                <w:color w:val="auto"/>
                <w:sz w:val="21"/>
                <w:szCs w:val="21"/>
                <w:highlight w:val="none"/>
                <w:lang w:eastAsia="zh-CN"/>
              </w:rPr>
              <w:t>注：</w:t>
            </w:r>
            <w:r>
              <w:rPr>
                <w:rFonts w:hint="eastAsia" w:cs="宋体"/>
                <w:color w:val="auto"/>
                <w:sz w:val="21"/>
                <w:szCs w:val="21"/>
                <w:highlight w:val="none"/>
                <w:lang w:val="en-US" w:eastAsia="zh-CN"/>
              </w:rPr>
              <w:t>（1）</w:t>
            </w:r>
            <w:r>
              <w:rPr>
                <w:rFonts w:hint="eastAsia" w:cs="宋体"/>
                <w:color w:val="auto"/>
                <w:sz w:val="21"/>
                <w:szCs w:val="21"/>
                <w:highlight w:val="none"/>
                <w:lang w:eastAsia="zh-CN"/>
              </w:rPr>
              <w:t>须提供职称证、毕业证、业绩证明文件（合同关键页）、投标截止时间近1个月</w:t>
            </w:r>
            <w:r>
              <w:rPr>
                <w:rFonts w:hint="eastAsia" w:ascii="宋体" w:hAnsi="宋体" w:eastAsia="宋体" w:cs="宋体"/>
                <w:color w:val="auto"/>
                <w:sz w:val="21"/>
                <w:szCs w:val="21"/>
                <w:highlight w:val="none"/>
                <w:lang w:eastAsia="zh-CN"/>
              </w:rPr>
              <w:t>（扣除招标公告发布当月前一个月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即2025年10月</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r>
              <w:rPr>
                <w:rFonts w:hint="eastAsia" w:ascii="宋体" w:hAnsi="宋体" w:eastAsia="宋体" w:cs="宋体"/>
                <w:color w:val="auto"/>
                <w:kern w:val="0"/>
                <w:szCs w:val="21"/>
                <w:highlight w:val="none"/>
                <w:lang w:eastAsia="zh-CN"/>
              </w:rPr>
              <w:t>职</w:t>
            </w:r>
            <w:r>
              <w:rPr>
                <w:rFonts w:hint="eastAsia" w:ascii="宋体" w:hAnsi="宋体" w:eastAsia="宋体" w:cs="宋体"/>
                <w:color w:val="auto"/>
                <w:kern w:val="0"/>
                <w:szCs w:val="21"/>
                <w:highlight w:val="none"/>
              </w:rPr>
              <w:t>称证书按最高级别计分，不累计计算</w:t>
            </w:r>
            <w:r>
              <w:rPr>
                <w:rFonts w:hint="eastAsia" w:ascii="宋体" w:hAnsi="宋体" w:eastAsia="宋体" w:cs="宋体"/>
                <w:color w:val="auto"/>
                <w:kern w:val="0"/>
                <w:szCs w:val="21"/>
                <w:highlight w:val="none"/>
                <w:lang w:eastAsia="zh-CN"/>
              </w:rPr>
              <w:t>。</w:t>
            </w:r>
          </w:p>
          <w:p w14:paraId="3FA61C7E">
            <w:pPr>
              <w:keepNext w:val="0"/>
              <w:keepLines w:val="0"/>
              <w:pageBreakBefore w:val="0"/>
              <w:widowControl w:val="0"/>
              <w:numPr>
                <w:ilvl w:val="0"/>
                <w:numId w:val="6"/>
              </w:numPr>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项目负责人业绩：</w:t>
            </w:r>
            <w:r>
              <w:rPr>
                <w:rFonts w:hint="eastAsia" w:ascii="宋体" w:hAnsi="宋体" w:cs="宋体"/>
                <w:color w:val="auto"/>
                <w:highlight w:val="none"/>
                <w:lang w:eastAsia="zh-CN"/>
              </w:rPr>
              <w:t>①</w:t>
            </w:r>
            <w:r>
              <w:rPr>
                <w:rFonts w:hint="eastAsia" w:ascii="宋体" w:hAnsi="宋体" w:cs="宋体"/>
                <w:color w:val="auto"/>
                <w:highlight w:val="none"/>
              </w:rPr>
              <w:t>时间以合同文件签订时间为准。</w:t>
            </w:r>
            <w:r>
              <w:rPr>
                <w:rFonts w:hint="eastAsia" w:ascii="宋体" w:hAnsi="宋体" w:cs="宋体"/>
                <w:color w:val="auto"/>
                <w:highlight w:val="none"/>
                <w:lang w:val="en-US" w:eastAsia="zh-CN"/>
              </w:rPr>
              <w:t>②</w:t>
            </w:r>
            <w:r>
              <w:rPr>
                <w:rFonts w:hint="eastAsia" w:ascii="宋体" w:hAnsi="宋体" w:cs="宋体"/>
                <w:color w:val="auto"/>
                <w:highlight w:val="none"/>
              </w:rPr>
              <w:t>项目负责人</w:t>
            </w:r>
            <w:r>
              <w:rPr>
                <w:rFonts w:hint="eastAsia" w:ascii="宋体" w:hAnsi="宋体" w:cs="宋体"/>
                <w:color w:val="auto"/>
                <w:highlight w:val="none"/>
                <w:lang w:val="en-US" w:eastAsia="zh-CN"/>
              </w:rPr>
              <w:t>姓名</w:t>
            </w:r>
            <w:r>
              <w:rPr>
                <w:rFonts w:hint="eastAsia" w:ascii="宋体" w:hAnsi="宋体" w:cs="宋体"/>
                <w:color w:val="auto"/>
                <w:highlight w:val="none"/>
              </w:rPr>
              <w:t>及任职以合同文件(或初步设计批复或初步设计复函、或工程规划许可证、或施工图审查合格证明文件)为准，如均不能证明，可提供经该项目业主盖章确认的其他证明文件。</w:t>
            </w:r>
            <w:r>
              <w:rPr>
                <w:rFonts w:hint="eastAsia" w:ascii="宋体" w:hAnsi="宋体" w:cs="宋体"/>
                <w:color w:val="auto"/>
                <w:highlight w:val="none"/>
                <w:lang w:val="en-US" w:eastAsia="zh-CN"/>
              </w:rPr>
              <w:t>③</w:t>
            </w:r>
            <w:r>
              <w:rPr>
                <w:rFonts w:hint="eastAsia" w:ascii="宋体" w:hAnsi="宋体" w:cs="宋体"/>
                <w:color w:val="auto"/>
                <w:highlight w:val="none"/>
              </w:rPr>
              <w:t>总建筑面积以合同文件(或初步设计批复或初步设计复函、或工程规划许可证、或施工图审查合格证明文件)为准，如均不能证明，可提供经该项目业主盖章确认的可证明业绩总建筑面积的其他证明文件</w:t>
            </w:r>
            <w:r>
              <w:rPr>
                <w:rFonts w:hint="eastAsia" w:ascii="宋体" w:eastAsia="宋体" w:cs="宋体"/>
                <w:color w:val="auto"/>
                <w:sz w:val="21"/>
                <w:szCs w:val="21"/>
                <w:highlight w:val="none"/>
                <w:lang w:eastAsia="zh-CN"/>
              </w:rPr>
              <w:t>。</w:t>
            </w:r>
          </w:p>
          <w:p w14:paraId="1AE9D8BD">
            <w:pPr>
              <w:pStyle w:val="2"/>
              <w:numPr>
                <w:ilvl w:val="0"/>
                <w:numId w:val="6"/>
              </w:numPr>
              <w:ind w:firstLine="0" w:firstLineChars="0"/>
              <w:rPr>
                <w:rFonts w:hint="default"/>
                <w:color w:val="auto"/>
                <w:highlight w:val="none"/>
                <w:lang w:val="en-US" w:eastAsia="zh-CN"/>
              </w:rPr>
            </w:pPr>
            <w:r>
              <w:rPr>
                <w:rFonts w:hint="default"/>
                <w:color w:val="auto"/>
                <w:highlight w:val="none"/>
                <w:lang w:val="en-US" w:eastAsia="zh-CN"/>
              </w:rPr>
              <w:t>不符合上述条件或未提供相关证明材料的不得分。</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tcBorders>
              <w:top w:val="single" w:color="auto" w:sz="6" w:space="0"/>
              <w:right w:val="single" w:color="auto" w:sz="6" w:space="0"/>
            </w:tcBorders>
            <w:vAlign w:val="center"/>
          </w:tcPr>
          <w:p w14:paraId="728D4AD2">
            <w:pPr>
              <w:autoSpaceDE w:val="0"/>
              <w:autoSpaceDN w:val="0"/>
              <w:adjustRightInd w:val="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四</w:t>
            </w:r>
          </w:p>
        </w:tc>
        <w:tc>
          <w:tcPr>
            <w:tcW w:w="949" w:type="dxa"/>
            <w:tcBorders>
              <w:top w:val="single" w:color="auto" w:sz="6" w:space="0"/>
              <w:left w:val="single" w:color="auto" w:sz="6" w:space="0"/>
              <w:right w:val="single" w:color="auto" w:sz="6" w:space="0"/>
            </w:tcBorders>
            <w:vAlign w:val="center"/>
          </w:tcPr>
          <w:p w14:paraId="71BA7EFD">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项目团队人员配备及技术水平</w:t>
            </w:r>
          </w:p>
          <w:p w14:paraId="79EF153C">
            <w:pPr>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w:t>
            </w:r>
          </w:p>
        </w:tc>
        <w:tc>
          <w:tcPr>
            <w:tcW w:w="643" w:type="dxa"/>
            <w:tcBorders>
              <w:top w:val="single" w:color="auto" w:sz="6" w:space="0"/>
              <w:left w:val="single" w:color="auto" w:sz="6" w:space="0"/>
              <w:right w:val="single" w:color="auto" w:sz="6" w:space="0"/>
            </w:tcBorders>
            <w:vAlign w:val="center"/>
          </w:tcPr>
          <w:p w14:paraId="795371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25</w:t>
            </w:r>
          </w:p>
        </w:tc>
        <w:tc>
          <w:tcPr>
            <w:tcW w:w="7456" w:type="dxa"/>
            <w:tcBorders>
              <w:top w:val="single" w:color="auto" w:sz="6" w:space="0"/>
              <w:left w:val="single" w:color="auto" w:sz="6" w:space="0"/>
              <w:bottom w:val="single" w:color="auto" w:sz="6" w:space="0"/>
              <w:right w:val="single" w:color="auto" w:sz="6" w:space="0"/>
            </w:tcBorders>
            <w:shd w:val="clear" w:color="auto" w:fill="auto"/>
            <w:vAlign w:val="center"/>
          </w:tcPr>
          <w:p w14:paraId="59A647C6">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拟派团队人员的技术水平：</w:t>
            </w:r>
          </w:p>
          <w:p w14:paraId="5EE25CFC">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拟派团队人员满足《勘察</w:t>
            </w:r>
            <w:r>
              <w:rPr>
                <w:rFonts w:hint="eastAsia" w:ascii="宋体" w:hAnsi="宋体" w:cs="宋体"/>
                <w:color w:val="auto"/>
                <w:sz w:val="21"/>
                <w:szCs w:val="21"/>
                <w:highlight w:val="none"/>
                <w:lang w:val="en-US" w:eastAsia="zh-CN"/>
              </w:rPr>
              <w:t>初步</w:t>
            </w:r>
            <w:r>
              <w:rPr>
                <w:rFonts w:hint="eastAsia" w:ascii="宋体" w:hAnsi="宋体" w:eastAsia="宋体" w:cs="宋体"/>
                <w:color w:val="auto"/>
                <w:sz w:val="21"/>
                <w:szCs w:val="21"/>
                <w:highlight w:val="none"/>
                <w:lang w:eastAsia="zh-CN"/>
              </w:rPr>
              <w:t>设计服务人员配备要求表》要求的，得3分。不满足要求的不得分；</w:t>
            </w:r>
          </w:p>
          <w:p w14:paraId="3C7EABA1">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在满足《勘察</w:t>
            </w:r>
            <w:r>
              <w:rPr>
                <w:rFonts w:hint="eastAsia" w:ascii="宋体" w:hAnsi="宋体" w:cs="宋体"/>
                <w:color w:val="auto"/>
                <w:sz w:val="21"/>
                <w:szCs w:val="21"/>
                <w:highlight w:val="none"/>
                <w:lang w:val="en-US" w:eastAsia="zh-CN"/>
              </w:rPr>
              <w:t>初步</w:t>
            </w:r>
            <w:r>
              <w:rPr>
                <w:rFonts w:hint="eastAsia" w:ascii="宋体" w:hAnsi="宋体" w:eastAsia="宋体" w:cs="宋体"/>
                <w:color w:val="auto"/>
                <w:sz w:val="21"/>
                <w:szCs w:val="21"/>
                <w:highlight w:val="none"/>
                <w:lang w:eastAsia="zh-CN"/>
              </w:rPr>
              <w:t>设计服务人员配备要求表》的基础上，对配备的团队人员的素质情况进行加分：</w:t>
            </w:r>
          </w:p>
          <w:p w14:paraId="139FB8CA">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（1）投标人（如为联合体投标，指联合体设计方）</w:t>
            </w:r>
          </w:p>
          <w:p w14:paraId="715E506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1）建筑专业负责人的技术职称：具有建筑工程相关专业中级工程师，得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分。具有建筑工程相关专业高级工程师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43DDA43A">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2）结构专业负责人的技术职称：具有结构相关专业中级工程师，得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分。具有结构相关专业高级工程师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5A1EE3B">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3）给排水专业负责人的技术职称：具有给排水相关专业中级工程师，得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分。具有给排水相关专业高级工程师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593CAB1D">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4）电气专业负责人的技术职称：具有电气相关专业中级工程师，得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分。具有电气相关专业高级工程师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18DCA82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5）暖通空调专业负责人的技术职称：具有暖通空调相关专业中级工程师，得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分。具有暖通空调相关专业高级工程师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F59AF39">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eastAsia="等线"/>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）投标人（如为联合体投标，指联合体勘察方）</w:t>
            </w:r>
          </w:p>
          <w:p w14:paraId="0102F2B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lang w:eastAsia="zh-CN"/>
              </w:rPr>
              <w:t>负责人的技术职称：具有岩土工程</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水工环地质工程相关专业</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eastAsia="zh-CN"/>
              </w:rPr>
              <w:t>级工程师，得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分；；具有岩土工程</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水工环地质工程相关专业高级工程师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40731AF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注：须提供相应执业资格证书、执业注册证书、职称证、毕业证等、投标截止时间近1个月（扣除招标公告发布当月前一个月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即2025年10月</w:t>
            </w:r>
            <w:r>
              <w:rPr>
                <w:rFonts w:hint="eastAsia" w:ascii="宋体" w:hAnsi="宋体" w:eastAsia="宋体"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r>
              <w:rPr>
                <w:rFonts w:hint="eastAsia" w:ascii="宋体" w:hAnsi="宋体" w:eastAsia="宋体" w:cs="宋体"/>
                <w:color w:val="auto"/>
                <w:kern w:val="0"/>
                <w:szCs w:val="21"/>
                <w:highlight w:val="none"/>
                <w:lang w:eastAsia="zh-CN"/>
              </w:rPr>
              <w:t>职</w:t>
            </w:r>
            <w:r>
              <w:rPr>
                <w:rFonts w:hint="eastAsia" w:ascii="宋体" w:hAnsi="宋体" w:eastAsia="宋体" w:cs="宋体"/>
                <w:color w:val="auto"/>
                <w:kern w:val="0"/>
                <w:szCs w:val="21"/>
                <w:highlight w:val="none"/>
              </w:rPr>
              <w:t>称证书按最高级别计分，不累计计算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eastAsia="zh-CN"/>
              </w:rPr>
              <w:t>不符合上述条件或未提供相关证明材料的不得分。</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tcBorders>
              <w:top w:val="single" w:color="auto" w:sz="6" w:space="0"/>
              <w:right w:val="single" w:color="auto" w:sz="6" w:space="0"/>
            </w:tcBorders>
            <w:vAlign w:val="center"/>
          </w:tcPr>
          <w:p w14:paraId="7922E78A">
            <w:pPr>
              <w:autoSpaceDE w:val="0"/>
              <w:autoSpaceDN w:val="0"/>
              <w:adjustRightInd w:val="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五</w:t>
            </w:r>
          </w:p>
        </w:tc>
        <w:tc>
          <w:tcPr>
            <w:tcW w:w="949" w:type="dxa"/>
            <w:tcBorders>
              <w:top w:val="single" w:color="auto" w:sz="6" w:space="0"/>
              <w:left w:val="single" w:color="auto" w:sz="6" w:space="0"/>
              <w:right w:val="single" w:color="auto" w:sz="6" w:space="0"/>
            </w:tcBorders>
            <w:vAlign w:val="center"/>
          </w:tcPr>
          <w:p w14:paraId="3E7E3FD0">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p w14:paraId="23ECEEFA">
            <w:pPr>
              <w:autoSpaceDE w:val="0"/>
              <w:autoSpaceDN w:val="0"/>
              <w:adjustRightInd w:val="0"/>
              <w:jc w:val="center"/>
              <w:rPr>
                <w:rFonts w:hint="eastAsia" w:ascii="宋体" w:hAnsi="宋体" w:cs="宋体"/>
                <w:color w:val="auto"/>
                <w:szCs w:val="21"/>
                <w:highlight w:val="none"/>
                <w:lang w:val="zh-CN"/>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分）</w:t>
            </w:r>
          </w:p>
        </w:tc>
        <w:tc>
          <w:tcPr>
            <w:tcW w:w="643" w:type="dxa"/>
            <w:tcBorders>
              <w:top w:val="single" w:color="auto" w:sz="6" w:space="0"/>
              <w:left w:val="single" w:color="auto" w:sz="6" w:space="0"/>
              <w:right w:val="single" w:color="auto" w:sz="6" w:space="0"/>
            </w:tcBorders>
            <w:vAlign w:val="center"/>
          </w:tcPr>
          <w:p w14:paraId="6CA9230C">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color w:val="auto"/>
                <w:sz w:val="21"/>
                <w:szCs w:val="21"/>
                <w:highlight w:val="none"/>
              </w:rPr>
            </w:pPr>
            <w:r>
              <w:rPr>
                <w:rFonts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zh-CN" w:eastAsia="zh-CN"/>
              </w:rPr>
              <w:t>分</w:t>
            </w:r>
          </w:p>
        </w:tc>
        <w:tc>
          <w:tcPr>
            <w:tcW w:w="7456" w:type="dxa"/>
            <w:tcBorders>
              <w:top w:val="single" w:color="auto" w:sz="6" w:space="0"/>
              <w:left w:val="single" w:color="auto" w:sz="6" w:space="0"/>
              <w:bottom w:val="single" w:color="auto" w:sz="6" w:space="0"/>
              <w:right w:val="single" w:color="auto" w:sz="6" w:space="0"/>
            </w:tcBorders>
            <w:vAlign w:val="center"/>
          </w:tcPr>
          <w:p w14:paraId="497DBA9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投标人（如为联合体投标，指联合体其中一方）具有质量管理体系认证、职业健康安全管理体系认证、环境管理体系认证证书且在有效期内的，每具有一项得2分，最高得6分；否则不得分。</w:t>
            </w:r>
          </w:p>
          <w:p w14:paraId="43C4426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w:t>
            </w:r>
            <w:r>
              <w:rPr>
                <w:rFonts w:hint="eastAsia" w:ascii="宋体" w:hAnsi="宋体" w:eastAsia="宋体" w:cs="宋体"/>
                <w:color w:val="auto"/>
                <w:sz w:val="21"/>
                <w:szCs w:val="21"/>
                <w:highlight w:val="none"/>
                <w:lang w:eastAsia="zh-CN"/>
              </w:rPr>
              <w:t>最高</w:t>
            </w:r>
            <w:r>
              <w:rPr>
                <w:rFonts w:hint="eastAsia" w:ascii="宋体" w:eastAsia="宋体" w:cs="宋体"/>
                <w:color w:val="auto"/>
                <w:sz w:val="21"/>
                <w:szCs w:val="21"/>
                <w:highlight w:val="none"/>
                <w:lang w:eastAsia="zh-CN"/>
              </w:rPr>
              <w:t>得</w:t>
            </w:r>
            <w:r>
              <w:rPr>
                <w:rFonts w:ascii="宋体" w:eastAsia="宋体" w:cs="宋体"/>
                <w:color w:val="auto"/>
                <w:sz w:val="21"/>
                <w:szCs w:val="21"/>
                <w:highlight w:val="none"/>
                <w:lang w:eastAsia="zh-CN"/>
              </w:rPr>
              <w:t>6</w:t>
            </w:r>
            <w:r>
              <w:rPr>
                <w:rFonts w:hint="eastAsia" w:ascii="宋体" w:eastAsia="宋体" w:cs="宋体"/>
                <w:color w:val="auto"/>
                <w:sz w:val="21"/>
                <w:szCs w:val="21"/>
                <w:highlight w:val="none"/>
                <w:lang w:eastAsia="zh-CN"/>
              </w:rPr>
              <w:t>分。</w:t>
            </w:r>
          </w:p>
          <w:p w14:paraId="7B84A564">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宋体" w:hAnsi="宋体" w:cs="宋体"/>
                <w:color w:val="auto"/>
                <w:sz w:val="21"/>
                <w:szCs w:val="21"/>
                <w:highlight w:val="none"/>
              </w:rPr>
            </w:pPr>
            <w:r>
              <w:rPr>
                <w:rFonts w:hint="eastAsia" w:ascii="宋体" w:eastAsia="宋体" w:cs="宋体"/>
                <w:color w:val="auto"/>
                <w:sz w:val="21"/>
                <w:szCs w:val="21"/>
                <w:highlight w:val="none"/>
                <w:lang w:eastAsia="zh-CN"/>
              </w:rPr>
              <w:t>注：须提供证书扫描件。不符合上述条件或未提供相关证明材料的不得分。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636" w:type="dxa"/>
            <w:gridSpan w:val="2"/>
            <w:tcBorders>
              <w:top w:val="single" w:color="auto" w:sz="6" w:space="0"/>
              <w:right w:val="single" w:color="auto" w:sz="6" w:space="0"/>
            </w:tcBorders>
            <w:vAlign w:val="center"/>
          </w:tcPr>
          <w:p w14:paraId="66BEF10C">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总计</w:t>
            </w:r>
          </w:p>
        </w:tc>
        <w:tc>
          <w:tcPr>
            <w:tcW w:w="643" w:type="dxa"/>
            <w:tcBorders>
              <w:top w:val="single" w:color="auto" w:sz="6" w:space="0"/>
              <w:left w:val="single" w:color="auto" w:sz="6" w:space="0"/>
              <w:right w:val="single" w:color="auto" w:sz="6" w:space="0"/>
            </w:tcBorders>
            <w:vAlign w:val="center"/>
          </w:tcPr>
          <w:p w14:paraId="308E465A">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7456" w:type="dxa"/>
            <w:tcBorders>
              <w:top w:val="single" w:color="auto" w:sz="6" w:space="0"/>
              <w:left w:val="single" w:color="auto" w:sz="6" w:space="0"/>
              <w:right w:val="single" w:color="auto" w:sz="6" w:space="0"/>
            </w:tcBorders>
            <w:vAlign w:val="center"/>
          </w:tcPr>
          <w:p w14:paraId="32FB7DA2">
            <w:pPr>
              <w:autoSpaceDE w:val="0"/>
              <w:autoSpaceDN w:val="0"/>
              <w:adjustRightInd w:val="0"/>
              <w:rPr>
                <w:rFonts w:hint="eastAsia" w:ascii="宋体" w:hAnsi="宋体" w:cs="宋体"/>
                <w:color w:val="auto"/>
                <w:szCs w:val="21"/>
                <w:highlight w:val="none"/>
              </w:rPr>
            </w:pPr>
          </w:p>
        </w:tc>
      </w:tr>
    </w:tbl>
    <w:p w14:paraId="32E40B77">
      <w:pPr>
        <w:rPr>
          <w:rFonts w:hint="eastAsia"/>
          <w:color w:val="auto"/>
          <w:highlight w:val="none"/>
        </w:rPr>
      </w:pPr>
    </w:p>
    <w:p w14:paraId="0E14646E">
      <w:pPr>
        <w:rPr>
          <w:rFonts w:hint="eastAsia" w:ascii="宋体" w:hAnsi="宋体" w:cs="宋体"/>
          <w:b/>
          <w:bCs/>
          <w:color w:val="auto"/>
          <w:sz w:val="28"/>
          <w:szCs w:val="28"/>
          <w:highlight w:val="none"/>
        </w:rPr>
      </w:pPr>
      <w:bookmarkStart w:id="353" w:name="_Toc27691"/>
      <w:bookmarkStart w:id="354" w:name="_Toc32718"/>
      <w:r>
        <w:rPr>
          <w:rFonts w:hint="eastAsia" w:ascii="宋体" w:hAnsi="宋体" w:cs="宋体"/>
          <w:b/>
          <w:bCs/>
          <w:color w:val="auto"/>
          <w:sz w:val="28"/>
          <w:szCs w:val="28"/>
          <w:highlight w:val="none"/>
        </w:rPr>
        <w:br w:type="page"/>
      </w:r>
    </w:p>
    <w:p w14:paraId="2CCAE34C">
      <w:pPr>
        <w:keepNext w:val="0"/>
        <w:keepLines w:val="0"/>
        <w:pageBreakBefore w:val="0"/>
        <w:widowControl w:val="0"/>
        <w:kinsoku/>
        <w:wordWrap/>
        <w:overflowPunct/>
        <w:topLinePunct w:val="0"/>
        <w:autoSpaceDE/>
        <w:autoSpaceDN/>
        <w:bidi w:val="0"/>
        <w:adjustRightInd/>
        <w:snapToGrid w:val="0"/>
        <w:jc w:val="center"/>
        <w:textAlignment w:val="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《勘察初步设计服务人员配备要求表》</w:t>
      </w:r>
      <w:bookmarkEnd w:id="353"/>
      <w:bookmarkEnd w:id="354"/>
    </w:p>
    <w:tbl>
      <w:tblPr>
        <w:tblStyle w:val="2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550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2E0907">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19AC0D">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lang w:val="zh-TW"/>
              </w:rPr>
              <w:t>数量（</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9CE3AAA">
            <w:pPr>
              <w:snapToGrid w:val="0"/>
              <w:spacing w:line="24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最低资格要求</w:t>
            </w:r>
          </w:p>
        </w:tc>
      </w:tr>
      <w:tr w14:paraId="647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F8C54AF">
            <w:pPr>
              <w:snapToGrid w:val="0"/>
              <w:spacing w:beforeLines="50" w:afterLines="50"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C27C330">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20D3BE3">
            <w:pPr>
              <w:snapToGrid w:val="0"/>
              <w:spacing w:beforeLines="50" w:afterLines="50"/>
              <w:rPr>
                <w:rFonts w:hint="eastAsia" w:ascii="宋体" w:hAnsi="宋体" w:eastAsia="宋体" w:cs="宋体"/>
                <w:color w:val="auto"/>
                <w:sz w:val="24"/>
                <w:szCs w:val="24"/>
                <w:highlight w:val="none"/>
              </w:rPr>
            </w:pPr>
          </w:p>
        </w:tc>
      </w:tr>
      <w:tr w14:paraId="6D58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18112E8">
            <w:pPr>
              <w:snapToGrid w:val="0"/>
              <w:spacing w:beforeLines="50" w:afterLines="5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A1FAF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52074AC">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具备注册岩土工程师。</w:t>
            </w:r>
          </w:p>
        </w:tc>
      </w:tr>
      <w:tr w14:paraId="3E7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338730">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6706AD">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0701BB3">
            <w:pPr>
              <w:snapToGrid w:val="0"/>
              <w:spacing w:beforeLines="50" w:afterLines="50"/>
              <w:rPr>
                <w:rFonts w:hint="eastAsia" w:ascii="宋体" w:hAnsi="宋体" w:eastAsia="宋体" w:cs="宋体"/>
                <w:color w:val="auto"/>
                <w:sz w:val="24"/>
                <w:szCs w:val="24"/>
                <w:highlight w:val="none"/>
              </w:rPr>
            </w:pPr>
          </w:p>
        </w:tc>
      </w:tr>
      <w:tr w14:paraId="19C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5E0812E">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设计负责人</w:t>
            </w:r>
          </w:p>
          <w:p w14:paraId="47AF1A01">
            <w:pPr>
              <w:snapToGrid w:val="0"/>
              <w:spacing w:beforeLines="50" w:afterLines="5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587683">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9B3E530">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具备一级注册建筑师</w:t>
            </w:r>
            <w:r>
              <w:rPr>
                <w:rFonts w:hint="eastAsia" w:ascii="宋体" w:hAnsi="宋体" w:eastAsia="宋体" w:cs="宋体"/>
                <w:color w:val="auto"/>
                <w:sz w:val="24"/>
                <w:szCs w:val="24"/>
                <w:highlight w:val="none"/>
                <w:lang w:eastAsia="zh-CN"/>
              </w:rPr>
              <w:t>。</w:t>
            </w:r>
          </w:p>
        </w:tc>
      </w:tr>
      <w:tr w14:paraId="5B1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052DE3">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720472">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3D4BDD9">
            <w:pPr>
              <w:snapToGrid w:val="0"/>
              <w:spacing w:beforeLines="50" w:afterLines="50"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342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60DFD0">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8C771FA">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5AC1B3D">
            <w:pPr>
              <w:snapToGrid w:val="0"/>
              <w:spacing w:before="120" w:beforeLines="50" w:after="120" w:afterLines="5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具备一级注册建筑师。</w:t>
            </w:r>
          </w:p>
        </w:tc>
      </w:tr>
      <w:tr w14:paraId="4DA0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171C78A">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945B5A4">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E9AA7A2">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具备建筑工程相关专业中级工程师或以上职称。</w:t>
            </w:r>
          </w:p>
        </w:tc>
      </w:tr>
      <w:tr w14:paraId="0D67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360A1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44AC289">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78432BD">
            <w:pPr>
              <w:snapToGrid w:val="0"/>
              <w:spacing w:before="120" w:beforeLines="50" w:after="120" w:afterLines="50"/>
              <w:jc w:val="left"/>
              <w:rPr>
                <w:rFonts w:hint="default" w:ascii="宋体" w:hAnsi="宋体" w:eastAsia="宋体" w:cs="宋体"/>
                <w:color w:val="auto"/>
                <w:sz w:val="24"/>
                <w:szCs w:val="24"/>
                <w:highlight w:val="none"/>
                <w:lang w:val="en-US"/>
              </w:rPr>
            </w:pPr>
            <w:r>
              <w:rPr>
                <w:rFonts w:hint="eastAsia" w:ascii="宋体" w:hAnsi="宋体" w:cs="宋体"/>
                <w:b w:val="0"/>
                <w:bCs w:val="0"/>
                <w:color w:val="auto"/>
                <w:sz w:val="24"/>
                <w:szCs w:val="24"/>
                <w:highlight w:val="none"/>
                <w:lang w:val="en-US" w:eastAsia="zh-CN"/>
              </w:rPr>
              <w:t>具备一级注册结构工程师</w:t>
            </w:r>
          </w:p>
        </w:tc>
      </w:tr>
      <w:tr w14:paraId="04E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3442D2">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E3905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4313D1D7">
            <w:pPr>
              <w:snapToGrid w:val="0"/>
              <w:spacing w:before="120" w:beforeLines="50" w:after="120"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具备结构相关专业中级工程师或以上职称。</w:t>
            </w:r>
          </w:p>
        </w:tc>
      </w:tr>
      <w:tr w14:paraId="44D6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F032C41">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740565B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1AD2DF6F">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具备注册公用设备工程师（给排水）。</w:t>
            </w:r>
          </w:p>
        </w:tc>
      </w:tr>
      <w:tr w14:paraId="241F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6C272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509FF07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60FB1AC4">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具备给排水相关专业中级工程师或以上职称。</w:t>
            </w:r>
          </w:p>
        </w:tc>
      </w:tr>
      <w:tr w14:paraId="2F5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861F199">
            <w:pPr>
              <w:snapToGrid w:val="0"/>
              <w:spacing w:beforeLines="50" w:afterLines="50"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电气专业</w:t>
            </w:r>
            <w:r>
              <w:rPr>
                <w:rFonts w:hint="eastAsia" w:ascii="宋体" w:hAnsi="宋体" w:eastAsia="宋体" w:cs="宋体"/>
                <w:color w:val="auto"/>
                <w:sz w:val="24"/>
                <w:szCs w:val="24"/>
                <w:highlight w:val="none"/>
              </w:rPr>
              <w:t>负责人</w:t>
            </w:r>
          </w:p>
        </w:tc>
        <w:tc>
          <w:tcPr>
            <w:tcW w:w="1695" w:type="dxa"/>
            <w:tcBorders>
              <w:left w:val="single" w:color="auto" w:sz="4" w:space="0"/>
              <w:right w:val="single" w:color="auto" w:sz="4" w:space="0"/>
            </w:tcBorders>
            <w:noWrap w:val="0"/>
            <w:vAlign w:val="center"/>
          </w:tcPr>
          <w:p w14:paraId="4A976957">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4742B68">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具备注册电气工程师。</w:t>
            </w:r>
          </w:p>
        </w:tc>
      </w:tr>
      <w:tr w14:paraId="508C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D3ECD3B">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电气</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4441ADA8">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4CA7049">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具备电气相关专业中级工程师或以上职称。</w:t>
            </w:r>
          </w:p>
        </w:tc>
      </w:tr>
      <w:tr w14:paraId="2976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747D9B">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61FAAECE">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0B1E97B1">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具备注册公用设备工程师（暖通）。</w:t>
            </w:r>
          </w:p>
        </w:tc>
      </w:tr>
      <w:tr w14:paraId="6CA3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4ED9501">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2AAFDA09">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2AC50BC">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具备暖通空调相关专业中级工程师或以上职称。</w:t>
            </w:r>
          </w:p>
        </w:tc>
      </w:tr>
    </w:tbl>
    <w:p w14:paraId="6DA7E786">
      <w:pPr>
        <w:rPr>
          <w:rFonts w:hint="eastAsia" w:ascii="宋体" w:hAnsi="宋体" w:cs="宋体"/>
          <w:b/>
          <w:bCs/>
          <w:color w:val="auto"/>
          <w:szCs w:val="21"/>
          <w:highlight w:val="none"/>
        </w:rPr>
      </w:pPr>
      <w:bookmarkStart w:id="355" w:name="_Toc27186"/>
      <w:r>
        <w:rPr>
          <w:rFonts w:hint="eastAsia" w:ascii="宋体" w:hAnsi="宋体" w:cs="宋体"/>
          <w:b/>
          <w:bCs/>
          <w:color w:val="auto"/>
          <w:szCs w:val="21"/>
          <w:highlight w:val="none"/>
        </w:rPr>
        <w:t>注：以上投入人员不得兼任。资格审查只审核项目负责人资格，其他投入人员由投标人自行提供。</w:t>
      </w:r>
    </w:p>
    <w:p w14:paraId="21B99EC4">
      <w:pPr>
        <w:spacing w:line="360" w:lineRule="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br w:type="page"/>
      </w:r>
      <w:bookmarkStart w:id="356" w:name="_Toc18493"/>
      <w:bookmarkStart w:id="357" w:name="_Toc28606"/>
      <w:r>
        <w:rPr>
          <w:rFonts w:hint="eastAsia" w:ascii="宋体" w:hAnsi="宋体" w:cs="宋体"/>
          <w:b/>
          <w:bCs/>
          <w:color w:val="auto"/>
          <w:szCs w:val="21"/>
          <w:highlight w:val="none"/>
        </w:rPr>
        <w:t>附录14 基础资料和勘察初步设计任务书</w:t>
      </w:r>
      <w:bookmarkEnd w:id="352"/>
      <w:bookmarkEnd w:id="355"/>
      <w:bookmarkEnd w:id="356"/>
      <w:bookmarkEnd w:id="357"/>
    </w:p>
    <w:p w14:paraId="70B283AD">
      <w:pPr>
        <w:spacing w:line="360" w:lineRule="auto"/>
        <w:jc w:val="center"/>
        <w:rPr>
          <w:rFonts w:hint="eastAsia" w:ascii="宋体" w:hAnsi="宋体" w:cs="宋体"/>
          <w:b/>
          <w:bCs/>
          <w:color w:val="auto"/>
          <w:sz w:val="28"/>
          <w:szCs w:val="28"/>
          <w:highlight w:val="none"/>
        </w:rPr>
      </w:pPr>
      <w:bookmarkStart w:id="358" w:name="_Toc16213"/>
      <w:bookmarkStart w:id="359" w:name="_Toc2218"/>
      <w:bookmarkStart w:id="360" w:name="_Toc6116"/>
      <w:bookmarkStart w:id="361" w:name="_Toc16888"/>
      <w:bookmarkStart w:id="362" w:name="_Toc20231"/>
      <w:r>
        <w:rPr>
          <w:rFonts w:hint="eastAsia" w:ascii="宋体" w:hAnsi="宋体" w:cs="宋体"/>
          <w:b/>
          <w:bCs/>
          <w:color w:val="auto"/>
          <w:sz w:val="28"/>
          <w:szCs w:val="28"/>
          <w:highlight w:val="none"/>
        </w:rPr>
        <w:t>（另册）</w:t>
      </w:r>
    </w:p>
    <w:p w14:paraId="283B6448">
      <w:pPr>
        <w:spacing w:line="360" w:lineRule="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br w:type="page"/>
      </w:r>
      <w:bookmarkStart w:id="363" w:name="_Toc1410"/>
      <w:bookmarkStart w:id="364" w:name="_Toc17368"/>
      <w:r>
        <w:rPr>
          <w:rFonts w:hint="eastAsia" w:ascii="宋体" w:hAnsi="宋体" w:cs="宋体"/>
          <w:b/>
          <w:bCs/>
          <w:color w:val="auto"/>
          <w:szCs w:val="21"/>
          <w:highlight w:val="none"/>
        </w:rPr>
        <w:t>附录15 定标委员会的组成</w:t>
      </w:r>
      <w:bookmarkEnd w:id="358"/>
      <w:bookmarkEnd w:id="359"/>
      <w:bookmarkEnd w:id="360"/>
      <w:bookmarkEnd w:id="361"/>
      <w:bookmarkEnd w:id="362"/>
      <w:bookmarkEnd w:id="363"/>
      <w:bookmarkEnd w:id="364"/>
    </w:p>
    <w:p w14:paraId="6C99CCEF">
      <w:pPr>
        <w:spacing w:line="560" w:lineRule="exact"/>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定标委员会的组成</w:t>
      </w:r>
    </w:p>
    <w:p w14:paraId="2B65C01E">
      <w:pPr>
        <w:pStyle w:val="16"/>
        <w:snapToGrid w:val="0"/>
        <w:spacing w:beforeAutospacing="0" w:afterAutospacing="0" w:line="360" w:lineRule="auto"/>
        <w:ind w:firstLine="424" w:firstLineChars="202"/>
        <w:rPr>
          <w:rFonts w:cs="宋体"/>
          <w:color w:val="auto"/>
          <w:sz w:val="21"/>
          <w:szCs w:val="21"/>
          <w:highlight w:val="none"/>
          <w:shd w:val="clear" w:color="auto" w:fill="FFFFFF"/>
        </w:rPr>
      </w:pPr>
    </w:p>
    <w:p w14:paraId="71FEC140">
      <w:pPr>
        <w:pStyle w:val="16"/>
        <w:snapToGrid w:val="0"/>
        <w:spacing w:beforeAutospacing="0" w:afterAutospacing="0" w:line="360" w:lineRule="auto"/>
        <w:ind w:firstLine="480" w:firstLineChars="200"/>
        <w:rPr>
          <w:rFonts w:cs="宋体"/>
          <w:color w:val="auto"/>
          <w:highlight w:val="none"/>
          <w:u w:val="single"/>
          <w:shd w:val="clear" w:color="auto" w:fill="FFFFFF"/>
        </w:rPr>
      </w:pPr>
      <w:bookmarkStart w:id="365" w:name="_Toc28238"/>
      <w:bookmarkStart w:id="366" w:name="_Toc1860"/>
      <w:bookmarkStart w:id="367" w:name="_Toc12459"/>
      <w:r>
        <w:rPr>
          <w:rFonts w:cs="宋体"/>
          <w:color w:val="auto"/>
          <w:highlight w:val="none"/>
          <w:u w:val="single"/>
          <w:shd w:val="clear" w:color="auto" w:fill="FFFFFF"/>
        </w:rPr>
        <w:t>1、定标委员会</w:t>
      </w:r>
      <w:bookmarkEnd w:id="365"/>
      <w:bookmarkEnd w:id="366"/>
      <w:bookmarkEnd w:id="367"/>
    </w:p>
    <w:p w14:paraId="07C176BB">
      <w:pPr>
        <w:pStyle w:val="16"/>
        <w:snapToGrid w:val="0"/>
        <w:spacing w:beforeAutospacing="0" w:afterAutospacing="0" w:line="360" w:lineRule="auto"/>
        <w:ind w:firstLine="480" w:firstLineChars="200"/>
        <w:rPr>
          <w:rFonts w:cs="宋体"/>
          <w:color w:val="auto"/>
          <w:highlight w:val="none"/>
          <w:u w:val="single"/>
          <w:shd w:val="clear" w:color="auto" w:fill="FFFFFF"/>
        </w:rPr>
      </w:pPr>
      <w:r>
        <w:rPr>
          <w:rFonts w:cs="宋体"/>
          <w:color w:val="auto"/>
          <w:highlight w:val="none"/>
          <w:u w:val="single"/>
          <w:shd w:val="clear" w:color="auto" w:fill="FFFFFF"/>
        </w:rPr>
        <w:t>定标委员会由招标人依法组建。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6"/>
        <w:snapToGrid w:val="0"/>
        <w:spacing w:beforeAutospacing="0" w:afterAutospacing="0" w:line="360" w:lineRule="auto"/>
        <w:ind w:firstLine="484" w:firstLineChars="202"/>
        <w:rPr>
          <w:rFonts w:cs="宋体"/>
          <w:color w:val="auto"/>
          <w:highlight w:val="none"/>
          <w:u w:val="single"/>
          <w:shd w:val="clear" w:color="auto" w:fill="FFFFFF"/>
        </w:rPr>
      </w:pPr>
      <w:bookmarkStart w:id="368" w:name="_Toc15480"/>
      <w:bookmarkStart w:id="369" w:name="_Toc24562"/>
      <w:bookmarkStart w:id="370" w:name="_Toc20976"/>
      <w:r>
        <w:rPr>
          <w:rFonts w:cs="宋体"/>
          <w:color w:val="auto"/>
          <w:highlight w:val="none"/>
          <w:u w:val="single"/>
          <w:shd w:val="clear" w:color="auto" w:fill="FFFFFF"/>
        </w:rPr>
        <w:t>2、定标会召开的时间地点：</w:t>
      </w:r>
      <w:bookmarkEnd w:id="368"/>
      <w:bookmarkEnd w:id="369"/>
      <w:bookmarkEnd w:id="370"/>
    </w:p>
    <w:p w14:paraId="279E64CC">
      <w:pPr>
        <w:pStyle w:val="16"/>
        <w:snapToGrid w:val="0"/>
        <w:spacing w:beforeAutospacing="0" w:afterAutospacing="0" w:line="360" w:lineRule="auto"/>
        <w:ind w:firstLine="484" w:firstLineChars="202"/>
        <w:rPr>
          <w:rFonts w:cs="宋体"/>
          <w:color w:val="auto"/>
          <w:highlight w:val="none"/>
          <w:u w:val="single"/>
          <w:shd w:val="clear" w:color="auto" w:fill="FFFFFF"/>
        </w:rPr>
      </w:pPr>
      <w:r>
        <w:rPr>
          <w:rFonts w:cs="宋体"/>
          <w:color w:val="auto"/>
          <w:highlight w:val="none"/>
          <w:u w:val="single"/>
          <w:shd w:val="clear" w:color="auto" w:fill="FFFFFF"/>
        </w:rPr>
        <w:t>定标会召开时间在合格的中标候选人公示完成后5个工作日内在广州交易集团有限公司（广州公共资源交易中心）举行，定标会全程在广州交易集团有限公司（广州公共资源交易中心）见证人员见证下进行。</w:t>
      </w:r>
    </w:p>
    <w:p w14:paraId="613932F7">
      <w:pPr>
        <w:rPr>
          <w:rFonts w:hint="eastAsia" w:ascii="宋体" w:hAnsi="宋体" w:cs="宋体"/>
          <w:color w:val="auto"/>
          <w:szCs w:val="21"/>
          <w:highlight w:val="none"/>
        </w:rPr>
      </w:pPr>
    </w:p>
    <w:p w14:paraId="08D1A47B">
      <w:pPr>
        <w:rPr>
          <w:rFonts w:hint="eastAsia" w:ascii="宋体" w:hAnsi="宋体" w:cs="宋体"/>
          <w:color w:val="auto"/>
          <w:szCs w:val="21"/>
          <w:highlight w:val="none"/>
        </w:rPr>
        <w:sectPr>
          <w:pgSz w:w="11906" w:h="16838"/>
          <w:pgMar w:top="1440" w:right="146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73CF0A89">
      <w:pPr>
        <w:pStyle w:val="4"/>
        <w:rPr>
          <w:rFonts w:hint="eastAsia" w:ascii="宋体" w:hAnsi="宋体" w:cs="宋体"/>
          <w:color w:val="auto"/>
          <w:sz w:val="21"/>
          <w:szCs w:val="21"/>
          <w:highlight w:val="none"/>
        </w:rPr>
      </w:pPr>
      <w:bookmarkStart w:id="371" w:name="_Toc3273"/>
      <w:bookmarkStart w:id="372" w:name="_Toc7620"/>
      <w:bookmarkStart w:id="373" w:name="_Toc21522"/>
      <w:bookmarkStart w:id="374" w:name="_Toc15046"/>
      <w:bookmarkStart w:id="375" w:name="_Toc20846"/>
      <w:bookmarkStart w:id="376" w:name="_Toc4182"/>
      <w:bookmarkStart w:id="377" w:name="_Toc28086"/>
      <w:r>
        <w:rPr>
          <w:rFonts w:hint="eastAsia" w:ascii="宋体" w:hAnsi="宋体" w:cs="宋体"/>
          <w:color w:val="auto"/>
          <w:sz w:val="21"/>
          <w:szCs w:val="21"/>
          <w:highlight w:val="none"/>
        </w:rPr>
        <w:t>附录16 定标原则</w:t>
      </w:r>
      <w:bookmarkEnd w:id="371"/>
      <w:bookmarkEnd w:id="372"/>
      <w:bookmarkEnd w:id="373"/>
      <w:bookmarkEnd w:id="374"/>
      <w:bookmarkEnd w:id="375"/>
      <w:bookmarkEnd w:id="376"/>
      <w:bookmarkEnd w:id="377"/>
    </w:p>
    <w:p w14:paraId="020F3508">
      <w:pPr>
        <w:adjustRightInd w:val="0"/>
        <w:snapToGrid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定标原则</w:t>
      </w:r>
    </w:p>
    <w:p w14:paraId="5C638871">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1、本项目定标办法采用“</w:t>
      </w:r>
      <w:r>
        <w:rPr>
          <w:rFonts w:cs="宋体"/>
          <w:color w:val="auto"/>
          <w:szCs w:val="21"/>
          <w:highlight w:val="none"/>
          <w:u w:val="single"/>
        </w:rPr>
        <w:t>答辩因素得分+方案因素得分</w:t>
      </w:r>
      <w:r>
        <w:rPr>
          <w:rFonts w:cs="宋体"/>
          <w:color w:val="auto"/>
          <w:highlight w:val="none"/>
          <w:u w:val="single"/>
          <w:shd w:val="clear" w:color="auto" w:fill="FFFFFF"/>
        </w:rPr>
        <w:t>”</w:t>
      </w:r>
      <w:r>
        <w:rPr>
          <w:rFonts w:cs="宋体"/>
          <w:color w:val="auto"/>
          <w:szCs w:val="21"/>
          <w:highlight w:val="none"/>
          <w:u w:val="single"/>
        </w:rPr>
        <w:t>的定标法</w:t>
      </w:r>
      <w:r>
        <w:rPr>
          <w:rFonts w:cs="宋体"/>
          <w:color w:val="auto"/>
          <w:highlight w:val="none"/>
          <w:u w:val="single"/>
          <w:shd w:val="clear" w:color="auto" w:fill="FFFFFF"/>
        </w:rPr>
        <w:t>。</w:t>
      </w:r>
      <w:r>
        <w:rPr>
          <w:rFonts w:cs="宋体"/>
          <w:color w:val="auto"/>
          <w:kern w:val="1"/>
          <w:szCs w:val="21"/>
          <w:highlight w:val="none"/>
          <w:u w:val="single"/>
        </w:rPr>
        <w:t>定标委员会按得分由高到低顺序，确定</w:t>
      </w:r>
      <w:r>
        <w:rPr>
          <w:rFonts w:hint="eastAsia" w:cs="宋体"/>
          <w:color w:val="auto"/>
          <w:kern w:val="1"/>
          <w:szCs w:val="21"/>
          <w:highlight w:val="none"/>
          <w:u w:val="single"/>
          <w:lang w:val="en-US" w:eastAsia="zh-CN"/>
        </w:rPr>
        <w:t>合格</w:t>
      </w:r>
      <w:r>
        <w:rPr>
          <w:rFonts w:cs="宋体"/>
          <w:color w:val="auto"/>
          <w:kern w:val="1"/>
          <w:szCs w:val="21"/>
          <w:highlight w:val="none"/>
          <w:u w:val="single"/>
        </w:rPr>
        <w:t>中标候选人</w:t>
      </w:r>
      <w:r>
        <w:rPr>
          <w:rFonts w:hint="eastAsia" w:ascii="Times New Roman" w:hAnsi="Times New Roman" w:cs="Times New Roman"/>
          <w:color w:val="auto"/>
          <w:kern w:val="1"/>
          <w:szCs w:val="21"/>
          <w:highlight w:val="none"/>
          <w:u w:val="none"/>
          <w:lang w:val="en-US" w:eastAsia="zh-CN"/>
        </w:rPr>
        <w:t>在定标阶段</w:t>
      </w:r>
      <w:r>
        <w:rPr>
          <w:rFonts w:cs="宋体"/>
          <w:color w:val="auto"/>
          <w:kern w:val="1"/>
          <w:szCs w:val="21"/>
          <w:highlight w:val="none"/>
          <w:u w:val="single"/>
        </w:rPr>
        <w:t>的名次，若定标综合得分相同时，以定标阶段方案因素部分得分高的排前；如仍存在相同情况，由定标委员会成员记名投票决定排序。招标人确定排名第一的</w:t>
      </w:r>
      <w:r>
        <w:rPr>
          <w:rFonts w:hint="eastAsia" w:cs="宋体"/>
          <w:color w:val="auto"/>
          <w:kern w:val="1"/>
          <w:szCs w:val="21"/>
          <w:highlight w:val="none"/>
          <w:u w:val="single"/>
          <w:lang w:val="en-US" w:eastAsia="zh-CN"/>
        </w:rPr>
        <w:t>合格中标候选人</w:t>
      </w:r>
      <w:r>
        <w:rPr>
          <w:rFonts w:cs="宋体"/>
          <w:color w:val="auto"/>
          <w:kern w:val="1"/>
          <w:szCs w:val="21"/>
          <w:highlight w:val="none"/>
          <w:u w:val="single"/>
        </w:rPr>
        <w:t>为中标人。</w:t>
      </w:r>
    </w:p>
    <w:p w14:paraId="433980E5">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bookmarkStart w:id="378" w:name="_Toc3707"/>
      <w:r>
        <w:rPr>
          <w:rFonts w:cs="宋体"/>
          <w:color w:val="auto"/>
          <w:highlight w:val="none"/>
          <w:u w:val="single"/>
          <w:shd w:val="clear" w:color="auto" w:fill="FFFFFF"/>
        </w:rPr>
        <w:t>2、定标细则</w:t>
      </w:r>
      <w:bookmarkEnd w:id="378"/>
    </w:p>
    <w:p w14:paraId="3FABECA8">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（1）定标工作开始后，定标委员会</w:t>
      </w:r>
      <w:r>
        <w:rPr>
          <w:rFonts w:hint="eastAsia" w:cs="宋体"/>
          <w:color w:val="auto"/>
          <w:highlight w:val="none"/>
          <w:u w:val="single"/>
          <w:shd w:val="clear" w:color="auto" w:fill="FFFFFF"/>
          <w:lang w:val="en-US" w:eastAsia="zh-CN"/>
        </w:rPr>
        <w:t>按照</w:t>
      </w:r>
      <w:r>
        <w:rPr>
          <w:rFonts w:cs="宋体"/>
          <w:color w:val="auto"/>
          <w:highlight w:val="none"/>
          <w:u w:val="single"/>
          <w:shd w:val="clear" w:color="auto" w:fill="FFFFFF"/>
        </w:rPr>
        <w:t>评标报告上的排名顺序进行评审。定标会议</w:t>
      </w:r>
      <w:r>
        <w:rPr>
          <w:rFonts w:hint="eastAsia" w:cs="宋体"/>
          <w:color w:val="auto"/>
          <w:highlight w:val="none"/>
          <w:u w:val="single"/>
          <w:shd w:val="clear" w:color="auto" w:fill="FFFFFF"/>
          <w:lang w:val="en-US" w:eastAsia="zh-CN"/>
        </w:rPr>
        <w:t>由定标委员会组长主持</w:t>
      </w:r>
      <w:r>
        <w:rPr>
          <w:rFonts w:cs="宋体"/>
          <w:color w:val="auto"/>
          <w:highlight w:val="none"/>
          <w:u w:val="single"/>
          <w:shd w:val="clear" w:color="auto" w:fill="FFFFFF"/>
        </w:rPr>
        <w:t>。</w:t>
      </w:r>
    </w:p>
    <w:p w14:paraId="69B20251">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（2）定标委员会阅读评标委员会提交的评标报告。</w:t>
      </w:r>
    </w:p>
    <w:p w14:paraId="132D6107">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（3）定标委员会根据定标因素对各合格的中标候选人进行综合评审。本项目按以下因素进行定标：</w:t>
      </w:r>
    </w:p>
    <w:tbl>
      <w:tblPr>
        <w:tblStyle w:val="20"/>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vAlign w:val="center"/>
          </w:tcPr>
          <w:p w14:paraId="102131E2">
            <w:pPr>
              <w:pStyle w:val="16"/>
              <w:widowControl w:val="0"/>
              <w:spacing w:beforeAutospacing="0" w:afterAutospacing="0" w:line="360" w:lineRule="auto"/>
              <w:jc w:val="center"/>
              <w:rPr>
                <w:rFonts w:cs="宋体"/>
                <w:color w:val="auto"/>
                <w:highlight w:val="none"/>
                <w:u w:val="single"/>
                <w:shd w:val="clear" w:color="auto" w:fill="FFFFFF"/>
              </w:rPr>
            </w:pPr>
            <w:r>
              <w:rPr>
                <w:rFonts w:cs="宋体"/>
                <w:color w:val="auto"/>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4A136EB7">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vAlign w:val="center"/>
          </w:tcPr>
          <w:p w14:paraId="358B1F5F">
            <w:pPr>
              <w:pStyle w:val="16"/>
              <w:widowControl w:val="0"/>
              <w:spacing w:beforeAutospacing="0" w:afterAutospacing="0" w:line="360" w:lineRule="auto"/>
              <w:ind w:firstLine="480" w:firstLineChars="200"/>
              <w:jc w:val="center"/>
              <w:rPr>
                <w:rFonts w:cs="宋体"/>
                <w:color w:val="auto"/>
                <w:highlight w:val="none"/>
                <w:u w:val="single"/>
                <w:shd w:val="clear" w:color="auto" w:fill="FFFFFF"/>
              </w:rPr>
            </w:pPr>
            <w:r>
              <w:rPr>
                <w:rFonts w:cs="宋体"/>
                <w:color w:val="auto"/>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12" w:type="dxa"/>
            <w:tcBorders>
              <w:top w:val="single" w:color="auto" w:sz="4" w:space="0"/>
              <w:left w:val="single" w:color="auto" w:sz="4" w:space="0"/>
              <w:bottom w:val="single" w:color="auto" w:sz="4" w:space="0"/>
              <w:right w:val="single" w:color="auto" w:sz="4" w:space="0"/>
            </w:tcBorders>
            <w:vAlign w:val="center"/>
          </w:tcPr>
          <w:p w14:paraId="6984E749">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1</w:t>
            </w:r>
          </w:p>
        </w:tc>
        <w:tc>
          <w:tcPr>
            <w:tcW w:w="1813" w:type="dxa"/>
            <w:tcBorders>
              <w:top w:val="single" w:color="auto" w:sz="4" w:space="0"/>
              <w:left w:val="single" w:color="auto" w:sz="4" w:space="0"/>
              <w:bottom w:val="single" w:color="auto" w:sz="4" w:space="0"/>
              <w:right w:val="single" w:color="auto" w:sz="4" w:space="0"/>
            </w:tcBorders>
            <w:vAlign w:val="center"/>
          </w:tcPr>
          <w:p w14:paraId="7A33D8F3">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vAlign w:val="center"/>
          </w:tcPr>
          <w:p w14:paraId="2FD4B011">
            <w:pPr>
              <w:spacing w:line="36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详见附录16-1</w:t>
            </w:r>
            <w:r>
              <w:rPr>
                <w:rFonts w:hint="eastAsia" w:ascii="宋体" w:hAnsi="宋体" w:cs="宋体"/>
                <w:b/>
                <w:color w:val="auto"/>
                <w:kern w:val="44"/>
                <w:sz w:val="24"/>
                <w:szCs w:val="24"/>
                <w:highlight w:val="none"/>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3575591C">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2</w:t>
            </w:r>
          </w:p>
        </w:tc>
        <w:tc>
          <w:tcPr>
            <w:tcW w:w="1813" w:type="dxa"/>
            <w:tcBorders>
              <w:top w:val="single" w:color="auto" w:sz="4" w:space="0"/>
              <w:left w:val="single" w:color="auto" w:sz="4" w:space="0"/>
              <w:bottom w:val="single" w:color="auto" w:sz="4" w:space="0"/>
              <w:right w:val="single" w:color="auto" w:sz="4" w:space="0"/>
            </w:tcBorders>
            <w:vAlign w:val="center"/>
          </w:tcPr>
          <w:p w14:paraId="49F91CDE">
            <w:pPr>
              <w:pStyle w:val="16"/>
              <w:widowControl w:val="0"/>
              <w:spacing w:beforeAutospacing="0" w:afterAutospacing="0" w:line="360" w:lineRule="auto"/>
              <w:ind w:firstLine="480" w:firstLineChars="200"/>
              <w:jc w:val="both"/>
              <w:rPr>
                <w:rFonts w:cs="宋体"/>
                <w:color w:val="auto"/>
                <w:highlight w:val="none"/>
                <w:u w:val="single"/>
                <w:shd w:val="clear" w:color="auto" w:fill="FFFFFF"/>
              </w:rPr>
            </w:pPr>
            <w:r>
              <w:rPr>
                <w:rFonts w:cs="宋体"/>
                <w:color w:val="auto"/>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vAlign w:val="center"/>
          </w:tcPr>
          <w:p w14:paraId="7DB889CF">
            <w:pPr>
              <w:spacing w:line="360" w:lineRule="atLeast"/>
              <w:rPr>
                <w:rFonts w:hint="eastAsia"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rPr>
              <w:t>详见附录16-1</w:t>
            </w:r>
            <w:r>
              <w:rPr>
                <w:rFonts w:hint="eastAsia" w:ascii="宋体" w:hAnsi="宋体" w:cs="宋体"/>
                <w:b/>
                <w:color w:val="auto"/>
                <w:kern w:val="44"/>
                <w:sz w:val="24"/>
                <w:szCs w:val="24"/>
                <w:highlight w:val="none"/>
              </w:rPr>
              <w:t>定标因素表（定标阶段用表）</w:t>
            </w:r>
          </w:p>
        </w:tc>
      </w:tr>
    </w:tbl>
    <w:p w14:paraId="3A98679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（4）答辩程序：</w:t>
      </w:r>
    </w:p>
    <w:p w14:paraId="50B0D7D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后回复邮件。各中标候选人拟派项目负责人或各专业负责人组成1-2人的答辩小组；答辩小组须携带本单位法定代表人证明书原件、法定代表人授权委托证明书原件、本人身份证原件及身份证正反面复印件（加盖公章，联合体投标的，由联合体主办方盖章）、缴纳社保【提供扣除招标公告发布当月前一个月（扣除招标公告发布当月前一个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即2025年10月</w:t>
      </w:r>
      <w:r>
        <w:rPr>
          <w:rFonts w:hint="eastAsia" w:ascii="宋体" w:hAnsi="宋体" w:cs="宋体"/>
          <w:color w:val="auto"/>
          <w:sz w:val="24"/>
          <w:szCs w:val="24"/>
          <w:highlight w:val="none"/>
        </w:rPr>
        <w:t>）】复印件资料（加盖公章，联合体投标的，由联合体主办方盖章）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定标委员会将其答辩得分评为零分。签到时，拟派答辩小组需将其所有通讯设备调成关机或静音状态交招标代理保管，待其答辩完成后退还。</w:t>
      </w:r>
    </w:p>
    <w:p w14:paraId="7E3ABCC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4）答辩的要点与时限：答辩的要点与时限详见《定标因素表》。</w:t>
      </w:r>
      <w:r>
        <w:rPr>
          <w:rFonts w:hint="eastAsia" w:ascii="宋体" w:hAnsi="宋体" w:cs="宋体"/>
          <w:color w:val="auto"/>
          <w:sz w:val="24"/>
          <w:szCs w:val="24"/>
          <w:highlight w:val="none"/>
          <w:lang w:val="en-US" w:eastAsia="zh-CN"/>
        </w:rPr>
        <w:t>合格</w:t>
      </w:r>
      <w:r>
        <w:rPr>
          <w:rFonts w:hint="eastAsia" w:ascii="宋体" w:hAnsi="宋体" w:cs="宋体"/>
          <w:color w:val="auto"/>
          <w:sz w:val="24"/>
          <w:szCs w:val="24"/>
          <w:highlight w:val="none"/>
        </w:rPr>
        <w:t>中标候选人拟派项目答辩小组对</w:t>
      </w:r>
      <w:r>
        <w:rPr>
          <w:rFonts w:hint="eastAsia" w:ascii="宋体" w:hAnsi="宋体" w:cs="宋体"/>
          <w:color w:val="auto"/>
          <w:sz w:val="24"/>
          <w:szCs w:val="24"/>
          <w:highlight w:val="none"/>
          <w:lang w:val="en-US" w:eastAsia="zh-CN"/>
        </w:rPr>
        <w:t>本项目履约能力和履约水平</w:t>
      </w:r>
      <w:r>
        <w:rPr>
          <w:rFonts w:hint="eastAsia" w:ascii="宋体" w:hAnsi="宋体" w:cs="宋体"/>
          <w:color w:val="auto"/>
          <w:sz w:val="24"/>
          <w:szCs w:val="24"/>
          <w:highlight w:val="none"/>
        </w:rPr>
        <w:t>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注：合格中标候选人的拟派答辩小组对本项目履约能力与履约水平的介绍，介绍时间不得超过10分钟，定标委员会根据定标候选人代表介绍对其进行提问，回答时间不超过10分钟，总计不超过20分钟；介绍内容包括但不限于：项目管理人员配备、工期及质量管理，对本项目重点和难点的分析和应对措施，结合本项目的特点及投标人的资源情况，提出实施本项目的优势，合理、可行等，并对定标委员会提出的问题进行答辩。</w:t>
      </w:r>
    </w:p>
    <w:p w14:paraId="4EA00404">
      <w:pPr>
        <w:pStyle w:val="16"/>
        <w:widowControl w:val="0"/>
        <w:spacing w:beforeAutospacing="0" w:afterAutospacing="0" w:line="360" w:lineRule="auto"/>
        <w:ind w:firstLine="480" w:firstLineChars="200"/>
        <w:jc w:val="both"/>
        <w:rPr>
          <w:rFonts w:cs="宋体"/>
          <w:color w:val="auto"/>
          <w:szCs w:val="21"/>
          <w:highlight w:val="none"/>
        </w:rPr>
      </w:pPr>
      <w:r>
        <w:rPr>
          <w:rFonts w:cs="宋体"/>
          <w:color w:val="auto"/>
          <w:szCs w:val="21"/>
          <w:highlight w:val="none"/>
        </w:rPr>
        <w:t>（5）</w:t>
      </w:r>
      <w:r>
        <w:rPr>
          <w:rFonts w:cs="宋体"/>
          <w:color w:val="auto"/>
          <w:kern w:val="1"/>
          <w:szCs w:val="21"/>
          <w:highlight w:val="none"/>
        </w:rPr>
        <w:t>定标委员会对合格中标候选人进行评审打分并计算综合得分，定标委员会按得分由高到低顺序，确定</w:t>
      </w:r>
      <w:r>
        <w:rPr>
          <w:rFonts w:hint="eastAsia" w:cs="宋体"/>
          <w:color w:val="auto"/>
          <w:kern w:val="1"/>
          <w:szCs w:val="21"/>
          <w:highlight w:val="none"/>
          <w:lang w:val="en-US" w:eastAsia="zh-CN"/>
        </w:rPr>
        <w:t>合格</w:t>
      </w:r>
      <w:r>
        <w:rPr>
          <w:rFonts w:cs="宋体"/>
          <w:color w:val="auto"/>
          <w:kern w:val="1"/>
          <w:szCs w:val="21"/>
          <w:highlight w:val="none"/>
        </w:rPr>
        <w:t>中标候选人的名次，若定标综合得分相同时，以定标阶段方案因素部分得分高的排前；如仍存在相同情况，由定标委员会成员记名投票决定排序。</w:t>
      </w:r>
    </w:p>
    <w:p w14:paraId="283D0539">
      <w:pPr>
        <w:pStyle w:val="16"/>
        <w:widowControl w:val="0"/>
        <w:spacing w:beforeAutospacing="0" w:afterAutospacing="0" w:line="360" w:lineRule="auto"/>
        <w:ind w:firstLine="480" w:firstLineChars="200"/>
        <w:jc w:val="both"/>
        <w:rPr>
          <w:rFonts w:cs="宋体"/>
          <w:color w:val="auto"/>
          <w:highlight w:val="none"/>
          <w:shd w:val="clear" w:color="auto" w:fill="FFFFFF"/>
        </w:rPr>
      </w:pPr>
      <w:r>
        <w:rPr>
          <w:rFonts w:cs="宋体"/>
          <w:color w:val="auto"/>
          <w:highlight w:val="none"/>
          <w:shd w:val="clear" w:color="auto" w:fill="FFFFFF"/>
        </w:rPr>
        <w:t>（6）定标委员会根据综合评分结果</w:t>
      </w:r>
      <w:r>
        <w:rPr>
          <w:rFonts w:hint="eastAsia" w:cs="宋体"/>
          <w:color w:val="auto"/>
          <w:highlight w:val="none"/>
          <w:shd w:val="clear" w:color="auto" w:fill="FFFFFF"/>
          <w:lang w:val="en-US" w:eastAsia="zh-CN"/>
        </w:rPr>
        <w:t>确认</w:t>
      </w:r>
      <w:r>
        <w:rPr>
          <w:rFonts w:cs="宋体"/>
          <w:color w:val="auto"/>
          <w:highlight w:val="none"/>
          <w:shd w:val="clear" w:color="auto" w:fill="FFFFFF"/>
        </w:rPr>
        <w:t>中标人后，撰写、签署定标报告。定标报告由定标委员会全体成员签字，对定标结论持有异议的成员应以书面方式阐述其不同意见和理由。</w:t>
      </w:r>
    </w:p>
    <w:p w14:paraId="388B1829">
      <w:pPr>
        <w:pStyle w:val="16"/>
        <w:widowControl w:val="0"/>
        <w:spacing w:beforeAutospacing="0" w:afterAutospacing="0" w:line="360" w:lineRule="auto"/>
        <w:ind w:firstLine="480" w:firstLineChars="200"/>
        <w:jc w:val="both"/>
        <w:rPr>
          <w:rFonts w:cs="宋体"/>
          <w:color w:val="auto"/>
          <w:highlight w:val="none"/>
          <w:shd w:val="clear" w:color="auto" w:fill="FFFFFF"/>
        </w:rPr>
      </w:pPr>
      <w:r>
        <w:rPr>
          <w:rFonts w:cs="宋体"/>
          <w:color w:val="auto"/>
          <w:highlight w:val="none"/>
          <w:shd w:val="clear" w:color="auto" w:fill="FFFFFF"/>
        </w:rPr>
        <w:t>（7）定标委员会向招标人提交书面定标报告后即解散，定标过程中使用的文件、表格以及其他资料不得私自带离。</w:t>
      </w:r>
    </w:p>
    <w:p w14:paraId="5819ED50">
      <w:pPr>
        <w:pStyle w:val="16"/>
        <w:widowControl w:val="0"/>
        <w:spacing w:beforeAutospacing="0" w:afterAutospacing="0" w:line="360" w:lineRule="auto"/>
        <w:ind w:firstLine="480" w:firstLineChars="200"/>
        <w:jc w:val="both"/>
        <w:rPr>
          <w:rFonts w:cs="宋体"/>
          <w:color w:val="auto"/>
          <w:highlight w:val="none"/>
          <w:shd w:val="clear" w:color="auto" w:fill="FFFFFF"/>
        </w:rPr>
      </w:pPr>
      <w:r>
        <w:rPr>
          <w:rFonts w:cs="宋体"/>
          <w:color w:val="auto"/>
          <w:highlight w:val="none"/>
          <w:shd w:val="clear" w:color="auto" w:fill="FFFFFF"/>
        </w:rPr>
        <w:t>（8）定标后出现中标人不符合法定情形的，招标人可按定标委员会确定的定标综合排序依序确定中标人，也可以重新招标。</w:t>
      </w:r>
    </w:p>
    <w:p w14:paraId="624C26AC">
      <w:pPr>
        <w:pStyle w:val="16"/>
        <w:widowControl w:val="0"/>
        <w:spacing w:beforeAutospacing="0" w:afterAutospacing="0" w:line="360" w:lineRule="auto"/>
        <w:ind w:firstLine="480" w:firstLineChars="200"/>
        <w:jc w:val="both"/>
        <w:rPr>
          <w:rFonts w:cs="宋体"/>
          <w:color w:val="auto"/>
          <w:highlight w:val="none"/>
          <w:shd w:val="clear" w:color="auto" w:fill="FFFFFF"/>
        </w:rPr>
      </w:pPr>
      <w:r>
        <w:rPr>
          <w:rFonts w:cs="宋体"/>
          <w:color w:val="auto"/>
          <w:highlight w:val="none"/>
          <w:shd w:val="clear" w:color="auto" w:fill="FFFFFF"/>
        </w:rPr>
        <w:t>（9）因质疑或投诉生效，需要重新评标或定标的，评标（含业绩、奖项等）、定标信息仍以投标截止时投标人的信息为准。因特殊原因需要延长投标有效期，投标人拒绝延长投标有效期的，仍参与评标、定标，但不被推荐为中标人。</w:t>
      </w:r>
    </w:p>
    <w:p w14:paraId="2B5B5455">
      <w:pPr>
        <w:pStyle w:val="16"/>
        <w:widowControl w:val="0"/>
        <w:spacing w:beforeAutospacing="0" w:afterAutospacing="0" w:line="360" w:lineRule="auto"/>
        <w:ind w:firstLine="480" w:firstLineChars="200"/>
        <w:jc w:val="both"/>
        <w:rPr>
          <w:rFonts w:cs="宋体"/>
          <w:color w:val="auto"/>
          <w:highlight w:val="none"/>
          <w:shd w:val="clear" w:color="auto" w:fill="FFFFFF"/>
        </w:rPr>
      </w:pPr>
      <w:r>
        <w:rPr>
          <w:rFonts w:cs="宋体"/>
          <w:color w:val="auto"/>
          <w:highlight w:val="none"/>
          <w:shd w:val="clear" w:color="auto" w:fill="FFFFFF"/>
        </w:rPr>
        <w:t>（10）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hint="eastAsia" w:ascii="宋体" w:hAnsi="宋体" w:cs="宋体"/>
          <w:b/>
          <w:color w:val="auto"/>
          <w:szCs w:val="21"/>
          <w:highlight w:val="none"/>
          <w:shd w:val="clear" w:color="auto" w:fill="FFFFFF"/>
        </w:rPr>
        <w:sectPr>
          <w:pgSz w:w="11905" w:h="16838"/>
          <w:pgMar w:top="1440" w:right="1440" w:bottom="1440" w:left="1440" w:header="851" w:footer="992" w:gutter="0"/>
          <w:pgBorders>
            <w:top w:val="none" w:sz="0" w:space="0"/>
            <w:left w:val="none" w:sz="0" w:space="0"/>
            <w:bottom w:val="none" w:sz="0" w:space="0"/>
            <w:right w:val="none" w:sz="0" w:space="0"/>
          </w:pgBorders>
          <w:cols w:space="720" w:num="1"/>
          <w:docGrid w:type="lines" w:linePitch="319" w:charSpace="0"/>
        </w:sectPr>
      </w:pPr>
    </w:p>
    <w:p w14:paraId="6BDD0A83">
      <w:pPr>
        <w:widowControl/>
        <w:jc w:val="left"/>
        <w:rPr>
          <w:rFonts w:hint="eastAsia" w:ascii="宋体" w:hAnsi="宋体" w:cs="宋体"/>
          <w:b/>
          <w:color w:val="auto"/>
          <w:kern w:val="0"/>
          <w:szCs w:val="21"/>
          <w:highlight w:val="none"/>
          <w:shd w:val="clear" w:color="auto" w:fill="FFFFFF"/>
        </w:rPr>
      </w:pPr>
    </w:p>
    <w:p w14:paraId="38668E1A">
      <w:pPr>
        <w:pStyle w:val="4"/>
        <w:rPr>
          <w:rFonts w:hint="eastAsia" w:ascii="宋体" w:hAnsi="宋体" w:cs="宋体"/>
          <w:color w:val="auto"/>
          <w:sz w:val="21"/>
          <w:szCs w:val="21"/>
          <w:highlight w:val="none"/>
        </w:rPr>
      </w:pPr>
      <w:bookmarkStart w:id="379" w:name="_Toc25417"/>
      <w:bookmarkStart w:id="380" w:name="_Toc22471"/>
      <w:bookmarkStart w:id="381" w:name="_Toc30922"/>
      <w:bookmarkStart w:id="382" w:name="_Toc25720"/>
      <w:bookmarkStart w:id="383" w:name="_Toc10688"/>
      <w:bookmarkStart w:id="384" w:name="_Toc10788"/>
      <w:bookmarkStart w:id="385" w:name="_Toc13555"/>
      <w:r>
        <w:rPr>
          <w:rFonts w:hint="eastAsia" w:ascii="宋体" w:hAnsi="宋体" w:cs="宋体"/>
          <w:color w:val="auto"/>
          <w:sz w:val="21"/>
          <w:szCs w:val="21"/>
          <w:highlight w:val="none"/>
        </w:rPr>
        <w:t xml:space="preserve">附录16-1 </w:t>
      </w:r>
      <w:r>
        <w:rPr>
          <w:rFonts w:hint="eastAsia" w:ascii="宋体" w:hAnsi="宋体" w:cs="宋体"/>
          <w:color w:val="auto"/>
          <w:kern w:val="44"/>
          <w:sz w:val="21"/>
          <w:szCs w:val="21"/>
          <w:highlight w:val="none"/>
        </w:rPr>
        <w:t>定标因素表（定标阶段用表）</w:t>
      </w:r>
      <w:bookmarkEnd w:id="379"/>
      <w:bookmarkEnd w:id="380"/>
      <w:bookmarkEnd w:id="381"/>
      <w:bookmarkEnd w:id="382"/>
      <w:bookmarkEnd w:id="383"/>
      <w:bookmarkEnd w:id="384"/>
      <w:bookmarkEnd w:id="385"/>
    </w:p>
    <w:p w14:paraId="25FC11B1">
      <w:pPr>
        <w:jc w:val="center"/>
        <w:rPr>
          <w:rFonts w:hint="eastAsia" w:ascii="宋体" w:hAnsi="宋体" w:cs="宋体"/>
          <w:b/>
          <w:bCs/>
          <w:color w:val="auto"/>
          <w:kern w:val="1"/>
          <w:sz w:val="28"/>
          <w:szCs w:val="28"/>
          <w:highlight w:val="none"/>
        </w:rPr>
      </w:pPr>
      <w:bookmarkStart w:id="386" w:name="_Toc19170"/>
      <w:r>
        <w:rPr>
          <w:rFonts w:hint="eastAsia" w:ascii="宋体" w:hAnsi="宋体" w:cs="宋体"/>
          <w:b/>
          <w:bCs/>
          <w:color w:val="auto"/>
          <w:kern w:val="1"/>
          <w:sz w:val="28"/>
          <w:szCs w:val="28"/>
          <w:highlight w:val="none"/>
        </w:rPr>
        <w:t>定标因素表（定标阶段用表）</w:t>
      </w:r>
      <w:bookmarkEnd w:id="386"/>
    </w:p>
    <w:p w14:paraId="184427CD">
      <w:pPr>
        <w:jc w:val="left"/>
        <w:rPr>
          <w:rFonts w:hint="eastAsia" w:ascii="宋体" w:hAnsi="宋体" w:cs="宋体"/>
          <w:b/>
          <w:color w:val="auto"/>
          <w:highlight w:val="none"/>
        </w:rPr>
      </w:pPr>
      <w:r>
        <w:rPr>
          <w:rFonts w:hint="eastAsia" w:ascii="宋体" w:hAnsi="宋体" w:cs="宋体"/>
          <w:b/>
          <w:color w:val="auto"/>
          <w:highlight w:val="none"/>
        </w:rPr>
        <w:t>项目名称：</w:t>
      </w:r>
    </w:p>
    <w:tbl>
      <w:tblPr>
        <w:tblStyle w:val="20"/>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hint="eastAsia" w:ascii="宋体" w:hAnsi="宋体" w:cs="宋体"/>
                <w:color w:val="auto"/>
                <w:szCs w:val="21"/>
                <w:highlight w:val="none"/>
              </w:rPr>
            </w:pPr>
            <w:r>
              <w:rPr>
                <w:rFonts w:hint="eastAsia" w:ascii="宋体" w:hAnsi="宋体" w:cs="宋体"/>
                <w:color w:val="auto"/>
                <w:szCs w:val="21"/>
                <w:highlight w:val="none"/>
              </w:rPr>
              <w:t>方案因素</w:t>
            </w:r>
          </w:p>
          <w:p w14:paraId="70DFCAB3">
            <w:pPr>
              <w:jc w:val="center"/>
              <w:rPr>
                <w:rFonts w:hint="eastAsia" w:ascii="宋体" w:hAnsi="宋体" w:cs="宋体"/>
                <w:color w:val="auto"/>
                <w:szCs w:val="21"/>
                <w:highlight w:val="none"/>
              </w:rPr>
            </w:pPr>
            <w:r>
              <w:rPr>
                <w:rFonts w:hint="eastAsia" w:ascii="宋体" w:hAnsi="宋体" w:cs="宋体"/>
                <w:color w:val="auto"/>
                <w:szCs w:val="21"/>
                <w:highlight w:val="none"/>
              </w:rPr>
              <w:t>（70分）</w:t>
            </w:r>
          </w:p>
        </w:tc>
        <w:tc>
          <w:tcPr>
            <w:tcW w:w="2222" w:type="dxa"/>
            <w:tcBorders>
              <w:top w:val="single" w:color="auto" w:sz="4" w:space="0"/>
              <w:left w:val="single" w:color="auto" w:sz="4" w:space="0"/>
              <w:right w:val="single" w:color="auto" w:sz="4" w:space="0"/>
            </w:tcBorders>
            <w:vAlign w:val="center"/>
          </w:tcPr>
          <w:p w14:paraId="21F3BB84">
            <w:pPr>
              <w:jc w:val="center"/>
              <w:rPr>
                <w:rFonts w:hint="eastAsia" w:ascii="宋体" w:hAnsi="宋体" w:cs="宋体"/>
                <w:color w:val="auto"/>
                <w:szCs w:val="21"/>
                <w:highlight w:val="none"/>
              </w:rPr>
            </w:pPr>
            <w:r>
              <w:rPr>
                <w:rFonts w:hint="eastAsia" w:ascii="宋体" w:hAnsi="宋体" w:cs="宋体"/>
                <w:color w:val="auto"/>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2C24D664">
            <w:pPr>
              <w:rPr>
                <w:rFonts w:hint="eastAsia" w:ascii="宋体" w:hAnsi="宋体" w:cs="宋体"/>
                <w:color w:val="auto"/>
                <w:highlight w:val="none"/>
              </w:rPr>
            </w:pPr>
            <w:r>
              <w:rPr>
                <w:rFonts w:hint="eastAsia" w:ascii="宋体" w:hAnsi="宋体" w:cs="宋体"/>
                <w:color w:val="auto"/>
                <w:highlight w:val="none"/>
              </w:rPr>
              <w:t>对本项目的勘察设计工作的重难点及应对措施的有效性、针对性、可行性进行评审：</w:t>
            </w:r>
          </w:p>
          <w:p w14:paraId="47D49037">
            <w:pPr>
              <w:rPr>
                <w:rFonts w:hint="eastAsia" w:ascii="宋体" w:hAnsi="宋体" w:cs="宋体"/>
                <w:color w:val="auto"/>
                <w:highlight w:val="none"/>
              </w:rPr>
            </w:pPr>
            <w:r>
              <w:rPr>
                <w:rFonts w:hint="eastAsia" w:ascii="宋体" w:hAnsi="宋体" w:cs="宋体"/>
                <w:color w:val="auto"/>
                <w:highlight w:val="none"/>
              </w:rPr>
              <w:t>优:对本项目的勘察设计工作的重难点分析准确，应对措施针对性、合理可行性强，得[25,</w:t>
            </w:r>
            <w:r>
              <w:rPr>
                <w:rFonts w:hint="eastAsia" w:ascii="宋体" w:hAnsi="宋体" w:cs="宋体"/>
                <w:color w:val="auto"/>
                <w:highlight w:val="none"/>
                <w:lang w:val="en-US" w:eastAsia="zh-CN"/>
              </w:rPr>
              <w:t>20</w:t>
            </w:r>
            <w:r>
              <w:rPr>
                <w:rFonts w:hint="eastAsia" w:ascii="宋体" w:hAnsi="宋体" w:cs="宋体"/>
                <w:color w:val="auto"/>
                <w:highlight w:val="none"/>
              </w:rPr>
              <w:t>)分。</w:t>
            </w:r>
          </w:p>
          <w:p w14:paraId="54ADCC38">
            <w:pPr>
              <w:rPr>
                <w:rFonts w:hint="eastAsia" w:ascii="宋体" w:hAnsi="宋体" w:cs="宋体"/>
                <w:color w:val="auto"/>
                <w:highlight w:val="none"/>
              </w:rPr>
            </w:pPr>
            <w:r>
              <w:rPr>
                <w:rFonts w:hint="eastAsia" w:ascii="宋体" w:hAnsi="宋体" w:cs="宋体"/>
                <w:color w:val="auto"/>
                <w:highlight w:val="none"/>
              </w:rPr>
              <w:t>良:对本项目的勘察设计工作的重难点分析较准确，应对措施针对性、合理可行性较强，得[</w:t>
            </w:r>
            <w:r>
              <w:rPr>
                <w:rFonts w:hint="eastAsia" w:ascii="宋体" w:hAnsi="宋体" w:cs="宋体"/>
                <w:color w:val="auto"/>
                <w:highlight w:val="none"/>
                <w:lang w:val="en-US" w:eastAsia="zh-CN"/>
              </w:rPr>
              <w:t>20</w:t>
            </w:r>
            <w:r>
              <w:rPr>
                <w:rFonts w:hint="eastAsia" w:ascii="宋体" w:hAnsi="宋体" w:cs="宋体"/>
                <w:color w:val="auto"/>
                <w:highlight w:val="none"/>
              </w:rPr>
              <w:t>,</w:t>
            </w:r>
            <w:r>
              <w:rPr>
                <w:rFonts w:hint="eastAsia" w:ascii="宋体" w:hAnsi="宋体" w:cs="宋体"/>
                <w:color w:val="auto"/>
                <w:highlight w:val="none"/>
                <w:lang w:val="en-US" w:eastAsia="zh-CN"/>
              </w:rPr>
              <w:t>15</w:t>
            </w:r>
            <w:r>
              <w:rPr>
                <w:rFonts w:hint="eastAsia" w:ascii="宋体" w:hAnsi="宋体" w:cs="宋体"/>
                <w:color w:val="auto"/>
                <w:highlight w:val="none"/>
              </w:rPr>
              <w:t>)分。</w:t>
            </w:r>
          </w:p>
          <w:p w14:paraId="3F347B40">
            <w:pPr>
              <w:rPr>
                <w:rFonts w:hint="eastAsia" w:ascii="宋体" w:hAnsi="宋体" w:cs="宋体"/>
                <w:color w:val="auto"/>
                <w:highlight w:val="none"/>
              </w:rPr>
            </w:pPr>
            <w:r>
              <w:rPr>
                <w:rFonts w:hint="eastAsia" w:ascii="宋体" w:hAnsi="宋体" w:cs="宋体"/>
                <w:color w:val="auto"/>
                <w:highlight w:val="none"/>
              </w:rPr>
              <w:t>中:对本项目的勘察设计工作的重难点分析一般，应对措施针对性、合理可行性一般，得[</w:t>
            </w:r>
            <w:r>
              <w:rPr>
                <w:rFonts w:hint="eastAsia" w:ascii="宋体" w:hAnsi="宋体" w:cs="宋体"/>
                <w:color w:val="auto"/>
                <w:highlight w:val="none"/>
                <w:lang w:val="en-US" w:eastAsia="zh-CN"/>
              </w:rPr>
              <w:t>15</w:t>
            </w: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)分。</w:t>
            </w:r>
          </w:p>
          <w:p w14:paraId="7B679E91">
            <w:pPr>
              <w:rPr>
                <w:rFonts w:hint="eastAsia" w:ascii="宋体" w:hAnsi="宋体" w:cs="宋体"/>
                <w:color w:val="auto"/>
                <w:highlight w:val="none"/>
              </w:rPr>
            </w:pPr>
            <w:r>
              <w:rPr>
                <w:rFonts w:hint="eastAsia" w:ascii="宋体" w:hAnsi="宋体" w:cs="宋体"/>
                <w:color w:val="auto"/>
                <w:highlight w:val="none"/>
              </w:rPr>
              <w:t>差:对本项目的勘察设计工作的重难点分析较差，应对措施针对性、合理可行性较差，得[</w:t>
            </w:r>
            <w:r>
              <w:rPr>
                <w:rFonts w:hint="eastAsia" w:ascii="宋体" w:hAnsi="宋体" w:cs="宋体"/>
                <w:color w:val="auto"/>
                <w:highlight w:val="none"/>
                <w:lang w:val="en-US" w:eastAsia="zh-CN"/>
              </w:rPr>
              <w:t>7</w:t>
            </w:r>
            <w:r>
              <w:rPr>
                <w:rFonts w:hint="eastAsia" w:ascii="宋体" w:hAnsi="宋体" w:cs="宋体"/>
                <w:color w:val="auto"/>
                <w:highlight w:val="none"/>
              </w:rPr>
              <w:t>,0)分。</w:t>
            </w:r>
          </w:p>
          <w:p w14:paraId="610419C7">
            <w:pPr>
              <w:rPr>
                <w:rFonts w:hint="eastAsia" w:ascii="宋体" w:hAnsi="宋体" w:cs="宋体"/>
                <w:color w:val="auto"/>
                <w:szCs w:val="21"/>
                <w:highlight w:val="none"/>
              </w:rPr>
            </w:pPr>
            <w:r>
              <w:rPr>
                <w:rFonts w:hint="eastAsia" w:ascii="宋体" w:hAnsi="宋体" w:cs="宋体"/>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538" w:type="dxa"/>
            <w:vMerge w:val="continue"/>
            <w:tcBorders>
              <w:left w:val="single" w:color="auto" w:sz="4" w:space="0"/>
              <w:right w:val="single" w:color="auto" w:sz="4" w:space="0"/>
            </w:tcBorders>
            <w:vAlign w:val="center"/>
          </w:tcPr>
          <w:p w14:paraId="49231D39">
            <w:pPr>
              <w:jc w:val="center"/>
              <w:rPr>
                <w:rFonts w:hint="eastAsia" w:ascii="宋体" w:hAnsi="宋体" w:cs="宋体"/>
                <w:color w:val="auto"/>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hint="eastAsia" w:ascii="宋体" w:hAnsi="宋体" w:cs="宋体"/>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hint="eastAsia" w:ascii="宋体" w:hAnsi="宋体" w:cs="宋体"/>
                <w:color w:val="auto"/>
                <w:szCs w:val="21"/>
                <w:highlight w:val="none"/>
              </w:rPr>
            </w:pPr>
            <w:r>
              <w:rPr>
                <w:rFonts w:hint="eastAsia" w:ascii="宋体" w:hAnsi="宋体" w:cs="宋体"/>
                <w:color w:val="auto"/>
                <w:highlight w:val="none"/>
              </w:rPr>
              <w:t>方案创新措施（20分）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rPr>
                <w:rFonts w:hint="eastAsia" w:ascii="宋体" w:hAnsi="宋体" w:cs="宋体"/>
                <w:color w:val="auto"/>
                <w:highlight w:val="none"/>
              </w:rPr>
            </w:pPr>
            <w:r>
              <w:rPr>
                <w:rFonts w:hint="eastAsia" w:ascii="宋体" w:hAnsi="宋体" w:cs="宋体"/>
                <w:color w:val="auto"/>
                <w:highlight w:val="none"/>
              </w:rPr>
              <w:t>结合规划、景观、建筑外观、使用功能、交通、配套设施、经济、绿色节能等因素进行评审。</w:t>
            </w:r>
          </w:p>
          <w:p w14:paraId="7DCB1478">
            <w:pPr>
              <w:rPr>
                <w:rFonts w:hint="eastAsia" w:ascii="宋体" w:hAnsi="宋体" w:cs="宋体"/>
                <w:color w:val="auto"/>
                <w:highlight w:val="none"/>
              </w:rPr>
            </w:pPr>
            <w:r>
              <w:rPr>
                <w:rFonts w:hint="eastAsia" w:ascii="宋体" w:hAnsi="宋体" w:cs="宋体"/>
                <w:color w:val="auto"/>
                <w:highlight w:val="none"/>
              </w:rPr>
              <w:t>优：总体方案充分反映了招标人设计要求（详见本项目的设计任务书及相关附件）、符合设计的标准及要求（详见本项目的设计任务书及相关附件），项目实施方案完整，且方案合理可行的，得[20,15)分。</w:t>
            </w:r>
          </w:p>
          <w:p w14:paraId="65B8613F">
            <w:pPr>
              <w:rPr>
                <w:rFonts w:hint="eastAsia" w:ascii="宋体" w:hAnsi="宋体" w:cs="宋体"/>
                <w:color w:val="auto"/>
                <w:highlight w:val="none"/>
              </w:rPr>
            </w:pPr>
            <w:r>
              <w:rPr>
                <w:rFonts w:hint="eastAsia" w:ascii="宋体" w:hAnsi="宋体" w:cs="宋体"/>
                <w:color w:val="auto"/>
                <w:highlight w:val="none"/>
              </w:rPr>
              <w:t>良：总体方案基本满足招标人设计要求（详见本项目的设计任务书及相关附件）、符合设计的标准及要求（详见本项目的设计任务书及相关附件），项目实施方案内容完整，但缺乏针对性的，得[15,9)分。</w:t>
            </w:r>
          </w:p>
          <w:p w14:paraId="5126820A">
            <w:pPr>
              <w:rPr>
                <w:rFonts w:hint="eastAsia" w:ascii="宋体" w:hAnsi="宋体" w:cs="宋体"/>
                <w:color w:val="auto"/>
                <w:highlight w:val="none"/>
              </w:rPr>
            </w:pPr>
            <w:r>
              <w:rPr>
                <w:rFonts w:hint="eastAsia" w:ascii="宋体" w:hAnsi="宋体" w:cs="宋体"/>
                <w:color w:val="auto"/>
                <w:highlight w:val="none"/>
              </w:rPr>
              <w:t>中：总体方案部分符合招标人设计要求（详见本项目的设计任务书及相关附件）、部分符合设计的标准及要求（详见本项目的设计任务书及相关附件）；项目实施方案内容不完整，且缺乏可行性或针对性的，得[9,6)分。</w:t>
            </w:r>
          </w:p>
          <w:p w14:paraId="6F35A22E">
            <w:pPr>
              <w:rPr>
                <w:rFonts w:hint="eastAsia" w:ascii="宋体" w:hAnsi="宋体" w:cs="宋体"/>
                <w:color w:val="auto"/>
                <w:highlight w:val="none"/>
              </w:rPr>
            </w:pPr>
            <w:r>
              <w:rPr>
                <w:rFonts w:hint="eastAsia" w:ascii="宋体" w:hAnsi="宋体" w:cs="宋体"/>
                <w:color w:val="auto"/>
                <w:highlight w:val="none"/>
              </w:rPr>
              <w:t>差：总体方案不符合招标人设计要求（详见本项目的设计任务书及相关附件）、不符合设计的标准及要求（详见本项目的设计任务书及相关附件）；项目实施方案内容缺失，且缺乏可行性或针对性的，得[6,0)分。</w:t>
            </w:r>
          </w:p>
          <w:p w14:paraId="4BDF56C7">
            <w:pPr>
              <w:rPr>
                <w:rFonts w:hint="eastAsia" w:ascii="宋体" w:hAnsi="宋体" w:cs="宋体"/>
                <w:color w:val="auto"/>
                <w:szCs w:val="21"/>
                <w:highlight w:val="none"/>
              </w:rPr>
            </w:pPr>
            <w:r>
              <w:rPr>
                <w:rFonts w:hint="eastAsia" w:ascii="宋体" w:hAnsi="宋体" w:cs="宋体"/>
                <w:color w:val="auto"/>
                <w:highlight w:val="none"/>
              </w:rPr>
              <w:t>未提供或评审内容不全的不得分。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jc w:val="center"/>
              <w:rPr>
                <w:rFonts w:hint="eastAsia" w:ascii="宋体" w:hAnsi="宋体" w:cs="宋体"/>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jc w:val="center"/>
              <w:rPr>
                <w:rFonts w:hint="eastAsia" w:ascii="宋体" w:hAnsi="宋体" w:cs="宋体"/>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6AF5D9A9">
            <w:pPr>
              <w:jc w:val="center"/>
              <w:rPr>
                <w:rFonts w:hint="eastAsia" w:ascii="宋体" w:hAnsi="宋体" w:cs="宋体"/>
                <w:color w:val="auto"/>
                <w:highlight w:val="none"/>
              </w:rPr>
            </w:pPr>
            <w:r>
              <w:rPr>
                <w:rFonts w:hint="eastAsia" w:ascii="宋体" w:hAnsi="宋体" w:cs="宋体"/>
                <w:color w:val="auto"/>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250C0FAE">
            <w:pPr>
              <w:ind w:left="420" w:hanging="420" w:hangingChars="200"/>
              <w:rPr>
                <w:rFonts w:hint="eastAsia" w:ascii="宋体" w:hAnsi="宋体" w:cs="宋体"/>
                <w:color w:val="auto"/>
                <w:highlight w:val="none"/>
              </w:rPr>
            </w:pPr>
            <w:r>
              <w:rPr>
                <w:rFonts w:hint="eastAsia" w:ascii="宋体" w:hAnsi="宋体" w:cs="宋体"/>
                <w:color w:val="auto"/>
                <w:highlight w:val="none"/>
              </w:rPr>
              <w:t>针对本项目BIM信息化技术应用方案进行评审：</w:t>
            </w:r>
          </w:p>
          <w:p w14:paraId="37E938A2">
            <w:pPr>
              <w:ind w:left="420" w:hanging="420" w:hangingChars="200"/>
              <w:rPr>
                <w:rFonts w:hint="eastAsia" w:ascii="宋体" w:hAnsi="宋体" w:cs="宋体"/>
                <w:color w:val="auto"/>
                <w:highlight w:val="none"/>
              </w:rPr>
            </w:pPr>
            <w:r>
              <w:rPr>
                <w:rFonts w:hint="eastAsia" w:ascii="宋体" w:hAnsi="宋体" w:cs="宋体"/>
                <w:color w:val="auto"/>
                <w:highlight w:val="none"/>
              </w:rPr>
              <w:t>优：根据项目特点，论述BIM服务内容与措施清晰准确，可以辅助业主实现设计的项目精细化管理，得[15,12)分。</w:t>
            </w:r>
          </w:p>
          <w:p w14:paraId="5FEF588A">
            <w:pPr>
              <w:ind w:left="420" w:hanging="420" w:hangingChars="200"/>
              <w:rPr>
                <w:rFonts w:hint="eastAsia" w:ascii="宋体" w:hAnsi="宋体" w:cs="宋体"/>
                <w:color w:val="auto"/>
                <w:highlight w:val="none"/>
              </w:rPr>
            </w:pPr>
            <w:r>
              <w:rPr>
                <w:rFonts w:hint="eastAsia" w:ascii="宋体" w:hAnsi="宋体" w:cs="宋体"/>
                <w:color w:val="auto"/>
                <w:highlight w:val="none"/>
              </w:rPr>
              <w:t>良：根据项目特点，论述BIM服务内容与措施较为清晰，可以辅助业主实现设计的项目精细化管理，得[12,</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09A562AB">
            <w:pPr>
              <w:ind w:left="420" w:hanging="420" w:hangingChars="200"/>
              <w:rPr>
                <w:rFonts w:hint="eastAsia" w:ascii="宋体" w:hAnsi="宋体" w:cs="宋体"/>
                <w:color w:val="auto"/>
                <w:highlight w:val="none"/>
              </w:rPr>
            </w:pPr>
            <w:r>
              <w:rPr>
                <w:rFonts w:hint="eastAsia" w:ascii="宋体" w:hAnsi="宋体" w:cs="宋体"/>
                <w:color w:val="auto"/>
                <w:highlight w:val="none"/>
              </w:rPr>
              <w:t>中：根据项目特点，论述BIM服务内容与措施一般，可以辅助业主实现设计的项目精细化管理，得[</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00DF8326">
            <w:pPr>
              <w:ind w:left="420" w:hanging="420" w:hangingChars="200"/>
              <w:rPr>
                <w:rFonts w:hint="eastAsia" w:ascii="宋体" w:hAnsi="宋体" w:cs="宋体"/>
                <w:color w:val="auto"/>
                <w:highlight w:val="none"/>
              </w:rPr>
            </w:pPr>
            <w:r>
              <w:rPr>
                <w:rFonts w:hint="eastAsia" w:ascii="宋体" w:hAnsi="宋体" w:cs="宋体"/>
                <w:color w:val="auto"/>
                <w:highlight w:val="none"/>
              </w:rPr>
              <w:t>差：根据项目特点，论述BIM服务内容与措施较差，无法辅助业主实现设计的项目精细化管理，得[</w:t>
            </w:r>
            <w:r>
              <w:rPr>
                <w:rFonts w:hint="eastAsia" w:ascii="宋体" w:hAnsi="宋体" w:cs="宋体"/>
                <w:color w:val="auto"/>
                <w:highlight w:val="none"/>
                <w:lang w:val="en-US" w:eastAsia="zh-CN"/>
              </w:rPr>
              <w:t>5</w:t>
            </w:r>
            <w:r>
              <w:rPr>
                <w:rFonts w:hint="eastAsia" w:ascii="宋体" w:hAnsi="宋体" w:cs="宋体"/>
                <w:color w:val="auto"/>
                <w:highlight w:val="none"/>
              </w:rPr>
              <w:t>,0)分。</w:t>
            </w:r>
          </w:p>
          <w:p w14:paraId="5BD2B25E">
            <w:pPr>
              <w:jc w:val="left"/>
              <w:rPr>
                <w:rFonts w:hint="eastAsia" w:ascii="宋体" w:hAnsi="宋体" w:cs="宋体"/>
                <w:color w:val="auto"/>
                <w:szCs w:val="21"/>
                <w:highlight w:val="none"/>
              </w:rPr>
            </w:pPr>
            <w:r>
              <w:rPr>
                <w:rFonts w:hint="eastAsia" w:ascii="宋体" w:hAnsi="宋体" w:cs="宋体"/>
                <w:color w:val="auto"/>
                <w:szCs w:val="21"/>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38" w:type="dxa"/>
            <w:vMerge w:val="continue"/>
            <w:tcBorders>
              <w:left w:val="single" w:color="auto" w:sz="4" w:space="0"/>
              <w:right w:val="single" w:color="auto" w:sz="4" w:space="0"/>
            </w:tcBorders>
            <w:vAlign w:val="center"/>
          </w:tcPr>
          <w:p w14:paraId="633F9439">
            <w:pPr>
              <w:jc w:val="center"/>
              <w:rPr>
                <w:rFonts w:hint="eastAsia" w:ascii="宋体" w:hAnsi="宋体" w:cs="宋体"/>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hint="eastAsia" w:ascii="宋体" w:hAnsi="宋体" w:cs="宋体"/>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hint="eastAsia" w:ascii="宋体" w:hAnsi="宋体" w:cs="宋体"/>
                <w:color w:val="auto"/>
                <w:szCs w:val="21"/>
                <w:highlight w:val="none"/>
              </w:rPr>
            </w:pPr>
            <w:r>
              <w:rPr>
                <w:rFonts w:hint="eastAsia" w:ascii="宋体" w:hAnsi="宋体" w:cs="宋体"/>
                <w:color w:val="auto"/>
                <w:szCs w:val="21"/>
                <w:highlight w:val="none"/>
              </w:rPr>
              <w:t>质量控制措施（10分）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ind w:left="420" w:hanging="420" w:hangingChars="200"/>
              <w:rPr>
                <w:rFonts w:hint="eastAsia" w:ascii="宋体" w:hAnsi="宋体" w:cs="宋体"/>
                <w:color w:val="auto"/>
                <w:highlight w:val="none"/>
              </w:rPr>
            </w:pPr>
            <w:r>
              <w:rPr>
                <w:rFonts w:hint="eastAsia" w:ascii="宋体" w:hAnsi="宋体" w:cs="宋体"/>
                <w:color w:val="auto"/>
                <w:highlight w:val="none"/>
              </w:rPr>
              <w:t>针对本项目编制质量管理目标、质量管理体系、质量保证措施进行评审：</w:t>
            </w:r>
          </w:p>
          <w:p w14:paraId="07E2BDA1">
            <w:pPr>
              <w:ind w:left="420" w:hanging="420" w:hangingChars="200"/>
              <w:rPr>
                <w:rFonts w:hint="eastAsia" w:ascii="宋体" w:hAnsi="宋体" w:cs="宋体"/>
                <w:color w:val="auto"/>
                <w:highlight w:val="none"/>
              </w:rPr>
            </w:pPr>
            <w:r>
              <w:rPr>
                <w:rFonts w:hint="eastAsia" w:ascii="宋体" w:hAnsi="宋体" w:cs="宋体"/>
                <w:color w:val="auto"/>
                <w:highlight w:val="none"/>
              </w:rPr>
              <w:t>优：目标、体系结合措施效果显著、合理性相对较强、可操作性相对较强，得[10,7)分。</w:t>
            </w:r>
          </w:p>
          <w:p w14:paraId="1BE990D6">
            <w:pPr>
              <w:ind w:left="420" w:hanging="420" w:hangingChars="200"/>
              <w:rPr>
                <w:rFonts w:hint="eastAsia" w:ascii="宋体" w:hAnsi="宋体" w:cs="宋体"/>
                <w:color w:val="auto"/>
                <w:highlight w:val="none"/>
              </w:rPr>
            </w:pPr>
            <w:r>
              <w:rPr>
                <w:rFonts w:hint="eastAsia" w:ascii="宋体" w:hAnsi="宋体" w:cs="宋体"/>
                <w:color w:val="auto"/>
                <w:highlight w:val="none"/>
              </w:rPr>
              <w:t>良：目标、体系结合措施相对有效、合理、可操作性相对良好，得[7,5)分。</w:t>
            </w:r>
          </w:p>
          <w:p w14:paraId="55622E28">
            <w:pPr>
              <w:ind w:left="420" w:hanging="420" w:hangingChars="200"/>
              <w:rPr>
                <w:rFonts w:hint="eastAsia" w:ascii="宋体" w:hAnsi="宋体" w:cs="宋体"/>
                <w:color w:val="auto"/>
                <w:highlight w:val="none"/>
              </w:rPr>
            </w:pPr>
            <w:r>
              <w:rPr>
                <w:rFonts w:hint="eastAsia" w:ascii="宋体" w:hAnsi="宋体" w:cs="宋体"/>
                <w:color w:val="auto"/>
                <w:highlight w:val="none"/>
              </w:rPr>
              <w:t>中：目标、体系结合措施相对效果一般，现场可操作性相对一般，得[5,2)分。</w:t>
            </w:r>
          </w:p>
          <w:p w14:paraId="299C08CD">
            <w:pPr>
              <w:ind w:left="420" w:hanging="420" w:hangingChars="200"/>
              <w:rPr>
                <w:rFonts w:hint="eastAsia" w:ascii="宋体" w:hAnsi="宋体" w:cs="宋体"/>
                <w:color w:val="auto"/>
                <w:highlight w:val="none"/>
              </w:rPr>
            </w:pPr>
            <w:r>
              <w:rPr>
                <w:rFonts w:hint="eastAsia" w:ascii="宋体" w:hAnsi="宋体" w:cs="宋体"/>
                <w:color w:val="auto"/>
                <w:highlight w:val="none"/>
              </w:rPr>
              <w:t>差：目标、体系结合措施相对效果较差，现场可操作性相对不高，得[2,0)分。</w:t>
            </w:r>
          </w:p>
          <w:p w14:paraId="4F7DD2F4">
            <w:pPr>
              <w:ind w:left="420" w:hanging="420" w:hangingChars="200"/>
              <w:rPr>
                <w:rFonts w:hint="eastAsia" w:ascii="宋体" w:hAnsi="宋体" w:cs="宋体"/>
                <w:color w:val="auto"/>
                <w:szCs w:val="21"/>
                <w:highlight w:val="none"/>
              </w:rPr>
            </w:pPr>
            <w:r>
              <w:rPr>
                <w:rFonts w:hint="eastAsia" w:ascii="宋体" w:hAnsi="宋体" w:cs="宋体"/>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hint="eastAsia" w:ascii="宋体" w:hAnsi="宋体" w:cs="宋体"/>
                <w:color w:val="auto"/>
                <w:szCs w:val="21"/>
                <w:highlight w:val="none"/>
              </w:rPr>
            </w:pPr>
            <w:r>
              <w:rPr>
                <w:rFonts w:hint="eastAsia" w:ascii="宋体" w:hAnsi="宋体" w:cs="宋体"/>
                <w:color w:val="auto"/>
                <w:szCs w:val="21"/>
                <w:highlight w:val="none"/>
              </w:rPr>
              <w:t>答辩因素</w:t>
            </w:r>
          </w:p>
          <w:p w14:paraId="66B5989A">
            <w:pPr>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jc w:val="left"/>
              <w:rPr>
                <w:rFonts w:hint="eastAsia" w:ascii="宋体" w:hAnsi="宋体" w:cs="宋体"/>
                <w:color w:val="auto"/>
                <w:szCs w:val="21"/>
                <w:highlight w:val="none"/>
              </w:rPr>
            </w:pPr>
            <w:r>
              <w:rPr>
                <w:rFonts w:hint="eastAsia" w:ascii="宋体" w:hAnsi="宋体" w:cs="宋体"/>
                <w:color w:val="auto"/>
                <w:szCs w:val="21"/>
                <w:highlight w:val="none"/>
              </w:rPr>
              <w:t>投标人派本项目拟投入项目负责人或各专业负责人组成1-2人的答辩小组进行现场答辩：</w:t>
            </w:r>
          </w:p>
          <w:p w14:paraId="4BF05F2C">
            <w:pPr>
              <w:jc w:val="left"/>
              <w:rPr>
                <w:rFonts w:hint="eastAsia" w:ascii="宋体" w:hAnsi="宋体" w:cs="宋体"/>
                <w:color w:val="auto"/>
                <w:szCs w:val="21"/>
                <w:highlight w:val="none"/>
              </w:rPr>
            </w:pPr>
            <w:r>
              <w:rPr>
                <w:rFonts w:hint="eastAsia" w:ascii="宋体" w:hAnsi="宋体" w:cs="宋体"/>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34F6CC78">
            <w:pPr>
              <w:jc w:val="left"/>
              <w:rPr>
                <w:rFonts w:hint="eastAsia" w:ascii="宋体" w:hAnsi="宋体" w:cs="宋体"/>
                <w:color w:val="auto"/>
                <w:szCs w:val="21"/>
                <w:highlight w:val="none"/>
              </w:rPr>
            </w:pPr>
            <w:r>
              <w:rPr>
                <w:rFonts w:hint="eastAsia" w:ascii="宋体" w:hAnsi="宋体" w:cs="宋体"/>
                <w:color w:val="auto"/>
                <w:szCs w:val="21"/>
                <w:highlight w:val="none"/>
              </w:rPr>
              <w:t>表现优秀得[20,15)分，良好得[15,10)分，一般得[10,5)分，差得[5,0)分。本小项最高得20分。</w:t>
            </w:r>
          </w:p>
          <w:p w14:paraId="2001CEFB">
            <w:pPr>
              <w:jc w:val="left"/>
              <w:rPr>
                <w:rFonts w:hint="eastAsia" w:ascii="宋体" w:hAnsi="宋体" w:cs="宋体"/>
                <w:color w:val="auto"/>
                <w:szCs w:val="21"/>
                <w:highlight w:val="none"/>
              </w:rPr>
            </w:pPr>
            <w:r>
              <w:rPr>
                <w:rFonts w:hint="eastAsia" w:ascii="宋体" w:hAnsi="宋体" w:cs="宋体"/>
                <w:color w:val="auto"/>
                <w:szCs w:val="21"/>
                <w:highlight w:val="none"/>
              </w:rPr>
              <w:t>2.答辩人员就本项目接受定标委员会提问并进行问答</w:t>
            </w:r>
            <w:r>
              <w:rPr>
                <w:rFonts w:hint="eastAsia" w:ascii="宋体" w:hAnsi="宋体" w:cs="宋体"/>
                <w:color w:val="auto"/>
                <w:szCs w:val="21"/>
                <w:highlight w:val="none"/>
                <w:lang w:eastAsia="zh-CN"/>
              </w:rPr>
              <w:t>，</w:t>
            </w:r>
            <w:r>
              <w:rPr>
                <w:rFonts w:hint="eastAsia" w:ascii="宋体" w:hAnsi="宋体" w:cs="宋体"/>
                <w:color w:val="auto"/>
                <w:szCs w:val="21"/>
                <w:highlight w:val="none"/>
              </w:rPr>
              <w:t>回答时间不超过10分钟：</w:t>
            </w:r>
          </w:p>
          <w:p w14:paraId="34F0A26B">
            <w:pPr>
              <w:jc w:val="left"/>
              <w:rPr>
                <w:rFonts w:hint="eastAsia" w:ascii="宋体" w:hAnsi="宋体" w:cs="宋体"/>
                <w:color w:val="auto"/>
                <w:szCs w:val="21"/>
                <w:highlight w:val="none"/>
              </w:rPr>
            </w:pPr>
            <w:r>
              <w:rPr>
                <w:rFonts w:hint="eastAsia" w:ascii="宋体" w:hAnsi="宋体" w:cs="宋体"/>
                <w:color w:val="auto"/>
                <w:szCs w:val="21"/>
                <w:highlight w:val="none"/>
              </w:rPr>
              <w:t>表现优秀得[10,7)分，良好得[7,5)分，一般得[5,2)分，差得[2,0)分。本小项最高得10分。</w:t>
            </w:r>
          </w:p>
          <w:p w14:paraId="4AF66E84">
            <w:pPr>
              <w:widowControl/>
              <w:jc w:val="left"/>
              <w:rPr>
                <w:rFonts w:hint="eastAsia" w:ascii="宋体" w:hAnsi="宋体" w:cs="宋体"/>
                <w:color w:val="auto"/>
                <w:szCs w:val="21"/>
                <w:highlight w:val="none"/>
              </w:rPr>
            </w:pPr>
            <w:r>
              <w:rPr>
                <w:rFonts w:hint="eastAsia" w:ascii="宋体" w:hAnsi="宋体" w:cs="宋体"/>
                <w:color w:val="auto"/>
                <w:szCs w:val="21"/>
                <w:highlight w:val="none"/>
              </w:rPr>
              <w:t>3.投标人未按要求参加现场答辩，以上两项均为0分。</w:t>
            </w:r>
          </w:p>
        </w:tc>
      </w:tr>
    </w:tbl>
    <w:p w14:paraId="14C67819">
      <w:pPr>
        <w:rPr>
          <w:rFonts w:hint="eastAsia" w:ascii="宋体" w:hAnsi="宋体" w:cs="宋体"/>
          <w:color w:val="auto"/>
          <w:szCs w:val="21"/>
          <w:highlight w:val="none"/>
        </w:rPr>
      </w:pPr>
    </w:p>
    <w:p w14:paraId="228D2060">
      <w:pPr>
        <w:rPr>
          <w:rFonts w:hint="eastAsia" w:ascii="宋体" w:hAnsi="宋体" w:cs="宋体"/>
          <w:color w:val="auto"/>
          <w:szCs w:val="21"/>
          <w:highlight w:val="none"/>
        </w:rPr>
      </w:pPr>
      <w:r>
        <w:rPr>
          <w:rFonts w:hint="eastAsia" w:ascii="宋体" w:hAnsi="宋体" w:cs="宋体"/>
          <w:color w:val="auto"/>
          <w:szCs w:val="21"/>
          <w:highlight w:val="none"/>
        </w:rPr>
        <w:t>注：方案因素</w:t>
      </w:r>
      <w:r>
        <w:rPr>
          <w:rFonts w:hint="eastAsia" w:ascii="宋体" w:hAnsi="宋体" w:cs="宋体"/>
          <w:color w:val="auto"/>
          <w:szCs w:val="21"/>
          <w:highlight w:val="none"/>
          <w:u w:val="single"/>
        </w:rPr>
        <w:t>得分和答辩因素得分为各定标委员会评分的算术平均分，得出每个投标人方案因素部分和答辩因素部分的得分。</w:t>
      </w:r>
    </w:p>
    <w:p w14:paraId="3FCD4AC9">
      <w:pPr>
        <w:rPr>
          <w:rFonts w:hint="eastAsia" w:ascii="宋体" w:hAnsi="宋体" w:cs="宋体"/>
          <w:color w:val="auto"/>
          <w:szCs w:val="21"/>
          <w:highlight w:val="none"/>
        </w:rPr>
      </w:pPr>
    </w:p>
    <w:p w14:paraId="58480398">
      <w:pPr>
        <w:rPr>
          <w:rFonts w:hint="eastAsia" w:ascii="宋体" w:hAnsi="宋体" w:cs="宋体"/>
          <w:color w:val="auto"/>
          <w:szCs w:val="21"/>
          <w:highlight w:val="none"/>
        </w:rPr>
        <w:sectPr>
          <w:pgSz w:w="16838" w:h="11905" w:orient="landscape"/>
          <w:pgMar w:top="1440" w:right="1440" w:bottom="1440" w:left="1440" w:header="851" w:footer="992" w:gutter="0"/>
          <w:pgBorders>
            <w:top w:val="none" w:sz="0" w:space="0"/>
            <w:left w:val="none" w:sz="0" w:space="0"/>
            <w:bottom w:val="none" w:sz="0" w:space="0"/>
            <w:right w:val="none" w:sz="0" w:space="0"/>
          </w:pgBorders>
          <w:cols w:space="720" w:num="1"/>
          <w:docGrid w:type="lines" w:linePitch="319" w:charSpace="0"/>
        </w:sectPr>
      </w:pPr>
      <w:r>
        <w:rPr>
          <w:rFonts w:hint="eastAsia" w:ascii="宋体" w:hAnsi="宋体" w:cs="宋体"/>
          <w:color w:val="auto"/>
          <w:szCs w:val="21"/>
          <w:highlight w:val="none"/>
        </w:rPr>
        <w:t>评委签名：                                                                               日期</w:t>
      </w:r>
    </w:p>
    <w:p w14:paraId="75D59BD4">
      <w:pPr>
        <w:spacing w:line="440" w:lineRule="exact"/>
        <w:outlineLvl w:val="1"/>
        <w:rPr>
          <w:rFonts w:hint="eastAsia" w:ascii="宋体" w:hAnsi="宋体" w:cs="宋体"/>
          <w:b/>
          <w:bCs/>
          <w:color w:val="auto"/>
          <w:sz w:val="28"/>
          <w:szCs w:val="28"/>
          <w:highlight w:val="none"/>
        </w:rPr>
      </w:pPr>
      <w:bookmarkStart w:id="387" w:name="_Toc7374"/>
      <w:bookmarkStart w:id="388" w:name="_Toc2339"/>
      <w:bookmarkStart w:id="389" w:name="_Toc27003"/>
      <w:bookmarkStart w:id="390" w:name="_Toc17249"/>
      <w:bookmarkStart w:id="391" w:name="_Toc6264"/>
      <w:bookmarkStart w:id="392" w:name="_Toc22616"/>
      <w:r>
        <w:rPr>
          <w:rFonts w:hint="eastAsia" w:ascii="宋体" w:hAnsi="宋体" w:cs="宋体"/>
          <w:b/>
          <w:bCs/>
          <w:color w:val="auto"/>
          <w:szCs w:val="21"/>
          <w:highlight w:val="none"/>
        </w:rPr>
        <w:t>附录17评标委员会成员声明</w:t>
      </w:r>
      <w:bookmarkEnd w:id="387"/>
      <w:bookmarkEnd w:id="388"/>
      <w:bookmarkEnd w:id="389"/>
      <w:bookmarkEnd w:id="390"/>
      <w:bookmarkEnd w:id="391"/>
    </w:p>
    <w:p w14:paraId="1B4F8814">
      <w:pPr>
        <w:spacing w:line="440" w:lineRule="exact"/>
        <w:jc w:val="center"/>
        <w:rPr>
          <w:rFonts w:hint="eastAsia" w:ascii="宋体" w:hAnsi="宋体" w:cs="宋体"/>
          <w:color w:val="auto"/>
          <w:sz w:val="40"/>
          <w:szCs w:val="36"/>
          <w:highlight w:val="none"/>
        </w:rPr>
      </w:pPr>
      <w:r>
        <w:rPr>
          <w:rFonts w:hint="eastAsia" w:ascii="宋体" w:hAnsi="宋体" w:cs="宋体"/>
          <w:b/>
          <w:bCs/>
          <w:color w:val="auto"/>
          <w:sz w:val="32"/>
          <w:szCs w:val="32"/>
          <w:highlight w:val="none"/>
        </w:rPr>
        <w:t>评标委员会成员声明</w:t>
      </w:r>
    </w:p>
    <w:p w14:paraId="509D2EBE">
      <w:pPr>
        <w:spacing w:line="440" w:lineRule="exact"/>
        <w:rPr>
          <w:rFonts w:hint="eastAsia" w:ascii="宋体" w:hAnsi="宋体" w:cs="宋体"/>
          <w:color w:val="auto"/>
          <w:sz w:val="24"/>
          <w:highlight w:val="none"/>
        </w:rPr>
      </w:pPr>
      <w:r>
        <w:rPr>
          <w:rFonts w:hint="eastAsia" w:ascii="宋体" w:hAnsi="宋体" w:cs="宋体"/>
          <w:color w:val="auto"/>
          <w:sz w:val="24"/>
          <w:szCs w:val="24"/>
          <w:highlight w:val="none"/>
          <w:u w:val="single"/>
        </w:rPr>
        <w:t>广州开城联晟城市开发投资有限公司</w:t>
      </w:r>
      <w:r>
        <w:rPr>
          <w:rFonts w:hint="eastAsia" w:ascii="宋体" w:hAnsi="宋体" w:cs="宋体"/>
          <w:color w:val="auto"/>
          <w:sz w:val="24"/>
          <w:highlight w:val="none"/>
        </w:rPr>
        <w:t>：</w:t>
      </w:r>
    </w:p>
    <w:p w14:paraId="5765FC5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本人就参与</w:t>
      </w:r>
      <w:r>
        <w:rPr>
          <w:rFonts w:hint="eastAsia" w:ascii="宋体" w:hAnsi="宋体" w:cs="宋体"/>
          <w:color w:val="auto"/>
          <w:sz w:val="24"/>
          <w:szCs w:val="24"/>
          <w:highlight w:val="none"/>
          <w:u w:val="single"/>
        </w:rPr>
        <w:t>广州市黄埔区云埔街火村社区莲潭经济合作社城中村改造项目（南岗街南岗西路片区）复建15地块勘察初步设计</w:t>
      </w:r>
      <w:r>
        <w:rPr>
          <w:rFonts w:hint="eastAsia" w:ascii="宋体" w:hAnsi="宋体" w:cs="宋体"/>
          <w:color w:val="auto"/>
          <w:sz w:val="24"/>
          <w:highlight w:val="none"/>
        </w:rPr>
        <w:t>项目的评标工作，作出郑重声明：</w:t>
      </w:r>
    </w:p>
    <w:p w14:paraId="14C463C3">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如果本人违反上述声明内容，造成的后果由本人自行承担。</w:t>
      </w:r>
    </w:p>
    <w:p w14:paraId="1E534FF3">
      <w:pPr>
        <w:spacing w:line="440" w:lineRule="exact"/>
        <w:ind w:firstLine="5280" w:firstLineChars="2200"/>
        <w:rPr>
          <w:rFonts w:hint="eastAsia" w:ascii="宋体" w:hAnsi="宋体" w:cs="宋体"/>
          <w:color w:val="auto"/>
          <w:sz w:val="24"/>
          <w:highlight w:val="none"/>
        </w:rPr>
      </w:pPr>
    </w:p>
    <w:p w14:paraId="7BCC661B">
      <w:pPr>
        <w:spacing w:line="440" w:lineRule="exact"/>
        <w:ind w:firstLine="5280" w:firstLineChars="2200"/>
        <w:rPr>
          <w:rFonts w:hint="eastAsia" w:ascii="宋体" w:hAnsi="宋体" w:cs="宋体"/>
          <w:color w:val="auto"/>
          <w:sz w:val="24"/>
          <w:highlight w:val="none"/>
        </w:rPr>
      </w:pPr>
      <w:r>
        <w:rPr>
          <w:rFonts w:hint="eastAsia" w:ascii="宋体" w:hAnsi="宋体" w:cs="宋体"/>
          <w:color w:val="auto"/>
          <w:sz w:val="24"/>
          <w:highlight w:val="none"/>
        </w:rPr>
        <w:t>声明人：（签名）</w:t>
      </w:r>
    </w:p>
    <w:p w14:paraId="3C55611A">
      <w:pPr>
        <w:widowControl/>
        <w:jc w:val="left"/>
        <w:rPr>
          <w:rFonts w:hint="eastAsia" w:ascii="宋体" w:hAnsi="宋体" w:cs="宋体"/>
          <w:color w:val="auto"/>
          <w:highlight w:val="none"/>
        </w:rPr>
      </w:pPr>
    </w:p>
    <w:bookmarkEnd w:id="392"/>
    <w:p w14:paraId="4788B529">
      <w:pPr>
        <w:pStyle w:val="4"/>
        <w:rPr>
          <w:rFonts w:hint="eastAsia" w:ascii="宋体" w:hAnsi="宋体" w:cs="宋体"/>
          <w:color w:val="auto"/>
          <w:sz w:val="24"/>
          <w:szCs w:val="24"/>
          <w:highlight w:val="none"/>
        </w:rPr>
      </w:pPr>
      <w:bookmarkStart w:id="393" w:name="_Toc15449"/>
      <w:bookmarkStart w:id="394" w:name="_Toc10182"/>
      <w:bookmarkStart w:id="395" w:name="_Toc23766"/>
      <w:r>
        <w:rPr>
          <w:rFonts w:hint="eastAsia" w:ascii="宋体" w:hAnsi="宋体" w:cs="宋体"/>
          <w:color w:val="auto"/>
          <w:sz w:val="24"/>
          <w:szCs w:val="24"/>
          <w:highlight w:val="none"/>
        </w:rPr>
        <w:t>附录18 本项目拟投入的人员基本情况表</w:t>
      </w:r>
      <w:bookmarkEnd w:id="393"/>
      <w:bookmarkEnd w:id="394"/>
      <w:bookmarkEnd w:id="395"/>
    </w:p>
    <w:p w14:paraId="17C9C7A3">
      <w:pPr>
        <w:jc w:val="center"/>
        <w:rPr>
          <w:rFonts w:hint="eastAsia" w:ascii="宋体" w:hAnsi="宋体" w:cs="宋体"/>
          <w:b/>
          <w:color w:val="auto"/>
          <w:sz w:val="32"/>
          <w:szCs w:val="32"/>
          <w:highlight w:val="none"/>
        </w:rPr>
      </w:pPr>
      <w:bookmarkStart w:id="396" w:name="_Toc19370"/>
      <w:bookmarkStart w:id="397" w:name="_Toc44943466"/>
      <w:r>
        <w:rPr>
          <w:rFonts w:hint="eastAsia" w:ascii="宋体" w:hAnsi="宋体" w:cs="宋体"/>
          <w:b/>
          <w:color w:val="auto"/>
          <w:sz w:val="32"/>
          <w:szCs w:val="32"/>
          <w:highlight w:val="none"/>
        </w:rPr>
        <w:t>本项目拟投入的人员基本情况表</w:t>
      </w:r>
      <w:bookmarkEnd w:id="396"/>
      <w:bookmarkEnd w:id="39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14:paraId="51A8F11C">
            <w:pPr>
              <w:jc w:val="center"/>
              <w:rPr>
                <w:rFonts w:hint="eastAsia" w:ascii="宋体" w:hAnsi="宋体" w:cs="宋体"/>
                <w:color w:val="auto"/>
                <w:highlight w:val="none"/>
              </w:rPr>
            </w:pPr>
            <w:r>
              <w:rPr>
                <w:rFonts w:hint="eastAsia" w:ascii="宋体" w:hAnsi="宋体" w:cs="宋体"/>
                <w:color w:val="auto"/>
                <w:highlight w:val="none"/>
              </w:rPr>
              <w:t>人员安排</w:t>
            </w:r>
          </w:p>
        </w:tc>
        <w:tc>
          <w:tcPr>
            <w:tcW w:w="1204" w:type="dxa"/>
            <w:vAlign w:val="center"/>
          </w:tcPr>
          <w:p w14:paraId="46FD9DB3">
            <w:pPr>
              <w:jc w:val="center"/>
              <w:rPr>
                <w:rFonts w:hint="eastAsia" w:ascii="宋体" w:hAnsi="宋体" w:cs="宋体"/>
                <w:color w:val="auto"/>
                <w:highlight w:val="none"/>
              </w:rPr>
            </w:pPr>
            <w:r>
              <w:rPr>
                <w:rFonts w:hint="eastAsia" w:ascii="宋体" w:hAnsi="宋体" w:cs="宋体"/>
                <w:color w:val="auto"/>
                <w:highlight w:val="none"/>
              </w:rPr>
              <w:t>姓 名</w:t>
            </w:r>
          </w:p>
        </w:tc>
        <w:tc>
          <w:tcPr>
            <w:tcW w:w="1166" w:type="dxa"/>
            <w:vAlign w:val="center"/>
          </w:tcPr>
          <w:p w14:paraId="5B5747B5">
            <w:pPr>
              <w:jc w:val="center"/>
              <w:rPr>
                <w:rFonts w:hint="eastAsia" w:ascii="宋体" w:hAnsi="宋体" w:cs="宋体"/>
                <w:color w:val="auto"/>
                <w:highlight w:val="none"/>
              </w:rPr>
            </w:pPr>
            <w:r>
              <w:rPr>
                <w:rFonts w:hint="eastAsia" w:ascii="宋体" w:hAnsi="宋体" w:cs="宋体"/>
                <w:color w:val="auto"/>
                <w:highlight w:val="none"/>
              </w:rPr>
              <w:t>年龄</w:t>
            </w:r>
          </w:p>
        </w:tc>
        <w:tc>
          <w:tcPr>
            <w:tcW w:w="1203" w:type="dxa"/>
            <w:vAlign w:val="center"/>
          </w:tcPr>
          <w:p w14:paraId="4101D7A1">
            <w:pPr>
              <w:jc w:val="center"/>
              <w:rPr>
                <w:rFonts w:hint="eastAsia" w:ascii="宋体" w:hAnsi="宋体" w:cs="宋体"/>
                <w:color w:val="auto"/>
                <w:highlight w:val="none"/>
              </w:rPr>
            </w:pPr>
            <w:r>
              <w:rPr>
                <w:rFonts w:hint="eastAsia" w:ascii="宋体" w:hAnsi="宋体" w:cs="宋体"/>
                <w:color w:val="auto"/>
                <w:highlight w:val="none"/>
              </w:rPr>
              <w:t>职称专业</w:t>
            </w:r>
          </w:p>
        </w:tc>
        <w:tc>
          <w:tcPr>
            <w:tcW w:w="2278" w:type="dxa"/>
            <w:vAlign w:val="center"/>
          </w:tcPr>
          <w:p w14:paraId="76612779">
            <w:pPr>
              <w:jc w:val="center"/>
              <w:rPr>
                <w:rFonts w:hint="eastAsia" w:ascii="宋体" w:hAnsi="宋体" w:cs="宋体"/>
                <w:color w:val="auto"/>
                <w:highlight w:val="none"/>
              </w:rPr>
            </w:pPr>
            <w:r>
              <w:rPr>
                <w:rFonts w:hint="eastAsia" w:ascii="宋体" w:hAnsi="宋体" w:cs="宋体"/>
                <w:color w:val="auto"/>
                <w:highlight w:val="none"/>
              </w:rPr>
              <w:t>已完成类似</w:t>
            </w:r>
            <w:r>
              <w:rPr>
                <w:rFonts w:hint="eastAsia" w:ascii="宋体" w:hAnsi="宋体" w:cs="宋体"/>
                <w:color w:val="auto"/>
                <w:szCs w:val="21"/>
                <w:highlight w:val="none"/>
              </w:rPr>
              <w:t>勘察设计（含勘察初步设计）</w:t>
            </w:r>
            <w:r>
              <w:rPr>
                <w:rFonts w:hint="eastAsia" w:ascii="宋体" w:hAnsi="宋体" w:cs="宋体"/>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14:paraId="0C47E6C3">
            <w:pPr>
              <w:rPr>
                <w:rFonts w:hint="eastAsia" w:ascii="宋体" w:hAnsi="宋体" w:cs="宋体"/>
                <w:color w:val="auto"/>
                <w:highlight w:val="none"/>
              </w:rPr>
            </w:pPr>
            <w:r>
              <w:rPr>
                <w:rFonts w:hint="eastAsia" w:ascii="宋体" w:hAnsi="宋体" w:cs="宋体"/>
                <w:color w:val="auto"/>
                <w:highlight w:val="none"/>
              </w:rPr>
              <w:t>项目负责人</w:t>
            </w:r>
          </w:p>
        </w:tc>
        <w:tc>
          <w:tcPr>
            <w:tcW w:w="1204" w:type="dxa"/>
            <w:vAlign w:val="center"/>
          </w:tcPr>
          <w:p w14:paraId="17FABA35">
            <w:pPr>
              <w:rPr>
                <w:rFonts w:hint="eastAsia" w:ascii="宋体" w:hAnsi="宋体" w:cs="宋体"/>
                <w:color w:val="auto"/>
                <w:highlight w:val="none"/>
              </w:rPr>
            </w:pPr>
          </w:p>
        </w:tc>
        <w:tc>
          <w:tcPr>
            <w:tcW w:w="1166" w:type="dxa"/>
            <w:vAlign w:val="center"/>
          </w:tcPr>
          <w:p w14:paraId="1B25AF16">
            <w:pPr>
              <w:rPr>
                <w:rFonts w:hint="eastAsia" w:ascii="宋体" w:hAnsi="宋体" w:cs="宋体"/>
                <w:color w:val="auto"/>
                <w:highlight w:val="none"/>
              </w:rPr>
            </w:pPr>
          </w:p>
        </w:tc>
        <w:tc>
          <w:tcPr>
            <w:tcW w:w="1203" w:type="dxa"/>
            <w:vAlign w:val="center"/>
          </w:tcPr>
          <w:p w14:paraId="7912251B">
            <w:pPr>
              <w:rPr>
                <w:rFonts w:hint="eastAsia" w:ascii="宋体" w:hAnsi="宋体" w:cs="宋体"/>
                <w:color w:val="auto"/>
                <w:highlight w:val="none"/>
              </w:rPr>
            </w:pPr>
          </w:p>
        </w:tc>
        <w:tc>
          <w:tcPr>
            <w:tcW w:w="2278" w:type="dxa"/>
            <w:vAlign w:val="center"/>
          </w:tcPr>
          <w:p w14:paraId="60C53AA2">
            <w:pPr>
              <w:rPr>
                <w:rFonts w:hint="eastAsia" w:ascii="宋体" w:hAnsi="宋体" w:cs="宋体"/>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14:paraId="5C873EE9">
            <w:pPr>
              <w:rPr>
                <w:rFonts w:hint="eastAsia" w:ascii="宋体" w:hAnsi="宋体" w:cs="宋体"/>
                <w:color w:val="auto"/>
                <w:highlight w:val="none"/>
              </w:rPr>
            </w:pPr>
            <w:r>
              <w:rPr>
                <w:rFonts w:hint="eastAsia" w:ascii="宋体" w:hAnsi="宋体" w:cs="宋体"/>
                <w:b/>
                <w:color w:val="auto"/>
                <w:highlight w:val="none"/>
              </w:rPr>
              <w:t>…</w:t>
            </w:r>
          </w:p>
        </w:tc>
        <w:tc>
          <w:tcPr>
            <w:tcW w:w="1204" w:type="dxa"/>
            <w:vAlign w:val="center"/>
          </w:tcPr>
          <w:p w14:paraId="4DE75EFF">
            <w:pPr>
              <w:rPr>
                <w:rFonts w:hint="eastAsia" w:ascii="宋体" w:hAnsi="宋体" w:cs="宋体"/>
                <w:color w:val="auto"/>
                <w:highlight w:val="none"/>
              </w:rPr>
            </w:pPr>
          </w:p>
        </w:tc>
        <w:tc>
          <w:tcPr>
            <w:tcW w:w="1166" w:type="dxa"/>
            <w:vAlign w:val="center"/>
          </w:tcPr>
          <w:p w14:paraId="5C795223">
            <w:pPr>
              <w:rPr>
                <w:rFonts w:hint="eastAsia" w:ascii="宋体" w:hAnsi="宋体" w:cs="宋体"/>
                <w:color w:val="auto"/>
                <w:highlight w:val="none"/>
              </w:rPr>
            </w:pPr>
          </w:p>
        </w:tc>
        <w:tc>
          <w:tcPr>
            <w:tcW w:w="1203" w:type="dxa"/>
            <w:vAlign w:val="center"/>
          </w:tcPr>
          <w:p w14:paraId="6DB83E05">
            <w:pPr>
              <w:rPr>
                <w:rFonts w:hint="eastAsia" w:ascii="宋体" w:hAnsi="宋体" w:cs="宋体"/>
                <w:color w:val="auto"/>
                <w:highlight w:val="none"/>
              </w:rPr>
            </w:pPr>
          </w:p>
        </w:tc>
        <w:tc>
          <w:tcPr>
            <w:tcW w:w="2278" w:type="dxa"/>
            <w:vAlign w:val="center"/>
          </w:tcPr>
          <w:p w14:paraId="33CEE3E0">
            <w:pPr>
              <w:rPr>
                <w:rFonts w:hint="eastAsia" w:ascii="宋体" w:hAnsi="宋体" w:cs="宋体"/>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14:paraId="4743CFE5">
            <w:pPr>
              <w:rPr>
                <w:rFonts w:hint="eastAsia" w:ascii="宋体" w:hAnsi="宋体" w:cs="宋体"/>
                <w:color w:val="auto"/>
                <w:highlight w:val="none"/>
              </w:rPr>
            </w:pPr>
            <w:r>
              <w:rPr>
                <w:rFonts w:hint="eastAsia" w:ascii="宋体" w:hAnsi="宋体" w:cs="宋体"/>
                <w:b/>
                <w:color w:val="auto"/>
                <w:highlight w:val="none"/>
              </w:rPr>
              <w:t>…</w:t>
            </w:r>
          </w:p>
        </w:tc>
        <w:tc>
          <w:tcPr>
            <w:tcW w:w="1204" w:type="dxa"/>
            <w:vAlign w:val="center"/>
          </w:tcPr>
          <w:p w14:paraId="5A96BFBB">
            <w:pPr>
              <w:rPr>
                <w:rFonts w:hint="eastAsia" w:ascii="宋体" w:hAnsi="宋体" w:cs="宋体"/>
                <w:color w:val="auto"/>
                <w:highlight w:val="none"/>
              </w:rPr>
            </w:pPr>
          </w:p>
        </w:tc>
        <w:tc>
          <w:tcPr>
            <w:tcW w:w="1166" w:type="dxa"/>
            <w:vAlign w:val="center"/>
          </w:tcPr>
          <w:p w14:paraId="0AC54FC0">
            <w:pPr>
              <w:rPr>
                <w:rFonts w:hint="eastAsia" w:ascii="宋体" w:hAnsi="宋体" w:cs="宋体"/>
                <w:color w:val="auto"/>
                <w:highlight w:val="none"/>
              </w:rPr>
            </w:pPr>
          </w:p>
        </w:tc>
        <w:tc>
          <w:tcPr>
            <w:tcW w:w="1203" w:type="dxa"/>
            <w:vAlign w:val="center"/>
          </w:tcPr>
          <w:p w14:paraId="1E71A8BF">
            <w:pPr>
              <w:rPr>
                <w:rFonts w:hint="eastAsia" w:ascii="宋体" w:hAnsi="宋体" w:cs="宋体"/>
                <w:color w:val="auto"/>
                <w:highlight w:val="none"/>
              </w:rPr>
            </w:pPr>
          </w:p>
        </w:tc>
        <w:tc>
          <w:tcPr>
            <w:tcW w:w="2278" w:type="dxa"/>
            <w:vAlign w:val="center"/>
          </w:tcPr>
          <w:p w14:paraId="66B1BB22">
            <w:pPr>
              <w:rPr>
                <w:rFonts w:hint="eastAsia" w:ascii="宋体" w:hAnsi="宋体" w:cs="宋体"/>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14:paraId="70978A2C">
            <w:pPr>
              <w:rPr>
                <w:rFonts w:hint="eastAsia" w:ascii="宋体" w:hAnsi="宋体" w:cs="宋体"/>
                <w:color w:val="auto"/>
                <w:highlight w:val="none"/>
              </w:rPr>
            </w:pPr>
            <w:r>
              <w:rPr>
                <w:rFonts w:hint="eastAsia" w:ascii="宋体" w:hAnsi="宋体" w:cs="宋体"/>
                <w:b/>
                <w:color w:val="auto"/>
                <w:highlight w:val="none"/>
              </w:rPr>
              <w:t>…</w:t>
            </w:r>
          </w:p>
        </w:tc>
        <w:tc>
          <w:tcPr>
            <w:tcW w:w="1204" w:type="dxa"/>
            <w:vAlign w:val="center"/>
          </w:tcPr>
          <w:p w14:paraId="0B94BFDA">
            <w:pPr>
              <w:rPr>
                <w:rFonts w:hint="eastAsia" w:ascii="宋体" w:hAnsi="宋体" w:cs="宋体"/>
                <w:color w:val="auto"/>
                <w:highlight w:val="none"/>
              </w:rPr>
            </w:pPr>
          </w:p>
        </w:tc>
        <w:tc>
          <w:tcPr>
            <w:tcW w:w="1166" w:type="dxa"/>
            <w:vAlign w:val="center"/>
          </w:tcPr>
          <w:p w14:paraId="2F69118C">
            <w:pPr>
              <w:rPr>
                <w:rFonts w:hint="eastAsia" w:ascii="宋体" w:hAnsi="宋体" w:cs="宋体"/>
                <w:color w:val="auto"/>
                <w:highlight w:val="none"/>
              </w:rPr>
            </w:pPr>
          </w:p>
        </w:tc>
        <w:tc>
          <w:tcPr>
            <w:tcW w:w="1203" w:type="dxa"/>
            <w:vAlign w:val="center"/>
          </w:tcPr>
          <w:p w14:paraId="532350E5">
            <w:pPr>
              <w:rPr>
                <w:rFonts w:hint="eastAsia" w:ascii="宋体" w:hAnsi="宋体" w:cs="宋体"/>
                <w:color w:val="auto"/>
                <w:highlight w:val="none"/>
              </w:rPr>
            </w:pPr>
          </w:p>
        </w:tc>
        <w:tc>
          <w:tcPr>
            <w:tcW w:w="2278" w:type="dxa"/>
            <w:vAlign w:val="center"/>
          </w:tcPr>
          <w:p w14:paraId="70FC51B9">
            <w:pPr>
              <w:rPr>
                <w:rFonts w:hint="eastAsia" w:ascii="宋体" w:hAnsi="宋体" w:cs="宋体"/>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14:paraId="5A734EBD">
            <w:pPr>
              <w:rPr>
                <w:rFonts w:hint="eastAsia" w:ascii="宋体" w:hAnsi="宋体" w:cs="宋体"/>
                <w:color w:val="auto"/>
                <w:highlight w:val="none"/>
              </w:rPr>
            </w:pPr>
            <w:r>
              <w:rPr>
                <w:rFonts w:hint="eastAsia" w:ascii="宋体" w:hAnsi="宋体" w:cs="宋体"/>
                <w:b/>
                <w:color w:val="auto"/>
                <w:highlight w:val="none"/>
              </w:rPr>
              <w:t>…</w:t>
            </w:r>
          </w:p>
        </w:tc>
        <w:tc>
          <w:tcPr>
            <w:tcW w:w="1204" w:type="dxa"/>
            <w:vAlign w:val="center"/>
          </w:tcPr>
          <w:p w14:paraId="38EEF7D9">
            <w:pPr>
              <w:rPr>
                <w:rFonts w:hint="eastAsia" w:ascii="宋体" w:hAnsi="宋体" w:cs="宋体"/>
                <w:color w:val="auto"/>
                <w:highlight w:val="none"/>
              </w:rPr>
            </w:pPr>
          </w:p>
        </w:tc>
        <w:tc>
          <w:tcPr>
            <w:tcW w:w="1166" w:type="dxa"/>
            <w:vAlign w:val="center"/>
          </w:tcPr>
          <w:p w14:paraId="24C90FC1">
            <w:pPr>
              <w:rPr>
                <w:rFonts w:hint="eastAsia" w:ascii="宋体" w:hAnsi="宋体" w:cs="宋体"/>
                <w:color w:val="auto"/>
                <w:highlight w:val="none"/>
              </w:rPr>
            </w:pPr>
          </w:p>
        </w:tc>
        <w:tc>
          <w:tcPr>
            <w:tcW w:w="1203" w:type="dxa"/>
            <w:vAlign w:val="center"/>
          </w:tcPr>
          <w:p w14:paraId="4197393C">
            <w:pPr>
              <w:rPr>
                <w:rFonts w:hint="eastAsia" w:ascii="宋体" w:hAnsi="宋体" w:cs="宋体"/>
                <w:color w:val="auto"/>
                <w:highlight w:val="none"/>
              </w:rPr>
            </w:pPr>
          </w:p>
        </w:tc>
        <w:tc>
          <w:tcPr>
            <w:tcW w:w="2278" w:type="dxa"/>
            <w:vAlign w:val="center"/>
          </w:tcPr>
          <w:p w14:paraId="07052E21">
            <w:pPr>
              <w:rPr>
                <w:rFonts w:hint="eastAsia" w:ascii="宋体" w:hAnsi="宋体" w:cs="宋体"/>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14:paraId="7B48AE21">
            <w:pPr>
              <w:rPr>
                <w:rFonts w:hint="eastAsia" w:ascii="宋体" w:hAnsi="宋体" w:cs="宋体"/>
                <w:color w:val="auto"/>
                <w:highlight w:val="none"/>
              </w:rPr>
            </w:pPr>
            <w:r>
              <w:rPr>
                <w:rFonts w:hint="eastAsia" w:ascii="宋体" w:hAnsi="宋体" w:cs="宋体"/>
                <w:b/>
                <w:color w:val="auto"/>
                <w:highlight w:val="none"/>
              </w:rPr>
              <w:t>…</w:t>
            </w:r>
          </w:p>
        </w:tc>
        <w:tc>
          <w:tcPr>
            <w:tcW w:w="1204" w:type="dxa"/>
            <w:vAlign w:val="center"/>
          </w:tcPr>
          <w:p w14:paraId="541D46C7">
            <w:pPr>
              <w:rPr>
                <w:rFonts w:hint="eastAsia" w:ascii="宋体" w:hAnsi="宋体" w:cs="宋体"/>
                <w:color w:val="auto"/>
                <w:highlight w:val="none"/>
              </w:rPr>
            </w:pPr>
          </w:p>
        </w:tc>
        <w:tc>
          <w:tcPr>
            <w:tcW w:w="1166" w:type="dxa"/>
            <w:vAlign w:val="center"/>
          </w:tcPr>
          <w:p w14:paraId="5F5E7812">
            <w:pPr>
              <w:rPr>
                <w:rFonts w:hint="eastAsia" w:ascii="宋体" w:hAnsi="宋体" w:cs="宋体"/>
                <w:color w:val="auto"/>
                <w:highlight w:val="none"/>
              </w:rPr>
            </w:pPr>
          </w:p>
        </w:tc>
        <w:tc>
          <w:tcPr>
            <w:tcW w:w="1203" w:type="dxa"/>
            <w:vAlign w:val="center"/>
          </w:tcPr>
          <w:p w14:paraId="7EC25B61">
            <w:pPr>
              <w:rPr>
                <w:rFonts w:hint="eastAsia" w:ascii="宋体" w:hAnsi="宋体" w:cs="宋体"/>
                <w:color w:val="auto"/>
                <w:highlight w:val="none"/>
              </w:rPr>
            </w:pPr>
          </w:p>
        </w:tc>
        <w:tc>
          <w:tcPr>
            <w:tcW w:w="2278" w:type="dxa"/>
            <w:vAlign w:val="center"/>
          </w:tcPr>
          <w:p w14:paraId="23360874">
            <w:pPr>
              <w:rPr>
                <w:rFonts w:hint="eastAsia" w:ascii="宋体" w:hAnsi="宋体" w:cs="宋体"/>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14:paraId="507E413E">
            <w:pPr>
              <w:rPr>
                <w:rFonts w:hint="eastAsia" w:ascii="宋体" w:hAnsi="宋体" w:cs="宋体"/>
                <w:color w:val="auto"/>
                <w:highlight w:val="none"/>
              </w:rPr>
            </w:pPr>
            <w:r>
              <w:rPr>
                <w:rFonts w:hint="eastAsia" w:ascii="宋体" w:hAnsi="宋体" w:cs="宋体"/>
                <w:b/>
                <w:color w:val="auto"/>
                <w:highlight w:val="none"/>
              </w:rPr>
              <w:t>…</w:t>
            </w:r>
          </w:p>
        </w:tc>
        <w:tc>
          <w:tcPr>
            <w:tcW w:w="1204" w:type="dxa"/>
            <w:vAlign w:val="center"/>
          </w:tcPr>
          <w:p w14:paraId="1A27EBD2">
            <w:pPr>
              <w:rPr>
                <w:rFonts w:hint="eastAsia" w:ascii="宋体" w:hAnsi="宋体" w:cs="宋体"/>
                <w:color w:val="auto"/>
                <w:highlight w:val="none"/>
              </w:rPr>
            </w:pPr>
          </w:p>
        </w:tc>
        <w:tc>
          <w:tcPr>
            <w:tcW w:w="1166" w:type="dxa"/>
            <w:vAlign w:val="center"/>
          </w:tcPr>
          <w:p w14:paraId="57406A40">
            <w:pPr>
              <w:rPr>
                <w:rFonts w:hint="eastAsia" w:ascii="宋体" w:hAnsi="宋体" w:cs="宋体"/>
                <w:color w:val="auto"/>
                <w:highlight w:val="none"/>
              </w:rPr>
            </w:pPr>
          </w:p>
        </w:tc>
        <w:tc>
          <w:tcPr>
            <w:tcW w:w="1203" w:type="dxa"/>
            <w:vAlign w:val="center"/>
          </w:tcPr>
          <w:p w14:paraId="2C53B2D0">
            <w:pPr>
              <w:rPr>
                <w:rFonts w:hint="eastAsia" w:ascii="宋体" w:hAnsi="宋体" w:cs="宋体"/>
                <w:color w:val="auto"/>
                <w:highlight w:val="none"/>
              </w:rPr>
            </w:pPr>
          </w:p>
        </w:tc>
        <w:tc>
          <w:tcPr>
            <w:tcW w:w="2278" w:type="dxa"/>
            <w:vAlign w:val="center"/>
          </w:tcPr>
          <w:p w14:paraId="6F5A7E26">
            <w:pPr>
              <w:rPr>
                <w:rFonts w:hint="eastAsia" w:ascii="宋体" w:hAnsi="宋体" w:cs="宋体"/>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14:paraId="5DE0E4C0">
            <w:pPr>
              <w:rPr>
                <w:rFonts w:hint="eastAsia" w:ascii="宋体" w:hAnsi="宋体" w:cs="宋体"/>
                <w:b/>
                <w:color w:val="auto"/>
                <w:highlight w:val="none"/>
              </w:rPr>
            </w:pPr>
            <w:r>
              <w:rPr>
                <w:rFonts w:hint="eastAsia" w:ascii="宋体" w:hAnsi="宋体" w:cs="宋体"/>
                <w:b/>
                <w:color w:val="auto"/>
                <w:highlight w:val="none"/>
              </w:rPr>
              <w:t>…</w:t>
            </w:r>
          </w:p>
        </w:tc>
        <w:tc>
          <w:tcPr>
            <w:tcW w:w="1204" w:type="dxa"/>
            <w:vAlign w:val="center"/>
          </w:tcPr>
          <w:p w14:paraId="0C504674">
            <w:pPr>
              <w:rPr>
                <w:rFonts w:hint="eastAsia" w:ascii="宋体" w:hAnsi="宋体" w:cs="宋体"/>
                <w:color w:val="auto"/>
                <w:highlight w:val="none"/>
              </w:rPr>
            </w:pPr>
          </w:p>
        </w:tc>
        <w:tc>
          <w:tcPr>
            <w:tcW w:w="1166" w:type="dxa"/>
            <w:vAlign w:val="center"/>
          </w:tcPr>
          <w:p w14:paraId="18F5EB28">
            <w:pPr>
              <w:rPr>
                <w:rFonts w:hint="eastAsia" w:ascii="宋体" w:hAnsi="宋体" w:cs="宋体"/>
                <w:color w:val="auto"/>
                <w:highlight w:val="none"/>
              </w:rPr>
            </w:pPr>
          </w:p>
        </w:tc>
        <w:tc>
          <w:tcPr>
            <w:tcW w:w="1203" w:type="dxa"/>
            <w:vAlign w:val="center"/>
          </w:tcPr>
          <w:p w14:paraId="1FA534C1">
            <w:pPr>
              <w:rPr>
                <w:rFonts w:hint="eastAsia" w:ascii="宋体" w:hAnsi="宋体" w:cs="宋体"/>
                <w:color w:val="auto"/>
                <w:highlight w:val="none"/>
              </w:rPr>
            </w:pPr>
          </w:p>
        </w:tc>
        <w:tc>
          <w:tcPr>
            <w:tcW w:w="2278" w:type="dxa"/>
            <w:vAlign w:val="center"/>
          </w:tcPr>
          <w:p w14:paraId="6DBF6EBA">
            <w:pPr>
              <w:rPr>
                <w:rFonts w:hint="eastAsia" w:ascii="宋体" w:hAnsi="宋体" w:cs="宋体"/>
                <w:color w:val="auto"/>
                <w:highlight w:val="none"/>
              </w:rPr>
            </w:pPr>
          </w:p>
        </w:tc>
      </w:tr>
    </w:tbl>
    <w:p w14:paraId="77128AD3">
      <w:pPr>
        <w:rPr>
          <w:rFonts w:hint="eastAsia" w:ascii="宋体" w:hAnsi="宋体" w:cs="宋体"/>
          <w:color w:val="auto"/>
          <w:szCs w:val="21"/>
          <w:highlight w:val="none"/>
        </w:rPr>
      </w:pPr>
    </w:p>
    <w:p w14:paraId="442669E8">
      <w:pPr>
        <w:spacing w:line="360" w:lineRule="exact"/>
        <w:rPr>
          <w:rFonts w:hint="eastAsia" w:ascii="宋体" w:hAnsi="宋体" w:cs="宋体"/>
          <w:color w:val="auto"/>
          <w:highlight w:val="none"/>
        </w:rPr>
      </w:pPr>
      <w:r>
        <w:rPr>
          <w:rFonts w:hint="eastAsia" w:ascii="宋体" w:hAnsi="宋体" w:cs="宋体"/>
          <w:color w:val="auto"/>
          <w:highlight w:val="none"/>
        </w:rPr>
        <w:t>备注：①投标人应根据招标文件要求和招标项目的实际需要，列出项目负责人</w:t>
      </w:r>
      <w:r>
        <w:rPr>
          <w:rFonts w:hint="eastAsia" w:ascii="宋体" w:hAnsi="宋体" w:cs="宋体"/>
          <w:color w:val="auto"/>
          <w:szCs w:val="21"/>
          <w:highlight w:val="none"/>
        </w:rPr>
        <w:t>及</w:t>
      </w:r>
      <w:r>
        <w:rPr>
          <w:rFonts w:hint="eastAsia" w:ascii="宋体" w:hAnsi="宋体" w:cs="宋体"/>
          <w:color w:val="auto"/>
          <w:highlight w:val="none"/>
        </w:rPr>
        <w:t>各专业负责人。</w:t>
      </w:r>
    </w:p>
    <w:p w14:paraId="2739EA25">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②投标人应按本表所列的项目负责人及各专业负责人填写资历表。</w:t>
      </w:r>
    </w:p>
    <w:p w14:paraId="1D0FC43A">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③以上投入本项目的人员（包含项目负责人及各专业负责人）需提供相关证明资料，包括：执业注册证书、职称证、毕业证等相关资料扫描件。须提供扣除招标公告发布当月前一个月（扣除招标公告发布当月前一个月</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即2025年10月</w:t>
      </w:r>
      <w:r>
        <w:rPr>
          <w:rFonts w:hint="eastAsia" w:ascii="宋体" w:hAnsi="宋体" w:cs="宋体"/>
          <w:color w:val="auto"/>
          <w:highlight w:val="none"/>
        </w:rPr>
        <w:t>）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eastAsia" w:ascii="宋体" w:hAnsi="宋体" w:cs="宋体"/>
          <w:b/>
          <w:color w:val="auto"/>
          <w:sz w:val="32"/>
          <w:szCs w:val="36"/>
          <w:highlight w:val="none"/>
        </w:rPr>
      </w:pPr>
      <w:r>
        <w:rPr>
          <w:rFonts w:hint="eastAsia" w:ascii="宋体" w:hAnsi="宋体" w:cs="宋体"/>
          <w:color w:val="auto"/>
          <w:sz w:val="24"/>
          <w:szCs w:val="24"/>
          <w:highlight w:val="none"/>
        </w:rPr>
        <w:br w:type="page"/>
      </w:r>
      <w:r>
        <w:rPr>
          <w:rFonts w:hint="eastAsia" w:ascii="宋体" w:hAnsi="宋体" w:cs="宋体"/>
          <w:b/>
          <w:color w:val="auto"/>
          <w:sz w:val="32"/>
          <w:szCs w:val="36"/>
          <w:highlight w:val="none"/>
        </w:rPr>
        <w:t>主要人员简历表</w:t>
      </w:r>
    </w:p>
    <w:p w14:paraId="2A837CD8">
      <w:pPr>
        <w:rPr>
          <w:rFonts w:hint="eastAsia" w:ascii="宋体" w:hAnsi="宋体" w:cs="宋体"/>
          <w:color w:val="auto"/>
          <w:highlight w:val="none"/>
        </w:rPr>
      </w:pPr>
    </w:p>
    <w:p w14:paraId="3B8A942C">
      <w:pPr>
        <w:autoSpaceDE w:val="0"/>
        <w:autoSpaceDN w:val="0"/>
        <w:adjustRightInd w:val="0"/>
        <w:spacing w:line="200" w:lineRule="exact"/>
        <w:rPr>
          <w:rFonts w:hint="eastAsia" w:ascii="宋体" w:hAnsi="宋体" w:cs="宋体"/>
          <w:color w:val="auto"/>
          <w:sz w:val="20"/>
          <w:szCs w:val="20"/>
          <w:highlight w:val="none"/>
        </w:rPr>
      </w:pPr>
    </w:p>
    <w:tbl>
      <w:tblPr>
        <w:tblStyle w:val="20"/>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tcPr>
          <w:p w14:paraId="75FE4189">
            <w:pPr>
              <w:autoSpaceDE w:val="0"/>
              <w:autoSpaceDN w:val="0"/>
              <w:adjustRightInd w:val="0"/>
              <w:spacing w:before="9" w:line="260" w:lineRule="exact"/>
              <w:rPr>
                <w:rFonts w:hint="eastAsia" w:ascii="宋体" w:hAnsi="宋体" w:cs="宋体"/>
                <w:color w:val="auto"/>
                <w:sz w:val="26"/>
                <w:szCs w:val="26"/>
                <w:highlight w:val="none"/>
              </w:rPr>
            </w:pPr>
          </w:p>
          <w:p w14:paraId="2A3F8CC7">
            <w:pPr>
              <w:autoSpaceDE w:val="0"/>
              <w:autoSpaceDN w:val="0"/>
              <w:adjustRightInd w:val="0"/>
              <w:ind w:left="273" w:right="-20"/>
              <w:rPr>
                <w:rFonts w:hint="eastAsia" w:ascii="宋体" w:hAnsi="宋体" w:cs="宋体"/>
                <w:color w:val="auto"/>
                <w:sz w:val="24"/>
                <w:highlight w:val="none"/>
              </w:rPr>
            </w:pPr>
            <w:r>
              <w:rPr>
                <w:rFonts w:hint="eastAsia" w:ascii="宋体" w:hAnsi="宋体" w:cs="宋体"/>
                <w:color w:val="auto"/>
                <w:highlight w:val="none"/>
              </w:rPr>
              <w:t>姓</w:t>
            </w:r>
            <w:r>
              <w:rPr>
                <w:rFonts w:hint="eastAsia" w:ascii="宋体" w:hAnsi="宋体" w:cs="宋体"/>
                <w:color w:val="auto"/>
                <w:highlight w:val="none"/>
              </w:rPr>
              <w:tab/>
            </w:r>
            <w:r>
              <w:rPr>
                <w:rFonts w:hint="eastAsia" w:ascii="宋体" w:hAnsi="宋体" w:cs="宋体"/>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tcPr>
          <w:p w14:paraId="72A52772">
            <w:pPr>
              <w:autoSpaceDE w:val="0"/>
              <w:autoSpaceDN w:val="0"/>
              <w:adjustRightInd w:val="0"/>
              <w:rPr>
                <w:rFonts w:hint="eastAsia" w:ascii="宋体" w:hAnsi="宋体" w:cs="宋体"/>
                <w:color w:val="auto"/>
                <w:sz w:val="24"/>
                <w:highlight w:val="none"/>
              </w:rPr>
            </w:pPr>
          </w:p>
        </w:tc>
        <w:tc>
          <w:tcPr>
            <w:tcW w:w="957" w:type="dxa"/>
            <w:tcBorders>
              <w:top w:val="single" w:color="000000" w:sz="4" w:space="0"/>
              <w:left w:val="nil"/>
              <w:bottom w:val="single" w:color="000000" w:sz="4" w:space="0"/>
              <w:right w:val="single" w:color="000000" w:sz="4" w:space="0"/>
            </w:tcBorders>
            <w:noWrap/>
          </w:tcPr>
          <w:p w14:paraId="37EDE3BF">
            <w:pPr>
              <w:autoSpaceDE w:val="0"/>
              <w:autoSpaceDN w:val="0"/>
              <w:adjustRightInd w:val="0"/>
              <w:spacing w:before="9" w:line="260" w:lineRule="exact"/>
              <w:rPr>
                <w:rFonts w:hint="eastAsia" w:ascii="宋体" w:hAnsi="宋体" w:cs="宋体"/>
                <w:color w:val="auto"/>
                <w:sz w:val="26"/>
                <w:szCs w:val="26"/>
                <w:highlight w:val="none"/>
              </w:rPr>
            </w:pPr>
          </w:p>
          <w:p w14:paraId="50367912">
            <w:pPr>
              <w:autoSpaceDE w:val="0"/>
              <w:autoSpaceDN w:val="0"/>
              <w:adjustRightInd w:val="0"/>
              <w:ind w:left="263" w:right="-20"/>
              <w:rPr>
                <w:rFonts w:hint="eastAsia" w:ascii="宋体" w:hAnsi="宋体" w:cs="宋体"/>
                <w:color w:val="auto"/>
                <w:sz w:val="24"/>
                <w:highlight w:val="none"/>
              </w:rPr>
            </w:pPr>
            <w:r>
              <w:rPr>
                <w:rFonts w:hint="eastAsia" w:ascii="宋体" w:hAnsi="宋体" w:cs="宋体"/>
                <w:color w:val="auto"/>
                <w:highlight w:val="none"/>
              </w:rPr>
              <w:t>年龄</w:t>
            </w:r>
          </w:p>
        </w:tc>
        <w:tc>
          <w:tcPr>
            <w:tcW w:w="1066" w:type="dxa"/>
            <w:tcBorders>
              <w:top w:val="single" w:color="000000" w:sz="4" w:space="0"/>
              <w:left w:val="nil"/>
              <w:bottom w:val="single" w:color="000000" w:sz="4" w:space="0"/>
              <w:right w:val="single" w:color="000000" w:sz="4" w:space="0"/>
            </w:tcBorders>
            <w:noWrap/>
          </w:tcPr>
          <w:p w14:paraId="4FCA6CD7">
            <w:pPr>
              <w:autoSpaceDE w:val="0"/>
              <w:autoSpaceDN w:val="0"/>
              <w:adjustRightInd w:val="0"/>
              <w:rPr>
                <w:rFonts w:hint="eastAsia" w:ascii="宋体" w:hAnsi="宋体" w:cs="宋体"/>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2F9CA1DB">
            <w:pPr>
              <w:autoSpaceDE w:val="0"/>
              <w:autoSpaceDN w:val="0"/>
              <w:adjustRightInd w:val="0"/>
              <w:spacing w:before="2" w:line="440" w:lineRule="exact"/>
              <w:ind w:left="652" w:right="50" w:hanging="523"/>
              <w:rPr>
                <w:rFonts w:hint="eastAsia" w:ascii="宋体" w:hAnsi="宋体" w:cs="宋体"/>
                <w:color w:val="auto"/>
                <w:sz w:val="24"/>
                <w:highlight w:val="none"/>
              </w:rPr>
            </w:pPr>
            <w:r>
              <w:rPr>
                <w:rFonts w:hint="eastAsia" w:ascii="宋体" w:hAnsi="宋体" w:cs="宋体"/>
                <w:color w:val="auto"/>
                <w:highlight w:val="none"/>
              </w:rPr>
              <w:t>执业注册</w:t>
            </w:r>
            <w:r>
              <w:rPr>
                <w:rFonts w:hint="eastAsia" w:ascii="宋体" w:hAnsi="宋体" w:cs="宋体"/>
                <w:color w:val="auto"/>
                <w:spacing w:val="-2"/>
                <w:highlight w:val="none"/>
              </w:rPr>
              <w:t>证</w:t>
            </w:r>
            <w:r>
              <w:rPr>
                <w:rFonts w:hint="eastAsia" w:ascii="宋体" w:hAnsi="宋体" w:cs="宋体"/>
                <w:color w:val="auto"/>
                <w:highlight w:val="none"/>
              </w:rPr>
              <w:t>书</w:t>
            </w:r>
            <w:r>
              <w:rPr>
                <w:rFonts w:hint="eastAsia" w:ascii="宋体" w:hAnsi="宋体" w:cs="宋体"/>
                <w:color w:val="auto"/>
                <w:spacing w:val="-2"/>
                <w:highlight w:val="none"/>
              </w:rPr>
              <w:t>（</w:t>
            </w:r>
            <w:r>
              <w:rPr>
                <w:rFonts w:hint="eastAsia" w:ascii="宋体" w:hAnsi="宋体" w:cs="宋体"/>
                <w:color w:val="auto"/>
                <w:highlight w:val="none"/>
              </w:rPr>
              <w:t>或</w:t>
            </w:r>
            <w:r>
              <w:rPr>
                <w:rFonts w:hint="eastAsia" w:ascii="宋体" w:hAnsi="宋体" w:cs="宋体"/>
                <w:color w:val="auto"/>
                <w:spacing w:val="-2"/>
                <w:highlight w:val="none"/>
              </w:rPr>
              <w:t>上</w:t>
            </w:r>
            <w:r>
              <w:rPr>
                <w:rFonts w:hint="eastAsia" w:ascii="宋体" w:hAnsi="宋体" w:cs="宋体"/>
                <w:color w:val="auto"/>
                <w:highlight w:val="none"/>
              </w:rPr>
              <w:t>岗 证书</w:t>
            </w:r>
            <w:r>
              <w:rPr>
                <w:rFonts w:hint="eastAsia" w:ascii="宋体" w:hAnsi="宋体" w:cs="宋体"/>
                <w:color w:val="auto"/>
                <w:spacing w:val="-2"/>
                <w:highlight w:val="none"/>
              </w:rPr>
              <w:t>）</w:t>
            </w:r>
            <w:r>
              <w:rPr>
                <w:rFonts w:hint="eastAsia" w:ascii="宋体" w:hAnsi="宋体" w:cs="宋体"/>
                <w:color w:val="auto"/>
                <w:highlight w:val="none"/>
              </w:rPr>
              <w:t>名称</w:t>
            </w:r>
          </w:p>
        </w:tc>
        <w:tc>
          <w:tcPr>
            <w:tcW w:w="1896" w:type="dxa"/>
            <w:tcBorders>
              <w:top w:val="single" w:color="000000" w:sz="4" w:space="0"/>
              <w:left w:val="nil"/>
              <w:bottom w:val="single" w:color="000000" w:sz="4" w:space="0"/>
              <w:right w:val="single" w:color="000000" w:sz="4" w:space="0"/>
            </w:tcBorders>
            <w:noWrap/>
          </w:tcPr>
          <w:p w14:paraId="72BCF581">
            <w:pPr>
              <w:autoSpaceDE w:val="0"/>
              <w:autoSpaceDN w:val="0"/>
              <w:adjustRightInd w:val="0"/>
              <w:rPr>
                <w:rFonts w:hint="eastAsia" w:ascii="宋体" w:hAnsi="宋体" w:cs="宋体"/>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tcPr>
          <w:p w14:paraId="126C34CE">
            <w:pPr>
              <w:autoSpaceDE w:val="0"/>
              <w:autoSpaceDN w:val="0"/>
              <w:adjustRightInd w:val="0"/>
              <w:spacing w:before="3" w:line="170" w:lineRule="exact"/>
              <w:rPr>
                <w:rFonts w:hint="eastAsia" w:ascii="宋体" w:hAnsi="宋体" w:cs="宋体"/>
                <w:color w:val="auto"/>
                <w:sz w:val="17"/>
                <w:szCs w:val="17"/>
                <w:highlight w:val="none"/>
              </w:rPr>
            </w:pPr>
          </w:p>
          <w:p w14:paraId="77D1346C">
            <w:pPr>
              <w:autoSpaceDE w:val="0"/>
              <w:autoSpaceDN w:val="0"/>
              <w:adjustRightInd w:val="0"/>
              <w:ind w:left="273" w:right="-20"/>
              <w:rPr>
                <w:rFonts w:hint="eastAsia" w:ascii="宋体" w:hAnsi="宋体" w:cs="宋体"/>
                <w:color w:val="auto"/>
                <w:sz w:val="24"/>
                <w:highlight w:val="none"/>
              </w:rPr>
            </w:pPr>
            <w:r>
              <w:rPr>
                <w:rFonts w:hint="eastAsia" w:ascii="宋体" w:hAnsi="宋体" w:cs="宋体"/>
                <w:color w:val="auto"/>
                <w:highlight w:val="none"/>
              </w:rPr>
              <w:t>职</w:t>
            </w:r>
            <w:r>
              <w:rPr>
                <w:rFonts w:hint="eastAsia" w:ascii="宋体" w:hAnsi="宋体" w:cs="宋体"/>
                <w:color w:val="auto"/>
                <w:highlight w:val="none"/>
              </w:rPr>
              <w:tab/>
            </w:r>
            <w:r>
              <w:rPr>
                <w:rFonts w:hint="eastAsia" w:ascii="宋体" w:hAnsi="宋体" w:cs="宋体"/>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tcPr>
          <w:p w14:paraId="51D879E1">
            <w:pPr>
              <w:autoSpaceDE w:val="0"/>
              <w:autoSpaceDN w:val="0"/>
              <w:adjustRightInd w:val="0"/>
              <w:rPr>
                <w:rFonts w:hint="eastAsia" w:ascii="宋体" w:hAnsi="宋体" w:cs="宋体"/>
                <w:color w:val="auto"/>
                <w:sz w:val="24"/>
                <w:highlight w:val="none"/>
              </w:rPr>
            </w:pPr>
          </w:p>
        </w:tc>
        <w:tc>
          <w:tcPr>
            <w:tcW w:w="957" w:type="dxa"/>
            <w:tcBorders>
              <w:top w:val="single" w:color="000000" w:sz="4" w:space="0"/>
              <w:left w:val="nil"/>
              <w:bottom w:val="single" w:color="000000" w:sz="4" w:space="0"/>
              <w:right w:val="single" w:color="000000" w:sz="4" w:space="0"/>
            </w:tcBorders>
            <w:noWrap/>
          </w:tcPr>
          <w:p w14:paraId="7DFBF77D">
            <w:pPr>
              <w:autoSpaceDE w:val="0"/>
              <w:autoSpaceDN w:val="0"/>
              <w:adjustRightInd w:val="0"/>
              <w:spacing w:before="3" w:line="170" w:lineRule="exact"/>
              <w:rPr>
                <w:rFonts w:hint="eastAsia" w:ascii="宋体" w:hAnsi="宋体" w:cs="宋体"/>
                <w:color w:val="auto"/>
                <w:sz w:val="17"/>
                <w:szCs w:val="17"/>
                <w:highlight w:val="none"/>
              </w:rPr>
            </w:pPr>
          </w:p>
          <w:p w14:paraId="63DF98E3">
            <w:pPr>
              <w:autoSpaceDE w:val="0"/>
              <w:autoSpaceDN w:val="0"/>
              <w:adjustRightInd w:val="0"/>
              <w:ind w:left="263" w:right="-20"/>
              <w:rPr>
                <w:rFonts w:hint="eastAsia" w:ascii="宋体" w:hAnsi="宋体" w:cs="宋体"/>
                <w:color w:val="auto"/>
                <w:sz w:val="24"/>
                <w:highlight w:val="none"/>
              </w:rPr>
            </w:pPr>
            <w:r>
              <w:rPr>
                <w:rFonts w:hint="eastAsia" w:ascii="宋体" w:hAnsi="宋体" w:cs="宋体"/>
                <w:color w:val="auto"/>
                <w:highlight w:val="none"/>
              </w:rPr>
              <w:t>学历</w:t>
            </w:r>
          </w:p>
        </w:tc>
        <w:tc>
          <w:tcPr>
            <w:tcW w:w="1066" w:type="dxa"/>
            <w:tcBorders>
              <w:top w:val="single" w:color="000000" w:sz="4" w:space="0"/>
              <w:left w:val="nil"/>
              <w:bottom w:val="single" w:color="000000" w:sz="4" w:space="0"/>
              <w:right w:val="single" w:color="000000" w:sz="4" w:space="0"/>
            </w:tcBorders>
            <w:noWrap/>
          </w:tcPr>
          <w:p w14:paraId="55E9ACBF">
            <w:pPr>
              <w:autoSpaceDE w:val="0"/>
              <w:autoSpaceDN w:val="0"/>
              <w:adjustRightInd w:val="0"/>
              <w:rPr>
                <w:rFonts w:hint="eastAsia" w:ascii="宋体" w:hAnsi="宋体" w:cs="宋体"/>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76C0B53">
            <w:pPr>
              <w:autoSpaceDE w:val="0"/>
              <w:autoSpaceDN w:val="0"/>
              <w:adjustRightInd w:val="0"/>
              <w:spacing w:before="3" w:line="170" w:lineRule="exact"/>
              <w:rPr>
                <w:rFonts w:hint="eastAsia" w:ascii="宋体" w:hAnsi="宋体" w:cs="宋体"/>
                <w:color w:val="auto"/>
                <w:sz w:val="17"/>
                <w:szCs w:val="17"/>
                <w:highlight w:val="none"/>
              </w:rPr>
            </w:pPr>
          </w:p>
          <w:p w14:paraId="2FF73BAE">
            <w:pPr>
              <w:autoSpaceDE w:val="0"/>
              <w:autoSpaceDN w:val="0"/>
              <w:adjustRightInd w:val="0"/>
              <w:ind w:left="443" w:right="-20"/>
              <w:rPr>
                <w:rFonts w:hint="eastAsia" w:ascii="宋体" w:hAnsi="宋体" w:cs="宋体"/>
                <w:color w:val="auto"/>
                <w:sz w:val="24"/>
                <w:highlight w:val="none"/>
              </w:rPr>
            </w:pPr>
            <w:r>
              <w:rPr>
                <w:rFonts w:hint="eastAsia" w:ascii="宋体" w:hAnsi="宋体" w:cs="宋体"/>
                <w:color w:val="auto"/>
                <w:highlight w:val="none"/>
              </w:rPr>
              <w:t>拟在</w:t>
            </w:r>
            <w:r>
              <w:rPr>
                <w:rFonts w:hint="eastAsia" w:ascii="宋体" w:hAnsi="宋体" w:cs="宋体"/>
                <w:color w:val="auto"/>
                <w:spacing w:val="-2"/>
                <w:highlight w:val="none"/>
              </w:rPr>
              <w:t>本</w:t>
            </w:r>
            <w:r>
              <w:rPr>
                <w:rFonts w:hint="eastAsia" w:ascii="宋体" w:hAnsi="宋体" w:cs="宋体"/>
                <w:color w:val="auto"/>
                <w:highlight w:val="none"/>
              </w:rPr>
              <w:t>项</w:t>
            </w:r>
            <w:r>
              <w:rPr>
                <w:rFonts w:hint="eastAsia" w:ascii="宋体" w:hAnsi="宋体" w:cs="宋体"/>
                <w:color w:val="auto"/>
                <w:spacing w:val="-2"/>
                <w:highlight w:val="none"/>
              </w:rPr>
              <w:t>目</w:t>
            </w:r>
            <w:r>
              <w:rPr>
                <w:rFonts w:hint="eastAsia" w:ascii="宋体" w:hAnsi="宋体" w:cs="宋体"/>
                <w:color w:val="auto"/>
                <w:highlight w:val="none"/>
              </w:rPr>
              <w:t>任职</w:t>
            </w:r>
          </w:p>
        </w:tc>
        <w:tc>
          <w:tcPr>
            <w:tcW w:w="1896" w:type="dxa"/>
            <w:tcBorders>
              <w:top w:val="single" w:color="000000" w:sz="4" w:space="0"/>
              <w:left w:val="nil"/>
              <w:bottom w:val="single" w:color="000000" w:sz="4" w:space="0"/>
              <w:right w:val="single" w:color="000000" w:sz="4" w:space="0"/>
            </w:tcBorders>
            <w:noWrap/>
          </w:tcPr>
          <w:p w14:paraId="435B58E9">
            <w:pPr>
              <w:autoSpaceDE w:val="0"/>
              <w:autoSpaceDN w:val="0"/>
              <w:adjustRightInd w:val="0"/>
              <w:rPr>
                <w:rFonts w:hint="eastAsia" w:ascii="宋体" w:hAnsi="宋体" w:cs="宋体"/>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tcPr>
          <w:p w14:paraId="305141EC">
            <w:pPr>
              <w:autoSpaceDE w:val="0"/>
              <w:autoSpaceDN w:val="0"/>
              <w:adjustRightInd w:val="0"/>
              <w:spacing w:before="6" w:line="170" w:lineRule="exact"/>
              <w:rPr>
                <w:rFonts w:hint="eastAsia" w:ascii="宋体" w:hAnsi="宋体" w:cs="宋体"/>
                <w:color w:val="auto"/>
                <w:sz w:val="17"/>
                <w:szCs w:val="17"/>
                <w:highlight w:val="none"/>
              </w:rPr>
            </w:pPr>
          </w:p>
          <w:p w14:paraId="77258077">
            <w:pPr>
              <w:autoSpaceDE w:val="0"/>
              <w:autoSpaceDN w:val="0"/>
              <w:adjustRightInd w:val="0"/>
              <w:ind w:left="167" w:right="-20"/>
              <w:rPr>
                <w:rFonts w:hint="eastAsia" w:ascii="宋体" w:hAnsi="宋体" w:cs="宋体"/>
                <w:color w:val="auto"/>
                <w:sz w:val="24"/>
                <w:highlight w:val="none"/>
              </w:rPr>
            </w:pPr>
            <w:r>
              <w:rPr>
                <w:rFonts w:hint="eastAsia" w:ascii="宋体" w:hAnsi="宋体" w:cs="宋体"/>
                <w:color w:val="auto"/>
                <w:highlight w:val="none"/>
              </w:rPr>
              <w:t>工作</w:t>
            </w:r>
            <w:r>
              <w:rPr>
                <w:rFonts w:hint="eastAsia" w:ascii="宋体" w:hAnsi="宋体" w:cs="宋体"/>
                <w:color w:val="auto"/>
                <w:spacing w:val="-2"/>
                <w:highlight w:val="none"/>
              </w:rPr>
              <w:t>年</w:t>
            </w:r>
            <w:r>
              <w:rPr>
                <w:rFonts w:hint="eastAsia" w:ascii="宋体" w:hAnsi="宋体" w:cs="宋体"/>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tcPr>
          <w:p w14:paraId="0B9555D2">
            <w:pPr>
              <w:autoSpaceDE w:val="0"/>
              <w:autoSpaceDN w:val="0"/>
              <w:adjustRightInd w:val="0"/>
              <w:rPr>
                <w:rFonts w:hint="eastAsia" w:ascii="宋体" w:hAnsi="宋体" w:cs="宋体"/>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A8E8C1D">
            <w:pPr>
              <w:autoSpaceDE w:val="0"/>
              <w:autoSpaceDN w:val="0"/>
              <w:adjustRightInd w:val="0"/>
              <w:spacing w:before="6" w:line="170" w:lineRule="exact"/>
              <w:rPr>
                <w:rFonts w:hint="eastAsia" w:ascii="宋体" w:hAnsi="宋体" w:cs="宋体"/>
                <w:color w:val="auto"/>
                <w:sz w:val="17"/>
                <w:szCs w:val="17"/>
                <w:highlight w:val="none"/>
              </w:rPr>
            </w:pPr>
          </w:p>
          <w:p w14:paraId="3C8D4077">
            <w:pPr>
              <w:autoSpaceDE w:val="0"/>
              <w:autoSpaceDN w:val="0"/>
              <w:adjustRightInd w:val="0"/>
              <w:ind w:right="-20"/>
              <w:rPr>
                <w:rFonts w:hint="eastAsia" w:ascii="宋体" w:hAnsi="宋体" w:cs="宋体"/>
                <w:color w:val="auto"/>
                <w:sz w:val="24"/>
                <w:highlight w:val="none"/>
              </w:rPr>
            </w:pPr>
            <w:r>
              <w:rPr>
                <w:rFonts w:hint="eastAsia" w:ascii="宋体" w:hAnsi="宋体" w:cs="宋体"/>
                <w:color w:val="auto"/>
                <w:highlight w:val="none"/>
              </w:rPr>
              <w:t>从事</w:t>
            </w:r>
            <w:r>
              <w:rPr>
                <w:rFonts w:hint="eastAsia" w:ascii="宋体" w:hAnsi="宋体" w:cs="宋体"/>
                <w:color w:val="auto"/>
                <w:szCs w:val="21"/>
                <w:highlight w:val="none"/>
              </w:rPr>
              <w:t>勘察/</w:t>
            </w:r>
            <w:r>
              <w:rPr>
                <w:rFonts w:hint="eastAsia" w:ascii="宋体" w:hAnsi="宋体" w:cs="宋体"/>
                <w:color w:val="auto"/>
                <w:spacing w:val="-2"/>
                <w:highlight w:val="none"/>
              </w:rPr>
              <w:t>设</w:t>
            </w:r>
            <w:r>
              <w:rPr>
                <w:rFonts w:hint="eastAsia" w:ascii="宋体" w:hAnsi="宋体" w:cs="宋体"/>
                <w:color w:val="auto"/>
                <w:highlight w:val="none"/>
              </w:rPr>
              <w:t>计</w:t>
            </w:r>
            <w:r>
              <w:rPr>
                <w:rFonts w:hint="eastAsia" w:ascii="宋体" w:hAnsi="宋体" w:cs="宋体"/>
                <w:color w:val="auto"/>
                <w:spacing w:val="-2"/>
                <w:highlight w:val="none"/>
              </w:rPr>
              <w:t>工</w:t>
            </w:r>
            <w:r>
              <w:rPr>
                <w:rFonts w:hint="eastAsia" w:ascii="宋体" w:hAnsi="宋体" w:cs="宋体"/>
                <w:color w:val="auto"/>
                <w:highlight w:val="none"/>
              </w:rPr>
              <w:t>作</w:t>
            </w:r>
            <w:r>
              <w:rPr>
                <w:rFonts w:hint="eastAsia" w:ascii="宋体" w:hAnsi="宋体" w:cs="宋体"/>
                <w:color w:val="auto"/>
                <w:spacing w:val="-2"/>
                <w:highlight w:val="none"/>
              </w:rPr>
              <w:t>年</w:t>
            </w:r>
            <w:r>
              <w:rPr>
                <w:rFonts w:hint="eastAsia" w:ascii="宋体" w:hAnsi="宋体" w:cs="宋体"/>
                <w:color w:val="auto"/>
                <w:highlight w:val="none"/>
              </w:rPr>
              <w:t>限</w:t>
            </w:r>
          </w:p>
        </w:tc>
        <w:tc>
          <w:tcPr>
            <w:tcW w:w="1896" w:type="dxa"/>
            <w:tcBorders>
              <w:top w:val="single" w:color="000000" w:sz="4" w:space="0"/>
              <w:left w:val="nil"/>
              <w:bottom w:val="single" w:color="000000" w:sz="4" w:space="0"/>
              <w:right w:val="single" w:color="000000" w:sz="4" w:space="0"/>
            </w:tcBorders>
            <w:noWrap/>
          </w:tcPr>
          <w:p w14:paraId="4C7CA0C1">
            <w:pPr>
              <w:autoSpaceDE w:val="0"/>
              <w:autoSpaceDN w:val="0"/>
              <w:adjustRightInd w:val="0"/>
              <w:rPr>
                <w:rFonts w:hint="eastAsia" w:ascii="宋体" w:hAnsi="宋体" w:cs="宋体"/>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tcPr>
          <w:p w14:paraId="7CB26F74">
            <w:pPr>
              <w:autoSpaceDE w:val="0"/>
              <w:autoSpaceDN w:val="0"/>
              <w:adjustRightInd w:val="0"/>
              <w:spacing w:before="8" w:line="170" w:lineRule="exact"/>
              <w:rPr>
                <w:rFonts w:hint="eastAsia" w:ascii="宋体" w:hAnsi="宋体" w:cs="宋体"/>
                <w:color w:val="auto"/>
                <w:sz w:val="17"/>
                <w:szCs w:val="17"/>
                <w:highlight w:val="none"/>
              </w:rPr>
            </w:pPr>
          </w:p>
          <w:p w14:paraId="4ACEBC89">
            <w:pPr>
              <w:autoSpaceDE w:val="0"/>
              <w:autoSpaceDN w:val="0"/>
              <w:adjustRightInd w:val="0"/>
              <w:ind w:left="167" w:right="-20"/>
              <w:rPr>
                <w:rFonts w:hint="eastAsia" w:ascii="宋体" w:hAnsi="宋体" w:cs="宋体"/>
                <w:color w:val="auto"/>
                <w:sz w:val="24"/>
                <w:highlight w:val="none"/>
              </w:rPr>
            </w:pPr>
            <w:r>
              <w:rPr>
                <w:rFonts w:hint="eastAsia" w:ascii="宋体" w:hAnsi="宋体" w:cs="宋体"/>
                <w:color w:val="auto"/>
                <w:highlight w:val="none"/>
              </w:rPr>
              <w:t>毕业</w:t>
            </w:r>
            <w:r>
              <w:rPr>
                <w:rFonts w:hint="eastAsia" w:ascii="宋体" w:hAnsi="宋体" w:cs="宋体"/>
                <w:color w:val="auto"/>
                <w:spacing w:val="-2"/>
                <w:highlight w:val="none"/>
              </w:rPr>
              <w:t>学</w:t>
            </w:r>
            <w:r>
              <w:rPr>
                <w:rFonts w:hint="eastAsia" w:ascii="宋体" w:hAnsi="宋体" w:cs="宋体"/>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tcPr>
          <w:p w14:paraId="40AC5C56">
            <w:pPr>
              <w:autoSpaceDE w:val="0"/>
              <w:autoSpaceDN w:val="0"/>
              <w:adjustRightInd w:val="0"/>
              <w:spacing w:before="8" w:line="170" w:lineRule="exact"/>
              <w:rPr>
                <w:rFonts w:hint="eastAsia" w:ascii="宋体" w:hAnsi="宋体" w:cs="宋体"/>
                <w:color w:val="auto"/>
                <w:sz w:val="17"/>
                <w:szCs w:val="17"/>
                <w:highlight w:val="none"/>
              </w:rPr>
            </w:pPr>
          </w:p>
          <w:p w14:paraId="352827B1">
            <w:pPr>
              <w:autoSpaceDE w:val="0"/>
              <w:autoSpaceDN w:val="0"/>
              <w:adjustRightInd w:val="0"/>
              <w:ind w:left="1257" w:right="-20"/>
              <w:rPr>
                <w:rFonts w:hint="eastAsia" w:ascii="宋体" w:hAnsi="宋体" w:cs="宋体"/>
                <w:color w:val="auto"/>
                <w:sz w:val="24"/>
                <w:highlight w:val="none"/>
              </w:rPr>
            </w:pPr>
            <w:r>
              <w:rPr>
                <w:rFonts w:hint="eastAsia" w:ascii="宋体" w:hAnsi="宋体" w:cs="宋体"/>
                <w:color w:val="auto"/>
                <w:highlight w:val="none"/>
              </w:rPr>
              <w:t>年毕</w:t>
            </w:r>
            <w:r>
              <w:rPr>
                <w:rFonts w:hint="eastAsia" w:ascii="宋体" w:hAnsi="宋体" w:cs="宋体"/>
                <w:color w:val="auto"/>
                <w:spacing w:val="-2"/>
                <w:highlight w:val="none"/>
              </w:rPr>
              <w:t>业</w:t>
            </w:r>
            <w:r>
              <w:rPr>
                <w:rFonts w:hint="eastAsia" w:ascii="宋体" w:hAnsi="宋体" w:cs="宋体"/>
                <w:color w:val="auto"/>
                <w:highlight w:val="none"/>
              </w:rPr>
              <w:t>于</w:t>
            </w:r>
            <w:r>
              <w:rPr>
                <w:rFonts w:hint="eastAsia" w:ascii="宋体" w:hAnsi="宋体" w:cs="宋体"/>
                <w:color w:val="auto"/>
                <w:highlight w:val="none"/>
              </w:rPr>
              <w:tab/>
            </w:r>
            <w:r>
              <w:rPr>
                <w:rFonts w:hint="eastAsia" w:ascii="宋体" w:hAnsi="宋体" w:cs="宋体"/>
                <w:color w:val="auto"/>
                <w:highlight w:val="none"/>
              </w:rPr>
              <w:t xml:space="preserve">   </w:t>
            </w:r>
            <w:r>
              <w:rPr>
                <w:rFonts w:hint="eastAsia" w:ascii="宋体" w:hAnsi="宋体" w:cs="宋体"/>
                <w:color w:val="auto"/>
                <w:spacing w:val="-2"/>
                <w:highlight w:val="none"/>
              </w:rPr>
              <w:t>学</w:t>
            </w:r>
            <w:r>
              <w:rPr>
                <w:rFonts w:hint="eastAsia" w:ascii="宋体" w:hAnsi="宋体" w:cs="宋体"/>
                <w:color w:val="auto"/>
                <w:highlight w:val="none"/>
              </w:rPr>
              <w:t xml:space="preserve">校 </w:t>
            </w:r>
            <w:r>
              <w:rPr>
                <w:rFonts w:hint="eastAsia" w:ascii="宋体" w:hAnsi="宋体" w:cs="宋体"/>
                <w:color w:val="auto"/>
                <w:highlight w:val="none"/>
              </w:rPr>
              <w:tab/>
            </w:r>
            <w:r>
              <w:rPr>
                <w:rFonts w:hint="eastAsia" w:ascii="宋体" w:hAnsi="宋体" w:cs="宋体"/>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tcPr>
          <w:p w14:paraId="009BCFFC">
            <w:pPr>
              <w:autoSpaceDE w:val="0"/>
              <w:autoSpaceDN w:val="0"/>
              <w:adjustRightInd w:val="0"/>
              <w:spacing w:before="1" w:line="170" w:lineRule="exact"/>
              <w:rPr>
                <w:rFonts w:hint="eastAsia" w:ascii="宋体" w:hAnsi="宋体" w:cs="宋体"/>
                <w:color w:val="auto"/>
                <w:sz w:val="17"/>
                <w:szCs w:val="17"/>
                <w:highlight w:val="none"/>
              </w:rPr>
            </w:pPr>
          </w:p>
          <w:p w14:paraId="65122F56">
            <w:pPr>
              <w:autoSpaceDE w:val="0"/>
              <w:autoSpaceDN w:val="0"/>
              <w:adjustRightInd w:val="0"/>
              <w:ind w:left="102" w:right="-20"/>
              <w:rPr>
                <w:rFonts w:hint="eastAsia" w:ascii="宋体" w:hAnsi="宋体" w:cs="宋体"/>
                <w:color w:val="auto"/>
                <w:sz w:val="24"/>
                <w:highlight w:val="none"/>
              </w:rPr>
            </w:pPr>
            <w:r>
              <w:rPr>
                <w:rFonts w:hint="eastAsia" w:ascii="宋体" w:hAnsi="宋体" w:cs="宋体"/>
                <w:color w:val="auto"/>
                <w:highlight w:val="none"/>
              </w:rPr>
              <w:t>主要</w:t>
            </w:r>
            <w:r>
              <w:rPr>
                <w:rFonts w:hint="eastAsia" w:ascii="宋体" w:hAnsi="宋体" w:cs="宋体"/>
                <w:color w:val="auto"/>
                <w:spacing w:val="-2"/>
                <w:highlight w:val="none"/>
              </w:rPr>
              <w:t>工</w:t>
            </w:r>
            <w:r>
              <w:rPr>
                <w:rFonts w:hint="eastAsia" w:ascii="宋体" w:hAnsi="宋体" w:cs="宋体"/>
                <w:color w:val="auto"/>
                <w:highlight w:val="none"/>
              </w:rPr>
              <w:t>作</w:t>
            </w:r>
            <w:r>
              <w:rPr>
                <w:rFonts w:hint="eastAsia" w:ascii="宋体" w:hAnsi="宋体" w:cs="宋体"/>
                <w:color w:val="auto"/>
                <w:spacing w:val="-2"/>
                <w:highlight w:val="none"/>
              </w:rPr>
              <w:t>经</w:t>
            </w:r>
            <w:r>
              <w:rPr>
                <w:rFonts w:hint="eastAsia" w:ascii="宋体" w:hAnsi="宋体" w:cs="宋体"/>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4EA8004E">
            <w:pPr>
              <w:autoSpaceDE w:val="0"/>
              <w:autoSpaceDN w:val="0"/>
              <w:adjustRightInd w:val="0"/>
              <w:spacing w:before="3" w:line="180" w:lineRule="exact"/>
              <w:rPr>
                <w:rFonts w:hint="eastAsia" w:ascii="宋体" w:hAnsi="宋体" w:cs="宋体"/>
                <w:color w:val="auto"/>
                <w:sz w:val="18"/>
                <w:szCs w:val="18"/>
                <w:highlight w:val="none"/>
              </w:rPr>
            </w:pPr>
          </w:p>
          <w:p w14:paraId="63F48F12">
            <w:pPr>
              <w:autoSpaceDE w:val="0"/>
              <w:autoSpaceDN w:val="0"/>
              <w:adjustRightInd w:val="0"/>
              <w:ind w:left="450" w:right="-20"/>
              <w:rPr>
                <w:rFonts w:hint="eastAsia" w:ascii="宋体" w:hAnsi="宋体" w:cs="宋体"/>
                <w:color w:val="auto"/>
                <w:sz w:val="24"/>
                <w:highlight w:val="none"/>
              </w:rPr>
            </w:pPr>
            <w:r>
              <w:rPr>
                <w:rFonts w:hint="eastAsia" w:ascii="宋体" w:hAnsi="宋体" w:cs="宋体"/>
                <w:color w:val="auto"/>
                <w:highlight w:val="none"/>
              </w:rPr>
              <w:t>时</w:t>
            </w:r>
            <w:r>
              <w:rPr>
                <w:rFonts w:hint="eastAsia" w:ascii="宋体" w:hAnsi="宋体" w:cs="宋体"/>
                <w:color w:val="auto"/>
                <w:highlight w:val="none"/>
              </w:rPr>
              <w:tab/>
            </w:r>
            <w:r>
              <w:rPr>
                <w:rFonts w:hint="eastAsia" w:ascii="宋体" w:hAnsi="宋体" w:cs="宋体"/>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tcPr>
          <w:p w14:paraId="2F1C2432">
            <w:pPr>
              <w:autoSpaceDE w:val="0"/>
              <w:autoSpaceDN w:val="0"/>
              <w:adjustRightInd w:val="0"/>
              <w:spacing w:before="3" w:line="180" w:lineRule="exact"/>
              <w:rPr>
                <w:rFonts w:hint="eastAsia" w:ascii="宋体" w:hAnsi="宋体" w:cs="宋体"/>
                <w:color w:val="auto"/>
                <w:sz w:val="18"/>
                <w:szCs w:val="18"/>
                <w:highlight w:val="none"/>
              </w:rPr>
            </w:pPr>
          </w:p>
          <w:p w14:paraId="7864A8D2">
            <w:pPr>
              <w:autoSpaceDE w:val="0"/>
              <w:autoSpaceDN w:val="0"/>
              <w:adjustRightInd w:val="0"/>
              <w:ind w:left="864" w:right="-20"/>
              <w:rPr>
                <w:rFonts w:hint="eastAsia" w:ascii="宋体" w:hAnsi="宋体" w:cs="宋体"/>
                <w:color w:val="auto"/>
                <w:sz w:val="24"/>
                <w:highlight w:val="none"/>
              </w:rPr>
            </w:pPr>
            <w:r>
              <w:rPr>
                <w:rFonts w:hint="eastAsia" w:ascii="宋体" w:hAnsi="宋体" w:cs="宋体"/>
                <w:color w:val="auto"/>
                <w:highlight w:val="none"/>
              </w:rPr>
              <w:t>参加</w:t>
            </w:r>
            <w:r>
              <w:rPr>
                <w:rFonts w:hint="eastAsia" w:ascii="宋体" w:hAnsi="宋体" w:cs="宋体"/>
                <w:color w:val="auto"/>
                <w:spacing w:val="-2"/>
                <w:highlight w:val="none"/>
              </w:rPr>
              <w:t>过</w:t>
            </w:r>
            <w:r>
              <w:rPr>
                <w:rFonts w:hint="eastAsia" w:ascii="宋体" w:hAnsi="宋体" w:cs="宋体"/>
                <w:color w:val="auto"/>
                <w:highlight w:val="none"/>
              </w:rPr>
              <w:t>的</w:t>
            </w:r>
            <w:r>
              <w:rPr>
                <w:rFonts w:hint="eastAsia" w:ascii="宋体" w:hAnsi="宋体" w:cs="宋体"/>
                <w:color w:val="auto"/>
                <w:spacing w:val="-2"/>
                <w:highlight w:val="none"/>
              </w:rPr>
              <w:t>类</w:t>
            </w:r>
            <w:r>
              <w:rPr>
                <w:rFonts w:hint="eastAsia" w:ascii="宋体" w:hAnsi="宋体" w:cs="宋体"/>
                <w:color w:val="auto"/>
                <w:highlight w:val="none"/>
              </w:rPr>
              <w:t>似</w:t>
            </w:r>
            <w:r>
              <w:rPr>
                <w:rFonts w:hint="eastAsia" w:ascii="宋体" w:hAnsi="宋体" w:cs="宋体"/>
                <w:color w:val="auto"/>
                <w:spacing w:val="-2"/>
                <w:highlight w:val="none"/>
              </w:rPr>
              <w:t>项</w:t>
            </w:r>
            <w:r>
              <w:rPr>
                <w:rFonts w:hint="eastAsia" w:ascii="宋体" w:hAnsi="宋体" w:cs="宋体"/>
                <w:color w:val="auto"/>
                <w:highlight w:val="none"/>
              </w:rPr>
              <w:t>目</w:t>
            </w:r>
          </w:p>
        </w:tc>
        <w:tc>
          <w:tcPr>
            <w:tcW w:w="1260" w:type="dxa"/>
            <w:tcBorders>
              <w:top w:val="single" w:color="000000" w:sz="4" w:space="0"/>
              <w:left w:val="nil"/>
              <w:bottom w:val="single" w:color="000000" w:sz="4" w:space="0"/>
              <w:right w:val="single" w:color="000000" w:sz="4" w:space="0"/>
            </w:tcBorders>
            <w:noWrap/>
          </w:tcPr>
          <w:p w14:paraId="25037BD1">
            <w:pPr>
              <w:autoSpaceDE w:val="0"/>
              <w:autoSpaceDN w:val="0"/>
              <w:adjustRightInd w:val="0"/>
              <w:spacing w:before="3" w:line="180" w:lineRule="exact"/>
              <w:rPr>
                <w:rFonts w:hint="eastAsia" w:ascii="宋体" w:hAnsi="宋体" w:cs="宋体"/>
                <w:color w:val="auto"/>
                <w:sz w:val="18"/>
                <w:szCs w:val="18"/>
                <w:highlight w:val="none"/>
              </w:rPr>
            </w:pPr>
          </w:p>
          <w:p w14:paraId="20E7FF99">
            <w:pPr>
              <w:autoSpaceDE w:val="0"/>
              <w:autoSpaceDN w:val="0"/>
              <w:adjustRightInd w:val="0"/>
              <w:ind w:left="203" w:right="-20"/>
              <w:rPr>
                <w:rFonts w:hint="eastAsia" w:ascii="宋体" w:hAnsi="宋体" w:cs="宋体"/>
                <w:color w:val="auto"/>
                <w:sz w:val="24"/>
                <w:highlight w:val="none"/>
              </w:rPr>
            </w:pPr>
            <w:r>
              <w:rPr>
                <w:rFonts w:hint="eastAsia" w:ascii="宋体" w:hAnsi="宋体" w:cs="宋体"/>
                <w:color w:val="auto"/>
                <w:highlight w:val="none"/>
              </w:rPr>
              <w:t>担任</w:t>
            </w:r>
            <w:r>
              <w:rPr>
                <w:rFonts w:hint="eastAsia" w:ascii="宋体" w:hAnsi="宋体" w:cs="宋体"/>
                <w:color w:val="auto"/>
                <w:spacing w:val="-2"/>
                <w:highlight w:val="none"/>
              </w:rPr>
              <w:t>职</w:t>
            </w:r>
            <w:r>
              <w:rPr>
                <w:rFonts w:hint="eastAsia" w:ascii="宋体" w:hAnsi="宋体" w:cs="宋体"/>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tcPr>
          <w:p w14:paraId="2D902964">
            <w:pPr>
              <w:autoSpaceDE w:val="0"/>
              <w:autoSpaceDN w:val="0"/>
              <w:adjustRightInd w:val="0"/>
              <w:spacing w:before="3" w:line="180" w:lineRule="exact"/>
              <w:rPr>
                <w:rFonts w:hint="eastAsia" w:ascii="宋体" w:hAnsi="宋体" w:cs="宋体"/>
                <w:color w:val="auto"/>
                <w:sz w:val="18"/>
                <w:szCs w:val="18"/>
                <w:highlight w:val="none"/>
              </w:rPr>
            </w:pPr>
          </w:p>
          <w:p w14:paraId="77A3C935">
            <w:pPr>
              <w:autoSpaceDE w:val="0"/>
              <w:autoSpaceDN w:val="0"/>
              <w:adjustRightInd w:val="0"/>
              <w:ind w:left="301" w:right="-20"/>
              <w:rPr>
                <w:rFonts w:hint="eastAsia" w:ascii="宋体" w:hAnsi="宋体" w:cs="宋体"/>
                <w:color w:val="auto"/>
                <w:sz w:val="24"/>
                <w:highlight w:val="none"/>
              </w:rPr>
            </w:pPr>
            <w:r>
              <w:rPr>
                <w:rFonts w:hint="eastAsia" w:ascii="宋体" w:hAnsi="宋体" w:cs="宋体"/>
                <w:color w:val="auto"/>
                <w:highlight w:val="none"/>
              </w:rPr>
              <w:t>发包</w:t>
            </w:r>
            <w:r>
              <w:rPr>
                <w:rFonts w:hint="eastAsia" w:ascii="宋体" w:hAnsi="宋体" w:cs="宋体"/>
                <w:color w:val="auto"/>
                <w:spacing w:val="-2"/>
                <w:highlight w:val="none"/>
              </w:rPr>
              <w:t>人</w:t>
            </w:r>
            <w:r>
              <w:rPr>
                <w:rFonts w:hint="eastAsia" w:ascii="宋体" w:hAnsi="宋体" w:cs="宋体"/>
                <w:color w:val="auto"/>
                <w:highlight w:val="none"/>
              </w:rPr>
              <w:t>及</w:t>
            </w:r>
            <w:r>
              <w:rPr>
                <w:rFonts w:hint="eastAsia" w:ascii="宋体" w:hAnsi="宋体" w:cs="宋体"/>
                <w:color w:val="auto"/>
                <w:spacing w:val="-2"/>
                <w:highlight w:val="none"/>
              </w:rPr>
              <w:t>联</w:t>
            </w:r>
            <w:r>
              <w:rPr>
                <w:rFonts w:hint="eastAsia" w:ascii="宋体" w:hAnsi="宋体" w:cs="宋体"/>
                <w:color w:val="auto"/>
                <w:highlight w:val="none"/>
              </w:rPr>
              <w:t>系</w:t>
            </w:r>
            <w:r>
              <w:rPr>
                <w:rFonts w:hint="eastAsia" w:ascii="宋体" w:hAnsi="宋体" w:cs="宋体"/>
                <w:color w:val="auto"/>
                <w:spacing w:val="-2"/>
                <w:highlight w:val="none"/>
              </w:rPr>
              <w:t>电</w:t>
            </w:r>
            <w:r>
              <w:rPr>
                <w:rFonts w:hint="eastAsia" w:ascii="宋体" w:hAnsi="宋体" w:cs="宋体"/>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811653D">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6E057D0">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2D7F48C3">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CF8548F">
            <w:pPr>
              <w:autoSpaceDE w:val="0"/>
              <w:autoSpaceDN w:val="0"/>
              <w:adjustRightInd w:val="0"/>
              <w:rPr>
                <w:rFonts w:hint="eastAsia" w:ascii="宋体" w:hAnsi="宋体" w:cs="宋体"/>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1532CFF">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D61B9BD">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5C837E77">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07CF72">
            <w:pPr>
              <w:autoSpaceDE w:val="0"/>
              <w:autoSpaceDN w:val="0"/>
              <w:adjustRightInd w:val="0"/>
              <w:rPr>
                <w:rFonts w:hint="eastAsia" w:ascii="宋体" w:hAnsi="宋体" w:cs="宋体"/>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FAFD8EE">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26D0204">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12F19EC9">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4CCD69B9">
            <w:pPr>
              <w:autoSpaceDE w:val="0"/>
              <w:autoSpaceDN w:val="0"/>
              <w:adjustRightInd w:val="0"/>
              <w:rPr>
                <w:rFonts w:hint="eastAsia" w:ascii="宋体" w:hAnsi="宋体" w:cs="宋体"/>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6F8AE6B">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DE344E1">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340DC1A9">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14A0A597">
            <w:pPr>
              <w:autoSpaceDE w:val="0"/>
              <w:autoSpaceDN w:val="0"/>
              <w:adjustRightInd w:val="0"/>
              <w:rPr>
                <w:rFonts w:hint="eastAsia" w:ascii="宋体" w:hAnsi="宋体" w:cs="宋体"/>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C4B6A27">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522B5D7">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2DB28554">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78E3A576">
            <w:pPr>
              <w:autoSpaceDE w:val="0"/>
              <w:autoSpaceDN w:val="0"/>
              <w:adjustRightInd w:val="0"/>
              <w:rPr>
                <w:rFonts w:hint="eastAsia" w:ascii="宋体" w:hAnsi="宋体" w:cs="宋体"/>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623EA8AF">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F31189A">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5AC1069D">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2A3EDA">
            <w:pPr>
              <w:autoSpaceDE w:val="0"/>
              <w:autoSpaceDN w:val="0"/>
              <w:adjustRightInd w:val="0"/>
              <w:rPr>
                <w:rFonts w:hint="eastAsia" w:ascii="宋体" w:hAnsi="宋体" w:cs="宋体"/>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377D093">
            <w:pPr>
              <w:autoSpaceDE w:val="0"/>
              <w:autoSpaceDN w:val="0"/>
              <w:adjustRightInd w:val="0"/>
              <w:rPr>
                <w:rFonts w:hint="eastAsia" w:ascii="宋体" w:hAnsi="宋体" w:cs="宋体"/>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B315888">
            <w:pPr>
              <w:autoSpaceDE w:val="0"/>
              <w:autoSpaceDN w:val="0"/>
              <w:adjustRightInd w:val="0"/>
              <w:rPr>
                <w:rFonts w:hint="eastAsia" w:ascii="宋体" w:hAnsi="宋体" w:cs="宋体"/>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0F4C6554">
            <w:pPr>
              <w:autoSpaceDE w:val="0"/>
              <w:autoSpaceDN w:val="0"/>
              <w:adjustRightInd w:val="0"/>
              <w:rPr>
                <w:rFonts w:hint="eastAsia" w:ascii="宋体" w:hAnsi="宋体" w:cs="宋体"/>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0697E3A1">
            <w:pPr>
              <w:autoSpaceDE w:val="0"/>
              <w:autoSpaceDN w:val="0"/>
              <w:adjustRightInd w:val="0"/>
              <w:rPr>
                <w:rFonts w:hint="eastAsia" w:ascii="宋体" w:hAnsi="宋体" w:cs="宋体"/>
                <w:color w:val="auto"/>
                <w:sz w:val="24"/>
                <w:highlight w:val="none"/>
              </w:rPr>
            </w:pPr>
          </w:p>
        </w:tc>
      </w:tr>
    </w:tbl>
    <w:p w14:paraId="60A91B2D">
      <w:pPr>
        <w:autoSpaceDE w:val="0"/>
        <w:autoSpaceDN w:val="0"/>
        <w:adjustRightInd w:val="0"/>
        <w:spacing w:line="110" w:lineRule="exact"/>
        <w:rPr>
          <w:rFonts w:hint="eastAsia" w:ascii="宋体" w:hAnsi="宋体" w:cs="宋体"/>
          <w:color w:val="auto"/>
          <w:sz w:val="11"/>
          <w:szCs w:val="11"/>
          <w:highlight w:val="none"/>
        </w:rPr>
      </w:pPr>
    </w:p>
    <w:p w14:paraId="6400E732">
      <w:pPr>
        <w:autoSpaceDE w:val="0"/>
        <w:autoSpaceDN w:val="0"/>
        <w:adjustRightInd w:val="0"/>
        <w:spacing w:line="400" w:lineRule="exact"/>
        <w:ind w:left="102" w:right="-23"/>
        <w:rPr>
          <w:rFonts w:hint="eastAsia" w:ascii="宋体" w:hAnsi="宋体" w:cs="宋体"/>
          <w:color w:val="auto"/>
          <w:highlight w:val="none"/>
          <w:u w:val="single"/>
        </w:rPr>
      </w:pPr>
      <w:r>
        <w:rPr>
          <w:rFonts w:hint="eastAsia" w:ascii="宋体" w:hAnsi="宋体" w:cs="宋体"/>
          <w:color w:val="auto"/>
          <w:highlight w:val="none"/>
        </w:rPr>
        <w:t>注：</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按招标文件要求</w:t>
      </w:r>
      <w:r>
        <w:rPr>
          <w:rFonts w:hint="eastAsia" w:ascii="宋体" w:hAnsi="宋体" w:cs="宋体"/>
          <w:color w:val="auto"/>
          <w:spacing w:val="-2"/>
          <w:highlight w:val="none"/>
        </w:rPr>
        <w:t>附</w:t>
      </w:r>
      <w:r>
        <w:rPr>
          <w:rFonts w:hint="eastAsia" w:ascii="宋体" w:hAnsi="宋体" w:cs="宋体"/>
          <w:color w:val="auto"/>
          <w:highlight w:val="none"/>
        </w:rPr>
        <w:t>相关证明材料。</w:t>
      </w:r>
    </w:p>
    <w:p w14:paraId="4271B092">
      <w:pPr>
        <w:rPr>
          <w:rFonts w:hint="eastAsia" w:ascii="宋体" w:hAnsi="宋体" w:cs="宋体"/>
          <w:color w:val="auto"/>
          <w:sz w:val="24"/>
          <w:szCs w:val="24"/>
          <w:highlight w:val="none"/>
        </w:rPr>
      </w:pPr>
    </w:p>
    <w:p w14:paraId="2D7A4A60">
      <w:pPr>
        <w:spacing w:line="360" w:lineRule="auto"/>
        <w:jc w:val="left"/>
        <w:rPr>
          <w:rFonts w:hint="eastAsia" w:ascii="宋体" w:hAnsi="宋体" w:cs="宋体"/>
          <w:color w:val="auto"/>
          <w:sz w:val="18"/>
          <w:szCs w:val="18"/>
          <w:highlight w:val="none"/>
        </w:rPr>
      </w:pPr>
    </w:p>
    <w:p w14:paraId="5ACB16A4">
      <w:pPr>
        <w:pStyle w:val="4"/>
        <w:rPr>
          <w:rFonts w:hint="eastAsia" w:ascii="宋体" w:hAnsi="宋体" w:cs="宋体"/>
          <w:color w:val="auto"/>
          <w:sz w:val="24"/>
          <w:szCs w:val="24"/>
          <w:highlight w:val="none"/>
        </w:rPr>
      </w:pPr>
      <w:r>
        <w:rPr>
          <w:rFonts w:hint="eastAsia" w:ascii="宋体" w:hAnsi="宋体" w:cs="宋体"/>
          <w:color w:val="auto"/>
          <w:highlight w:val="none"/>
        </w:rPr>
        <w:br w:type="page"/>
      </w:r>
      <w:bookmarkStart w:id="398" w:name="_Toc21319"/>
      <w:bookmarkStart w:id="399" w:name="_Toc208"/>
      <w:bookmarkStart w:id="400" w:name="_Toc29686"/>
      <w:r>
        <w:rPr>
          <w:rFonts w:hint="eastAsia" w:ascii="宋体" w:hAnsi="宋体" w:cs="宋体"/>
          <w:color w:val="auto"/>
          <w:sz w:val="24"/>
          <w:szCs w:val="24"/>
          <w:highlight w:val="none"/>
        </w:rPr>
        <w:t>附录19企业类似工程业绩</w:t>
      </w:r>
      <w:bookmarkEnd w:id="398"/>
      <w:bookmarkEnd w:id="399"/>
      <w:bookmarkEnd w:id="400"/>
      <w:r>
        <w:rPr>
          <w:rFonts w:hint="eastAsia" w:ascii="宋体" w:hAnsi="宋体" w:cs="宋体"/>
          <w:color w:val="auto"/>
          <w:sz w:val="24"/>
          <w:szCs w:val="24"/>
          <w:highlight w:val="none"/>
        </w:rPr>
        <w:t xml:space="preserve"> </w:t>
      </w:r>
    </w:p>
    <w:p w14:paraId="1DC27B99">
      <w:pPr>
        <w:rPr>
          <w:rFonts w:hint="eastAsia" w:ascii="宋体" w:hAnsi="宋体" w:cs="宋体"/>
          <w:color w:val="auto"/>
          <w:highlight w:val="none"/>
        </w:rPr>
      </w:pPr>
    </w:p>
    <w:p w14:paraId="6F88D6FC">
      <w:pPr>
        <w:jc w:val="center"/>
        <w:rPr>
          <w:rFonts w:hint="eastAsia" w:ascii="宋体" w:hAnsi="宋体" w:cs="宋体"/>
          <w:b/>
          <w:color w:val="auto"/>
          <w:spacing w:val="2"/>
          <w:position w:val="-1"/>
          <w:sz w:val="32"/>
          <w:szCs w:val="32"/>
          <w:highlight w:val="none"/>
        </w:rPr>
      </w:pPr>
      <w:r>
        <w:rPr>
          <w:rFonts w:hint="eastAsia" w:ascii="宋体" w:hAnsi="宋体" w:cs="宋体"/>
          <w:b/>
          <w:color w:val="auto"/>
          <w:spacing w:val="2"/>
          <w:position w:val="-1"/>
          <w:sz w:val="32"/>
          <w:szCs w:val="32"/>
          <w:highlight w:val="none"/>
        </w:rPr>
        <w:t>企业类似工程业绩</w:t>
      </w:r>
    </w:p>
    <w:p w14:paraId="22674398">
      <w:pPr>
        <w:jc w:val="center"/>
        <w:rPr>
          <w:rFonts w:hint="eastAsia" w:ascii="宋体" w:hAnsi="宋体" w:cs="宋体"/>
          <w:color w:val="auto"/>
          <w:spacing w:val="2"/>
          <w:position w:val="-1"/>
          <w:sz w:val="32"/>
          <w:szCs w:val="32"/>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eastAsia" w:ascii="宋体" w:hAnsi="宋体" w:cs="宋体"/>
                <w:color w:val="auto"/>
                <w:szCs w:val="21"/>
                <w:highlight w:val="none"/>
              </w:rPr>
            </w:pPr>
            <w:r>
              <w:rPr>
                <w:rFonts w:hint="eastAsia" w:ascii="宋体" w:hAnsi="宋体" w:cs="宋体"/>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eastAsia" w:ascii="宋体" w:hAnsi="宋体" w:cs="宋体"/>
                <w:color w:val="auto"/>
                <w:szCs w:val="21"/>
                <w:highlight w:val="none"/>
              </w:rPr>
            </w:pPr>
            <w:r>
              <w:rPr>
                <w:rFonts w:hint="eastAsia" w:ascii="宋体" w:hAnsi="宋体" w:cs="宋体"/>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eastAsia" w:ascii="宋体" w:hAnsi="宋体" w:cs="宋体"/>
                <w:color w:val="auto"/>
                <w:szCs w:val="21"/>
                <w:highlight w:val="none"/>
              </w:rPr>
            </w:pPr>
            <w:r>
              <w:rPr>
                <w:rFonts w:hint="eastAsia" w:ascii="宋体" w:hAnsi="宋体" w:cs="宋体"/>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eastAsia" w:ascii="宋体" w:hAnsi="宋体" w:cs="宋体"/>
                <w:color w:val="auto"/>
                <w:szCs w:val="21"/>
                <w:highlight w:val="none"/>
              </w:rPr>
            </w:pPr>
            <w:r>
              <w:rPr>
                <w:rFonts w:hint="eastAsia" w:ascii="宋体" w:hAnsi="宋体" w:cs="宋体"/>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eastAsia" w:ascii="宋体" w:hAnsi="宋体" w:cs="宋体"/>
                <w:color w:val="auto"/>
                <w:szCs w:val="21"/>
                <w:highlight w:val="none"/>
              </w:rPr>
            </w:pPr>
            <w:r>
              <w:rPr>
                <w:rFonts w:hint="eastAsia" w:ascii="宋体" w:hAnsi="宋体" w:cs="宋体"/>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eastAsia"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eastAsia" w:ascii="宋体" w:hAnsi="宋体" w:cs="宋体"/>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eastAsia"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eastAsia" w:ascii="宋体" w:hAnsi="宋体" w:cs="宋体"/>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eastAsia"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eastAsia" w:ascii="宋体" w:hAnsi="宋体" w:cs="宋体"/>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eastAsia"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eastAsia" w:ascii="宋体" w:hAnsi="宋体" w:cs="宋体"/>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eastAsia"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eastAsia" w:ascii="宋体" w:hAnsi="宋体" w:cs="宋体"/>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eastAsia" w:ascii="宋体" w:hAnsi="宋体" w:cs="宋体"/>
                <w:color w:val="auto"/>
                <w:szCs w:val="21"/>
                <w:highlight w:val="none"/>
              </w:rPr>
            </w:pPr>
          </w:p>
        </w:tc>
      </w:tr>
    </w:tbl>
    <w:p w14:paraId="1DD063CE">
      <w:pPr>
        <w:pStyle w:val="43"/>
        <w:ind w:left="1480" w:hanging="1480"/>
        <w:jc w:val="both"/>
        <w:rPr>
          <w:rFonts w:hint="eastAsia" w:ascii="宋体" w:hAnsi="宋体" w:eastAsia="宋体" w:cs="宋体"/>
          <w:b w:val="0"/>
          <w:snapToGrid/>
          <w:color w:val="auto"/>
          <w:spacing w:val="0"/>
          <w:sz w:val="21"/>
          <w:szCs w:val="24"/>
          <w:highlight w:val="none"/>
        </w:rPr>
      </w:pPr>
    </w:p>
    <w:p w14:paraId="3BF2675B">
      <w:pPr>
        <w:autoSpaceDE w:val="0"/>
        <w:autoSpaceDN w:val="0"/>
        <w:adjustRightInd w:val="0"/>
        <w:spacing w:line="400" w:lineRule="exact"/>
        <w:ind w:left="102" w:right="-23"/>
        <w:rPr>
          <w:rFonts w:hint="eastAsia" w:ascii="宋体" w:hAnsi="宋体" w:cs="宋体"/>
          <w:color w:val="auto"/>
          <w:highlight w:val="none"/>
          <w:u w:val="single"/>
        </w:rPr>
      </w:pPr>
      <w:r>
        <w:rPr>
          <w:rFonts w:hint="eastAsia" w:ascii="宋体" w:hAnsi="宋体" w:cs="宋体"/>
          <w:color w:val="auto"/>
          <w:highlight w:val="none"/>
        </w:rPr>
        <w:t>注：</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按招标文件要求</w:t>
      </w:r>
      <w:r>
        <w:rPr>
          <w:rFonts w:hint="eastAsia" w:ascii="宋体" w:hAnsi="宋体" w:cs="宋体"/>
          <w:color w:val="auto"/>
          <w:spacing w:val="-2"/>
          <w:highlight w:val="none"/>
        </w:rPr>
        <w:t>附</w:t>
      </w:r>
      <w:r>
        <w:rPr>
          <w:rFonts w:hint="eastAsia" w:ascii="宋体" w:hAnsi="宋体" w:cs="宋体"/>
          <w:color w:val="auto"/>
          <w:highlight w:val="none"/>
        </w:rPr>
        <w:t>相关证明材料。</w:t>
      </w:r>
    </w:p>
    <w:p w14:paraId="6CC2F7C3">
      <w:pPr>
        <w:pStyle w:val="2"/>
        <w:rPr>
          <w:rFonts w:hint="eastAsia" w:ascii="宋体" w:hAnsi="宋体" w:cs="宋体"/>
          <w:color w:val="auto"/>
          <w:highlight w:val="none"/>
        </w:rPr>
      </w:pPr>
    </w:p>
    <w:p w14:paraId="0FC04DA0">
      <w:pPr>
        <w:spacing w:line="440" w:lineRule="exact"/>
        <w:rPr>
          <w:rFonts w:hint="eastAsia" w:ascii="宋体" w:hAnsi="宋体" w:cs="宋体"/>
          <w:color w:val="auto"/>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2"/>
      <w:jc w:val="center"/>
    </w:pPr>
    <w:r>
      <w:fldChar w:fldCharType="begin"/>
    </w:r>
    <w:r>
      <w:instrText xml:space="preserve"> PAGE   \* MERGEFORMAT </w:instrText>
    </w:r>
    <w:r>
      <w:fldChar w:fldCharType="separate"/>
    </w:r>
    <w:r>
      <w:rPr>
        <w:lang w:val="zh-CN"/>
      </w:rPr>
      <w:t>1</w:t>
    </w:r>
    <w:r>
      <w:fldChar w:fldCharType="end"/>
    </w:r>
  </w:p>
  <w:p w14:paraId="50324F3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416FA"/>
    <w:multiLevelType w:val="singleLevel"/>
    <w:tmpl w:val="C5F416FA"/>
    <w:lvl w:ilvl="0" w:tentative="0">
      <w:start w:val="1"/>
      <w:numFmt w:val="decimal"/>
      <w:suff w:val="nothing"/>
      <w:lvlText w:val="（%1）"/>
      <w:lvlJc w:val="left"/>
    </w:lvl>
  </w:abstractNum>
  <w:abstractNum w:abstractNumId="1">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0D1C27"/>
    <w:multiLevelType w:val="singleLevel"/>
    <w:tmpl w:val="090D1C27"/>
    <w:lvl w:ilvl="0" w:tentative="0">
      <w:start w:val="1"/>
      <w:numFmt w:val="decimal"/>
      <w:suff w:val="nothing"/>
      <w:lvlText w:val="（%1）"/>
      <w:lvlJc w:val="left"/>
    </w:lvl>
  </w:abstractNum>
  <w:abstractNum w:abstractNumId="3">
    <w:nsid w:val="19258DEB"/>
    <w:multiLevelType w:val="singleLevel"/>
    <w:tmpl w:val="19258DEB"/>
    <w:lvl w:ilvl="0" w:tentative="0">
      <w:start w:val="1"/>
      <w:numFmt w:val="decimal"/>
      <w:lvlText w:val="%1."/>
      <w:lvlJc w:val="left"/>
      <w:pPr>
        <w:ind w:left="425" w:hanging="425"/>
      </w:pPr>
      <w:rPr>
        <w:rFonts w:hint="default"/>
      </w:rPr>
    </w:lvl>
  </w:abstractNum>
  <w:abstractNum w:abstractNumId="4">
    <w:nsid w:val="2E305446"/>
    <w:multiLevelType w:val="singleLevel"/>
    <w:tmpl w:val="2E305446"/>
    <w:lvl w:ilvl="0" w:tentative="0">
      <w:start w:val="2"/>
      <w:numFmt w:val="decimal"/>
      <w:suff w:val="nothing"/>
      <w:lvlText w:val="（%1）"/>
      <w:lvlJc w:val="left"/>
    </w:lvl>
  </w:abstractNum>
  <w:abstractNum w:abstractNumId="5">
    <w:nsid w:val="5D6515AB"/>
    <w:multiLevelType w:val="singleLevel"/>
    <w:tmpl w:val="5D6515AB"/>
    <w:lvl w:ilvl="0" w:tentative="0">
      <w:start w:val="1"/>
      <w:numFmt w:val="decimal"/>
      <w:suff w:val="nothing"/>
      <w:lvlText w:val="（%1）"/>
      <w:lvlJc w:val="left"/>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113A"/>
    <w:rsid w:val="001629B8"/>
    <w:rsid w:val="00164A52"/>
    <w:rsid w:val="001867F3"/>
    <w:rsid w:val="001A1B79"/>
    <w:rsid w:val="001A25FF"/>
    <w:rsid w:val="001A615A"/>
    <w:rsid w:val="001C0058"/>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1467"/>
    <w:rsid w:val="00425FD4"/>
    <w:rsid w:val="00434AD2"/>
    <w:rsid w:val="00435953"/>
    <w:rsid w:val="004366E7"/>
    <w:rsid w:val="00455B39"/>
    <w:rsid w:val="0045697C"/>
    <w:rsid w:val="004723D0"/>
    <w:rsid w:val="00494122"/>
    <w:rsid w:val="004B4744"/>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430C"/>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B485C"/>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37085"/>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65B48"/>
    <w:rsid w:val="00C71D8C"/>
    <w:rsid w:val="00C726CA"/>
    <w:rsid w:val="00C76BE7"/>
    <w:rsid w:val="00C83DB9"/>
    <w:rsid w:val="00C8441F"/>
    <w:rsid w:val="00C97AEC"/>
    <w:rsid w:val="00CA13AC"/>
    <w:rsid w:val="00CA34BF"/>
    <w:rsid w:val="00CB39DC"/>
    <w:rsid w:val="00CC72D8"/>
    <w:rsid w:val="00CD63AD"/>
    <w:rsid w:val="00CD6586"/>
    <w:rsid w:val="00CE0DCF"/>
    <w:rsid w:val="00CE47E8"/>
    <w:rsid w:val="00CE7541"/>
    <w:rsid w:val="00CF17E5"/>
    <w:rsid w:val="00D0403D"/>
    <w:rsid w:val="00D04A87"/>
    <w:rsid w:val="00D058B1"/>
    <w:rsid w:val="00D062DE"/>
    <w:rsid w:val="00D17499"/>
    <w:rsid w:val="00D24B08"/>
    <w:rsid w:val="00D327BF"/>
    <w:rsid w:val="00D36C16"/>
    <w:rsid w:val="00D53154"/>
    <w:rsid w:val="00D542E2"/>
    <w:rsid w:val="00D60129"/>
    <w:rsid w:val="00D61980"/>
    <w:rsid w:val="00D63E99"/>
    <w:rsid w:val="00D669F5"/>
    <w:rsid w:val="00D67C57"/>
    <w:rsid w:val="00D70535"/>
    <w:rsid w:val="00D7624C"/>
    <w:rsid w:val="00D82657"/>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EF4498"/>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0A6538"/>
    <w:rsid w:val="01796505"/>
    <w:rsid w:val="01F062A0"/>
    <w:rsid w:val="02072A78"/>
    <w:rsid w:val="02E439C5"/>
    <w:rsid w:val="02F76861"/>
    <w:rsid w:val="034E3B00"/>
    <w:rsid w:val="037473F9"/>
    <w:rsid w:val="03B1713F"/>
    <w:rsid w:val="040A30FF"/>
    <w:rsid w:val="04336455"/>
    <w:rsid w:val="04D21D27"/>
    <w:rsid w:val="050D2A9B"/>
    <w:rsid w:val="053C0C8A"/>
    <w:rsid w:val="05467D5B"/>
    <w:rsid w:val="05B44CC5"/>
    <w:rsid w:val="05E05ABA"/>
    <w:rsid w:val="05E22F6E"/>
    <w:rsid w:val="067803E8"/>
    <w:rsid w:val="06A74829"/>
    <w:rsid w:val="072145DC"/>
    <w:rsid w:val="075306D3"/>
    <w:rsid w:val="075A2B1B"/>
    <w:rsid w:val="0874698D"/>
    <w:rsid w:val="08962DA7"/>
    <w:rsid w:val="089D0323"/>
    <w:rsid w:val="08BC414F"/>
    <w:rsid w:val="08CF1E16"/>
    <w:rsid w:val="0908779C"/>
    <w:rsid w:val="090A12E5"/>
    <w:rsid w:val="09A11A04"/>
    <w:rsid w:val="09A22B4F"/>
    <w:rsid w:val="09CD698F"/>
    <w:rsid w:val="09D31097"/>
    <w:rsid w:val="0AC161B4"/>
    <w:rsid w:val="0B9C6927"/>
    <w:rsid w:val="0BB91287"/>
    <w:rsid w:val="0BCA279B"/>
    <w:rsid w:val="0BCB2EB5"/>
    <w:rsid w:val="0C211B34"/>
    <w:rsid w:val="0C29274B"/>
    <w:rsid w:val="0C583F4F"/>
    <w:rsid w:val="0CEE31B2"/>
    <w:rsid w:val="0D0227BA"/>
    <w:rsid w:val="0D324F55"/>
    <w:rsid w:val="0D330895"/>
    <w:rsid w:val="0D8D11A1"/>
    <w:rsid w:val="0D971E4A"/>
    <w:rsid w:val="0DCD01BE"/>
    <w:rsid w:val="0DE1736F"/>
    <w:rsid w:val="0DF01340"/>
    <w:rsid w:val="0E407A3D"/>
    <w:rsid w:val="0E7F2EFE"/>
    <w:rsid w:val="0EB80B43"/>
    <w:rsid w:val="0EC37D85"/>
    <w:rsid w:val="0F44530B"/>
    <w:rsid w:val="0F4E32A6"/>
    <w:rsid w:val="0F8C280E"/>
    <w:rsid w:val="0FD74963"/>
    <w:rsid w:val="0FD9494D"/>
    <w:rsid w:val="10FB5E9E"/>
    <w:rsid w:val="11281150"/>
    <w:rsid w:val="11462FAC"/>
    <w:rsid w:val="116F55AF"/>
    <w:rsid w:val="11827913"/>
    <w:rsid w:val="11CF659B"/>
    <w:rsid w:val="12185560"/>
    <w:rsid w:val="123B3FE9"/>
    <w:rsid w:val="137338B8"/>
    <w:rsid w:val="13E175CD"/>
    <w:rsid w:val="145B1459"/>
    <w:rsid w:val="149B71DD"/>
    <w:rsid w:val="14BC76F2"/>
    <w:rsid w:val="151B105B"/>
    <w:rsid w:val="15B31601"/>
    <w:rsid w:val="162808E4"/>
    <w:rsid w:val="17571D9C"/>
    <w:rsid w:val="17A728DB"/>
    <w:rsid w:val="17C34362"/>
    <w:rsid w:val="17FE4468"/>
    <w:rsid w:val="18040CDB"/>
    <w:rsid w:val="18385765"/>
    <w:rsid w:val="184E71FB"/>
    <w:rsid w:val="18CE3AEC"/>
    <w:rsid w:val="18D339FB"/>
    <w:rsid w:val="190A6953"/>
    <w:rsid w:val="192A37C4"/>
    <w:rsid w:val="19460C23"/>
    <w:rsid w:val="19A54BF8"/>
    <w:rsid w:val="19C21748"/>
    <w:rsid w:val="1ACC4407"/>
    <w:rsid w:val="1AD55FDC"/>
    <w:rsid w:val="1B2B6103"/>
    <w:rsid w:val="1B634D6B"/>
    <w:rsid w:val="1B9F308F"/>
    <w:rsid w:val="1BA01AB8"/>
    <w:rsid w:val="1BA2004B"/>
    <w:rsid w:val="1BDA1C7D"/>
    <w:rsid w:val="1BE11932"/>
    <w:rsid w:val="1BEF65FF"/>
    <w:rsid w:val="1BF9784E"/>
    <w:rsid w:val="1C392E7F"/>
    <w:rsid w:val="1C8D0666"/>
    <w:rsid w:val="1CD81789"/>
    <w:rsid w:val="1D2B2172"/>
    <w:rsid w:val="1D3B2B65"/>
    <w:rsid w:val="1D5D57EA"/>
    <w:rsid w:val="1D7D4F25"/>
    <w:rsid w:val="1E0C3498"/>
    <w:rsid w:val="1E210741"/>
    <w:rsid w:val="1E224F6A"/>
    <w:rsid w:val="1E2A783A"/>
    <w:rsid w:val="1E522E75"/>
    <w:rsid w:val="1E733517"/>
    <w:rsid w:val="1F464788"/>
    <w:rsid w:val="1F9F3887"/>
    <w:rsid w:val="1FD06D62"/>
    <w:rsid w:val="1FF27EEF"/>
    <w:rsid w:val="20064213"/>
    <w:rsid w:val="202C30BF"/>
    <w:rsid w:val="20362BE4"/>
    <w:rsid w:val="20EE50D7"/>
    <w:rsid w:val="21322057"/>
    <w:rsid w:val="217C61BE"/>
    <w:rsid w:val="223631D9"/>
    <w:rsid w:val="223700F7"/>
    <w:rsid w:val="223B434C"/>
    <w:rsid w:val="228D0920"/>
    <w:rsid w:val="22A26D6B"/>
    <w:rsid w:val="22B8169F"/>
    <w:rsid w:val="22BE5AA5"/>
    <w:rsid w:val="22CC769A"/>
    <w:rsid w:val="22DA74AD"/>
    <w:rsid w:val="237D4CD9"/>
    <w:rsid w:val="23E2270E"/>
    <w:rsid w:val="24213A15"/>
    <w:rsid w:val="243A6885"/>
    <w:rsid w:val="24950BFD"/>
    <w:rsid w:val="24AD6A97"/>
    <w:rsid w:val="24DC5439"/>
    <w:rsid w:val="24E25AE6"/>
    <w:rsid w:val="24FF105C"/>
    <w:rsid w:val="2536529E"/>
    <w:rsid w:val="259B0FC8"/>
    <w:rsid w:val="26085AF6"/>
    <w:rsid w:val="26CA0394"/>
    <w:rsid w:val="27433CA3"/>
    <w:rsid w:val="27710810"/>
    <w:rsid w:val="27841822"/>
    <w:rsid w:val="27D52B4D"/>
    <w:rsid w:val="28217B1C"/>
    <w:rsid w:val="292C49EE"/>
    <w:rsid w:val="29887CED"/>
    <w:rsid w:val="29947F83"/>
    <w:rsid w:val="2A045F6F"/>
    <w:rsid w:val="2A084BFF"/>
    <w:rsid w:val="2A2715E7"/>
    <w:rsid w:val="2A61691A"/>
    <w:rsid w:val="2A8327EF"/>
    <w:rsid w:val="2B475A44"/>
    <w:rsid w:val="2BB720FB"/>
    <w:rsid w:val="2BEC2AEE"/>
    <w:rsid w:val="2CE008F5"/>
    <w:rsid w:val="2D2307FE"/>
    <w:rsid w:val="2D27476B"/>
    <w:rsid w:val="2D5C0C70"/>
    <w:rsid w:val="2D60735C"/>
    <w:rsid w:val="2DA37F4F"/>
    <w:rsid w:val="2DCA2A28"/>
    <w:rsid w:val="2DDC7ADB"/>
    <w:rsid w:val="2DF00CF5"/>
    <w:rsid w:val="2E426A62"/>
    <w:rsid w:val="2E7E638B"/>
    <w:rsid w:val="2E8D7A39"/>
    <w:rsid w:val="2F0355FE"/>
    <w:rsid w:val="2F095030"/>
    <w:rsid w:val="2F3C7955"/>
    <w:rsid w:val="2F45067D"/>
    <w:rsid w:val="2F7E7F6E"/>
    <w:rsid w:val="2FCC2A87"/>
    <w:rsid w:val="3002294D"/>
    <w:rsid w:val="308275EA"/>
    <w:rsid w:val="30BF3D46"/>
    <w:rsid w:val="30DC094B"/>
    <w:rsid w:val="312608BD"/>
    <w:rsid w:val="314B6311"/>
    <w:rsid w:val="320C1861"/>
    <w:rsid w:val="321E77E6"/>
    <w:rsid w:val="330C1043"/>
    <w:rsid w:val="33291F9F"/>
    <w:rsid w:val="333C43C8"/>
    <w:rsid w:val="333F3B4E"/>
    <w:rsid w:val="33580324"/>
    <w:rsid w:val="348B5C73"/>
    <w:rsid w:val="34D16D92"/>
    <w:rsid w:val="34E72111"/>
    <w:rsid w:val="3569521C"/>
    <w:rsid w:val="35764C90"/>
    <w:rsid w:val="359077B7"/>
    <w:rsid w:val="35EE60E8"/>
    <w:rsid w:val="364827E6"/>
    <w:rsid w:val="36925FE7"/>
    <w:rsid w:val="36AE738B"/>
    <w:rsid w:val="3704289E"/>
    <w:rsid w:val="375D66BB"/>
    <w:rsid w:val="37841E99"/>
    <w:rsid w:val="37976071"/>
    <w:rsid w:val="37CF5A51"/>
    <w:rsid w:val="37FE2480"/>
    <w:rsid w:val="3810372D"/>
    <w:rsid w:val="383513E6"/>
    <w:rsid w:val="384339BF"/>
    <w:rsid w:val="38CC0B75"/>
    <w:rsid w:val="39557F91"/>
    <w:rsid w:val="39CD3FCC"/>
    <w:rsid w:val="3A0713A0"/>
    <w:rsid w:val="3B0A5D0C"/>
    <w:rsid w:val="3B0A6B5A"/>
    <w:rsid w:val="3B9F373E"/>
    <w:rsid w:val="3BF5780A"/>
    <w:rsid w:val="3C9100A3"/>
    <w:rsid w:val="3C9E156E"/>
    <w:rsid w:val="3CF56123"/>
    <w:rsid w:val="3D167A38"/>
    <w:rsid w:val="3D2A729E"/>
    <w:rsid w:val="3DAC6D7B"/>
    <w:rsid w:val="3E327009"/>
    <w:rsid w:val="3E420D1E"/>
    <w:rsid w:val="3E530CCE"/>
    <w:rsid w:val="3E9D0A1A"/>
    <w:rsid w:val="3F4343E8"/>
    <w:rsid w:val="3F605AA5"/>
    <w:rsid w:val="400E49F6"/>
    <w:rsid w:val="40343FC8"/>
    <w:rsid w:val="410A340F"/>
    <w:rsid w:val="411C3143"/>
    <w:rsid w:val="413B6248"/>
    <w:rsid w:val="414E7948"/>
    <w:rsid w:val="415C7681"/>
    <w:rsid w:val="416A5942"/>
    <w:rsid w:val="4170543C"/>
    <w:rsid w:val="41FB71FC"/>
    <w:rsid w:val="42B10150"/>
    <w:rsid w:val="42E75B1D"/>
    <w:rsid w:val="43831080"/>
    <w:rsid w:val="43C73BDB"/>
    <w:rsid w:val="4461570D"/>
    <w:rsid w:val="446472DA"/>
    <w:rsid w:val="451A3E3D"/>
    <w:rsid w:val="45357930"/>
    <w:rsid w:val="454E2F73"/>
    <w:rsid w:val="45723C79"/>
    <w:rsid w:val="45C73E0C"/>
    <w:rsid w:val="45DE1FED"/>
    <w:rsid w:val="46213156"/>
    <w:rsid w:val="46BE6B28"/>
    <w:rsid w:val="4710743B"/>
    <w:rsid w:val="47353A03"/>
    <w:rsid w:val="47466840"/>
    <w:rsid w:val="47573D37"/>
    <w:rsid w:val="47AA512C"/>
    <w:rsid w:val="47B642F1"/>
    <w:rsid w:val="4899540A"/>
    <w:rsid w:val="48DC1609"/>
    <w:rsid w:val="48E7759C"/>
    <w:rsid w:val="49B27967"/>
    <w:rsid w:val="4A031344"/>
    <w:rsid w:val="4A3E412A"/>
    <w:rsid w:val="4A58343D"/>
    <w:rsid w:val="4AD30AF6"/>
    <w:rsid w:val="4AE747C1"/>
    <w:rsid w:val="4B26353C"/>
    <w:rsid w:val="4B615BF4"/>
    <w:rsid w:val="4B7F2C4C"/>
    <w:rsid w:val="4BD42F98"/>
    <w:rsid w:val="4C026B35"/>
    <w:rsid w:val="4C83325D"/>
    <w:rsid w:val="4D632C04"/>
    <w:rsid w:val="4DB12E65"/>
    <w:rsid w:val="4E042207"/>
    <w:rsid w:val="4E230DD5"/>
    <w:rsid w:val="4F12268E"/>
    <w:rsid w:val="4F437141"/>
    <w:rsid w:val="4F8649EB"/>
    <w:rsid w:val="502E0428"/>
    <w:rsid w:val="509C7395"/>
    <w:rsid w:val="510F391D"/>
    <w:rsid w:val="513F1A6B"/>
    <w:rsid w:val="516A3A56"/>
    <w:rsid w:val="51A0391C"/>
    <w:rsid w:val="51BC0559"/>
    <w:rsid w:val="51C90DF3"/>
    <w:rsid w:val="52081BED"/>
    <w:rsid w:val="520D0164"/>
    <w:rsid w:val="528C5CE5"/>
    <w:rsid w:val="52BA4CC2"/>
    <w:rsid w:val="531225F7"/>
    <w:rsid w:val="53A54A39"/>
    <w:rsid w:val="53C7489A"/>
    <w:rsid w:val="53E62F65"/>
    <w:rsid w:val="541C3BC8"/>
    <w:rsid w:val="542749D4"/>
    <w:rsid w:val="54302D35"/>
    <w:rsid w:val="549D7BDE"/>
    <w:rsid w:val="54C776D7"/>
    <w:rsid w:val="552C30CC"/>
    <w:rsid w:val="55944BB7"/>
    <w:rsid w:val="55B94C14"/>
    <w:rsid w:val="56033986"/>
    <w:rsid w:val="564A39F3"/>
    <w:rsid w:val="568B6949"/>
    <w:rsid w:val="57256D9D"/>
    <w:rsid w:val="572C5C37"/>
    <w:rsid w:val="57F30C49"/>
    <w:rsid w:val="58030761"/>
    <w:rsid w:val="58466FCB"/>
    <w:rsid w:val="585F2D49"/>
    <w:rsid w:val="58990935"/>
    <w:rsid w:val="58A27F7A"/>
    <w:rsid w:val="58D02D39"/>
    <w:rsid w:val="59205A6E"/>
    <w:rsid w:val="595F5018"/>
    <w:rsid w:val="59B12B6A"/>
    <w:rsid w:val="59B241EC"/>
    <w:rsid w:val="5C7F276B"/>
    <w:rsid w:val="5D1859F9"/>
    <w:rsid w:val="5D395350"/>
    <w:rsid w:val="5DC4760A"/>
    <w:rsid w:val="5DEC79E2"/>
    <w:rsid w:val="5EA24E14"/>
    <w:rsid w:val="5EA629B3"/>
    <w:rsid w:val="5EAE7678"/>
    <w:rsid w:val="5EB30DEE"/>
    <w:rsid w:val="5EEE213C"/>
    <w:rsid w:val="5F3C75E9"/>
    <w:rsid w:val="5F5521EA"/>
    <w:rsid w:val="5F8F74AA"/>
    <w:rsid w:val="5F9F3570"/>
    <w:rsid w:val="6008124A"/>
    <w:rsid w:val="603E67DA"/>
    <w:rsid w:val="606C4AC2"/>
    <w:rsid w:val="610D4EFC"/>
    <w:rsid w:val="61581B1D"/>
    <w:rsid w:val="61783F6D"/>
    <w:rsid w:val="61EF77DE"/>
    <w:rsid w:val="62424CCE"/>
    <w:rsid w:val="6329542F"/>
    <w:rsid w:val="63377F9B"/>
    <w:rsid w:val="63780255"/>
    <w:rsid w:val="63A728E8"/>
    <w:rsid w:val="64104931"/>
    <w:rsid w:val="642D6189"/>
    <w:rsid w:val="643E65DF"/>
    <w:rsid w:val="64610811"/>
    <w:rsid w:val="64B13D89"/>
    <w:rsid w:val="65297A59"/>
    <w:rsid w:val="653308D7"/>
    <w:rsid w:val="654671F6"/>
    <w:rsid w:val="656142FE"/>
    <w:rsid w:val="65970B1B"/>
    <w:rsid w:val="669C425A"/>
    <w:rsid w:val="66B26C8A"/>
    <w:rsid w:val="66FD53B0"/>
    <w:rsid w:val="670342D9"/>
    <w:rsid w:val="679E512F"/>
    <w:rsid w:val="67C73559"/>
    <w:rsid w:val="67FB35BC"/>
    <w:rsid w:val="68C30030"/>
    <w:rsid w:val="69592EED"/>
    <w:rsid w:val="69892350"/>
    <w:rsid w:val="699E5E58"/>
    <w:rsid w:val="69CD546E"/>
    <w:rsid w:val="69F3341D"/>
    <w:rsid w:val="6A0F2272"/>
    <w:rsid w:val="6A7A48B2"/>
    <w:rsid w:val="6AC23015"/>
    <w:rsid w:val="6ACC03FB"/>
    <w:rsid w:val="6AFD4215"/>
    <w:rsid w:val="6B6A6E0E"/>
    <w:rsid w:val="6BCE017D"/>
    <w:rsid w:val="6BE27E18"/>
    <w:rsid w:val="6C032026"/>
    <w:rsid w:val="6C3A0AAD"/>
    <w:rsid w:val="6C522BE1"/>
    <w:rsid w:val="6C64581A"/>
    <w:rsid w:val="6C85415D"/>
    <w:rsid w:val="6D6455EA"/>
    <w:rsid w:val="6D987B52"/>
    <w:rsid w:val="6DEC1F6B"/>
    <w:rsid w:val="6DFB5D0A"/>
    <w:rsid w:val="6DFF3A4C"/>
    <w:rsid w:val="6E98550D"/>
    <w:rsid w:val="6EBA6A7F"/>
    <w:rsid w:val="6F3D15DC"/>
    <w:rsid w:val="6F8241FD"/>
    <w:rsid w:val="6FB5461F"/>
    <w:rsid w:val="70474E83"/>
    <w:rsid w:val="70C67F9E"/>
    <w:rsid w:val="715A72FB"/>
    <w:rsid w:val="721A08F9"/>
    <w:rsid w:val="72607F50"/>
    <w:rsid w:val="728F1117"/>
    <w:rsid w:val="73167922"/>
    <w:rsid w:val="73196D06"/>
    <w:rsid w:val="73857B20"/>
    <w:rsid w:val="73CC079E"/>
    <w:rsid w:val="73E27B7E"/>
    <w:rsid w:val="74065409"/>
    <w:rsid w:val="753F5076"/>
    <w:rsid w:val="757D6AEA"/>
    <w:rsid w:val="757F1917"/>
    <w:rsid w:val="75CD2682"/>
    <w:rsid w:val="769B452E"/>
    <w:rsid w:val="77C81353"/>
    <w:rsid w:val="77D50376"/>
    <w:rsid w:val="77DF669D"/>
    <w:rsid w:val="782512C6"/>
    <w:rsid w:val="782E0D0C"/>
    <w:rsid w:val="789456D9"/>
    <w:rsid w:val="78FD6DDA"/>
    <w:rsid w:val="79D63CA4"/>
    <w:rsid w:val="79F301DD"/>
    <w:rsid w:val="7A044DC4"/>
    <w:rsid w:val="7A140880"/>
    <w:rsid w:val="7A16385A"/>
    <w:rsid w:val="7A167330"/>
    <w:rsid w:val="7A1F0FD2"/>
    <w:rsid w:val="7A380A38"/>
    <w:rsid w:val="7AFC17EA"/>
    <w:rsid w:val="7BFC781D"/>
    <w:rsid w:val="7C066A04"/>
    <w:rsid w:val="7C156228"/>
    <w:rsid w:val="7C560EBC"/>
    <w:rsid w:val="7C5D0B13"/>
    <w:rsid w:val="7C80044E"/>
    <w:rsid w:val="7CA0592E"/>
    <w:rsid w:val="7D180687"/>
    <w:rsid w:val="7D221A47"/>
    <w:rsid w:val="7DE51D7E"/>
    <w:rsid w:val="7DFC3B04"/>
    <w:rsid w:val="7E307C52"/>
    <w:rsid w:val="7E7E276B"/>
    <w:rsid w:val="7E971AA1"/>
    <w:rsid w:val="7F0C5FC9"/>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6" w:lineRule="auto"/>
      <w:outlineLvl w:val="0"/>
    </w:pPr>
    <w:rPr>
      <w:rFonts w:ascii="Times New Roman" w:hAnsi="Times New Roman"/>
      <w:b/>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annotation text"/>
    <w:basedOn w:val="1"/>
    <w:link w:val="29"/>
    <w:unhideWhenUsed/>
    <w:qFormat/>
    <w:uiPriority w:val="99"/>
    <w:pPr>
      <w:jc w:val="left"/>
    </w:pPr>
  </w:style>
  <w:style w:type="paragraph" w:styleId="7">
    <w:name w:val="Body Text"/>
    <w:basedOn w:val="1"/>
    <w:next w:val="8"/>
    <w:link w:val="30"/>
    <w:unhideWhenUsed/>
    <w:qFormat/>
    <w:uiPriority w:val="99"/>
    <w:pPr>
      <w:spacing w:after="120"/>
    </w:pPr>
  </w:style>
  <w:style w:type="paragraph" w:styleId="8">
    <w:name w:val="Date"/>
    <w:basedOn w:val="1"/>
    <w:next w:val="1"/>
    <w:qFormat/>
    <w:uiPriority w:val="0"/>
    <w:pPr>
      <w:ind w:left="100" w:leftChars="2500"/>
    </w:pPr>
  </w:style>
  <w:style w:type="paragraph" w:styleId="9">
    <w:name w:val="Body Text Indent"/>
    <w:basedOn w:val="1"/>
    <w:qFormat/>
    <w:uiPriority w:val="0"/>
    <w:pPr>
      <w:ind w:firstLine="600" w:firstLineChars="200"/>
    </w:pPr>
    <w:rPr>
      <w:rFonts w:ascii="(使用中文字体)" w:hAnsi="Times New Roman"/>
      <w:sz w:val="30"/>
      <w:szCs w:val="20"/>
    </w:rPr>
  </w:style>
  <w:style w:type="paragraph" w:styleId="10">
    <w:name w:val="Plain Text"/>
    <w:basedOn w:val="1"/>
    <w:next w:val="1"/>
    <w:link w:val="31"/>
    <w:unhideWhenUsed/>
    <w:qFormat/>
    <w:uiPriority w:val="99"/>
    <w:rPr>
      <w:rFonts w:ascii="宋体" w:hAnsi="Courier New" w:cs="Courier New"/>
      <w:szCs w:val="21"/>
    </w:rPr>
  </w:style>
  <w:style w:type="paragraph" w:styleId="11">
    <w:name w:val="Balloon Text"/>
    <w:basedOn w:val="1"/>
    <w:link w:val="32"/>
    <w:qFormat/>
    <w:uiPriority w:val="0"/>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qFormat/>
    <w:uiPriority w:val="1"/>
    <w:pPr>
      <w:spacing w:line="272" w:lineRule="exact"/>
      <w:ind w:left="520"/>
    </w:pPr>
    <w:rPr>
      <w:rFonts w:ascii="宋体" w:hAnsi="宋体" w:cs="宋体"/>
      <w:szCs w:val="21"/>
    </w:rPr>
  </w:style>
  <w:style w:type="paragraph" w:styleId="16">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7">
    <w:name w:val="Title"/>
    <w:basedOn w:val="1"/>
    <w:next w:val="1"/>
    <w:link w:val="35"/>
    <w:qFormat/>
    <w:uiPriority w:val="0"/>
    <w:pPr>
      <w:spacing w:before="240" w:after="60"/>
      <w:jc w:val="center"/>
      <w:outlineLvl w:val="0"/>
    </w:pPr>
    <w:rPr>
      <w:rFonts w:ascii="Cambria" w:hAnsi="Cambria"/>
      <w:b/>
      <w:bCs/>
      <w:sz w:val="32"/>
      <w:szCs w:val="32"/>
    </w:rPr>
  </w:style>
  <w:style w:type="paragraph" w:styleId="18">
    <w:name w:val="annotation subject"/>
    <w:basedOn w:val="6"/>
    <w:next w:val="6"/>
    <w:link w:val="36"/>
    <w:unhideWhenUsed/>
    <w:qFormat/>
    <w:uiPriority w:val="99"/>
    <w:rPr>
      <w:b/>
      <w:bCs/>
    </w:rPr>
  </w:style>
  <w:style w:type="paragraph" w:styleId="19">
    <w:name w:val="Body Text First Indent 2"/>
    <w:basedOn w:val="9"/>
    <w:qFormat/>
    <w:uiPriority w:val="0"/>
    <w:pPr>
      <w:spacing w:after="120"/>
      <w:ind w:left="420" w:leftChars="200" w:firstLine="420"/>
    </w:pPr>
    <w:rPr>
      <w:rFonts w:hAnsi="(使用中文字体)"/>
      <w:sz w:val="20"/>
      <w:szCs w:val="24"/>
    </w:rPr>
  </w:style>
  <w:style w:type="character" w:styleId="22">
    <w:name w:val="Strong"/>
    <w:qFormat/>
    <w:uiPriority w:val="22"/>
    <w:rPr>
      <w:b/>
    </w:rPr>
  </w:style>
  <w:style w:type="character" w:styleId="23">
    <w:name w:val="FollowedHyperlink"/>
    <w:unhideWhenUsed/>
    <w:qFormat/>
    <w:uiPriority w:val="99"/>
    <w:rPr>
      <w:color w:val="800080"/>
      <w:u w:val="single"/>
    </w:rPr>
  </w:style>
  <w:style w:type="character" w:styleId="24">
    <w:name w:val="Hyperlink"/>
    <w:unhideWhenUsed/>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标题 1 字符"/>
    <w:link w:val="3"/>
    <w:qFormat/>
    <w:uiPriority w:val="9"/>
    <w:rPr>
      <w:rFonts w:ascii="Times New Roman" w:hAnsi="Times New Roman" w:eastAsia="宋体" w:cs="Times New Roman"/>
      <w:b/>
      <w:kern w:val="44"/>
      <w:sz w:val="44"/>
      <w:szCs w:val="44"/>
    </w:rPr>
  </w:style>
  <w:style w:type="character" w:customStyle="1" w:styleId="27">
    <w:name w:val="标题 2 字符"/>
    <w:link w:val="4"/>
    <w:qFormat/>
    <w:uiPriority w:val="9"/>
    <w:rPr>
      <w:rFonts w:ascii="Calibri Light" w:hAnsi="Calibri Light" w:eastAsia="宋体" w:cs="Times New Roman"/>
      <w:b/>
      <w:bCs/>
      <w:sz w:val="32"/>
      <w:szCs w:val="32"/>
    </w:rPr>
  </w:style>
  <w:style w:type="character" w:customStyle="1" w:styleId="28">
    <w:name w:val="标题 3 字符"/>
    <w:link w:val="5"/>
    <w:semiHidden/>
    <w:qFormat/>
    <w:uiPriority w:val="9"/>
    <w:rPr>
      <w:rFonts w:ascii="Calibri" w:hAnsi="Calibri" w:eastAsia="宋体"/>
      <w:b/>
      <w:bCs/>
      <w:kern w:val="2"/>
      <w:sz w:val="32"/>
      <w:szCs w:val="32"/>
    </w:rPr>
  </w:style>
  <w:style w:type="character" w:customStyle="1" w:styleId="29">
    <w:name w:val="批注文字 字符"/>
    <w:link w:val="6"/>
    <w:qFormat/>
    <w:uiPriority w:val="99"/>
    <w:rPr>
      <w:rFonts w:ascii="Calibri" w:hAnsi="Calibri" w:eastAsia="宋体"/>
      <w:kern w:val="2"/>
      <w:sz w:val="21"/>
      <w:szCs w:val="22"/>
    </w:rPr>
  </w:style>
  <w:style w:type="character" w:customStyle="1" w:styleId="30">
    <w:name w:val="正文文本 字符"/>
    <w:link w:val="7"/>
    <w:semiHidden/>
    <w:qFormat/>
    <w:uiPriority w:val="99"/>
    <w:rPr>
      <w:rFonts w:ascii="Calibri" w:hAnsi="Calibri" w:eastAsia="宋体"/>
      <w:kern w:val="2"/>
      <w:sz w:val="21"/>
      <w:szCs w:val="22"/>
    </w:rPr>
  </w:style>
  <w:style w:type="character" w:customStyle="1" w:styleId="31">
    <w:name w:val="纯文本 字符"/>
    <w:link w:val="10"/>
    <w:qFormat/>
    <w:uiPriority w:val="99"/>
    <w:rPr>
      <w:rFonts w:ascii="宋体" w:hAnsi="Courier New" w:eastAsia="宋体" w:cs="Courier New"/>
      <w:szCs w:val="21"/>
    </w:rPr>
  </w:style>
  <w:style w:type="character" w:customStyle="1" w:styleId="32">
    <w:name w:val="批注框文本 字符"/>
    <w:link w:val="11"/>
    <w:qFormat/>
    <w:uiPriority w:val="0"/>
    <w:rPr>
      <w:rFonts w:ascii="Calibri" w:hAnsi="Calibri" w:eastAsia="宋体" w:cs="Times New Roman"/>
      <w:sz w:val="18"/>
      <w:szCs w:val="18"/>
    </w:rPr>
  </w:style>
  <w:style w:type="character" w:customStyle="1" w:styleId="33">
    <w:name w:val="页脚 字符"/>
    <w:link w:val="12"/>
    <w:qFormat/>
    <w:uiPriority w:val="99"/>
    <w:rPr>
      <w:rFonts w:ascii="Calibri" w:hAnsi="Calibri" w:eastAsia="宋体" w:cs="Times New Roman"/>
      <w:sz w:val="18"/>
      <w:szCs w:val="18"/>
    </w:rPr>
  </w:style>
  <w:style w:type="character" w:customStyle="1" w:styleId="34">
    <w:name w:val="页眉 字符"/>
    <w:link w:val="13"/>
    <w:qFormat/>
    <w:uiPriority w:val="99"/>
    <w:rPr>
      <w:rFonts w:ascii="Calibri" w:hAnsi="Calibri" w:eastAsia="宋体" w:cs="Times New Roman"/>
      <w:sz w:val="18"/>
      <w:szCs w:val="18"/>
    </w:rPr>
  </w:style>
  <w:style w:type="character" w:customStyle="1" w:styleId="35">
    <w:name w:val="标题 字符"/>
    <w:link w:val="17"/>
    <w:qFormat/>
    <w:uiPriority w:val="0"/>
    <w:rPr>
      <w:rFonts w:ascii="Cambria" w:hAnsi="Cambria" w:eastAsia="宋体"/>
      <w:b/>
      <w:bCs/>
      <w:kern w:val="2"/>
      <w:sz w:val="32"/>
      <w:szCs w:val="32"/>
    </w:rPr>
  </w:style>
  <w:style w:type="character" w:customStyle="1" w:styleId="36">
    <w:name w:val="批注主题 字符"/>
    <w:link w:val="18"/>
    <w:semiHidden/>
    <w:qFormat/>
    <w:uiPriority w:val="99"/>
    <w:rPr>
      <w:rFonts w:ascii="Calibri" w:hAnsi="Calibri" w:eastAsia="宋体"/>
      <w:b/>
      <w:bCs/>
      <w:kern w:val="2"/>
      <w:sz w:val="21"/>
      <w:szCs w:val="22"/>
    </w:rPr>
  </w:style>
  <w:style w:type="paragraph" w:customStyle="1" w:styleId="37">
    <w:name w:val="样式 宋体 行距: 1.5 倍行距"/>
    <w:basedOn w:val="1"/>
    <w:qFormat/>
    <w:uiPriority w:val="99"/>
    <w:pPr>
      <w:jc w:val="center"/>
    </w:pPr>
    <w:rPr>
      <w:b/>
      <w:bCs/>
    </w:rPr>
  </w:style>
  <w:style w:type="paragraph" w:styleId="38">
    <w:name w:val="No Spacing"/>
    <w:basedOn w:val="1"/>
    <w:qFormat/>
    <w:uiPriority w:val="99"/>
  </w:style>
  <w:style w:type="paragraph" w:customStyle="1" w:styleId="39">
    <w:name w:val="WPSOffice手动目录 1"/>
    <w:qFormat/>
    <w:uiPriority w:val="0"/>
    <w:rPr>
      <w:rFonts w:ascii="等线" w:hAnsi="等线" w:eastAsia="等线" w:cs="Times New Roman"/>
      <w:lang w:val="en-US" w:eastAsia="zh-CN" w:bidi="ar-SA"/>
    </w:rPr>
  </w:style>
  <w:style w:type="paragraph" w:customStyle="1" w:styleId="40">
    <w:name w:val="WPSOffice手动目录 2"/>
    <w:qFormat/>
    <w:uiPriority w:val="0"/>
    <w:pPr>
      <w:ind w:left="200" w:leftChars="200"/>
    </w:pPr>
    <w:rPr>
      <w:rFonts w:ascii="等线" w:hAnsi="等线" w:eastAsia="等线" w:cs="Times New Roman"/>
      <w:lang w:val="en-US" w:eastAsia="zh-CN" w:bidi="ar-SA"/>
    </w:rPr>
  </w:style>
  <w:style w:type="paragraph" w:customStyle="1" w:styleId="41">
    <w:name w:val="_Style 39"/>
    <w:unhideWhenUsed/>
    <w:qFormat/>
    <w:uiPriority w:val="99"/>
    <w:rPr>
      <w:rFonts w:ascii="Calibri" w:hAnsi="Calibri" w:eastAsia="宋体" w:cs="Times New Roman"/>
      <w:kern w:val="2"/>
      <w:sz w:val="21"/>
      <w:szCs w:val="22"/>
      <w:lang w:val="en-US" w:eastAsia="zh-CN" w:bidi="ar-SA"/>
    </w:rPr>
  </w:style>
  <w:style w:type="paragraph" w:customStyle="1" w:styleId="4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3">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发文落款"/>
    <w:basedOn w:val="44"/>
    <w:qFormat/>
    <w:uiPriority w:val="0"/>
    <w:pPr>
      <w:ind w:left="4094" w:right="607" w:firstLine="0"/>
      <w:jc w:val="center"/>
    </w:pPr>
  </w:style>
  <w:style w:type="character" w:customStyle="1" w:styleId="46">
    <w:name w:val="NormalCharacter"/>
    <w:qFormat/>
    <w:uiPriority w:val="0"/>
    <w:rPr>
      <w:rFonts w:ascii="等线" w:hAnsi="等线" w:eastAsia="等线"/>
      <w:kern w:val="2"/>
      <w:sz w:val="21"/>
      <w:szCs w:val="24"/>
      <w:lang w:val="en-US" w:eastAsia="zh-CN" w:bidi="ar-SA"/>
    </w:rPr>
  </w:style>
  <w:style w:type="paragraph" w:customStyle="1" w:styleId="47">
    <w:name w:val="Table Paragraph"/>
    <w:basedOn w:val="1"/>
    <w:qFormat/>
    <w:uiPriority w:val="0"/>
  </w:style>
  <w:style w:type="paragraph" w:customStyle="1" w:styleId="4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80</Pages>
  <Words>12004</Words>
  <Characters>12676</Characters>
  <Lines>2157</Lines>
  <Paragraphs>1659</Paragraphs>
  <TotalTime>9</TotalTime>
  <ScaleCrop>false</ScaleCrop>
  <LinksUpToDate>false</LinksUpToDate>
  <CharactersWithSpaces>12832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Admin</cp:lastModifiedBy>
  <cp:lastPrinted>2025-08-25T06:26:00Z</cp:lastPrinted>
  <dcterms:modified xsi:type="dcterms:W3CDTF">2025-11-20T05:15:42Z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C8841EC42EB74BD2B0D72C54DD5369FB_13</vt:lpwstr>
  </property>
  <property fmtid="{D5CDD505-2E9C-101B-9397-08002B2CF9AE}" pid="4" name="KSOTemplateDocerSaveRecord">
    <vt:lpwstr>eyJoZGlkIjoiMWU0NmQzNDYwYzIxZjZjZjE2NWY1YzE0YjkxN2U2MzAiLCJ1c2VySWQiOiI0NDUyMjAyMzEifQ==</vt:lpwstr>
  </property>
</Properties>
</file>